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3101EDFC" w:rsidR="00017D30" w:rsidRPr="004419B9" w:rsidRDefault="0002471B"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sidRPr="001A376B">
        <w:rPr>
          <w:noProof/>
          <w:lang w:val="en-IN" w:eastAsia="en-IN"/>
        </w:rPr>
        <w:drawing>
          <wp:anchor distT="0" distB="203708" distL="114300" distR="179197" simplePos="0" relativeHeight="251658240" behindDoc="0" locked="0" layoutInCell="1" allowOverlap="1" wp14:anchorId="79F05CD9" wp14:editId="1526DAC9">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1A376B">
        <w:rPr>
          <w:noProof/>
          <w:lang w:val="en-IN" w:eastAsia="en-IN"/>
        </w:rPr>
        <w:drawing>
          <wp:anchor distT="124460" distB="300228" distL="114300" distR="114300" simplePos="0" relativeHeight="251659264" behindDoc="0" locked="0" layoutInCell="1" allowOverlap="1" wp14:anchorId="0EA3FE81" wp14:editId="44675828">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A202AF" w:rsidRPr="001A376B">
        <w:rPr>
          <w:rStyle w:val="Hyperlink"/>
          <w:rFonts w:ascii="Times New Roman" w:hAnsi="Times New Roman" w:cs="Times New Roman"/>
          <w:b/>
          <w:color w:val="FFFFFF"/>
          <w:sz w:val="28"/>
          <w:szCs w:val="46"/>
          <w:u w:val="none"/>
        </w:rPr>
        <w:t>Re</w:t>
      </w:r>
      <w:r w:rsidR="00590AF3">
        <w:rPr>
          <w:rStyle w:val="Hyperlink"/>
          <w:rFonts w:ascii="Times New Roman" w:hAnsi="Times New Roman" w:cs="Times New Roman"/>
          <w:b/>
          <w:color w:val="FFFFFF"/>
          <w:sz w:val="28"/>
          <w:szCs w:val="46"/>
          <w:u w:val="none"/>
        </w:rPr>
        <w:t>view</w:t>
      </w:r>
      <w:r w:rsidR="00A202AF" w:rsidRPr="001A376B">
        <w:rPr>
          <w:rStyle w:val="Hyperlink"/>
          <w:rFonts w:ascii="Times New Roman" w:hAnsi="Times New Roman" w:cs="Times New Roman"/>
          <w:b/>
          <w:color w:val="FFFFFF"/>
          <w:sz w:val="28"/>
          <w:szCs w:val="46"/>
          <w:u w:val="none"/>
        </w:rPr>
        <w:t xml:space="preserve"> Article</w:t>
      </w:r>
    </w:p>
    <w:p w14:paraId="267863B6" w14:textId="77777777" w:rsidR="00017D30" w:rsidRPr="00824CFE" w:rsidRDefault="00017D30" w:rsidP="00824CFE">
      <w:pPr>
        <w:spacing w:after="0" w:line="360" w:lineRule="auto"/>
        <w:jc w:val="both"/>
        <w:rPr>
          <w:rFonts w:ascii="Times New Roman" w:hAnsi="Times New Roman" w:cs="Times New Roman"/>
          <w:b/>
          <w:bCs/>
          <w:sz w:val="20"/>
          <w:szCs w:val="20"/>
        </w:rPr>
      </w:pPr>
    </w:p>
    <w:p w14:paraId="556A2899" w14:textId="77777777" w:rsidR="008B2416" w:rsidRPr="002F13E5" w:rsidRDefault="008B2416" w:rsidP="008B2416">
      <w:pPr>
        <w:widowControl w:val="0"/>
        <w:spacing w:after="0" w:line="360" w:lineRule="auto"/>
        <w:jc w:val="center"/>
        <w:rPr>
          <w:rFonts w:ascii="Times New Roman" w:eastAsia="Times New Roman" w:hAnsi="Times New Roman" w:cs="Times New Roman"/>
          <w:b/>
          <w:bCs/>
          <w:sz w:val="32"/>
          <w:szCs w:val="32"/>
        </w:rPr>
      </w:pPr>
      <w:r w:rsidRPr="002F13E5">
        <w:rPr>
          <w:rFonts w:ascii="Times New Roman" w:eastAsia="Times New Roman" w:hAnsi="Times New Roman" w:cs="Times New Roman"/>
          <w:b/>
          <w:bCs/>
          <w:sz w:val="32"/>
          <w:szCs w:val="32"/>
        </w:rPr>
        <w:t>Actinic Keratosis: Current Concepts in Pathogenesis, Risk Stratification, Management, and Prevention</w:t>
      </w:r>
    </w:p>
    <w:p w14:paraId="5D699891" w14:textId="77777777" w:rsidR="008B2416" w:rsidRDefault="008B2416" w:rsidP="008B2416">
      <w:pPr>
        <w:widowControl w:val="0"/>
        <w:adjustRightInd w:val="0"/>
        <w:snapToGrid w:val="0"/>
        <w:spacing w:after="0" w:line="360" w:lineRule="auto"/>
        <w:jc w:val="both"/>
        <w:rPr>
          <w:rFonts w:ascii="Times New Roman" w:hAnsi="Times New Roman" w:cs="Times New Roman"/>
          <w:b/>
        </w:rPr>
      </w:pPr>
    </w:p>
    <w:p w14:paraId="60E2D285" w14:textId="29D7F89E" w:rsidR="008B2416" w:rsidRPr="008B2416" w:rsidRDefault="008B2416" w:rsidP="008B2416">
      <w:pPr>
        <w:widowControl w:val="0"/>
        <w:adjustRightInd w:val="0"/>
        <w:snapToGrid w:val="0"/>
        <w:spacing w:after="0" w:line="360" w:lineRule="auto"/>
        <w:jc w:val="both"/>
        <w:rPr>
          <w:rFonts w:ascii="Times New Roman" w:hAnsi="Times New Roman" w:cs="Times New Roman"/>
          <w:bCs/>
        </w:rPr>
      </w:pPr>
      <w:r w:rsidRPr="008B2416">
        <w:rPr>
          <w:rFonts w:ascii="Times New Roman" w:hAnsi="Times New Roman" w:cs="Times New Roman"/>
          <w:b/>
        </w:rPr>
        <w:t>Running title:</w:t>
      </w:r>
      <w:r w:rsidRPr="008B2416">
        <w:rPr>
          <w:rFonts w:ascii="Times New Roman" w:hAnsi="Times New Roman" w:cs="Times New Roman"/>
          <w:bCs/>
        </w:rPr>
        <w:t xml:space="preserve"> </w:t>
      </w:r>
      <w:r w:rsidRPr="008B2416">
        <w:rPr>
          <w:rStyle w:val="Strong"/>
          <w:rFonts w:ascii="Times New Roman" w:hAnsi="Times New Roman" w:cs="Times New Roman"/>
          <w:bCs w:val="0"/>
          <w:color w:val="0A0A0A"/>
          <w:shd w:val="clear" w:color="auto" w:fill="FFFFFF"/>
        </w:rPr>
        <w:t>Pathogenesis and Management of Actinic Keratosis</w:t>
      </w:r>
    </w:p>
    <w:p w14:paraId="010E52BF" w14:textId="77777777" w:rsidR="002731D6" w:rsidRPr="003B3110" w:rsidRDefault="002731D6" w:rsidP="00BD256F">
      <w:pPr>
        <w:spacing w:after="0" w:line="360" w:lineRule="auto"/>
        <w:jc w:val="center"/>
        <w:rPr>
          <w:rFonts w:ascii="Times New Roman" w:hAnsi="Times New Roman" w:cs="Times New Roman"/>
          <w:b/>
          <w:bCs/>
          <w:sz w:val="20"/>
          <w:szCs w:val="20"/>
        </w:rPr>
      </w:pPr>
    </w:p>
    <w:p w14:paraId="631CD7D9" w14:textId="622CEDB7" w:rsidR="0054550A" w:rsidRPr="008B2416" w:rsidRDefault="008B2416" w:rsidP="0054550A">
      <w:pPr>
        <w:widowControl w:val="0"/>
        <w:spacing w:after="0" w:line="360" w:lineRule="auto"/>
        <w:jc w:val="both"/>
        <w:rPr>
          <w:rFonts w:ascii="Times New Roman" w:eastAsia="Times New Roman" w:hAnsi="Times New Roman" w:cs="Times New Roman"/>
          <w:sz w:val="20"/>
          <w:szCs w:val="20"/>
          <w:vertAlign w:val="superscript"/>
        </w:rPr>
      </w:pPr>
      <w:r w:rsidRPr="008B2416">
        <w:rPr>
          <w:rFonts w:ascii="Times New Roman" w:eastAsia="Times New Roman" w:hAnsi="Times New Roman" w:cs="Times New Roman"/>
          <w:b/>
          <w:bCs/>
        </w:rPr>
        <w:t>Amrita Sandhu</w:t>
      </w:r>
      <w:r w:rsidRPr="008B2416">
        <w:rPr>
          <w:rFonts w:ascii="Times New Roman" w:eastAsia="Times New Roman" w:hAnsi="Times New Roman" w:cs="Times New Roman"/>
          <w:b/>
          <w:bCs/>
          <w:vertAlign w:val="superscript"/>
        </w:rPr>
        <w:t>1</w:t>
      </w:r>
      <w:r w:rsidRPr="008B2416">
        <w:rPr>
          <w:rFonts w:ascii="Times New Roman" w:eastAsia="Times New Roman" w:hAnsi="Times New Roman" w:cs="Times New Roman"/>
          <w:b/>
          <w:bCs/>
        </w:rPr>
        <w:t>, Chiamaka C Ogbuefi</w:t>
      </w:r>
      <w:r w:rsidRPr="008B2416">
        <w:rPr>
          <w:rFonts w:ascii="Times New Roman" w:eastAsia="Times New Roman" w:hAnsi="Times New Roman" w:cs="Times New Roman"/>
          <w:b/>
          <w:bCs/>
          <w:vertAlign w:val="superscript"/>
        </w:rPr>
        <w:t>2</w:t>
      </w:r>
      <w:r w:rsidRPr="008B2416">
        <w:rPr>
          <w:rFonts w:ascii="Times New Roman" w:eastAsia="Times New Roman" w:hAnsi="Times New Roman" w:cs="Times New Roman"/>
          <w:b/>
          <w:bCs/>
        </w:rPr>
        <w:t>, Devendra K Agrawal</w:t>
      </w:r>
      <w:r w:rsidRPr="008B2416">
        <w:rPr>
          <w:rFonts w:ascii="Times New Roman" w:eastAsia="Times New Roman" w:hAnsi="Times New Roman" w:cs="Times New Roman"/>
          <w:b/>
          <w:bCs/>
          <w:vertAlign w:val="superscript"/>
        </w:rPr>
        <w:t>1*</w:t>
      </w:r>
    </w:p>
    <w:p w14:paraId="64917D44" w14:textId="1DA82BE0" w:rsidR="008B2416" w:rsidRPr="008B2416" w:rsidRDefault="008B2416" w:rsidP="008B2416">
      <w:pPr>
        <w:widowControl w:val="0"/>
        <w:spacing w:after="0" w:line="360" w:lineRule="auto"/>
        <w:jc w:val="both"/>
        <w:rPr>
          <w:rFonts w:ascii="Times New Roman" w:eastAsia="Times New Roman" w:hAnsi="Times New Roman" w:cs="Times New Roman"/>
          <w:sz w:val="20"/>
          <w:szCs w:val="20"/>
          <w:vertAlign w:val="superscript"/>
        </w:rPr>
      </w:pPr>
    </w:p>
    <w:p w14:paraId="3C7F86F3" w14:textId="2AFA112E" w:rsidR="008B2416" w:rsidRPr="008B2416" w:rsidRDefault="008B2416" w:rsidP="008B2416">
      <w:pPr>
        <w:widowControl w:val="0"/>
        <w:spacing w:after="0" w:line="360" w:lineRule="auto"/>
        <w:jc w:val="both"/>
        <w:rPr>
          <w:rFonts w:ascii="Times New Roman" w:eastAsia="Times New Roman" w:hAnsi="Times New Roman" w:cs="Times New Roman"/>
          <w:sz w:val="20"/>
          <w:szCs w:val="20"/>
        </w:rPr>
      </w:pPr>
      <w:r w:rsidRPr="008B2416">
        <w:rPr>
          <w:rFonts w:ascii="Times New Roman" w:eastAsia="Times New Roman" w:hAnsi="Times New Roman" w:cs="Times New Roman"/>
          <w:sz w:val="20"/>
          <w:szCs w:val="20"/>
          <w:vertAlign w:val="superscript"/>
        </w:rPr>
        <w:t>1</w:t>
      </w:r>
      <w:r w:rsidRPr="008B2416">
        <w:rPr>
          <w:rFonts w:ascii="Times New Roman" w:eastAsia="Times New Roman" w:hAnsi="Times New Roman" w:cs="Times New Roman"/>
          <w:sz w:val="20"/>
          <w:szCs w:val="20"/>
        </w:rPr>
        <w:t>Department of Translational Research, College of Osteopathic Medicine of the Pacific, Pomona, California 91766 USA</w:t>
      </w:r>
    </w:p>
    <w:p w14:paraId="0368EBAD" w14:textId="77777777" w:rsidR="008B2416" w:rsidRPr="008B2416" w:rsidRDefault="008B2416" w:rsidP="008B2416">
      <w:pPr>
        <w:widowControl w:val="0"/>
        <w:spacing w:after="0" w:line="360" w:lineRule="auto"/>
        <w:jc w:val="both"/>
        <w:rPr>
          <w:rFonts w:ascii="Times New Roman" w:eastAsia="Times New Roman" w:hAnsi="Times New Roman" w:cs="Times New Roman"/>
          <w:sz w:val="20"/>
          <w:szCs w:val="20"/>
        </w:rPr>
      </w:pPr>
      <w:r w:rsidRPr="008B2416">
        <w:rPr>
          <w:rFonts w:ascii="Times New Roman" w:eastAsia="Times New Roman" w:hAnsi="Times New Roman" w:cs="Times New Roman"/>
          <w:sz w:val="20"/>
          <w:szCs w:val="20"/>
          <w:vertAlign w:val="superscript"/>
        </w:rPr>
        <w:t>2</w:t>
      </w:r>
      <w:r w:rsidRPr="008B2416">
        <w:rPr>
          <w:rFonts w:ascii="Times New Roman" w:eastAsia="Times New Roman" w:hAnsi="Times New Roman" w:cs="Times New Roman"/>
          <w:sz w:val="20"/>
          <w:szCs w:val="20"/>
        </w:rPr>
        <w:t>Rush Medical College, Rush University, Chicago, Illinois 60612, USA</w:t>
      </w:r>
    </w:p>
    <w:p w14:paraId="4407A431" w14:textId="77777777" w:rsidR="002731D6" w:rsidRPr="00862D4C" w:rsidRDefault="002731D6" w:rsidP="00BD256F">
      <w:pPr>
        <w:spacing w:after="0" w:line="360" w:lineRule="auto"/>
        <w:jc w:val="both"/>
        <w:rPr>
          <w:rFonts w:ascii="Times New Roman" w:hAnsi="Times New Roman" w:cs="Times New Roman"/>
          <w:color w:val="000000" w:themeColor="text1"/>
          <w:sz w:val="20"/>
          <w:szCs w:val="20"/>
          <w:lang w:val="it-IT"/>
        </w:rPr>
      </w:pPr>
    </w:p>
    <w:p w14:paraId="134DD640" w14:textId="0235615D" w:rsidR="008B2416" w:rsidRPr="008B2416" w:rsidRDefault="003022AF" w:rsidP="008B2416">
      <w:pPr>
        <w:widowControl w:val="0"/>
        <w:spacing w:after="0" w:line="360" w:lineRule="auto"/>
        <w:jc w:val="both"/>
        <w:rPr>
          <w:rFonts w:ascii="Times New Roman" w:eastAsia="Times New Roman" w:hAnsi="Times New Roman" w:cs="Times New Roman"/>
          <w:sz w:val="20"/>
          <w:szCs w:val="20"/>
        </w:rPr>
      </w:pPr>
      <w:r w:rsidRPr="000A046F">
        <w:rPr>
          <w:rFonts w:ascii="Times New Roman" w:hAnsi="Times New Roman" w:cs="Times New Roman"/>
          <w:b/>
          <w:color w:val="0070C0"/>
          <w:vertAlign w:val="superscript"/>
          <w:lang w:val="pt-BR"/>
        </w:rPr>
        <w:t>*</w:t>
      </w:r>
      <w:r w:rsidR="00303E17" w:rsidRPr="000A046F">
        <w:rPr>
          <w:rFonts w:ascii="Times New Roman" w:hAnsi="Times New Roman" w:cs="Times New Roman"/>
          <w:b/>
          <w:color w:val="0070C0"/>
          <w:lang w:val="pt-BR"/>
        </w:rPr>
        <w:t>Corresponding</w:t>
      </w:r>
      <w:r w:rsidR="00E42D95" w:rsidRPr="000A046F">
        <w:rPr>
          <w:rFonts w:ascii="Times New Roman" w:hAnsi="Times New Roman" w:cs="Times New Roman"/>
          <w:b/>
          <w:color w:val="0070C0"/>
          <w:lang w:val="pt-BR"/>
        </w:rPr>
        <w:t xml:space="preserve"> </w:t>
      </w:r>
      <w:r w:rsidR="00303E17" w:rsidRPr="000A046F">
        <w:rPr>
          <w:rFonts w:ascii="Times New Roman" w:hAnsi="Times New Roman" w:cs="Times New Roman"/>
          <w:b/>
          <w:color w:val="0070C0"/>
          <w:lang w:val="pt-BR"/>
        </w:rPr>
        <w:t>Author</w:t>
      </w:r>
      <w:r w:rsidR="00122D08" w:rsidRPr="000A046F">
        <w:rPr>
          <w:rFonts w:ascii="Times New Roman" w:hAnsi="Times New Roman" w:cs="Times New Roman"/>
          <w:b/>
          <w:color w:val="0070C0"/>
          <w:lang w:val="pt-BR"/>
        </w:rPr>
        <w:t>:</w:t>
      </w:r>
      <w:r w:rsidR="00122D08" w:rsidRPr="00862D4C">
        <w:rPr>
          <w:rFonts w:ascii="Times New Roman" w:hAnsi="Times New Roman" w:cs="Times New Roman"/>
          <w:b/>
          <w:bCs/>
          <w:lang w:val="it-IT"/>
        </w:rPr>
        <w:t xml:space="preserve"> </w:t>
      </w:r>
      <w:r w:rsidR="008B2416" w:rsidRPr="008B2416">
        <w:rPr>
          <w:rFonts w:ascii="Times New Roman" w:eastAsia="Times New Roman" w:hAnsi="Times New Roman" w:cs="Times New Roman"/>
          <w:sz w:val="20"/>
          <w:szCs w:val="20"/>
        </w:rPr>
        <w:t>Devendra K Agrawal</w:t>
      </w:r>
      <w:r w:rsidR="008B2416">
        <w:rPr>
          <w:rFonts w:ascii="Times New Roman" w:eastAsia="Times New Roman" w:hAnsi="Times New Roman" w:cs="Times New Roman"/>
          <w:sz w:val="20"/>
          <w:szCs w:val="20"/>
        </w:rPr>
        <w:t>,</w:t>
      </w:r>
      <w:r w:rsidR="008B2416" w:rsidRPr="008B2416">
        <w:rPr>
          <w:rFonts w:ascii="Times New Roman" w:eastAsia="Times New Roman" w:hAnsi="Times New Roman" w:cs="Times New Roman"/>
          <w:b/>
          <w:bCs/>
          <w:sz w:val="20"/>
          <w:szCs w:val="20"/>
        </w:rPr>
        <w:t xml:space="preserve"> </w:t>
      </w:r>
      <w:r w:rsidR="008B2416" w:rsidRPr="008B2416">
        <w:rPr>
          <w:rFonts w:ascii="Times New Roman" w:eastAsia="Times New Roman" w:hAnsi="Times New Roman" w:cs="Times New Roman"/>
          <w:sz w:val="20"/>
          <w:szCs w:val="20"/>
        </w:rPr>
        <w:t>Department of Translational Research, College of Osteopathic Medicine of the Pacific, Pomona, California 91766 USA</w:t>
      </w:r>
    </w:p>
    <w:p w14:paraId="14CDCF3A" w14:textId="2C21049B" w:rsidR="007A7F99" w:rsidRPr="009C7DE3" w:rsidRDefault="007A7F99" w:rsidP="008B2416">
      <w:pPr>
        <w:spacing w:after="0" w:line="360" w:lineRule="auto"/>
        <w:jc w:val="both"/>
        <w:rPr>
          <w:rFonts w:ascii="Times New Roman" w:hAnsi="Times New Roman" w:cs="Times New Roman"/>
          <w:sz w:val="20"/>
          <w:szCs w:val="20"/>
        </w:rPr>
      </w:pPr>
    </w:p>
    <w:p w14:paraId="761FFBD4" w14:textId="5FF37C89" w:rsidR="001F6A88" w:rsidRPr="003B4598" w:rsidRDefault="00CE12CD" w:rsidP="00BD256F">
      <w:pPr>
        <w:spacing w:after="0" w:line="360" w:lineRule="auto"/>
        <w:jc w:val="both"/>
        <w:rPr>
          <w:rFonts w:ascii="Times New Roman" w:hAnsi="Times New Roman" w:cs="Times New Roman"/>
          <w:bCs/>
          <w:sz w:val="20"/>
          <w:szCs w:val="20"/>
          <w:vertAlign w:val="superscript"/>
        </w:rPr>
      </w:pPr>
      <w:r w:rsidRPr="00824CFE">
        <w:rPr>
          <w:rFonts w:ascii="Times New Roman" w:hAnsi="Times New Roman" w:cs="Times New Roman"/>
          <w:b/>
          <w:color w:val="0070C0"/>
          <w:sz w:val="20"/>
          <w:szCs w:val="20"/>
        </w:rPr>
        <w:t>Received:</w:t>
      </w:r>
      <w:r w:rsidR="00E42D95" w:rsidRPr="00824CFE">
        <w:rPr>
          <w:rFonts w:ascii="Times New Roman" w:hAnsi="Times New Roman" w:cs="Times New Roman"/>
          <w:b/>
          <w:color w:val="0070C0"/>
          <w:sz w:val="20"/>
          <w:szCs w:val="20"/>
        </w:rPr>
        <w:t xml:space="preserve"> </w:t>
      </w:r>
      <w:r w:rsidR="00D8088C">
        <w:rPr>
          <w:rFonts w:ascii="Times New Roman" w:hAnsi="Times New Roman" w:cs="Times New Roman"/>
          <w:sz w:val="20"/>
          <w:szCs w:val="20"/>
        </w:rPr>
        <w:t>2</w:t>
      </w:r>
      <w:r w:rsidR="0072672C">
        <w:rPr>
          <w:rFonts w:ascii="Times New Roman" w:hAnsi="Times New Roman" w:cs="Times New Roman"/>
          <w:sz w:val="20"/>
          <w:szCs w:val="20"/>
        </w:rPr>
        <w:t>9</w:t>
      </w:r>
      <w:r w:rsidR="00122D08">
        <w:rPr>
          <w:rFonts w:ascii="Times New Roman" w:hAnsi="Times New Roman" w:cs="Times New Roman"/>
          <w:sz w:val="20"/>
          <w:szCs w:val="20"/>
        </w:rPr>
        <w:t xml:space="preserve"> </w:t>
      </w:r>
      <w:r w:rsidR="00123EDA">
        <w:rPr>
          <w:rFonts w:ascii="Times New Roman" w:hAnsi="Times New Roman" w:cs="Times New Roman"/>
          <w:sz w:val="20"/>
          <w:szCs w:val="20"/>
        </w:rPr>
        <w:t>July</w:t>
      </w:r>
      <w:r w:rsidR="00892185">
        <w:rPr>
          <w:rFonts w:ascii="Times New Roman" w:eastAsia="MS Mincho" w:hAnsi="Times New Roman" w:cs="Times New Roman"/>
          <w:sz w:val="20"/>
          <w:szCs w:val="20"/>
          <w:lang w:eastAsia="ja-JP"/>
        </w:rPr>
        <w:t xml:space="preserve"> </w:t>
      </w:r>
      <w:r w:rsidR="00432543" w:rsidRPr="00824CFE">
        <w:rPr>
          <w:rFonts w:ascii="Times New Roman" w:hAnsi="Times New Roman" w:cs="Times New Roman"/>
          <w:sz w:val="20"/>
          <w:szCs w:val="20"/>
        </w:rPr>
        <w:t>202</w:t>
      </w:r>
      <w:r w:rsidR="00D8088C">
        <w:rPr>
          <w:rFonts w:ascii="Times New Roman" w:hAnsi="Times New Roman" w:cs="Times New Roman"/>
          <w:sz w:val="20"/>
          <w:szCs w:val="20"/>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Accepted:</w:t>
      </w:r>
      <w:r w:rsidR="00E42D95" w:rsidRPr="00824CFE">
        <w:rPr>
          <w:rFonts w:ascii="Times New Roman" w:hAnsi="Times New Roman" w:cs="Times New Roman"/>
          <w:b/>
          <w:color w:val="0070C0"/>
          <w:sz w:val="20"/>
          <w:szCs w:val="20"/>
        </w:rPr>
        <w:t xml:space="preserve"> </w:t>
      </w:r>
      <w:r w:rsidR="0072672C">
        <w:rPr>
          <w:rFonts w:ascii="Times New Roman" w:hAnsi="Times New Roman" w:cs="Times New Roman"/>
          <w:sz w:val="20"/>
          <w:szCs w:val="20"/>
        </w:rPr>
        <w:t>10</w:t>
      </w:r>
      <w:r w:rsidR="00D844BF">
        <w:rPr>
          <w:rFonts w:ascii="Times New Roman" w:hAnsi="Times New Roman" w:cs="Times New Roman"/>
          <w:sz w:val="20"/>
          <w:szCs w:val="20"/>
        </w:rPr>
        <w:t xml:space="preserve"> </w:t>
      </w:r>
      <w:r w:rsidR="0072672C">
        <w:rPr>
          <w:rFonts w:ascii="Times New Roman" w:hAnsi="Times New Roman" w:cs="Times New Roman"/>
          <w:sz w:val="20"/>
          <w:szCs w:val="20"/>
        </w:rPr>
        <w:t>August</w:t>
      </w:r>
      <w:r w:rsidR="00D8088C">
        <w:rPr>
          <w:rFonts w:ascii="Times New Roman" w:eastAsia="MS Mincho" w:hAnsi="Times New Roman" w:cs="Times New Roman"/>
          <w:sz w:val="20"/>
          <w:szCs w:val="20"/>
          <w:lang w:eastAsia="ja-JP"/>
        </w:rPr>
        <w:t xml:space="preserve"> </w:t>
      </w:r>
      <w:r w:rsidR="003A1A20">
        <w:rPr>
          <w:rFonts w:ascii="Times New Roman" w:eastAsia="MS Mincho" w:hAnsi="Times New Roman" w:cs="Times New Roman"/>
          <w:sz w:val="20"/>
          <w:szCs w:val="20"/>
          <w:lang w:eastAsia="ja-JP"/>
        </w:rPr>
        <w:t>202</w:t>
      </w:r>
      <w:r w:rsidR="00D8088C">
        <w:rPr>
          <w:rFonts w:ascii="Times New Roman" w:eastAsia="MS Mincho" w:hAnsi="Times New Roman" w:cs="Times New Roman"/>
          <w:sz w:val="20"/>
          <w:szCs w:val="20"/>
          <w:lang w:eastAsia="ja-JP"/>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Published:</w:t>
      </w:r>
      <w:r w:rsidR="001749F8" w:rsidRPr="00824CFE">
        <w:rPr>
          <w:rFonts w:ascii="Times New Roman" w:hAnsi="Times New Roman" w:cs="Times New Roman"/>
          <w:b/>
          <w:color w:val="0070C0"/>
          <w:sz w:val="20"/>
          <w:szCs w:val="20"/>
        </w:rPr>
        <w:t xml:space="preserve"> </w:t>
      </w:r>
      <w:r w:rsidR="002E313F">
        <w:rPr>
          <w:rFonts w:ascii="Times New Roman" w:eastAsia="MS Mincho" w:hAnsi="Times New Roman" w:cs="Times New Roman"/>
          <w:sz w:val="20"/>
          <w:szCs w:val="20"/>
          <w:lang w:eastAsia="ja-JP"/>
        </w:rPr>
        <w:t>02</w:t>
      </w:r>
      <w:r w:rsidR="00D87CE2">
        <w:rPr>
          <w:rFonts w:ascii="Times New Roman" w:eastAsia="MS Mincho" w:hAnsi="Times New Roman" w:cs="Times New Roman"/>
          <w:sz w:val="20"/>
          <w:szCs w:val="20"/>
          <w:lang w:eastAsia="ja-JP"/>
        </w:rPr>
        <w:t xml:space="preserve"> </w:t>
      </w:r>
      <w:r w:rsidR="002E313F">
        <w:rPr>
          <w:rFonts w:ascii="Times New Roman" w:hAnsi="Times New Roman" w:cs="Times New Roman"/>
          <w:sz w:val="20"/>
          <w:szCs w:val="20"/>
        </w:rPr>
        <w:t>September</w:t>
      </w:r>
      <w:r w:rsidR="00D8088C">
        <w:rPr>
          <w:rFonts w:ascii="Times New Roman" w:eastAsia="MS Mincho" w:hAnsi="Times New Roman" w:cs="Times New Roman"/>
          <w:sz w:val="20"/>
          <w:szCs w:val="20"/>
          <w:lang w:eastAsia="ja-JP"/>
        </w:rPr>
        <w:t xml:space="preserve"> </w:t>
      </w:r>
      <w:r w:rsidR="00235130">
        <w:rPr>
          <w:rFonts w:ascii="Times New Roman" w:hAnsi="Times New Roman" w:cs="Times New Roman"/>
          <w:sz w:val="20"/>
          <w:szCs w:val="20"/>
        </w:rPr>
        <w:t>202</w:t>
      </w:r>
      <w:r w:rsidR="00D8088C">
        <w:rPr>
          <w:rFonts w:ascii="Times New Roman" w:hAnsi="Times New Roman" w:cs="Times New Roman"/>
          <w:sz w:val="20"/>
          <w:szCs w:val="20"/>
        </w:rPr>
        <w:t>6</w:t>
      </w:r>
    </w:p>
    <w:p w14:paraId="440CE4EF" w14:textId="77777777" w:rsidR="001F6A88" w:rsidRPr="00824CFE" w:rsidRDefault="001F6A88" w:rsidP="00BD256F">
      <w:pPr>
        <w:spacing w:after="0" w:line="360" w:lineRule="auto"/>
        <w:jc w:val="both"/>
        <w:rPr>
          <w:rFonts w:ascii="Times New Roman" w:hAnsi="Times New Roman" w:cs="Times New Roman"/>
          <w:sz w:val="20"/>
          <w:szCs w:val="20"/>
        </w:rPr>
      </w:pPr>
    </w:p>
    <w:p w14:paraId="5A9E87E1" w14:textId="6B69F90A" w:rsidR="00290504" w:rsidRPr="008B2416" w:rsidRDefault="00017D30" w:rsidP="008B2416">
      <w:pPr>
        <w:widowControl w:val="0"/>
        <w:spacing w:after="0" w:line="360" w:lineRule="auto"/>
        <w:jc w:val="both"/>
        <w:rPr>
          <w:rFonts w:ascii="Times New Roman" w:eastAsia="Times New Roman" w:hAnsi="Times New Roman" w:cs="Times New Roman"/>
          <w:sz w:val="20"/>
          <w:szCs w:val="20"/>
        </w:rPr>
      </w:pPr>
      <w:r w:rsidRPr="00862D4C">
        <w:rPr>
          <w:rFonts w:ascii="Times New Roman" w:hAnsi="Times New Roman" w:cs="Times New Roman"/>
          <w:b/>
          <w:bCs/>
          <w:color w:val="0070C0"/>
          <w:lang w:val="it-IT"/>
        </w:rPr>
        <w:t>Citation</w:t>
      </w:r>
      <w:r w:rsidR="009B47C8" w:rsidRPr="00862D4C">
        <w:rPr>
          <w:rFonts w:ascii="Times New Roman" w:hAnsi="Times New Roman" w:cs="Times New Roman"/>
          <w:b/>
          <w:bCs/>
          <w:color w:val="0070C0"/>
          <w:lang w:val="it-IT"/>
        </w:rPr>
        <w:t>:</w:t>
      </w:r>
      <w:r w:rsidR="00892185" w:rsidRPr="00862D4C">
        <w:rPr>
          <w:lang w:val="it-IT"/>
        </w:rPr>
        <w:t xml:space="preserve"> </w:t>
      </w:r>
      <w:r w:rsidR="008B2416" w:rsidRPr="008B2416">
        <w:rPr>
          <w:rFonts w:ascii="Times New Roman" w:eastAsia="Times New Roman" w:hAnsi="Times New Roman" w:cs="Times New Roman"/>
          <w:sz w:val="20"/>
          <w:szCs w:val="20"/>
        </w:rPr>
        <w:t>Amrita Sandhu, Chiamaka C Ogbuefi, Devendra K Agrawal</w:t>
      </w:r>
      <w:r w:rsidR="008B2416">
        <w:rPr>
          <w:rFonts w:ascii="Times New Roman" w:eastAsia="Times New Roman" w:hAnsi="Times New Roman" w:cs="Times New Roman"/>
          <w:sz w:val="20"/>
          <w:szCs w:val="20"/>
        </w:rPr>
        <w:t xml:space="preserve">. </w:t>
      </w:r>
      <w:r w:rsidR="008B2416" w:rsidRPr="008B2416">
        <w:rPr>
          <w:rFonts w:ascii="Times New Roman" w:eastAsia="Times New Roman" w:hAnsi="Times New Roman" w:cs="Times New Roman"/>
          <w:sz w:val="20"/>
          <w:szCs w:val="20"/>
        </w:rPr>
        <w:t>Actinic Keratosis: Current Concepts in Pathogenesis, Risk Stratification, Management, and Prevention</w:t>
      </w:r>
      <w:r w:rsidR="001E197C" w:rsidRPr="001E197C">
        <w:rPr>
          <w:rFonts w:ascii="Times New Roman" w:hAnsi="Times New Roman" w:cs="Times New Roman"/>
          <w:bCs/>
          <w:sz w:val="20"/>
          <w:szCs w:val="20"/>
        </w:rPr>
        <w:t>.</w:t>
      </w:r>
      <w:r w:rsidR="001E197C">
        <w:rPr>
          <w:rFonts w:ascii="Times New Roman" w:hAnsi="Times New Roman" w:cs="Times New Roman"/>
          <w:bCs/>
          <w:sz w:val="20"/>
          <w:szCs w:val="20"/>
        </w:rPr>
        <w:t xml:space="preserve"> </w:t>
      </w:r>
      <w:r w:rsidR="004E3A67" w:rsidRPr="00892185">
        <w:rPr>
          <w:rFonts w:ascii="Times New Roman" w:hAnsi="Times New Roman" w:cs="Times New Roman"/>
          <w:color w:val="000000" w:themeColor="text1"/>
          <w:sz w:val="20"/>
          <w:szCs w:val="20"/>
        </w:rPr>
        <w:t xml:space="preserve">Journal of Cancer Science and Clinical Therapeutics </w:t>
      </w:r>
      <w:r w:rsidR="005265D0">
        <w:rPr>
          <w:rFonts w:ascii="Times New Roman" w:hAnsi="Times New Roman" w:cs="Times New Roman"/>
          <w:sz w:val="20"/>
          <w:szCs w:val="20"/>
        </w:rPr>
        <w:t>10</w:t>
      </w:r>
      <w:r w:rsidR="009479B2" w:rsidRPr="00892185">
        <w:rPr>
          <w:rFonts w:ascii="Times New Roman" w:hAnsi="Times New Roman" w:cs="Times New Roman"/>
          <w:sz w:val="20"/>
          <w:szCs w:val="20"/>
        </w:rPr>
        <w:t xml:space="preserve"> (202</w:t>
      </w:r>
      <w:r w:rsidR="00D8088C">
        <w:rPr>
          <w:rFonts w:ascii="Times New Roman" w:hAnsi="Times New Roman" w:cs="Times New Roman"/>
          <w:sz w:val="20"/>
          <w:szCs w:val="20"/>
        </w:rPr>
        <w:t>6</w:t>
      </w:r>
      <w:r w:rsidR="000F257B" w:rsidRPr="00892185">
        <w:rPr>
          <w:rFonts w:ascii="Times New Roman" w:hAnsi="Times New Roman" w:cs="Times New Roman"/>
          <w:sz w:val="20"/>
          <w:szCs w:val="20"/>
        </w:rPr>
        <w:t>)</w:t>
      </w:r>
      <w:r w:rsidR="004E3A67" w:rsidRPr="00892185">
        <w:rPr>
          <w:rFonts w:ascii="Times New Roman" w:hAnsi="Times New Roman" w:cs="Times New Roman"/>
          <w:sz w:val="20"/>
          <w:szCs w:val="20"/>
        </w:rPr>
        <w:t xml:space="preserve">: </w:t>
      </w:r>
      <w:r w:rsidR="00104E89">
        <w:rPr>
          <w:rFonts w:ascii="Times New Roman" w:hAnsi="Times New Roman" w:cs="Times New Roman"/>
          <w:sz w:val="20"/>
          <w:szCs w:val="20"/>
        </w:rPr>
        <w:t>98</w:t>
      </w:r>
      <w:r w:rsidR="008B2416">
        <w:rPr>
          <w:rFonts w:ascii="Times New Roman" w:hAnsi="Times New Roman" w:cs="Times New Roman"/>
          <w:sz w:val="20"/>
          <w:szCs w:val="20"/>
        </w:rPr>
        <w:t>-</w:t>
      </w:r>
      <w:r w:rsidR="00104E89">
        <w:rPr>
          <w:rFonts w:ascii="Times New Roman" w:hAnsi="Times New Roman" w:cs="Times New Roman"/>
          <w:sz w:val="20"/>
          <w:szCs w:val="20"/>
        </w:rPr>
        <w:t>116</w:t>
      </w:r>
      <w:r w:rsidR="008B2416">
        <w:rPr>
          <w:rFonts w:ascii="Times New Roman" w:hAnsi="Times New Roman" w:cs="Times New Roman"/>
          <w:sz w:val="20"/>
          <w:szCs w:val="20"/>
        </w:rPr>
        <w:t>.</w:t>
      </w:r>
    </w:p>
    <w:p w14:paraId="4E10C0F6" w14:textId="77777777" w:rsidR="00A847BC" w:rsidRDefault="00A847BC" w:rsidP="00BD256F">
      <w:pPr>
        <w:spacing w:after="0" w:line="360" w:lineRule="auto"/>
        <w:jc w:val="both"/>
        <w:rPr>
          <w:rFonts w:ascii="Times New Roman" w:hAnsi="Times New Roman" w:cs="Times New Roman"/>
          <w:sz w:val="20"/>
          <w:szCs w:val="20"/>
        </w:rPr>
      </w:pPr>
    </w:p>
    <w:p w14:paraId="4D4027F9" w14:textId="776CCE6F" w:rsidR="008B2416" w:rsidRPr="008B2416" w:rsidRDefault="00A847BC" w:rsidP="008B2416">
      <w:pPr>
        <w:widowControl w:val="0"/>
        <w:spacing w:after="0" w:line="360" w:lineRule="auto"/>
        <w:jc w:val="both"/>
        <w:rPr>
          <w:rFonts w:ascii="Times New Roman" w:hAnsi="Times New Roman" w:cs="Times New Roman"/>
          <w:sz w:val="20"/>
          <w:szCs w:val="20"/>
        </w:rPr>
      </w:pPr>
      <w:r w:rsidRPr="00A847BC">
        <w:rPr>
          <w:rFonts w:ascii="Times New Roman" w:hAnsi="Times New Roman" w:cs="Times New Roman"/>
          <w:b/>
          <w:bCs/>
          <w:color w:val="0070C0"/>
        </w:rPr>
        <w:t>Abstract</w:t>
      </w:r>
      <w:r w:rsidR="00A477D3">
        <w:rPr>
          <w:rFonts w:ascii="Times New Roman" w:hAnsi="Times New Roman" w:cs="Times New Roman"/>
          <w:b/>
          <w:bCs/>
          <w:color w:val="0070C0"/>
        </w:rPr>
        <w:br/>
      </w:r>
      <w:r w:rsidR="008B2416" w:rsidRPr="008B2416">
        <w:rPr>
          <w:rFonts w:ascii="Times New Roman" w:hAnsi="Times New Roman" w:cs="Times New Roman"/>
          <w:sz w:val="20"/>
          <w:szCs w:val="20"/>
        </w:rPr>
        <w:t>Actinic keratosis (AK) is among the most frequently encountered premalignant skin lesions in clinical practice and is now widely regarded as part of the biologic spectrum that can progress to cutaneous squamous cell carcinoma (cSCC). The global prevalence of AK continues to increase because of aging populations, cumulative ultraviolet (UV) radiation exposure, and increasing survival of high-risk populations, highlighting its growing public health impact.</w:t>
      </w:r>
      <w:r w:rsidR="00B670E8">
        <w:rPr>
          <w:rFonts w:ascii="Times New Roman" w:hAnsi="Times New Roman" w:cs="Times New Roman"/>
          <w:sz w:val="20"/>
          <w:szCs w:val="20"/>
        </w:rPr>
        <w:t xml:space="preserve"> </w:t>
      </w:r>
      <w:r w:rsidR="008B2416" w:rsidRPr="008B2416">
        <w:rPr>
          <w:rFonts w:ascii="Times New Roman" w:hAnsi="Times New Roman" w:cs="Times New Roman"/>
          <w:sz w:val="20"/>
          <w:szCs w:val="20"/>
        </w:rPr>
        <w:t xml:space="preserve">Advances in molecular and cellular research have expanded the understanding of AK pathogenesis, demonstrating that chronic UV-induced DNA damage, oxidative stress, immune dysregulation, and field cancerization interact to drive the development and progression of dysplastic keratinocytes. Despite the availability of multiple lesion-directed and field-directed treatment options, management remains challenging because of disease recurrence, patient adherence, variability in treatment response, and the inability to reliably identify which lesions are most likely to progress to invasive cSCC. Emerging molecular biomarkers, genomic profiling, noninvasive imaging technologies, and novel therapeutic strategies </w:t>
      </w:r>
      <w:r w:rsidR="008B2416" w:rsidRPr="008B2416">
        <w:rPr>
          <w:rFonts w:ascii="Times New Roman" w:hAnsi="Times New Roman" w:cs="Times New Roman"/>
          <w:sz w:val="20"/>
          <w:szCs w:val="20"/>
        </w:rPr>
        <w:lastRenderedPageBreak/>
        <w:t xml:space="preserve">have the potential to improve individualized risk assessment and treatment selection but require further clinical validation before widespread implementation. This critical review provides a comprehensive overview of the current understanding of AK, including its epidemiology, risk factors, pathogenesis, progression to cSCC, risk stratification, contemporary treatment approaches, barriers to effective management, preventive strategies, and future directions. Continued integration of molecular insights with patient-centered care may improve early detection, personalize therapeutic decision-making, and reduce the burden of keratinocyte carcinogenesis. </w:t>
      </w:r>
    </w:p>
    <w:p w14:paraId="000D2215" w14:textId="314A6A21" w:rsidR="00C957C0" w:rsidRPr="002A3237" w:rsidRDefault="00C957C0" w:rsidP="008B2416">
      <w:pPr>
        <w:spacing w:after="0" w:line="360" w:lineRule="auto"/>
        <w:jc w:val="both"/>
        <w:rPr>
          <w:b/>
          <w:bCs/>
          <w:color w:val="000000" w:themeColor="text1"/>
          <w:sz w:val="20"/>
          <w:szCs w:val="20"/>
        </w:rPr>
      </w:pPr>
    </w:p>
    <w:p w14:paraId="5D272DFB" w14:textId="4614C9B0" w:rsidR="00502128" w:rsidRPr="00502128" w:rsidRDefault="00A847BC" w:rsidP="00502128">
      <w:pPr>
        <w:widowControl w:val="0"/>
        <w:spacing w:after="0" w:line="360" w:lineRule="auto"/>
        <w:jc w:val="both"/>
        <w:rPr>
          <w:rFonts w:ascii="Times New Roman" w:hAnsi="Times New Roman" w:cs="Times New Roman"/>
          <w:sz w:val="20"/>
          <w:szCs w:val="20"/>
        </w:rPr>
      </w:pPr>
      <w:r w:rsidRPr="00502128">
        <w:rPr>
          <w:rFonts w:ascii="Times New Roman" w:hAnsi="Times New Roman" w:cs="Times New Roman"/>
          <w:b/>
          <w:bCs/>
          <w:color w:val="0070C0"/>
        </w:rPr>
        <w:t>Keywords:</w:t>
      </w:r>
      <w:r w:rsidRPr="00502128">
        <w:rPr>
          <w:color w:val="0070C0"/>
        </w:rPr>
        <w:t xml:space="preserve"> </w:t>
      </w:r>
      <w:r w:rsidR="00502128" w:rsidRPr="00502128">
        <w:rPr>
          <w:rFonts w:ascii="Times New Roman" w:hAnsi="Times New Roman" w:cs="Times New Roman"/>
          <w:sz w:val="20"/>
          <w:szCs w:val="20"/>
        </w:rPr>
        <w:t xml:space="preserve">Actinic keratosis; Chronic inflammation; Cutaneous squamous cell carcinoma; DNA damage; Genetic modification; Immune dysregulation; </w:t>
      </w:r>
      <w:proofErr w:type="spellStart"/>
      <w:r w:rsidR="00502128" w:rsidRPr="00502128">
        <w:rPr>
          <w:rFonts w:ascii="Times New Roman" w:hAnsi="Times New Roman" w:cs="Times New Roman"/>
          <w:sz w:val="20"/>
          <w:szCs w:val="20"/>
        </w:rPr>
        <w:t>Keratinocytic</w:t>
      </w:r>
      <w:proofErr w:type="spellEnd"/>
      <w:r w:rsidR="00502128" w:rsidRPr="00502128">
        <w:rPr>
          <w:rFonts w:ascii="Times New Roman" w:hAnsi="Times New Roman" w:cs="Times New Roman"/>
          <w:sz w:val="20"/>
          <w:szCs w:val="20"/>
        </w:rPr>
        <w:t xml:space="preserve"> lesion; Oxidative stress; Phenotypic susceptibility; Ultraviolet radiation </w:t>
      </w:r>
    </w:p>
    <w:p w14:paraId="73049E02" w14:textId="61D65042" w:rsidR="00A477D3" w:rsidRDefault="00502128" w:rsidP="00324410">
      <w:pPr>
        <w:pStyle w:val="Heading1"/>
        <w:widowControl w:val="0"/>
        <w:spacing w:before="0" w:beforeAutospacing="0" w:after="0" w:afterAutospacing="0" w:line="360" w:lineRule="auto"/>
        <w:jc w:val="both"/>
        <w:rPr>
          <w:rFonts w:eastAsia="Calibri"/>
          <w:b w:val="0"/>
          <w:bCs w:val="0"/>
          <w:sz w:val="20"/>
          <w:szCs w:val="20"/>
        </w:rPr>
      </w:pPr>
      <w:r w:rsidRPr="00502128">
        <w:rPr>
          <w:sz w:val="20"/>
          <w:szCs w:val="20"/>
        </w:rPr>
        <w:t xml:space="preserve"> </w:t>
      </w:r>
    </w:p>
    <w:p w14:paraId="02B29947" w14:textId="7C2660AB" w:rsidR="00A477D3" w:rsidRDefault="003B5602" w:rsidP="003B5602">
      <w:pPr>
        <w:pStyle w:val="Heading1"/>
        <w:spacing w:before="0" w:beforeAutospacing="0" w:after="0" w:afterAutospacing="0" w:line="360" w:lineRule="auto"/>
        <w:jc w:val="both"/>
        <w:rPr>
          <w:rFonts w:eastAsia="Calibri"/>
          <w:color w:val="0070C0"/>
          <w:sz w:val="22"/>
          <w:szCs w:val="22"/>
        </w:rPr>
      </w:pPr>
      <w:r>
        <w:rPr>
          <w:rFonts w:eastAsia="Calibri"/>
          <w:color w:val="0070C0"/>
          <w:sz w:val="22"/>
          <w:szCs w:val="22"/>
        </w:rPr>
        <w:t xml:space="preserve">1. </w:t>
      </w:r>
      <w:r w:rsidR="00A477D3" w:rsidRPr="00A477D3">
        <w:rPr>
          <w:rFonts w:eastAsia="Calibri"/>
          <w:color w:val="0070C0"/>
          <w:sz w:val="22"/>
          <w:szCs w:val="22"/>
        </w:rPr>
        <w:t>Introduction</w:t>
      </w:r>
    </w:p>
    <w:p w14:paraId="5AB8F7A7" w14:textId="2263E82C" w:rsidR="00324410" w:rsidRPr="00324410" w:rsidRDefault="00324410" w:rsidP="00324410">
      <w:pPr>
        <w:widowControl w:val="0"/>
        <w:spacing w:after="0" w:line="360" w:lineRule="auto"/>
        <w:jc w:val="both"/>
        <w:rPr>
          <w:rFonts w:ascii="Times New Roman" w:hAnsi="Times New Roman" w:cs="Times New Roman"/>
          <w:sz w:val="20"/>
          <w:szCs w:val="20"/>
        </w:rPr>
      </w:pPr>
      <w:r w:rsidRPr="00324410">
        <w:rPr>
          <w:rFonts w:ascii="Times New Roman" w:hAnsi="Times New Roman" w:cs="Times New Roman"/>
          <w:sz w:val="20"/>
          <w:szCs w:val="20"/>
        </w:rPr>
        <w:t xml:space="preserve">Actinic keratosis (AK) is a common </w:t>
      </w:r>
      <w:proofErr w:type="spellStart"/>
      <w:r w:rsidRPr="00324410">
        <w:rPr>
          <w:rFonts w:ascii="Times New Roman" w:hAnsi="Times New Roman" w:cs="Times New Roman"/>
          <w:sz w:val="20"/>
          <w:szCs w:val="20"/>
        </w:rPr>
        <w:t>keratinocytic</w:t>
      </w:r>
      <w:proofErr w:type="spellEnd"/>
      <w:r w:rsidRPr="00324410">
        <w:rPr>
          <w:rFonts w:ascii="Times New Roman" w:hAnsi="Times New Roman" w:cs="Times New Roman"/>
          <w:sz w:val="20"/>
          <w:szCs w:val="20"/>
        </w:rPr>
        <w:t xml:space="preserve"> lesion that arises in chronically sun-damaged skin and is widely regarded as part of the disease continuum that can lead to cutaneous squamous cell carcinoma (cSCC). It is characterized by atypical proliferation of keratinocytes and clinically presents as erythematous, scaly papules or plaques [1].</w:t>
      </w:r>
      <w:r w:rsidR="00B670E8">
        <w:rPr>
          <w:rFonts w:ascii="Times New Roman" w:hAnsi="Times New Roman" w:cs="Times New Roman"/>
          <w:sz w:val="20"/>
          <w:szCs w:val="20"/>
        </w:rPr>
        <w:t xml:space="preserve"> </w:t>
      </w:r>
      <w:r w:rsidRPr="00324410">
        <w:rPr>
          <w:rFonts w:ascii="Times New Roman" w:hAnsi="Times New Roman" w:cs="Times New Roman"/>
          <w:sz w:val="20"/>
          <w:szCs w:val="20"/>
        </w:rPr>
        <w:t>Due to its high prevalence and risk of malignant progression, AK represents a major public health concern, especially among aging populations and regions with high cumulative UV exposure [1-3].</w:t>
      </w:r>
      <w:r>
        <w:rPr>
          <w:rFonts w:ascii="Times New Roman" w:hAnsi="Times New Roman" w:cs="Times New Roman"/>
          <w:sz w:val="20"/>
          <w:szCs w:val="20"/>
        </w:rPr>
        <w:t xml:space="preserve"> </w:t>
      </w:r>
      <w:r w:rsidRPr="00324410">
        <w:rPr>
          <w:rFonts w:ascii="Times New Roman" w:hAnsi="Times New Roman" w:cs="Times New Roman"/>
          <w:sz w:val="20"/>
          <w:szCs w:val="20"/>
        </w:rPr>
        <w:t>Recent articles describe AK as a manifestation of cumulative UV-induced field damage, often occurring within areas of chronically photodamaged skin, a concept known as field cancerization, where both visible and subclinical dysplastic abnormalities coexist [4]. This field-based nature of the disease complicates management, as treating individual lesions does not address the underlying carcinogenic environment [4]. Furthermore, the natural history of AK is not fully understood. While some lesions regress spontaneously, others persist or progress to invasive cSCC, and reliable predictors of progression at the individual lesion level are still lacking [4-8].</w:t>
      </w:r>
      <w:r>
        <w:rPr>
          <w:rFonts w:ascii="Times New Roman" w:hAnsi="Times New Roman" w:cs="Times New Roman"/>
          <w:sz w:val="20"/>
          <w:szCs w:val="20"/>
        </w:rPr>
        <w:t xml:space="preserve"> </w:t>
      </w:r>
      <w:r w:rsidRPr="00324410">
        <w:rPr>
          <w:rFonts w:ascii="Times New Roman" w:hAnsi="Times New Roman" w:cs="Times New Roman"/>
          <w:sz w:val="20"/>
          <w:szCs w:val="20"/>
        </w:rPr>
        <w:t>Despite the availability of both lesion-directed and field-directed therapies, AK management remains challenging due to variable treatment response, recurrence rates, and patient adherence [9]. More specifically, commonly used therapies such as cryotherapy demonstrate outcome variability depending on lesion characteristics and treatment technique, highlighting the need for greater standardization [9,10]. In addition, current treatment strategies are largely guided by clinical judgment rather than precise risk stratification or molecular profiling [11].</w:t>
      </w:r>
      <w:r>
        <w:rPr>
          <w:rFonts w:ascii="Times New Roman" w:hAnsi="Times New Roman" w:cs="Times New Roman"/>
          <w:sz w:val="20"/>
          <w:szCs w:val="20"/>
        </w:rPr>
        <w:t xml:space="preserve"> </w:t>
      </w:r>
      <w:r w:rsidRPr="00324410">
        <w:rPr>
          <w:rFonts w:ascii="Times New Roman" w:hAnsi="Times New Roman" w:cs="Times New Roman"/>
          <w:sz w:val="20"/>
          <w:szCs w:val="20"/>
        </w:rPr>
        <w:t xml:space="preserve">This article provides a comprehensive, critical, and up-to-date synthesis of the current understanding of actinic keratosis, including its epidemiology, risk factors, and pathogenesis, along with its progression to invasive cSCC. Further, this review will examine existing treatment modalities, barriers to effective management, and prevention strategies, while emphasizing key gaps in knowledge regarding risk prediction and limitations of current treatments. </w:t>
      </w:r>
    </w:p>
    <w:p w14:paraId="0501B5BC" w14:textId="77777777" w:rsidR="00324410" w:rsidRPr="00324410" w:rsidRDefault="00324410" w:rsidP="00324410">
      <w:pPr>
        <w:pStyle w:val="Heading1"/>
        <w:widowControl w:val="0"/>
        <w:spacing w:before="0" w:beforeAutospacing="0" w:after="0" w:afterAutospacing="0" w:line="360" w:lineRule="auto"/>
        <w:jc w:val="both"/>
        <w:rPr>
          <w:sz w:val="20"/>
          <w:szCs w:val="20"/>
        </w:rPr>
      </w:pPr>
    </w:p>
    <w:p w14:paraId="288D097C" w14:textId="78EB9021" w:rsidR="00324410" w:rsidRPr="00324410" w:rsidRDefault="003B5602" w:rsidP="003B5602">
      <w:pPr>
        <w:pStyle w:val="Heading1"/>
        <w:widowControl w:val="0"/>
        <w:spacing w:before="0" w:beforeAutospacing="0" w:after="0" w:afterAutospacing="0" w:line="360" w:lineRule="auto"/>
        <w:jc w:val="both"/>
        <w:rPr>
          <w:color w:val="0070C0"/>
          <w:sz w:val="20"/>
          <w:szCs w:val="20"/>
        </w:rPr>
      </w:pPr>
      <w:r>
        <w:rPr>
          <w:color w:val="0070C0"/>
          <w:sz w:val="20"/>
          <w:szCs w:val="20"/>
        </w:rPr>
        <w:t xml:space="preserve">1.1. </w:t>
      </w:r>
      <w:r w:rsidR="00324410" w:rsidRPr="00324410">
        <w:rPr>
          <w:color w:val="0070C0"/>
          <w:sz w:val="20"/>
          <w:szCs w:val="20"/>
        </w:rPr>
        <w:t xml:space="preserve">Epidemiology and Demographics </w:t>
      </w:r>
    </w:p>
    <w:p w14:paraId="5E37DDAF" w14:textId="691FE322" w:rsidR="00324410" w:rsidRPr="00324410" w:rsidRDefault="00324410" w:rsidP="00324410">
      <w:pPr>
        <w:pStyle w:val="Heading1"/>
        <w:widowControl w:val="0"/>
        <w:spacing w:before="0" w:beforeAutospacing="0" w:after="0" w:afterAutospacing="0" w:line="360" w:lineRule="auto"/>
        <w:jc w:val="both"/>
        <w:rPr>
          <w:b w:val="0"/>
          <w:bCs w:val="0"/>
          <w:sz w:val="20"/>
          <w:szCs w:val="20"/>
        </w:rPr>
      </w:pPr>
      <w:r w:rsidRPr="00324410">
        <w:rPr>
          <w:b w:val="0"/>
          <w:bCs w:val="0"/>
          <w:sz w:val="20"/>
          <w:szCs w:val="20"/>
        </w:rPr>
        <w:t xml:space="preserve">Actinic keratosis (AK) is one of the most common dermatologic conditions encountered in clinical practice, with a growing global burden driven by aging populations and cumulative ultraviolet (UV) exposure [2]. Recent epidemiologic analyses estimate the overall prevalence of AK in the general population is 14% with a pooled incidence rate of 1,928 per 100,000 person-years [2,12]. However, reported rates vary widely depending on geographic regions, diagnostic </w:t>
      </w:r>
      <w:r w:rsidRPr="00324410">
        <w:rPr>
          <w:b w:val="0"/>
          <w:bCs w:val="0"/>
          <w:sz w:val="20"/>
          <w:szCs w:val="20"/>
        </w:rPr>
        <w:lastRenderedPageBreak/>
        <w:t>criteria, population age structures, and study designs [13,14].</w:t>
      </w:r>
      <w:r w:rsidR="00B670E8">
        <w:rPr>
          <w:b w:val="0"/>
          <w:bCs w:val="0"/>
          <w:sz w:val="20"/>
          <w:szCs w:val="20"/>
        </w:rPr>
        <w:t xml:space="preserve"> </w:t>
      </w:r>
      <w:r w:rsidRPr="00324410">
        <w:rPr>
          <w:b w:val="0"/>
          <w:bCs w:val="0"/>
          <w:sz w:val="20"/>
          <w:szCs w:val="20"/>
        </w:rPr>
        <w:t xml:space="preserve">The lack of standardized diagnostic criteria across primary studies significantly limits the precision and comparability of pooled prevalence estimates, representing a major methodological limitation that remains an unresolved issue in AK epidemiologic literature [13,15,16]. Geographic variation plays a major role in AK epidemiology, with higher prevalence observed in regions near the equator and in countries with high UV radiation, including Australia and parts of Southern Europe [2,17]. These trends emphasize the central role of chronic UV exposure as a primary driver of disease development and highlight the influence of environmental and behavioral factors on disease distribution [18]. Advanced age is one of the strongest risk factors for AK, with prevalence increasing markedly in the elderly population due to cumulative UV-induced DNA damage and declining immunosurveillance capacity [19,20]. Studies consistently demonstrate that AK is considerably more common </w:t>
      </w:r>
      <w:proofErr w:type="gramStart"/>
      <w:r w:rsidRPr="00324410">
        <w:rPr>
          <w:b w:val="0"/>
          <w:bCs w:val="0"/>
          <w:sz w:val="20"/>
          <w:szCs w:val="20"/>
        </w:rPr>
        <w:t>in</w:t>
      </w:r>
      <w:proofErr w:type="gramEnd"/>
      <w:r w:rsidRPr="00324410">
        <w:rPr>
          <w:b w:val="0"/>
          <w:bCs w:val="0"/>
          <w:sz w:val="20"/>
          <w:szCs w:val="20"/>
        </w:rPr>
        <w:t xml:space="preserve"> individuals over the age of 50, with a further increase in prevalence in those of 70 years of age [21].</w:t>
      </w:r>
      <w:r w:rsidR="00B670E8">
        <w:rPr>
          <w:b w:val="0"/>
          <w:bCs w:val="0"/>
          <w:sz w:val="20"/>
          <w:szCs w:val="20"/>
        </w:rPr>
        <w:t xml:space="preserve"> </w:t>
      </w:r>
      <w:r w:rsidRPr="00324410">
        <w:rPr>
          <w:b w:val="0"/>
          <w:bCs w:val="0"/>
          <w:sz w:val="20"/>
          <w:szCs w:val="20"/>
        </w:rPr>
        <w:t>As populations continue to age, this trend is likely to intensify, further increasing the healthcare burden of AK and keratinocyte carcinomas [3,6-8,22-24]. Sex differences in AK prevalence have also been reported, with higher prevalence observed in males compared to females [25]. This disparity is likely attributable to higher cumulative occupational and recreational UV exposure in men along with lower use of photoprotective measures [15]. However, emerging trends suggest that these differences may be narrowing as sun protection awareness increases [16].</w:t>
      </w:r>
    </w:p>
    <w:p w14:paraId="0A77CEA9" w14:textId="77777777" w:rsidR="00324410" w:rsidRDefault="00324410" w:rsidP="00324410">
      <w:pPr>
        <w:widowControl w:val="0"/>
        <w:spacing w:after="0" w:line="360" w:lineRule="auto"/>
        <w:jc w:val="both"/>
        <w:rPr>
          <w:rFonts w:ascii="Times New Roman" w:hAnsi="Times New Roman" w:cs="Times New Roman"/>
          <w:sz w:val="20"/>
          <w:szCs w:val="20"/>
        </w:rPr>
      </w:pPr>
    </w:p>
    <w:p w14:paraId="0FC3BEA1" w14:textId="3B486B76" w:rsidR="00324410" w:rsidRPr="00324410" w:rsidRDefault="00324410" w:rsidP="00324410">
      <w:pPr>
        <w:widowControl w:val="0"/>
        <w:spacing w:after="0" w:line="360" w:lineRule="auto"/>
        <w:jc w:val="both"/>
        <w:rPr>
          <w:rFonts w:ascii="Times New Roman" w:hAnsi="Times New Roman" w:cs="Times New Roman"/>
          <w:sz w:val="20"/>
          <w:szCs w:val="20"/>
        </w:rPr>
      </w:pPr>
      <w:r w:rsidRPr="00324410">
        <w:rPr>
          <w:rFonts w:ascii="Times New Roman" w:hAnsi="Times New Roman" w:cs="Times New Roman"/>
          <w:sz w:val="20"/>
          <w:szCs w:val="20"/>
        </w:rPr>
        <w:t>Fitzpatrick skin phototype is a well-established determinant of AK risk, with individuals of lighter skin types (Fitzpatrick I-II) demonstrating significantly higher susceptibility compared to those with darker pigmentation [15,26]. Melanin offers partial protection against UV-induced DNA damage, contributing to lower incidence rates in darker-skinned populations [27]. However, AK is less common in darker skin types, though the extent to which this reflects lower incidence versus underdiagnosis remains unclear [28].</w:t>
      </w:r>
      <w:r>
        <w:rPr>
          <w:rFonts w:ascii="Times New Roman" w:hAnsi="Times New Roman" w:cs="Times New Roman"/>
          <w:sz w:val="20"/>
          <w:szCs w:val="20"/>
        </w:rPr>
        <w:t xml:space="preserve"> </w:t>
      </w:r>
      <w:r w:rsidRPr="00324410">
        <w:rPr>
          <w:rFonts w:ascii="Times New Roman" w:hAnsi="Times New Roman" w:cs="Times New Roman"/>
          <w:sz w:val="20"/>
          <w:szCs w:val="20"/>
        </w:rPr>
        <w:t>Certain populations with impaired immune surveillance demonstrate disproportionately elevated rates of AK [29]. More specifically, organ transplant recipients have markedly higher rates of AK and accelerated progression to cSCC, emphasizing the role of immune function in disease control [30].</w:t>
      </w:r>
      <w:r>
        <w:rPr>
          <w:rFonts w:ascii="Times New Roman" w:hAnsi="Times New Roman" w:cs="Times New Roman"/>
          <w:sz w:val="20"/>
          <w:szCs w:val="20"/>
        </w:rPr>
        <w:t xml:space="preserve"> </w:t>
      </w:r>
      <w:r w:rsidRPr="00324410">
        <w:rPr>
          <w:rFonts w:ascii="Times New Roman" w:hAnsi="Times New Roman" w:cs="Times New Roman"/>
          <w:sz w:val="20"/>
          <w:szCs w:val="20"/>
        </w:rPr>
        <w:t xml:space="preserve">Notably, epidemiologic data are limited by heterogeneity in study methodologies, diagnostic criteria, and reporting practices. Many studies rely on clinical diagnosis without histologic confirmation, and variability in lesion counting and field assessment contribute to variable prevalence estimates [31]. These limitations highlight the need for standardized definitions and improved surveillance to accurately define disease burden and guide resource allocation. </w:t>
      </w:r>
    </w:p>
    <w:p w14:paraId="6374D8EA" w14:textId="77777777" w:rsidR="00324410" w:rsidRPr="00324410" w:rsidRDefault="00324410" w:rsidP="00324410">
      <w:pPr>
        <w:pStyle w:val="Heading1"/>
        <w:widowControl w:val="0"/>
        <w:spacing w:before="0" w:beforeAutospacing="0" w:after="0" w:afterAutospacing="0" w:line="360" w:lineRule="auto"/>
        <w:jc w:val="both"/>
        <w:rPr>
          <w:color w:val="0070C0"/>
          <w:sz w:val="20"/>
          <w:szCs w:val="20"/>
        </w:rPr>
      </w:pPr>
    </w:p>
    <w:p w14:paraId="14B26C37" w14:textId="47798B2A" w:rsidR="00324410" w:rsidRPr="00324410" w:rsidRDefault="003B5602" w:rsidP="003B5602">
      <w:pPr>
        <w:pStyle w:val="Heading1"/>
        <w:widowControl w:val="0"/>
        <w:spacing w:before="0" w:beforeAutospacing="0" w:after="0" w:afterAutospacing="0" w:line="360" w:lineRule="auto"/>
        <w:jc w:val="both"/>
        <w:rPr>
          <w:b w:val="0"/>
          <w:bCs w:val="0"/>
          <w:color w:val="0070C0"/>
          <w:sz w:val="20"/>
          <w:szCs w:val="20"/>
        </w:rPr>
      </w:pPr>
      <w:r>
        <w:rPr>
          <w:color w:val="0070C0"/>
          <w:sz w:val="20"/>
          <w:szCs w:val="20"/>
        </w:rPr>
        <w:t xml:space="preserve">1.2. </w:t>
      </w:r>
      <w:r w:rsidR="00324410" w:rsidRPr="00324410">
        <w:rPr>
          <w:color w:val="0070C0"/>
          <w:sz w:val="20"/>
          <w:szCs w:val="20"/>
        </w:rPr>
        <w:t xml:space="preserve">Risk Factors and Etiology </w:t>
      </w:r>
    </w:p>
    <w:p w14:paraId="1E271297" w14:textId="3A4630F8" w:rsidR="00324410" w:rsidRPr="00324410" w:rsidRDefault="00324410" w:rsidP="003B5602">
      <w:pPr>
        <w:widowControl w:val="0"/>
        <w:spacing w:after="0" w:line="360" w:lineRule="auto"/>
        <w:jc w:val="both"/>
        <w:rPr>
          <w:rFonts w:ascii="Times New Roman" w:hAnsi="Times New Roman" w:cs="Times New Roman"/>
          <w:sz w:val="20"/>
          <w:szCs w:val="20"/>
        </w:rPr>
      </w:pPr>
      <w:r w:rsidRPr="00324410">
        <w:rPr>
          <w:rFonts w:ascii="Times New Roman" w:hAnsi="Times New Roman" w:cs="Times New Roman"/>
          <w:sz w:val="20"/>
          <w:szCs w:val="20"/>
        </w:rPr>
        <w:t>Actinic keratosis (AK) develops through the interplay of chronic ultraviolet (UV) radiation exposure, immune dysregulation, host susceptibility factors, and the progressive accumulation of molecular alterations within epidermal keratinocytes [32].</w:t>
      </w:r>
      <w:r w:rsidR="00B670E8">
        <w:rPr>
          <w:rFonts w:ascii="Times New Roman" w:hAnsi="Times New Roman" w:cs="Times New Roman"/>
          <w:sz w:val="20"/>
          <w:szCs w:val="20"/>
        </w:rPr>
        <w:t xml:space="preserve"> </w:t>
      </w:r>
      <w:r w:rsidRPr="00324410">
        <w:rPr>
          <w:rFonts w:ascii="Times New Roman" w:hAnsi="Times New Roman" w:cs="Times New Roman"/>
          <w:sz w:val="20"/>
          <w:szCs w:val="20"/>
        </w:rPr>
        <w:t>Among these, cumulative UV radiation exposure remains the primary etiologic driver of AK development and progression [33].</w:t>
      </w:r>
    </w:p>
    <w:p w14:paraId="4B089E5F" w14:textId="77777777" w:rsidR="003B5602" w:rsidRDefault="003B5602" w:rsidP="003B5602">
      <w:pPr>
        <w:pStyle w:val="Heading2"/>
        <w:keepNext w:val="0"/>
        <w:keepLines w:val="0"/>
        <w:widowControl w:val="0"/>
        <w:spacing w:before="0" w:line="360" w:lineRule="auto"/>
        <w:jc w:val="both"/>
        <w:rPr>
          <w:rFonts w:ascii="Times New Roman" w:hAnsi="Times New Roman" w:cs="Times New Roman"/>
          <w:color w:val="0070C0"/>
          <w:sz w:val="20"/>
          <w:szCs w:val="20"/>
        </w:rPr>
      </w:pPr>
    </w:p>
    <w:p w14:paraId="29857F35" w14:textId="1BAB757B" w:rsidR="00324410" w:rsidRPr="003B5602" w:rsidRDefault="003B5602" w:rsidP="003B5602">
      <w:pPr>
        <w:pStyle w:val="Heading2"/>
        <w:keepNext w:val="0"/>
        <w:keepLines w:val="0"/>
        <w:widowControl w:val="0"/>
        <w:spacing w:before="0" w:line="360" w:lineRule="auto"/>
        <w:jc w:val="both"/>
        <w:rPr>
          <w:rFonts w:ascii="Times New Roman" w:hAnsi="Times New Roman" w:cs="Times New Roman"/>
          <w:color w:val="0070C0"/>
          <w:sz w:val="20"/>
          <w:szCs w:val="20"/>
        </w:rPr>
      </w:pPr>
      <w:r>
        <w:rPr>
          <w:rFonts w:ascii="Times New Roman" w:hAnsi="Times New Roman" w:cs="Times New Roman"/>
          <w:color w:val="0070C0"/>
          <w:sz w:val="20"/>
          <w:szCs w:val="20"/>
        </w:rPr>
        <w:t xml:space="preserve">1.2.1. </w:t>
      </w:r>
      <w:r w:rsidR="00324410" w:rsidRPr="00324410">
        <w:rPr>
          <w:rFonts w:ascii="Times New Roman" w:hAnsi="Times New Roman" w:cs="Times New Roman"/>
          <w:color w:val="0070C0"/>
          <w:sz w:val="20"/>
          <w:szCs w:val="20"/>
        </w:rPr>
        <w:t>Ultraviolet Radiation Exposure</w:t>
      </w:r>
      <w:r>
        <w:rPr>
          <w:rFonts w:ascii="Times New Roman" w:hAnsi="Times New Roman" w:cs="Times New Roman"/>
          <w:color w:val="0070C0"/>
          <w:sz w:val="20"/>
          <w:szCs w:val="20"/>
        </w:rPr>
        <w:t xml:space="preserve">: </w:t>
      </w:r>
      <w:r w:rsidR="00324410" w:rsidRPr="003B5602">
        <w:rPr>
          <w:rFonts w:ascii="Times New Roman" w:hAnsi="Times New Roman" w:cs="Times New Roman"/>
          <w:b w:val="0"/>
          <w:bCs w:val="0"/>
          <w:color w:val="000000" w:themeColor="text1"/>
          <w:sz w:val="20"/>
          <w:szCs w:val="20"/>
        </w:rPr>
        <w:t xml:space="preserve">The strongest environmental risk factor for AK is cumulative exposure to UV radiation [34]. Prolonged exposure to UVB wavelengths (280-320 nm) induces direct DNA damage through the formation of pyrimidine dimers and other photoproducts, while UVA radiation leads to oxidative stress and indirect genomic injury [35]. Repeated UV-induced damage promotes the accumulation of mutations within epidermal </w:t>
      </w:r>
      <w:r w:rsidR="00324410" w:rsidRPr="003B5602">
        <w:rPr>
          <w:rFonts w:ascii="Times New Roman" w:hAnsi="Times New Roman" w:cs="Times New Roman"/>
          <w:b w:val="0"/>
          <w:bCs w:val="0"/>
          <w:color w:val="000000" w:themeColor="text1"/>
          <w:sz w:val="20"/>
          <w:szCs w:val="20"/>
        </w:rPr>
        <w:lastRenderedPageBreak/>
        <w:t>keratinocytes, resulting in keratinocyte dysplasia and the development of clinically apparent lesions [36]. Both recreational and occupational sun exposure contribute significantly to AK risk [37]. The association between UV exposure and AK is reflected clinically by preferential distribution of lesions on sustained sun-exposed areas, including the face, ears, scalp, dorsal hands, forearms, and neck [38]. Geographic regions with high ambient UV radiation also exhibit increased disease burden, further supporting a dose-dependent UV exposure and lesion development [2,15].</w:t>
      </w:r>
      <w:r w:rsidR="00B670E8" w:rsidRPr="003B5602">
        <w:rPr>
          <w:rFonts w:ascii="Times New Roman" w:hAnsi="Times New Roman" w:cs="Times New Roman"/>
          <w:b w:val="0"/>
          <w:bCs w:val="0"/>
          <w:color w:val="000000" w:themeColor="text1"/>
          <w:sz w:val="20"/>
          <w:szCs w:val="20"/>
        </w:rPr>
        <w:t xml:space="preserve"> </w:t>
      </w:r>
      <w:r w:rsidR="00324410" w:rsidRPr="003B5602">
        <w:rPr>
          <w:rFonts w:ascii="Times New Roman" w:hAnsi="Times New Roman" w:cs="Times New Roman"/>
          <w:b w:val="0"/>
          <w:bCs w:val="0"/>
          <w:color w:val="000000" w:themeColor="text1"/>
          <w:sz w:val="20"/>
          <w:szCs w:val="20"/>
        </w:rPr>
        <w:t xml:space="preserve">Additionally, artificial sources of UV radiation, including indoor tanning devices that are predominantly UVA-weighted, have been associated with keratinocyte carcinogenesis [39]. Given that AK represents an established precursor stage to cSCC, indoor tanning may plausibly contribute to AK formation as well, particularly among individuals with substantial lifetime exposure. </w:t>
      </w:r>
    </w:p>
    <w:p w14:paraId="016DD2C0" w14:textId="77777777" w:rsidR="00324410" w:rsidRPr="00324410" w:rsidRDefault="00324410" w:rsidP="00324410">
      <w:pPr>
        <w:pStyle w:val="Heading2"/>
        <w:keepNext w:val="0"/>
        <w:keepLines w:val="0"/>
        <w:widowControl w:val="0"/>
        <w:spacing w:before="0" w:line="360" w:lineRule="auto"/>
        <w:jc w:val="both"/>
        <w:rPr>
          <w:rFonts w:ascii="Times New Roman" w:hAnsi="Times New Roman" w:cs="Times New Roman"/>
          <w:sz w:val="20"/>
          <w:szCs w:val="20"/>
        </w:rPr>
      </w:pPr>
    </w:p>
    <w:p w14:paraId="694F5399" w14:textId="0A8D5541" w:rsidR="00324410" w:rsidRPr="007413A3" w:rsidRDefault="003B5602" w:rsidP="007413A3">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1.2.2. </w:t>
      </w:r>
      <w:r w:rsidR="00324410" w:rsidRPr="00324410">
        <w:rPr>
          <w:rFonts w:ascii="Times New Roman" w:hAnsi="Times New Roman" w:cs="Times New Roman"/>
          <w:color w:val="0070C0"/>
          <w:sz w:val="20"/>
          <w:szCs w:val="20"/>
        </w:rPr>
        <w:t>Age, skin phototype, and phenotypic susceptibility</w:t>
      </w:r>
      <w:r w:rsidR="007413A3">
        <w:rPr>
          <w:rFonts w:ascii="Times New Roman" w:hAnsi="Times New Roman" w:cs="Times New Roman"/>
          <w:color w:val="0070C0"/>
          <w:sz w:val="20"/>
          <w:szCs w:val="20"/>
        </w:rPr>
        <w:t xml:space="preserve">: </w:t>
      </w:r>
      <w:r w:rsidR="00324410" w:rsidRPr="007413A3">
        <w:rPr>
          <w:rFonts w:ascii="Times New Roman" w:hAnsi="Times New Roman" w:cs="Times New Roman"/>
          <w:b w:val="0"/>
          <w:bCs w:val="0"/>
          <w:color w:val="000000" w:themeColor="text1"/>
          <w:sz w:val="20"/>
          <w:szCs w:val="20"/>
        </w:rPr>
        <w:t>Age is a significant determinant of AK risk because cumulative mutational burden increases over decades of UV exposure [4].</w:t>
      </w:r>
      <w:r w:rsidR="00B670E8" w:rsidRPr="007413A3">
        <w:rPr>
          <w:rFonts w:ascii="Times New Roman" w:hAnsi="Times New Roman" w:cs="Times New Roman"/>
          <w:b w:val="0"/>
          <w:bCs w:val="0"/>
          <w:color w:val="000000" w:themeColor="text1"/>
          <w:sz w:val="20"/>
          <w:szCs w:val="20"/>
        </w:rPr>
        <w:t xml:space="preserve"> </w:t>
      </w:r>
      <w:r w:rsidR="00324410" w:rsidRPr="007413A3">
        <w:rPr>
          <w:rFonts w:ascii="Times New Roman" w:hAnsi="Times New Roman" w:cs="Times New Roman"/>
          <w:b w:val="0"/>
          <w:bCs w:val="0"/>
          <w:color w:val="000000" w:themeColor="text1"/>
          <w:sz w:val="20"/>
          <w:szCs w:val="20"/>
        </w:rPr>
        <w:t>Older adults experience prolonged exposure to environmental carcinogens and exhibit age-related declines in DNA repair capacity and immune surveillance, which facilitates lesion formation [40]. Skin phototype significantly influences susceptibility to AK. Individuals with Fitzpatrick skin types I and II display a greater risk of AK than those with darker skin types due to reduced epidermal melanin content and reduced photoprotection against UV-induced DNA damage [38]. Additional phenotypic risk factors include blond or red hair, light-colored eyes, propensity to burn rather than tan, and evidence of chronic photodamage [15,18].</w:t>
      </w:r>
    </w:p>
    <w:p w14:paraId="2346F2C5" w14:textId="77777777" w:rsidR="00324410" w:rsidRPr="00324410" w:rsidRDefault="00324410" w:rsidP="00324410">
      <w:pPr>
        <w:pStyle w:val="Heading2"/>
        <w:keepNext w:val="0"/>
        <w:keepLines w:val="0"/>
        <w:widowControl w:val="0"/>
        <w:spacing w:before="0" w:line="360" w:lineRule="auto"/>
        <w:jc w:val="both"/>
        <w:rPr>
          <w:rFonts w:ascii="Times New Roman" w:hAnsi="Times New Roman" w:cs="Times New Roman"/>
          <w:sz w:val="20"/>
          <w:szCs w:val="20"/>
        </w:rPr>
      </w:pPr>
    </w:p>
    <w:p w14:paraId="61137954" w14:textId="14F43A1C" w:rsidR="00324410" w:rsidRPr="007413A3" w:rsidRDefault="003B5602" w:rsidP="007413A3">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1.2.3. </w:t>
      </w:r>
      <w:r w:rsidR="00324410" w:rsidRPr="00324410">
        <w:rPr>
          <w:rFonts w:ascii="Times New Roman" w:hAnsi="Times New Roman" w:cs="Times New Roman"/>
          <w:color w:val="0070C0"/>
          <w:sz w:val="20"/>
          <w:szCs w:val="20"/>
        </w:rPr>
        <w:t>Genetic and Molecular Contributors</w:t>
      </w:r>
      <w:r w:rsidR="007413A3">
        <w:rPr>
          <w:rFonts w:ascii="Times New Roman" w:hAnsi="Times New Roman" w:cs="Times New Roman"/>
          <w:color w:val="0070C0"/>
          <w:sz w:val="20"/>
          <w:szCs w:val="20"/>
        </w:rPr>
        <w:t xml:space="preserve">: </w:t>
      </w:r>
      <w:r w:rsidR="00324410" w:rsidRPr="007413A3">
        <w:rPr>
          <w:rFonts w:ascii="Times New Roman" w:hAnsi="Times New Roman" w:cs="Times New Roman"/>
          <w:b w:val="0"/>
          <w:bCs w:val="0"/>
          <w:color w:val="000000" w:themeColor="text1"/>
          <w:sz w:val="20"/>
          <w:szCs w:val="20"/>
        </w:rPr>
        <w:t xml:space="preserve">Genetic predisposition is critical in the underlying pathogenesis of several diseases [41-45]. Although UV exposure initiates the carcinogenic process, individual susceptibility to AK varies, suggesting a major contribution from genetic determinants. One of the earliest and most frequently observed molecular </w:t>
      </w:r>
      <w:proofErr w:type="gramStart"/>
      <w:r w:rsidR="00324410" w:rsidRPr="007413A3">
        <w:rPr>
          <w:rFonts w:ascii="Times New Roman" w:hAnsi="Times New Roman" w:cs="Times New Roman"/>
          <w:b w:val="0"/>
          <w:bCs w:val="0"/>
          <w:color w:val="000000" w:themeColor="text1"/>
          <w:sz w:val="20"/>
          <w:szCs w:val="20"/>
        </w:rPr>
        <w:t>event</w:t>
      </w:r>
      <w:proofErr w:type="gramEnd"/>
      <w:r w:rsidR="00324410" w:rsidRPr="007413A3">
        <w:rPr>
          <w:rFonts w:ascii="Times New Roman" w:hAnsi="Times New Roman" w:cs="Times New Roman"/>
          <w:b w:val="0"/>
          <w:bCs w:val="0"/>
          <w:color w:val="000000" w:themeColor="text1"/>
          <w:sz w:val="20"/>
          <w:szCs w:val="20"/>
        </w:rPr>
        <w:t xml:space="preserve"> is mutation of the TP53 tumor suppressor gene, which interferes with DNA damage responses and apoptosis of UV-injured keratinocytes [36,46]. Additional molecular defects associated with AK pathogenesis include abnormalities involving NOTCH signaling pathways, oxidative stress response pathways, cell-cycle regulatory genes, telomere maintenance mechanisms, and MAPK signaling pathways [46]. The progressive accumulation of these pathologic changes promotes survival and growth of atypical keratinocytes, establishing a biologic continuum between photodamaged skin, AK, and invasive cutaneous squamous cell carcinoma [47]. </w:t>
      </w:r>
    </w:p>
    <w:p w14:paraId="43226F8C" w14:textId="77777777" w:rsidR="00324410" w:rsidRPr="00324410" w:rsidRDefault="00324410" w:rsidP="00324410">
      <w:pPr>
        <w:pStyle w:val="Heading2"/>
        <w:keepNext w:val="0"/>
        <w:keepLines w:val="0"/>
        <w:widowControl w:val="0"/>
        <w:spacing w:before="0" w:line="360" w:lineRule="auto"/>
        <w:jc w:val="both"/>
        <w:rPr>
          <w:rFonts w:ascii="Times New Roman" w:hAnsi="Times New Roman" w:cs="Times New Roman"/>
          <w:sz w:val="20"/>
          <w:szCs w:val="20"/>
        </w:rPr>
      </w:pPr>
    </w:p>
    <w:p w14:paraId="3BD02987" w14:textId="33B6E954" w:rsidR="00324410" w:rsidRPr="007413A3" w:rsidRDefault="003B5602" w:rsidP="007413A3">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1.2.4. </w:t>
      </w:r>
      <w:r w:rsidR="00324410" w:rsidRPr="00324410">
        <w:rPr>
          <w:rFonts w:ascii="Times New Roman" w:hAnsi="Times New Roman" w:cs="Times New Roman"/>
          <w:color w:val="0070C0"/>
          <w:sz w:val="20"/>
          <w:szCs w:val="20"/>
        </w:rPr>
        <w:t>Environmental and Iatrogenic Factors</w:t>
      </w:r>
      <w:r w:rsidR="007413A3">
        <w:rPr>
          <w:rFonts w:ascii="Times New Roman" w:hAnsi="Times New Roman" w:cs="Times New Roman"/>
          <w:color w:val="0070C0"/>
          <w:sz w:val="20"/>
          <w:szCs w:val="20"/>
        </w:rPr>
        <w:t xml:space="preserve">: </w:t>
      </w:r>
      <w:r w:rsidR="00324410" w:rsidRPr="007413A3">
        <w:rPr>
          <w:rFonts w:ascii="Times New Roman" w:hAnsi="Times New Roman" w:cs="Times New Roman"/>
          <w:b w:val="0"/>
          <w:bCs w:val="0"/>
          <w:color w:val="000000" w:themeColor="text1"/>
          <w:sz w:val="20"/>
          <w:szCs w:val="20"/>
        </w:rPr>
        <w:t xml:space="preserve">Additional exposures have been associated with increased AK risk. Therapeutic ultraviolet exposure, including psoralen plus ultraviolet A (PUVA) therapy, has been associated with increased rates of keratinocyte neoplasia in vulnerable individuals [48]. While less common, exposure to carcinogenic agents such as arsenic and other industrial chemicals has also been linked to the development of premalignant and malignant cutaneous lesions [49]. A personal medical history of AK, cutaneous squamous cell carcinoma, or other forms of nonmelanoma skin cancer represents another major risk factor, highlighting the additive effects of field cancerization and continuous carcinogenic exposure [50]. Individuals with several prior lesions commonly develop new lesions over time, highlighting the chronic and recurrent behavior of the disease process [50]. Taken together, these findings support a multifactorial model of AK pathogenesis in which chronic UV exposure interacts with host-specific genetic, </w:t>
      </w:r>
      <w:r w:rsidR="00324410" w:rsidRPr="007413A3">
        <w:rPr>
          <w:rFonts w:ascii="Times New Roman" w:hAnsi="Times New Roman" w:cs="Times New Roman"/>
          <w:b w:val="0"/>
          <w:bCs w:val="0"/>
          <w:color w:val="000000" w:themeColor="text1"/>
          <w:sz w:val="20"/>
          <w:szCs w:val="20"/>
        </w:rPr>
        <w:lastRenderedPageBreak/>
        <w:t>immunologic, and phenotypic factors to drive keratinocyte dysplasia and lesion development [51]. Improved understanding of the risk factors may facilitate the identification of high-risk populations, enhance preventive interventions, and support the development of personalized risk-stratification models [51].</w:t>
      </w:r>
    </w:p>
    <w:p w14:paraId="3BD5F324" w14:textId="77777777" w:rsidR="00324410" w:rsidRPr="00324410" w:rsidRDefault="00324410" w:rsidP="00324410">
      <w:pPr>
        <w:pStyle w:val="Heading1"/>
        <w:widowControl w:val="0"/>
        <w:spacing w:before="0" w:beforeAutospacing="0" w:after="0" w:afterAutospacing="0" w:line="360" w:lineRule="auto"/>
        <w:jc w:val="both"/>
        <w:rPr>
          <w:sz w:val="20"/>
          <w:szCs w:val="20"/>
        </w:rPr>
      </w:pPr>
    </w:p>
    <w:p w14:paraId="19DD706A" w14:textId="7C7C8E73" w:rsidR="00324410" w:rsidRPr="00324410" w:rsidRDefault="003B5602" w:rsidP="00324410">
      <w:pPr>
        <w:pStyle w:val="Heading1"/>
        <w:widowControl w:val="0"/>
        <w:spacing w:before="0" w:beforeAutospacing="0" w:after="0" w:afterAutospacing="0" w:line="360" w:lineRule="auto"/>
        <w:jc w:val="both"/>
        <w:rPr>
          <w:b w:val="0"/>
          <w:bCs w:val="0"/>
          <w:color w:val="0070C0"/>
          <w:sz w:val="20"/>
          <w:szCs w:val="20"/>
        </w:rPr>
      </w:pPr>
      <w:r>
        <w:rPr>
          <w:color w:val="0070C0"/>
          <w:sz w:val="20"/>
          <w:szCs w:val="20"/>
        </w:rPr>
        <w:t xml:space="preserve">1.3. </w:t>
      </w:r>
      <w:r w:rsidR="00324410" w:rsidRPr="00324410">
        <w:rPr>
          <w:color w:val="0070C0"/>
          <w:sz w:val="20"/>
          <w:szCs w:val="20"/>
        </w:rPr>
        <w:t xml:space="preserve">Progression from Actinic Keratosis to Cutaneous Squamous Cell Carcinoma </w:t>
      </w:r>
    </w:p>
    <w:p w14:paraId="11057AC5" w14:textId="5A4C4AF9" w:rsidR="00324410" w:rsidRPr="00324410" w:rsidRDefault="00324410" w:rsidP="00324410">
      <w:pPr>
        <w:widowControl w:val="0"/>
        <w:spacing w:after="0" w:line="360" w:lineRule="auto"/>
        <w:jc w:val="both"/>
        <w:rPr>
          <w:rFonts w:ascii="Times New Roman" w:hAnsi="Times New Roman" w:cs="Times New Roman"/>
          <w:sz w:val="20"/>
          <w:szCs w:val="20"/>
        </w:rPr>
      </w:pPr>
      <w:r w:rsidRPr="00324410">
        <w:rPr>
          <w:rFonts w:ascii="Times New Roman" w:hAnsi="Times New Roman" w:cs="Times New Roman"/>
          <w:sz w:val="20"/>
          <w:szCs w:val="20"/>
        </w:rPr>
        <w:t xml:space="preserve">Actinic Keratosis is clinically important because it is recognized as a precursor lesion within the spectrum of </w:t>
      </w:r>
      <w:proofErr w:type="spellStart"/>
      <w:r w:rsidRPr="00324410">
        <w:rPr>
          <w:rFonts w:ascii="Times New Roman" w:hAnsi="Times New Roman" w:cs="Times New Roman"/>
          <w:sz w:val="20"/>
          <w:szCs w:val="20"/>
        </w:rPr>
        <w:t>keratinocytic</w:t>
      </w:r>
      <w:proofErr w:type="spellEnd"/>
      <w:r w:rsidRPr="00324410">
        <w:rPr>
          <w:rFonts w:ascii="Times New Roman" w:hAnsi="Times New Roman" w:cs="Times New Roman"/>
          <w:sz w:val="20"/>
          <w:szCs w:val="20"/>
        </w:rPr>
        <w:t xml:space="preserve"> neoplasia and is considered an early manifestation of ultraviolet-induced cutaneous squamous cell carcinoma (cSCC) [52]. Although not every AK progresses to invasive malignancy, substantial histopathologic, molecular, and clinical evidence supports a disease continuum in which a subset of lesions undergoes progressive dysplastic changes and ultimately invade beyond the epidermis into the dermis [53].</w:t>
      </w:r>
      <w:r w:rsidR="00B670E8">
        <w:rPr>
          <w:rFonts w:ascii="Times New Roman" w:hAnsi="Times New Roman" w:cs="Times New Roman"/>
          <w:sz w:val="20"/>
          <w:szCs w:val="20"/>
        </w:rPr>
        <w:t xml:space="preserve"> </w:t>
      </w:r>
      <w:r w:rsidRPr="00324410">
        <w:rPr>
          <w:rFonts w:ascii="Times New Roman" w:hAnsi="Times New Roman" w:cs="Times New Roman"/>
          <w:sz w:val="20"/>
          <w:szCs w:val="20"/>
        </w:rPr>
        <w:t>Accordingly, current clinical practice advocates treatment of AK to reduce disease burden and potentially lower the risk of malignant transformation [54].</w:t>
      </w:r>
      <w:r>
        <w:rPr>
          <w:rFonts w:ascii="Times New Roman" w:hAnsi="Times New Roman" w:cs="Times New Roman"/>
          <w:sz w:val="20"/>
          <w:szCs w:val="20"/>
        </w:rPr>
        <w:t xml:space="preserve"> </w:t>
      </w:r>
      <w:r w:rsidRPr="00324410">
        <w:rPr>
          <w:rFonts w:ascii="Times New Roman" w:hAnsi="Times New Roman" w:cs="Times New Roman"/>
          <w:sz w:val="20"/>
          <w:szCs w:val="20"/>
        </w:rPr>
        <w:t xml:space="preserve">A critical concept underlying AK progression is field cancerization, in which clinically visible lesions coexist with genetically altered but clinically unapparent keratinocytes within chronically sun-damaged skin [55]. Persistent UV exposure induces widespread DNA damage throughout the affected field, yielding multiple independent clones of atypical keratinocytes that may transform along varying biological pathways [56]. As a result, the development of cSCC reflects progression within an entire field of photodamaged skin rather than malignant transformation of a single isolated lesion [55]. Field cancerization also explains why patients frequently develop new AKs and </w:t>
      </w:r>
      <w:proofErr w:type="spellStart"/>
      <w:r w:rsidRPr="00324410">
        <w:rPr>
          <w:rFonts w:ascii="Times New Roman" w:hAnsi="Times New Roman" w:cs="Times New Roman"/>
          <w:sz w:val="20"/>
          <w:szCs w:val="20"/>
        </w:rPr>
        <w:t>cSCCs</w:t>
      </w:r>
      <w:proofErr w:type="spellEnd"/>
      <w:r w:rsidRPr="00324410">
        <w:rPr>
          <w:rFonts w:ascii="Times New Roman" w:hAnsi="Times New Roman" w:cs="Times New Roman"/>
          <w:sz w:val="20"/>
          <w:szCs w:val="20"/>
        </w:rPr>
        <w:t xml:space="preserve"> despite successful treatment of individual lesions [55,57].</w:t>
      </w:r>
    </w:p>
    <w:p w14:paraId="074757CF" w14:textId="77777777" w:rsidR="00324410" w:rsidRDefault="00324410" w:rsidP="00324410">
      <w:pPr>
        <w:widowControl w:val="0"/>
        <w:spacing w:after="0" w:line="360" w:lineRule="auto"/>
        <w:jc w:val="both"/>
        <w:rPr>
          <w:rFonts w:ascii="Times New Roman" w:hAnsi="Times New Roman" w:cs="Times New Roman"/>
          <w:sz w:val="20"/>
          <w:szCs w:val="20"/>
        </w:rPr>
      </w:pPr>
    </w:p>
    <w:p w14:paraId="64149FE0" w14:textId="39A86CFF" w:rsidR="00324410" w:rsidRPr="00324410" w:rsidRDefault="00324410" w:rsidP="00324410">
      <w:pPr>
        <w:widowControl w:val="0"/>
        <w:spacing w:after="0" w:line="360" w:lineRule="auto"/>
        <w:jc w:val="both"/>
        <w:rPr>
          <w:rFonts w:ascii="Times New Roman" w:hAnsi="Times New Roman" w:cs="Times New Roman"/>
          <w:sz w:val="20"/>
          <w:szCs w:val="20"/>
        </w:rPr>
      </w:pPr>
      <w:r w:rsidRPr="00324410">
        <w:rPr>
          <w:rFonts w:ascii="Times New Roman" w:hAnsi="Times New Roman" w:cs="Times New Roman"/>
          <w:sz w:val="20"/>
          <w:szCs w:val="20"/>
        </w:rPr>
        <w:t>Molecular studies further support the well-established relationship between AK and invasive cSCC. Both lesions share several genomic alterations, including mutations involving TP53, dysregulation of NOTCH signaling, alterations in cell-cycle control, and abnormalities affecting epidermal differentiation and inflammatory pathways [36]. More recently, transcriptomic and single-cell RNA sequencing analyses have revealed substantial similarities in gene expression profiles between AK and early invasive cSCC while demonstrating considerable molecular heterogeneity among AK lesions [36,58]. These findings suggest that malignant transformation results from the progressive accumulation of molecular alterations rather than a single transformative event.</w:t>
      </w:r>
      <w:r>
        <w:rPr>
          <w:rFonts w:ascii="Times New Roman" w:hAnsi="Times New Roman" w:cs="Times New Roman"/>
          <w:sz w:val="20"/>
          <w:szCs w:val="20"/>
        </w:rPr>
        <w:t xml:space="preserve"> </w:t>
      </w:r>
      <w:r w:rsidRPr="00324410">
        <w:rPr>
          <w:rFonts w:ascii="Times New Roman" w:hAnsi="Times New Roman" w:cs="Times New Roman"/>
          <w:sz w:val="20"/>
          <w:szCs w:val="20"/>
        </w:rPr>
        <w:t>Although predicting the behavior of an individual AK lesion remains challenging, several clinical features have been consistently associated with an increased likelihood of malignant transformation. Persistent lesions or those demonstrating rapid enlargement, ulceration, induration, hyperkeratosis, or failure to respond to conventional therapy should raise concern for underlying invasive cutaneous squamous cell carcinoma (cSCC) and often justify histopathologic assessment [59,60]. Furthermore, patients with extensive field cancerization, a high burden of AK lesions, prior keratinocyte carcinomas, or chronic immunosuppression face a substantially greater overall risk of progression than individuals with isolated lesions [61,62].</w:t>
      </w:r>
      <w:r>
        <w:rPr>
          <w:rFonts w:ascii="Times New Roman" w:hAnsi="Times New Roman" w:cs="Times New Roman"/>
          <w:sz w:val="20"/>
          <w:szCs w:val="20"/>
        </w:rPr>
        <w:t xml:space="preserve"> </w:t>
      </w:r>
      <w:r w:rsidRPr="00324410">
        <w:rPr>
          <w:rFonts w:ascii="Times New Roman" w:hAnsi="Times New Roman" w:cs="Times New Roman"/>
          <w:sz w:val="20"/>
          <w:szCs w:val="20"/>
        </w:rPr>
        <w:t xml:space="preserve">Despite considerable advances in understanding AK biology, accurately identifying which individual lesions will progress to invasive cSCC and which will remain stable continues to represent a major challenge in clinical dermatology [14,51]. Current risk assessment relies primarily on clinical examination and histopathologic interpretation, both of which have limited predictive accuracy [14]. As a result, ongoing research is focused on the development of molecular biomarkers, genomic profiling, and noninvasive imaging modalities capable of improving risk stratification and allowing for more personalized management of patients with AK [51,63]. </w:t>
      </w:r>
    </w:p>
    <w:p w14:paraId="4EE7A53D" w14:textId="1E697016" w:rsidR="00324410" w:rsidRPr="00324410" w:rsidRDefault="003B5602" w:rsidP="00324410">
      <w:pPr>
        <w:pStyle w:val="Heading1"/>
        <w:widowControl w:val="0"/>
        <w:spacing w:before="0" w:beforeAutospacing="0" w:after="0" w:afterAutospacing="0" w:line="360" w:lineRule="auto"/>
        <w:jc w:val="both"/>
        <w:rPr>
          <w:b w:val="0"/>
          <w:bCs w:val="0"/>
          <w:color w:val="0070C0"/>
          <w:sz w:val="20"/>
          <w:szCs w:val="20"/>
        </w:rPr>
      </w:pPr>
      <w:r>
        <w:rPr>
          <w:color w:val="0070C0"/>
          <w:sz w:val="20"/>
          <w:szCs w:val="20"/>
        </w:rPr>
        <w:lastRenderedPageBreak/>
        <w:t xml:space="preserve">1.4. </w:t>
      </w:r>
      <w:r w:rsidR="00324410" w:rsidRPr="00324410">
        <w:rPr>
          <w:color w:val="0070C0"/>
          <w:sz w:val="20"/>
          <w:szCs w:val="20"/>
        </w:rPr>
        <w:t xml:space="preserve">Cellular and Molecular Mechanisms </w:t>
      </w:r>
    </w:p>
    <w:p w14:paraId="0ECFF760" w14:textId="336913FB" w:rsidR="00324410" w:rsidRDefault="00324410" w:rsidP="00826ACA">
      <w:pPr>
        <w:widowControl w:val="0"/>
        <w:spacing w:after="0" w:line="360" w:lineRule="auto"/>
        <w:jc w:val="both"/>
        <w:rPr>
          <w:rFonts w:ascii="Times New Roman" w:hAnsi="Times New Roman" w:cs="Times New Roman"/>
          <w:bCs/>
          <w:sz w:val="20"/>
          <w:szCs w:val="20"/>
        </w:rPr>
      </w:pPr>
      <w:r w:rsidRPr="00324410">
        <w:rPr>
          <w:rFonts w:ascii="Times New Roman" w:hAnsi="Times New Roman" w:cs="Times New Roman"/>
          <w:sz w:val="20"/>
          <w:szCs w:val="20"/>
        </w:rPr>
        <w:t xml:space="preserve">Actinic Keratosis (AK) develops when chronic ultraviolet radiation causes continuous injury to epidermal keratinocytes, resulting in DNA damage, oxidative stress, impaired apoptosis, dysregulated cell-cycle control, and clonal expansion of atypical keratinocytes [32]. Molecular studies suggest that the earliest pathogenic events associated with AK occur long before visible lesions emerge, reinforcing the concept that AK represents an early stage in the continuum of </w:t>
      </w:r>
      <w:proofErr w:type="spellStart"/>
      <w:r w:rsidRPr="00324410">
        <w:rPr>
          <w:rFonts w:ascii="Times New Roman" w:hAnsi="Times New Roman" w:cs="Times New Roman"/>
          <w:sz w:val="20"/>
          <w:szCs w:val="20"/>
        </w:rPr>
        <w:t>keratinocytic</w:t>
      </w:r>
      <w:proofErr w:type="spellEnd"/>
      <w:r w:rsidRPr="00324410">
        <w:rPr>
          <w:rFonts w:ascii="Times New Roman" w:hAnsi="Times New Roman" w:cs="Times New Roman"/>
          <w:sz w:val="20"/>
          <w:szCs w:val="20"/>
        </w:rPr>
        <w:t xml:space="preserve"> carcinogenesis [47] </w:t>
      </w:r>
      <w:r w:rsidRPr="00324410">
        <w:rPr>
          <w:rFonts w:ascii="Times New Roman" w:hAnsi="Times New Roman" w:cs="Times New Roman"/>
          <w:bCs/>
          <w:sz w:val="20"/>
          <w:szCs w:val="20"/>
        </w:rPr>
        <w:t xml:space="preserve">(Figure 1). </w:t>
      </w:r>
    </w:p>
    <w:p w14:paraId="150D1AF4" w14:textId="77777777" w:rsidR="00826ACA" w:rsidRPr="00826ACA" w:rsidRDefault="00826ACA" w:rsidP="00826ACA">
      <w:pPr>
        <w:widowControl w:val="0"/>
        <w:spacing w:after="0" w:line="360" w:lineRule="auto"/>
        <w:jc w:val="both"/>
        <w:rPr>
          <w:rFonts w:ascii="Times New Roman" w:hAnsi="Times New Roman" w:cs="Times New Roman"/>
          <w:bCs/>
          <w:sz w:val="20"/>
          <w:szCs w:val="20"/>
        </w:rPr>
      </w:pPr>
    </w:p>
    <w:p w14:paraId="42FC23C5" w14:textId="5DF508B1" w:rsidR="00826ACA" w:rsidRDefault="00826ACA" w:rsidP="00826ACA">
      <w:pPr>
        <w:pStyle w:val="Heading1"/>
        <w:spacing w:before="0" w:beforeAutospacing="0" w:after="0" w:afterAutospacing="0" w:line="360" w:lineRule="auto"/>
        <w:jc w:val="center"/>
        <w:rPr>
          <w:rFonts w:eastAsia="Calibri"/>
          <w:color w:val="0070C0"/>
          <w:sz w:val="22"/>
          <w:szCs w:val="22"/>
        </w:rPr>
      </w:pPr>
      <w:r w:rsidRPr="00826ACA">
        <w:rPr>
          <w:b w:val="0"/>
          <w:bCs w:val="0"/>
          <w:noProof/>
          <w:sz w:val="20"/>
          <w:szCs w:val="6"/>
        </w:rPr>
        <w:drawing>
          <wp:inline distT="0" distB="0" distL="0" distR="0" wp14:anchorId="1C5B5D1F" wp14:editId="45178C2A">
            <wp:extent cx="4025900" cy="2482850"/>
            <wp:effectExtent l="0" t="0" r="0" b="0"/>
            <wp:docPr id="48673" name="Picture 48673"/>
            <wp:cNvGraphicFramePr/>
            <a:graphic xmlns:a="http://schemas.openxmlformats.org/drawingml/2006/main">
              <a:graphicData uri="http://schemas.openxmlformats.org/drawingml/2006/picture">
                <pic:pic xmlns:pic="http://schemas.openxmlformats.org/drawingml/2006/picture">
                  <pic:nvPicPr>
                    <pic:cNvPr id="48673" name="Picture 48673"/>
                    <pic:cNvPicPr/>
                  </pic:nvPicPr>
                  <pic:blipFill>
                    <a:blip r:embed="rId10"/>
                    <a:stretch>
                      <a:fillRect/>
                    </a:stretch>
                  </pic:blipFill>
                  <pic:spPr>
                    <a:xfrm>
                      <a:off x="0" y="0"/>
                      <a:ext cx="4026250" cy="2483066"/>
                    </a:xfrm>
                    <a:prstGeom prst="rect">
                      <a:avLst/>
                    </a:prstGeom>
                  </pic:spPr>
                </pic:pic>
              </a:graphicData>
            </a:graphic>
          </wp:inline>
        </w:drawing>
      </w:r>
    </w:p>
    <w:p w14:paraId="1422C756" w14:textId="77777777" w:rsidR="00826ACA" w:rsidRDefault="00826ACA" w:rsidP="00826ACA">
      <w:pPr>
        <w:widowControl w:val="0"/>
        <w:spacing w:after="0" w:line="360" w:lineRule="auto"/>
        <w:jc w:val="center"/>
        <w:rPr>
          <w:rFonts w:ascii="Times New Roman" w:hAnsi="Times New Roman" w:cs="Times New Roman"/>
          <w:b/>
          <w:color w:val="0070C0"/>
          <w:sz w:val="20"/>
          <w:szCs w:val="20"/>
        </w:rPr>
      </w:pPr>
    </w:p>
    <w:p w14:paraId="05FAAB4B" w14:textId="0DB5C5A0" w:rsidR="00826ACA" w:rsidRPr="00826ACA" w:rsidRDefault="00826ACA" w:rsidP="00826ACA">
      <w:pPr>
        <w:widowControl w:val="0"/>
        <w:spacing w:after="0" w:line="360" w:lineRule="auto"/>
        <w:jc w:val="center"/>
        <w:rPr>
          <w:rFonts w:ascii="Times New Roman" w:hAnsi="Times New Roman" w:cs="Times New Roman"/>
          <w:sz w:val="20"/>
          <w:szCs w:val="20"/>
        </w:rPr>
      </w:pPr>
      <w:r w:rsidRPr="00826ACA">
        <w:rPr>
          <w:rFonts w:ascii="Times New Roman" w:hAnsi="Times New Roman" w:cs="Times New Roman"/>
          <w:b/>
          <w:color w:val="0070C0"/>
          <w:sz w:val="20"/>
          <w:szCs w:val="20"/>
        </w:rPr>
        <w:t xml:space="preserve">Figure 1: </w:t>
      </w:r>
      <w:r w:rsidRPr="00826ACA">
        <w:rPr>
          <w:rFonts w:ascii="Times New Roman" w:hAnsi="Times New Roman" w:cs="Times New Roman"/>
          <w:sz w:val="20"/>
          <w:szCs w:val="20"/>
        </w:rPr>
        <w:t>Molecular Pathogenesis of Actinic Keratosis</w:t>
      </w:r>
      <w:r w:rsidR="008E78C8">
        <w:rPr>
          <w:rFonts w:ascii="Times New Roman" w:hAnsi="Times New Roman" w:cs="Times New Roman"/>
          <w:sz w:val="20"/>
          <w:szCs w:val="20"/>
        </w:rPr>
        <w:t>.</w:t>
      </w:r>
    </w:p>
    <w:p w14:paraId="35D7172C" w14:textId="77777777" w:rsidR="00826ACA" w:rsidRDefault="00826ACA" w:rsidP="00826ACA">
      <w:pPr>
        <w:pStyle w:val="Heading2"/>
        <w:keepNext w:val="0"/>
        <w:keepLines w:val="0"/>
        <w:widowControl w:val="0"/>
        <w:spacing w:before="0" w:line="360" w:lineRule="auto"/>
        <w:jc w:val="both"/>
        <w:rPr>
          <w:rFonts w:ascii="Times New Roman" w:hAnsi="Times New Roman" w:cs="Times New Roman"/>
          <w:sz w:val="20"/>
          <w:szCs w:val="20"/>
        </w:rPr>
      </w:pPr>
    </w:p>
    <w:p w14:paraId="643AD185" w14:textId="2E48271C" w:rsidR="00826ACA" w:rsidRPr="00A72277" w:rsidRDefault="003B5602" w:rsidP="00A72277">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1.4.1. </w:t>
      </w:r>
      <w:r w:rsidR="00826ACA" w:rsidRPr="00826ACA">
        <w:rPr>
          <w:rFonts w:ascii="Times New Roman" w:hAnsi="Times New Roman" w:cs="Times New Roman"/>
          <w:color w:val="0070C0"/>
          <w:sz w:val="20"/>
          <w:szCs w:val="20"/>
        </w:rPr>
        <w:t>Ultraviolet Radiation and DNA Damage</w:t>
      </w:r>
      <w:r w:rsidR="00A72277">
        <w:rPr>
          <w:rFonts w:ascii="Times New Roman" w:hAnsi="Times New Roman" w:cs="Times New Roman"/>
          <w:color w:val="0070C0"/>
          <w:sz w:val="20"/>
          <w:szCs w:val="20"/>
        </w:rPr>
        <w:t xml:space="preserve">: </w:t>
      </w:r>
      <w:r w:rsidR="00826ACA" w:rsidRPr="00A72277">
        <w:rPr>
          <w:rFonts w:ascii="Times New Roman" w:hAnsi="Times New Roman" w:cs="Times New Roman"/>
          <w:b w:val="0"/>
          <w:bCs w:val="0"/>
          <w:color w:val="000000" w:themeColor="text1"/>
          <w:sz w:val="20"/>
          <w:szCs w:val="20"/>
        </w:rPr>
        <w:t xml:space="preserve">Ultraviolet (UV) radiation is the primary environmental driver of AK pathogenesis, with chronic solar exposure driving the molecular events that </w:t>
      </w:r>
      <w:r w:rsidR="00D62A90" w:rsidRPr="00A72277">
        <w:rPr>
          <w:rFonts w:ascii="Times New Roman" w:hAnsi="Times New Roman" w:cs="Times New Roman"/>
          <w:b w:val="0"/>
          <w:bCs w:val="0"/>
          <w:color w:val="000000" w:themeColor="text1"/>
          <w:sz w:val="20"/>
          <w:szCs w:val="20"/>
        </w:rPr>
        <w:t>underline</w:t>
      </w:r>
      <w:r w:rsidR="00826ACA" w:rsidRPr="00A72277">
        <w:rPr>
          <w:rFonts w:ascii="Times New Roman" w:hAnsi="Times New Roman" w:cs="Times New Roman"/>
          <w:b w:val="0"/>
          <w:bCs w:val="0"/>
          <w:color w:val="000000" w:themeColor="text1"/>
          <w:sz w:val="20"/>
          <w:szCs w:val="20"/>
        </w:rPr>
        <w:t xml:space="preserve"> keratinocyte carcinogenesis [46]. UVB radiation directly damages DNA through the formation of </w:t>
      </w:r>
      <w:proofErr w:type="spellStart"/>
      <w:r w:rsidR="00826ACA" w:rsidRPr="00A72277">
        <w:rPr>
          <w:rFonts w:ascii="Times New Roman" w:hAnsi="Times New Roman" w:cs="Times New Roman"/>
          <w:b w:val="0"/>
          <w:bCs w:val="0"/>
          <w:color w:val="000000" w:themeColor="text1"/>
          <w:sz w:val="20"/>
          <w:szCs w:val="20"/>
        </w:rPr>
        <w:t>cyclobutane</w:t>
      </w:r>
      <w:proofErr w:type="spellEnd"/>
      <w:r w:rsidR="00826ACA" w:rsidRPr="00A72277">
        <w:rPr>
          <w:rFonts w:ascii="Times New Roman" w:hAnsi="Times New Roman" w:cs="Times New Roman"/>
          <w:b w:val="0"/>
          <w:bCs w:val="0"/>
          <w:color w:val="000000" w:themeColor="text1"/>
          <w:sz w:val="20"/>
          <w:szCs w:val="20"/>
        </w:rPr>
        <w:t xml:space="preserve"> pyrimidine dimers and 6-4 photoproducts, whereas UVA promotes carcinogenesis indirectly by generating reactive oxygen species (ROS), resulting in oxidative DNA damage, protein oxidation, and lipid peroxidation [35]. Although epidermal keratinocytes possess mechanisms to repair UV-induced DNA damage, repeated UV exposure progressively exceeds its intrinsic repair capacity, allowing mutations to accumulate over time [35]. Persistent UV-induced DNA damage also produces the characteristic UV mutational profile observed in AK and cSCC, providing further evidence of their shared molecular origin [64]. As these genomic alterations accumulate, atypical keratinocyte clones multiply, creating the foundation for progressive malignant transformation [65].</w:t>
      </w:r>
    </w:p>
    <w:p w14:paraId="3F84DA8C" w14:textId="77777777" w:rsidR="00826ACA" w:rsidRPr="00826ACA" w:rsidRDefault="00826ACA" w:rsidP="00826ACA">
      <w:pPr>
        <w:pStyle w:val="Heading2"/>
        <w:keepNext w:val="0"/>
        <w:keepLines w:val="0"/>
        <w:widowControl w:val="0"/>
        <w:spacing w:before="0" w:line="360" w:lineRule="auto"/>
        <w:jc w:val="both"/>
        <w:rPr>
          <w:rFonts w:ascii="Times New Roman" w:hAnsi="Times New Roman" w:cs="Times New Roman"/>
          <w:sz w:val="20"/>
          <w:szCs w:val="20"/>
        </w:rPr>
      </w:pPr>
    </w:p>
    <w:p w14:paraId="5F045A8F" w14:textId="19B9EAA4" w:rsidR="00826ACA" w:rsidRPr="00A72277" w:rsidRDefault="003B5602" w:rsidP="00A72277">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1.4.2. </w:t>
      </w:r>
      <w:r w:rsidR="00826ACA" w:rsidRPr="00826ACA">
        <w:rPr>
          <w:rFonts w:ascii="Times New Roman" w:hAnsi="Times New Roman" w:cs="Times New Roman"/>
          <w:color w:val="0070C0"/>
          <w:sz w:val="20"/>
          <w:szCs w:val="20"/>
        </w:rPr>
        <w:t>Initial Genetic Modifications</w:t>
      </w:r>
      <w:r w:rsidR="00A72277">
        <w:rPr>
          <w:rFonts w:ascii="Times New Roman" w:hAnsi="Times New Roman" w:cs="Times New Roman"/>
          <w:color w:val="0070C0"/>
          <w:sz w:val="20"/>
          <w:szCs w:val="20"/>
        </w:rPr>
        <w:t xml:space="preserve">: </w:t>
      </w:r>
      <w:r w:rsidR="00826ACA" w:rsidRPr="00A72277">
        <w:rPr>
          <w:rFonts w:ascii="Times New Roman" w:hAnsi="Times New Roman" w:cs="Times New Roman"/>
          <w:b w:val="0"/>
          <w:bCs w:val="0"/>
          <w:color w:val="000000" w:themeColor="text1"/>
          <w:sz w:val="20"/>
          <w:szCs w:val="20"/>
        </w:rPr>
        <w:t>The earliest and most frequent molecular event in AK development is mutation of the TP53 tumor suppressor gene. Under stable and normal conditions, the p53 protein preserves genomic stability by coordinating DNA repair, cell-cycle arrest, and apoptosis in response to DNA damage [66,67].</w:t>
      </w:r>
      <w:r w:rsidR="00B670E8" w:rsidRPr="00A72277">
        <w:rPr>
          <w:rFonts w:ascii="Times New Roman" w:hAnsi="Times New Roman" w:cs="Times New Roman"/>
          <w:b w:val="0"/>
          <w:bCs w:val="0"/>
          <w:color w:val="000000" w:themeColor="text1"/>
          <w:sz w:val="20"/>
          <w:szCs w:val="20"/>
        </w:rPr>
        <w:t xml:space="preserve"> </w:t>
      </w:r>
      <w:r w:rsidR="00826ACA" w:rsidRPr="00A72277">
        <w:rPr>
          <w:rFonts w:ascii="Times New Roman" w:hAnsi="Times New Roman" w:cs="Times New Roman"/>
          <w:b w:val="0"/>
          <w:bCs w:val="0"/>
          <w:color w:val="000000" w:themeColor="text1"/>
          <w:sz w:val="20"/>
          <w:szCs w:val="20"/>
        </w:rPr>
        <w:t>Ultraviolet-induced mutations in TP53 impair these protective functions, allowing for genetically damaged keratinocytes to evade apoptosis, continue proliferating, and acquire additional oncogenic alterations [68].</w:t>
      </w:r>
      <w:r w:rsidR="00B670E8" w:rsidRPr="00A72277">
        <w:rPr>
          <w:rFonts w:ascii="Times New Roman" w:hAnsi="Times New Roman" w:cs="Times New Roman"/>
          <w:b w:val="0"/>
          <w:bCs w:val="0"/>
          <w:color w:val="000000" w:themeColor="text1"/>
          <w:sz w:val="20"/>
          <w:szCs w:val="20"/>
        </w:rPr>
        <w:t xml:space="preserve"> </w:t>
      </w:r>
      <w:r w:rsidR="00826ACA" w:rsidRPr="00A72277">
        <w:rPr>
          <w:rFonts w:ascii="Times New Roman" w:hAnsi="Times New Roman" w:cs="Times New Roman"/>
          <w:b w:val="0"/>
          <w:bCs w:val="0"/>
          <w:color w:val="000000" w:themeColor="text1"/>
          <w:sz w:val="20"/>
          <w:szCs w:val="20"/>
        </w:rPr>
        <w:t xml:space="preserve">TP53 mutations are therefore considered one of </w:t>
      </w:r>
      <w:r w:rsidR="00826ACA" w:rsidRPr="00A72277">
        <w:rPr>
          <w:rFonts w:ascii="Times New Roman" w:hAnsi="Times New Roman" w:cs="Times New Roman"/>
          <w:b w:val="0"/>
          <w:bCs w:val="0"/>
          <w:color w:val="000000" w:themeColor="text1"/>
          <w:sz w:val="20"/>
          <w:szCs w:val="20"/>
        </w:rPr>
        <w:lastRenderedPageBreak/>
        <w:t>the defining molecular hallmarks of both AK and cutaneous squamous cell carcinoma [68]. Disruption of NOTCH signaling pathways also plays an important role in AK development [69]. NOTCH signaling physiologically promotes keratinocyte differentiation while limiting excessive epidermal proliferation, thereby maintaining normal epidermal homeostasis [70].</w:t>
      </w:r>
      <w:r w:rsidR="00B670E8" w:rsidRPr="00A72277">
        <w:rPr>
          <w:rFonts w:ascii="Times New Roman" w:hAnsi="Times New Roman" w:cs="Times New Roman"/>
          <w:b w:val="0"/>
          <w:bCs w:val="0"/>
          <w:color w:val="000000" w:themeColor="text1"/>
          <w:sz w:val="20"/>
          <w:szCs w:val="20"/>
        </w:rPr>
        <w:t xml:space="preserve"> </w:t>
      </w:r>
      <w:r w:rsidR="00826ACA" w:rsidRPr="00A72277">
        <w:rPr>
          <w:rFonts w:ascii="Times New Roman" w:hAnsi="Times New Roman" w:cs="Times New Roman"/>
          <w:b w:val="0"/>
          <w:bCs w:val="0"/>
          <w:color w:val="000000" w:themeColor="text1"/>
          <w:sz w:val="20"/>
          <w:szCs w:val="20"/>
        </w:rPr>
        <w:t>Loss of this regulatory signaling favors the clonal expansion of atypical keratinocytes and facilitates progression toward invasive carcinoma [71]. Beyond TP53 and NOTCH, modifications involving genes that control cell-cycle progression, apoptosis, and epidermal differentiation further contribute to the biologic heterogeneity that characterize AK lesions [72].</w:t>
      </w:r>
    </w:p>
    <w:p w14:paraId="4513197C" w14:textId="77777777" w:rsidR="00826ACA" w:rsidRPr="00A72277" w:rsidRDefault="00826ACA" w:rsidP="00826ACA">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p>
    <w:p w14:paraId="4F487251" w14:textId="12B3AC6B" w:rsidR="00826ACA" w:rsidRPr="00A72277" w:rsidRDefault="003B5602" w:rsidP="00A72277">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1.4.3. </w:t>
      </w:r>
      <w:r w:rsidR="00826ACA" w:rsidRPr="00826ACA">
        <w:rPr>
          <w:rFonts w:ascii="Times New Roman" w:hAnsi="Times New Roman" w:cs="Times New Roman"/>
          <w:color w:val="0070C0"/>
          <w:sz w:val="20"/>
          <w:szCs w:val="20"/>
        </w:rPr>
        <w:t>Oxidative Stress and Chronic Inflammation</w:t>
      </w:r>
      <w:r w:rsidR="00A72277">
        <w:rPr>
          <w:rFonts w:ascii="Times New Roman" w:hAnsi="Times New Roman" w:cs="Times New Roman"/>
          <w:color w:val="0070C0"/>
          <w:sz w:val="20"/>
          <w:szCs w:val="20"/>
        </w:rPr>
        <w:t xml:space="preserve">: </w:t>
      </w:r>
      <w:r w:rsidR="00826ACA" w:rsidRPr="00A72277">
        <w:rPr>
          <w:rFonts w:ascii="Times New Roman" w:hAnsi="Times New Roman" w:cs="Times New Roman"/>
          <w:b w:val="0"/>
          <w:bCs w:val="0"/>
          <w:color w:val="000000" w:themeColor="text1"/>
          <w:sz w:val="20"/>
          <w:szCs w:val="20"/>
        </w:rPr>
        <w:t>Oxidative stress and chronic inflammation result in cellular damage from unstable molecules and long-term tissue swelling, which act as core drivers in starting many long-term illnesses [73-88]. While UV exposure causes direct genomic injury, it also creates a sustained state of oxidative stress within the epidermis [89]. Reactive oxygen species (ROS) activate multiple intracellular signaling pathways that promote cellular proliferation, inflammatory mediator production, extracellular matrix remodeling, and resistance to apoptosis [80-82,89,90]. Collectively, these processes exacerbate keratinocyte dysregulation and drive progressive tissue damage [89,91]. In parallel, UV radiation establishes a chronic inflammatory microenvironment marked by increased chemokines, matrix-remodeling enzymes, and pro-inflammatory cytokines [32,92]. Continuous inflammation fuels additional DNA damage, leading to clonal selection of genetically altered keratinocytes, and enables dysplastic cell populations to expand within fields of cancerization [92]. As a result, AK is increasingly understood as a disease driven not just by accumulated mutations, but by chronic inflammatory signaling as well [92].</w:t>
      </w:r>
    </w:p>
    <w:p w14:paraId="29565FB3" w14:textId="77777777" w:rsidR="00826ACA" w:rsidRPr="00A72277" w:rsidRDefault="00826ACA" w:rsidP="00826ACA">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p>
    <w:p w14:paraId="72DD0E4E" w14:textId="0C82C9E0" w:rsidR="00826ACA" w:rsidRPr="00A72277" w:rsidRDefault="003B5602" w:rsidP="00A72277">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1.4.4. </w:t>
      </w:r>
      <w:r w:rsidR="00826ACA" w:rsidRPr="00826ACA">
        <w:rPr>
          <w:rFonts w:ascii="Times New Roman" w:hAnsi="Times New Roman" w:cs="Times New Roman"/>
          <w:color w:val="0070C0"/>
          <w:sz w:val="20"/>
          <w:szCs w:val="20"/>
        </w:rPr>
        <w:t>Immune Dysregulation and Immune Escape</w:t>
      </w:r>
      <w:r w:rsidR="00A72277">
        <w:rPr>
          <w:rFonts w:ascii="Times New Roman" w:hAnsi="Times New Roman" w:cs="Times New Roman"/>
          <w:color w:val="0070C0"/>
          <w:sz w:val="20"/>
          <w:szCs w:val="20"/>
        </w:rPr>
        <w:t xml:space="preserve">: </w:t>
      </w:r>
      <w:r w:rsidR="00826ACA" w:rsidRPr="00A72277">
        <w:rPr>
          <w:rFonts w:ascii="Times New Roman" w:hAnsi="Times New Roman" w:cs="Times New Roman"/>
          <w:b w:val="0"/>
          <w:bCs w:val="0"/>
          <w:color w:val="000000" w:themeColor="text1"/>
          <w:sz w:val="20"/>
          <w:szCs w:val="20"/>
        </w:rPr>
        <w:t>Physiologically, the immune system plays a critical role in eliminating UV-induced keratinocytes, clearing them before they can undergo malignant transformation. However, persistent UV exposure perturbs this protective function by impairing cutaneous immune surveillance, including suppression of antigen presentation, reduced antitumor immune responses, and alterations in cytokine production [93,94]. Consequently, atypical keratinocyte clones evade immune-mediated clearance and persist within chronically photodamaged skin [93,94]. The lack of immune control is most pronounced in immunosuppressed patients, who exhibit elevated rates of AK development, recurrence, and progression to invasive cSCC [30,95].</w:t>
      </w:r>
    </w:p>
    <w:p w14:paraId="257ABB73" w14:textId="77777777" w:rsidR="00826ACA" w:rsidRPr="00826ACA" w:rsidRDefault="00826ACA" w:rsidP="00826ACA">
      <w:pPr>
        <w:pStyle w:val="Heading2"/>
        <w:keepNext w:val="0"/>
        <w:keepLines w:val="0"/>
        <w:widowControl w:val="0"/>
        <w:spacing w:before="0" w:line="360" w:lineRule="auto"/>
        <w:jc w:val="both"/>
        <w:rPr>
          <w:rFonts w:ascii="Times New Roman" w:hAnsi="Times New Roman" w:cs="Times New Roman"/>
          <w:sz w:val="20"/>
          <w:szCs w:val="20"/>
        </w:rPr>
      </w:pPr>
    </w:p>
    <w:p w14:paraId="7A11F946" w14:textId="61296B16" w:rsidR="00826ACA" w:rsidRPr="00A72277" w:rsidRDefault="003B5602" w:rsidP="00A72277">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1.4.5. </w:t>
      </w:r>
      <w:r w:rsidR="00826ACA" w:rsidRPr="00826ACA">
        <w:rPr>
          <w:rFonts w:ascii="Times New Roman" w:hAnsi="Times New Roman" w:cs="Times New Roman"/>
          <w:color w:val="0070C0"/>
          <w:sz w:val="20"/>
          <w:szCs w:val="20"/>
        </w:rPr>
        <w:t>Field Cancerization and Clonal Evolution</w:t>
      </w:r>
      <w:r w:rsidR="00A72277" w:rsidRPr="00A72277">
        <w:rPr>
          <w:rFonts w:ascii="Times New Roman" w:hAnsi="Times New Roman" w:cs="Times New Roman"/>
          <w:b w:val="0"/>
          <w:bCs w:val="0"/>
          <w:color w:val="000000" w:themeColor="text1"/>
          <w:sz w:val="20"/>
          <w:szCs w:val="20"/>
        </w:rPr>
        <w:t xml:space="preserve">: </w:t>
      </w:r>
      <w:r w:rsidR="00826ACA" w:rsidRPr="00A72277">
        <w:rPr>
          <w:rFonts w:ascii="Times New Roman" w:hAnsi="Times New Roman" w:cs="Times New Roman"/>
          <w:b w:val="0"/>
          <w:bCs w:val="0"/>
          <w:color w:val="000000" w:themeColor="text1"/>
          <w:sz w:val="20"/>
          <w:szCs w:val="20"/>
        </w:rPr>
        <w:t xml:space="preserve">Field cancerization stands as one of the central biologic concepts underlying AK </w:t>
      </w:r>
      <w:proofErr w:type="gramStart"/>
      <w:r w:rsidR="00826ACA" w:rsidRPr="00A72277">
        <w:rPr>
          <w:rFonts w:ascii="Times New Roman" w:hAnsi="Times New Roman" w:cs="Times New Roman"/>
          <w:b w:val="0"/>
          <w:bCs w:val="0"/>
          <w:color w:val="000000" w:themeColor="text1"/>
          <w:sz w:val="20"/>
          <w:szCs w:val="20"/>
        </w:rPr>
        <w:t>pathogenesis</w:t>
      </w:r>
      <w:proofErr w:type="gramEnd"/>
      <w:r w:rsidR="00826ACA" w:rsidRPr="00A72277">
        <w:rPr>
          <w:rFonts w:ascii="Times New Roman" w:hAnsi="Times New Roman" w:cs="Times New Roman"/>
          <w:b w:val="0"/>
          <w:bCs w:val="0"/>
          <w:color w:val="000000" w:themeColor="text1"/>
          <w:sz w:val="20"/>
          <w:szCs w:val="20"/>
        </w:rPr>
        <w:t xml:space="preserve"> [96,97].</w:t>
      </w:r>
      <w:r w:rsidR="00B670E8" w:rsidRPr="00A72277">
        <w:rPr>
          <w:rFonts w:ascii="Times New Roman" w:hAnsi="Times New Roman" w:cs="Times New Roman"/>
          <w:b w:val="0"/>
          <w:bCs w:val="0"/>
          <w:color w:val="000000" w:themeColor="text1"/>
          <w:sz w:val="20"/>
          <w:szCs w:val="20"/>
        </w:rPr>
        <w:t xml:space="preserve"> </w:t>
      </w:r>
      <w:r w:rsidR="00826ACA" w:rsidRPr="00A72277">
        <w:rPr>
          <w:rFonts w:ascii="Times New Roman" w:hAnsi="Times New Roman" w:cs="Times New Roman"/>
          <w:b w:val="0"/>
          <w:bCs w:val="0"/>
          <w:color w:val="000000" w:themeColor="text1"/>
          <w:sz w:val="20"/>
          <w:szCs w:val="20"/>
        </w:rPr>
        <w:t>This phenomenon describes how clinically visible lesions emerge from within a broader region of sun-damaged skin that contains genetic alterations despite appearing clinically normal [97,98].</w:t>
      </w:r>
      <w:r w:rsidR="00B670E8" w:rsidRPr="00A72277">
        <w:rPr>
          <w:rFonts w:ascii="Times New Roman" w:hAnsi="Times New Roman" w:cs="Times New Roman"/>
          <w:b w:val="0"/>
          <w:bCs w:val="0"/>
          <w:color w:val="000000" w:themeColor="text1"/>
          <w:sz w:val="20"/>
          <w:szCs w:val="20"/>
        </w:rPr>
        <w:t xml:space="preserve"> </w:t>
      </w:r>
      <w:r w:rsidR="00826ACA" w:rsidRPr="00A72277">
        <w:rPr>
          <w:rFonts w:ascii="Times New Roman" w:hAnsi="Times New Roman" w:cs="Times New Roman"/>
          <w:b w:val="0"/>
          <w:bCs w:val="0"/>
          <w:color w:val="000000" w:themeColor="text1"/>
          <w:sz w:val="20"/>
          <w:szCs w:val="20"/>
        </w:rPr>
        <w:t>Rather than arising as isolated neoplasms, AKs develop from multiple independent clones of UV-damaged keratinocytes that compete and evolve over time and individually accumulate additional molecular changes [97]. This mechanism explains the frequent development of new lesions even after successful treatment of AKs and emphasizes the importance for field-directed therapy over treatment limited to individual lesions [98,99].</w:t>
      </w:r>
    </w:p>
    <w:p w14:paraId="1E94F854" w14:textId="77777777" w:rsidR="00826ACA" w:rsidRPr="00A72277" w:rsidRDefault="00826ACA" w:rsidP="00826ACA">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p>
    <w:p w14:paraId="3DB0F7A1" w14:textId="25C984C2" w:rsidR="00826ACA" w:rsidRPr="00A72277" w:rsidRDefault="003B5602" w:rsidP="00A72277">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1.4.6. </w:t>
      </w:r>
      <w:r w:rsidR="00826ACA" w:rsidRPr="00826ACA">
        <w:rPr>
          <w:rFonts w:ascii="Times New Roman" w:hAnsi="Times New Roman" w:cs="Times New Roman"/>
          <w:color w:val="0070C0"/>
          <w:sz w:val="20"/>
          <w:szCs w:val="20"/>
        </w:rPr>
        <w:t>Evolving Molecular Insights</w:t>
      </w:r>
      <w:r w:rsidR="00A72277">
        <w:rPr>
          <w:rFonts w:ascii="Times New Roman" w:hAnsi="Times New Roman" w:cs="Times New Roman"/>
          <w:color w:val="0070C0"/>
          <w:sz w:val="20"/>
          <w:szCs w:val="20"/>
        </w:rPr>
        <w:t xml:space="preserve">: </w:t>
      </w:r>
      <w:r w:rsidR="00826ACA" w:rsidRPr="00A72277">
        <w:rPr>
          <w:rFonts w:ascii="Times New Roman" w:hAnsi="Times New Roman" w:cs="Times New Roman"/>
          <w:b w:val="0"/>
          <w:bCs w:val="0"/>
          <w:color w:val="000000" w:themeColor="text1"/>
          <w:sz w:val="20"/>
          <w:szCs w:val="20"/>
        </w:rPr>
        <w:t xml:space="preserve">Advances in single-cell RNA sequencing and transcriptomic profiling have uncovered substantial molecular heterogeneity between different AK lesions [58,100]. Individual lesions differ in </w:t>
      </w:r>
      <w:r w:rsidR="00826ACA" w:rsidRPr="00A72277">
        <w:rPr>
          <w:rFonts w:ascii="Times New Roman" w:hAnsi="Times New Roman" w:cs="Times New Roman"/>
          <w:b w:val="0"/>
          <w:bCs w:val="0"/>
          <w:color w:val="000000" w:themeColor="text1"/>
          <w:sz w:val="20"/>
          <w:szCs w:val="20"/>
        </w:rPr>
        <w:lastRenderedPageBreak/>
        <w:t xml:space="preserve">keratinocyte differentiation patterns, immune cell-infiltration, inflammatory signaling, and gene-expression profiles, indicating that AKs are not molecularly identical and differ in their risk of malignant progression [58]. These technologies have begun to identify potential biomarkers that could enhance risk stratification and encourage more personalized treatment approaches [100]. However, clinical evidence remains insufficient for routine use, and future studies are needed before molecular profiling can be integrated into standard management practices [101]. </w:t>
      </w:r>
    </w:p>
    <w:p w14:paraId="4918C211" w14:textId="77777777" w:rsidR="00826ACA" w:rsidRPr="00826ACA" w:rsidRDefault="00826ACA" w:rsidP="00826ACA">
      <w:pPr>
        <w:pStyle w:val="Heading1"/>
        <w:widowControl w:val="0"/>
        <w:spacing w:before="0" w:beforeAutospacing="0" w:after="0" w:afterAutospacing="0" w:line="360" w:lineRule="auto"/>
        <w:jc w:val="both"/>
        <w:rPr>
          <w:sz w:val="20"/>
          <w:szCs w:val="20"/>
        </w:rPr>
      </w:pPr>
    </w:p>
    <w:p w14:paraId="55D9D333" w14:textId="0B3F8EAC" w:rsidR="00826ACA" w:rsidRPr="00826ACA" w:rsidRDefault="003B5602" w:rsidP="00826ACA">
      <w:pPr>
        <w:pStyle w:val="Heading1"/>
        <w:widowControl w:val="0"/>
        <w:spacing w:before="0" w:beforeAutospacing="0" w:after="0" w:afterAutospacing="0" w:line="360" w:lineRule="auto"/>
        <w:jc w:val="both"/>
        <w:rPr>
          <w:b w:val="0"/>
          <w:bCs w:val="0"/>
          <w:color w:val="0070C0"/>
          <w:sz w:val="20"/>
          <w:szCs w:val="20"/>
        </w:rPr>
      </w:pPr>
      <w:r>
        <w:rPr>
          <w:color w:val="0070C0"/>
          <w:sz w:val="20"/>
          <w:szCs w:val="20"/>
        </w:rPr>
        <w:t xml:space="preserve">1.5. </w:t>
      </w:r>
      <w:r w:rsidR="00826ACA" w:rsidRPr="00826ACA">
        <w:rPr>
          <w:color w:val="0070C0"/>
          <w:sz w:val="20"/>
          <w:szCs w:val="20"/>
        </w:rPr>
        <w:t xml:space="preserve">Risk Stratification </w:t>
      </w:r>
    </w:p>
    <w:p w14:paraId="2088413E" w14:textId="716F4F1B" w:rsidR="00826ACA" w:rsidRPr="00826ACA" w:rsidRDefault="00826ACA" w:rsidP="00826ACA">
      <w:pPr>
        <w:widowControl w:val="0"/>
        <w:spacing w:after="0" w:line="360" w:lineRule="auto"/>
        <w:jc w:val="both"/>
        <w:rPr>
          <w:rFonts w:ascii="Times New Roman" w:hAnsi="Times New Roman" w:cs="Times New Roman"/>
          <w:sz w:val="20"/>
          <w:szCs w:val="20"/>
        </w:rPr>
      </w:pPr>
      <w:r w:rsidRPr="00826ACA">
        <w:rPr>
          <w:rFonts w:ascii="Times New Roman" w:hAnsi="Times New Roman" w:cs="Times New Roman"/>
          <w:sz w:val="20"/>
          <w:szCs w:val="20"/>
        </w:rPr>
        <w:t xml:space="preserve">Risk stratification in actinic keratosis holds clinical value; however, it remains an unreliable practice. Current approaches cannot reliably predict whether a specific lesion will regress spontaneously, persist, or progress towards invasive cutaneous squamous cell carcinoma [1,14] </w:t>
      </w:r>
      <w:r w:rsidRPr="00826ACA">
        <w:rPr>
          <w:rFonts w:ascii="Times New Roman" w:hAnsi="Times New Roman" w:cs="Times New Roman"/>
          <w:bCs/>
          <w:sz w:val="20"/>
          <w:szCs w:val="20"/>
        </w:rPr>
        <w:t>(Figure 2).</w:t>
      </w:r>
      <w:r w:rsidRPr="00826ACA">
        <w:rPr>
          <w:rFonts w:ascii="Times New Roman" w:hAnsi="Times New Roman" w:cs="Times New Roman"/>
          <w:sz w:val="20"/>
          <w:szCs w:val="20"/>
        </w:rPr>
        <w:t xml:space="preserve"> In the absence of that certainty, clinicians draw on a combination of factors, including features of the lesion itself, patient-specific risk factors, and overall burden of field disease, to estimate the risk of malignant progression and guide treatment approach [14]. Emerging literature suggests numerous variables associated with increased cSCC risk, including male sex, advanced age, lesion location, prior history of keratinocyte carcinoma, degree of dysplasia, and use of immunosuppressive medications [53]. However, these associations are present at the population level and do not provide lesion-specific predictions for an individual patient [21].</w:t>
      </w:r>
    </w:p>
    <w:p w14:paraId="6E65E985" w14:textId="77777777" w:rsidR="00324410" w:rsidRDefault="00324410" w:rsidP="00826ACA">
      <w:pPr>
        <w:pStyle w:val="Heading1"/>
        <w:spacing w:before="0" w:beforeAutospacing="0" w:after="0" w:afterAutospacing="0" w:line="360" w:lineRule="auto"/>
        <w:jc w:val="both"/>
        <w:rPr>
          <w:rFonts w:eastAsia="Calibri"/>
          <w:color w:val="0070C0"/>
          <w:sz w:val="20"/>
          <w:szCs w:val="20"/>
        </w:rPr>
      </w:pPr>
    </w:p>
    <w:p w14:paraId="6AD0D5A9" w14:textId="4B0E9239" w:rsidR="00487EF0" w:rsidRPr="00826ACA" w:rsidRDefault="00487EF0" w:rsidP="00487EF0">
      <w:pPr>
        <w:pStyle w:val="Heading1"/>
        <w:spacing w:before="0" w:beforeAutospacing="0" w:after="0" w:afterAutospacing="0" w:line="360" w:lineRule="auto"/>
        <w:jc w:val="center"/>
        <w:rPr>
          <w:rFonts w:eastAsia="Calibri"/>
          <w:color w:val="0070C0"/>
          <w:sz w:val="20"/>
          <w:szCs w:val="20"/>
        </w:rPr>
      </w:pPr>
      <w:r>
        <w:rPr>
          <w:rFonts w:eastAsia="Calibri"/>
          <w:noProof/>
          <w:color w:val="0070C0"/>
          <w:sz w:val="20"/>
          <w:szCs w:val="20"/>
        </w:rPr>
        <w:drawing>
          <wp:inline distT="0" distB="0" distL="0" distR="0" wp14:anchorId="3ADF9154" wp14:editId="66790054">
            <wp:extent cx="3962400" cy="2743200"/>
            <wp:effectExtent l="0" t="0" r="0" b="0"/>
            <wp:docPr id="1157496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62400" cy="2743200"/>
                    </a:xfrm>
                    <a:prstGeom prst="rect">
                      <a:avLst/>
                    </a:prstGeom>
                    <a:noFill/>
                    <a:ln>
                      <a:noFill/>
                    </a:ln>
                  </pic:spPr>
                </pic:pic>
              </a:graphicData>
            </a:graphic>
          </wp:inline>
        </w:drawing>
      </w:r>
    </w:p>
    <w:p w14:paraId="16A5DE6B" w14:textId="77777777" w:rsidR="00324410" w:rsidRPr="00826ACA" w:rsidRDefault="00324410" w:rsidP="00826ACA">
      <w:pPr>
        <w:pStyle w:val="Heading1"/>
        <w:spacing w:before="0" w:beforeAutospacing="0" w:after="0" w:afterAutospacing="0" w:line="360" w:lineRule="auto"/>
        <w:jc w:val="both"/>
        <w:rPr>
          <w:rFonts w:eastAsia="Calibri"/>
          <w:color w:val="0070C0"/>
          <w:sz w:val="20"/>
          <w:szCs w:val="20"/>
        </w:rPr>
      </w:pPr>
    </w:p>
    <w:p w14:paraId="42046B8B" w14:textId="4744A87D" w:rsidR="00487EF0" w:rsidRPr="00487EF0" w:rsidRDefault="00487EF0" w:rsidP="00487EF0">
      <w:pPr>
        <w:widowControl w:val="0"/>
        <w:spacing w:after="0" w:line="360" w:lineRule="auto"/>
        <w:jc w:val="center"/>
        <w:rPr>
          <w:rFonts w:ascii="Times New Roman" w:hAnsi="Times New Roman" w:cs="Times New Roman"/>
          <w:sz w:val="20"/>
          <w:szCs w:val="20"/>
        </w:rPr>
      </w:pPr>
      <w:r w:rsidRPr="00487EF0">
        <w:rPr>
          <w:rFonts w:ascii="Times New Roman" w:hAnsi="Times New Roman" w:cs="Times New Roman"/>
          <w:b/>
          <w:color w:val="0070C0"/>
          <w:sz w:val="20"/>
          <w:szCs w:val="20"/>
        </w:rPr>
        <w:t>Figure 2:</w:t>
      </w:r>
      <w:r w:rsidR="00B670E8">
        <w:rPr>
          <w:rFonts w:ascii="Times New Roman" w:hAnsi="Times New Roman" w:cs="Times New Roman"/>
          <w:b/>
          <w:color w:val="0070C0"/>
          <w:sz w:val="20"/>
          <w:szCs w:val="20"/>
        </w:rPr>
        <w:t xml:space="preserve"> </w:t>
      </w:r>
      <w:r w:rsidRPr="00487EF0">
        <w:rPr>
          <w:rFonts w:ascii="Times New Roman" w:hAnsi="Times New Roman" w:cs="Times New Roman"/>
          <w:sz w:val="20"/>
          <w:szCs w:val="20"/>
        </w:rPr>
        <w:t>Progression of AK to cutaneous squamous cell carcinoma (cSCC) is influenced by multiple clinical, histopathologic, and molecular factors; however, no single method can reliably predict which individual lesions will progress to invasive disease.</w:t>
      </w:r>
    </w:p>
    <w:p w14:paraId="3E9E7AAE" w14:textId="77777777" w:rsidR="00487EF0" w:rsidRPr="00487EF0" w:rsidRDefault="00487EF0" w:rsidP="00487EF0">
      <w:pPr>
        <w:widowControl w:val="0"/>
        <w:spacing w:after="0" w:line="360" w:lineRule="auto"/>
        <w:jc w:val="both"/>
        <w:rPr>
          <w:rFonts w:ascii="Times New Roman" w:hAnsi="Times New Roman" w:cs="Times New Roman"/>
          <w:sz w:val="20"/>
          <w:szCs w:val="20"/>
        </w:rPr>
      </w:pPr>
      <w:r w:rsidRPr="00487EF0">
        <w:rPr>
          <w:rFonts w:ascii="Times New Roman" w:hAnsi="Times New Roman" w:cs="Times New Roman"/>
          <w:sz w:val="20"/>
          <w:szCs w:val="20"/>
        </w:rPr>
        <w:t xml:space="preserve"> </w:t>
      </w:r>
    </w:p>
    <w:p w14:paraId="5CA22D8D" w14:textId="58024A02" w:rsidR="00487EF0" w:rsidRPr="00487EF0" w:rsidRDefault="00487EF0" w:rsidP="00487EF0">
      <w:pPr>
        <w:widowControl w:val="0"/>
        <w:spacing w:after="0" w:line="360" w:lineRule="auto"/>
        <w:jc w:val="both"/>
        <w:rPr>
          <w:rFonts w:ascii="Times New Roman" w:hAnsi="Times New Roman" w:cs="Times New Roman"/>
          <w:sz w:val="20"/>
          <w:szCs w:val="20"/>
        </w:rPr>
      </w:pPr>
      <w:r w:rsidRPr="00487EF0">
        <w:rPr>
          <w:rFonts w:ascii="Times New Roman" w:hAnsi="Times New Roman" w:cs="Times New Roman"/>
          <w:sz w:val="20"/>
          <w:szCs w:val="20"/>
        </w:rPr>
        <w:t>The Actinic Keratosis Area and Severity Index (AKASI) provide clinicians an accurate method to quantify AK severity [102].</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It functions by assessing how much of the scalp, forehead, cheek, and chin areas are affected, while also accounting for distribution, thickness, and erythema [102].</w:t>
      </w:r>
      <w:r>
        <w:rPr>
          <w:rFonts w:ascii="Times New Roman" w:hAnsi="Times New Roman" w:cs="Times New Roman"/>
          <w:sz w:val="20"/>
          <w:szCs w:val="20"/>
        </w:rPr>
        <w:t xml:space="preserve"> </w:t>
      </w:r>
      <w:r w:rsidRPr="00487EF0">
        <w:rPr>
          <w:rFonts w:ascii="Times New Roman" w:hAnsi="Times New Roman" w:cs="Times New Roman"/>
          <w:sz w:val="20"/>
          <w:szCs w:val="20"/>
        </w:rPr>
        <w:t xml:space="preserve">Together, these factors produce a score ranging from 0 to 18 </w:t>
      </w:r>
      <w:r w:rsidRPr="00487EF0">
        <w:rPr>
          <w:rFonts w:ascii="Times New Roman" w:hAnsi="Times New Roman" w:cs="Times New Roman"/>
          <w:sz w:val="20"/>
          <w:szCs w:val="20"/>
        </w:rPr>
        <w:lastRenderedPageBreak/>
        <w:t>[102].</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However, a comprehensive 2024 epidemiology and risk factors review identified drawbacks [21].</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Both AKASI and the related AK Field Assessment Scale (AK-FAS) are time-consuming and have not yet been sufficiently evaluated in large, prospective studies for predicting cSCC risk [21].</w:t>
      </w:r>
      <w:r>
        <w:rPr>
          <w:rFonts w:ascii="Times New Roman" w:hAnsi="Times New Roman" w:cs="Times New Roman"/>
          <w:sz w:val="20"/>
          <w:szCs w:val="20"/>
        </w:rPr>
        <w:t xml:space="preserve"> </w:t>
      </w:r>
      <w:r w:rsidRPr="00487EF0">
        <w:rPr>
          <w:rFonts w:ascii="Times New Roman" w:hAnsi="Times New Roman" w:cs="Times New Roman"/>
          <w:sz w:val="20"/>
          <w:szCs w:val="20"/>
        </w:rPr>
        <w:t>At the individual lesion level, AKs that are thick, indurated, hyperkeratotic, tender, bleeding, rapidly growing, or resistant to treatment can indicate progression toward in situ or invasive squamous cell carcinoma [60]. Clinically, hyperkeratosis and palpability are captured using the Olsen grading scheme, which characterizes AK lesions into grades I-III [103].</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 xml:space="preserve">Histologic grading provides further insight as well [103]. The </w:t>
      </w:r>
      <w:proofErr w:type="spellStart"/>
      <w:r w:rsidRPr="00487EF0">
        <w:rPr>
          <w:rFonts w:ascii="Times New Roman" w:hAnsi="Times New Roman" w:cs="Times New Roman"/>
          <w:sz w:val="20"/>
          <w:szCs w:val="20"/>
        </w:rPr>
        <w:t>Roewert</w:t>
      </w:r>
      <w:proofErr w:type="spellEnd"/>
      <w:r w:rsidRPr="00487EF0">
        <w:rPr>
          <w:rFonts w:ascii="Times New Roman" w:hAnsi="Times New Roman" w:cs="Times New Roman"/>
          <w:sz w:val="20"/>
          <w:szCs w:val="20"/>
        </w:rPr>
        <w:t>-Huber also classifies AK lesions into grades I-III based on the vertical extent of atypical keratinocytes within the epidermis [103].</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However, there is a weak correlation between Roewert-Huber histologic grade and Olsen clinical grade, suggesting that clinical grading alone should not be used to estimate histologic severity [103]. Biopsy and clinical inspection each have limitations because visible AKs represent only a portion of a larger field of UV- damaged skin, and a single biopsy cannot capture the molecular heterogeneity present throughout the entire field [97].</w:t>
      </w:r>
      <w:r>
        <w:rPr>
          <w:rFonts w:ascii="Times New Roman" w:hAnsi="Times New Roman" w:cs="Times New Roman"/>
          <w:sz w:val="20"/>
          <w:szCs w:val="20"/>
        </w:rPr>
        <w:t xml:space="preserve"> </w:t>
      </w:r>
      <w:r w:rsidRPr="00487EF0">
        <w:rPr>
          <w:rFonts w:ascii="Times New Roman" w:hAnsi="Times New Roman" w:cs="Times New Roman"/>
          <w:sz w:val="20"/>
          <w:szCs w:val="20"/>
        </w:rPr>
        <w:t>Patient-level risk factors are equally important to consider in risk assessment. Individuals with numerous AKs, a history of basal cell carcinoma or cutaneous squamous cell carcinoma, widespread photodamage, or chronic immunosuppression encounter a greater cumulative risk than those with isolated lesions [53,104].</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 xml:space="preserve">Medicare also </w:t>
      </w:r>
      <w:r w:rsidR="00D62A90" w:rsidRPr="00487EF0">
        <w:rPr>
          <w:rFonts w:ascii="Times New Roman" w:hAnsi="Times New Roman" w:cs="Times New Roman"/>
          <w:sz w:val="20"/>
          <w:szCs w:val="20"/>
        </w:rPr>
        <w:t>supports</w:t>
      </w:r>
      <w:r w:rsidRPr="00487EF0">
        <w:rPr>
          <w:rFonts w:ascii="Times New Roman" w:hAnsi="Times New Roman" w:cs="Times New Roman"/>
          <w:sz w:val="20"/>
          <w:szCs w:val="20"/>
        </w:rPr>
        <w:t xml:space="preserve"> that an initial AK diagnosis is associated with an increased burden of skin cancer, reinforcing the perspective that AK should be treated not only as a single premalignant lesion but also as an indicator of broader carcinogenic risk [62].</w:t>
      </w:r>
      <w:r>
        <w:rPr>
          <w:rFonts w:ascii="Times New Roman" w:hAnsi="Times New Roman" w:cs="Times New Roman"/>
          <w:sz w:val="20"/>
          <w:szCs w:val="20"/>
        </w:rPr>
        <w:t xml:space="preserve"> </w:t>
      </w:r>
      <w:r w:rsidRPr="00487EF0">
        <w:rPr>
          <w:rFonts w:ascii="Times New Roman" w:hAnsi="Times New Roman" w:cs="Times New Roman"/>
          <w:sz w:val="20"/>
          <w:szCs w:val="20"/>
        </w:rPr>
        <w:t>Noninvasive imaging technologies represent another method to refine AK assessment [105].</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Optical coherence tomography, reflectance confocal microscopy, and line-field confocal coherence tomography can visualize features pertaining to AK diagnosis, including atypical keratinocytes, parakeratosis, and disruptions in epidermal architecture [105,106].</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These tools may assist in reducing unnecessary biopsies and improve treatment monitoring [106]. However, current studies indicate that standardized protocols and further clinical validation are necessary before they can influence risk stratification in daily practice [107].</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In the future, developing molecular tools may enhance risk stratification. Gene-expression studies have identified UV-responsive biomarker panels that could help differentiate benign or lower-risk AKs from lesions with greater carcinogenic potential [108].</w:t>
      </w:r>
      <w:r w:rsidR="00B670E8">
        <w:rPr>
          <w:rFonts w:ascii="Times New Roman" w:hAnsi="Times New Roman" w:cs="Times New Roman"/>
          <w:sz w:val="20"/>
          <w:szCs w:val="20"/>
        </w:rPr>
        <w:t xml:space="preserve"> </w:t>
      </w:r>
      <w:r w:rsidRPr="00487EF0">
        <w:rPr>
          <w:rFonts w:ascii="Times New Roman" w:hAnsi="Times New Roman" w:cs="Times New Roman"/>
          <w:sz w:val="20"/>
          <w:szCs w:val="20"/>
        </w:rPr>
        <w:t>Some immunohistochemical biomarkers that have been identified include TP53 expression intensity, p16/CDKN2A, Ki67 proliferative index, COX-2, and Cyclin D [108]. However, these tissue or serum biomarkers have not been assessed in a prospective cohort study as a sole predictor of progression to invasive cSCC at the single lesion level [109].</w:t>
      </w:r>
      <w:r>
        <w:rPr>
          <w:rFonts w:ascii="Times New Roman" w:hAnsi="Times New Roman" w:cs="Times New Roman"/>
          <w:sz w:val="20"/>
          <w:szCs w:val="20"/>
        </w:rPr>
        <w:t xml:space="preserve"> </w:t>
      </w:r>
      <w:r w:rsidRPr="00487EF0">
        <w:rPr>
          <w:rFonts w:ascii="Times New Roman" w:hAnsi="Times New Roman" w:cs="Times New Roman"/>
          <w:sz w:val="20"/>
          <w:szCs w:val="20"/>
        </w:rPr>
        <w:t>Overall, AK risk stratification currently relies on integrating several factors, including clinical presentation, histologic results, patient risk factors, field cancerization, and treatment response [3]. Emerging biomarker panels and imaging technologies are demonstrating potential; however, the outstanding challenge remains the inability to reliably predict which individual lesions will progress to invasive disease [109]. This limitation supports a treatment approach centered on treating clinically important AKs, careful monitoring of high-risk patients, and additional research into imaging-based and molecular predictors of progression [3].</w:t>
      </w:r>
    </w:p>
    <w:p w14:paraId="54BA5F00" w14:textId="77777777" w:rsidR="00487EF0" w:rsidRPr="00487EF0" w:rsidRDefault="00487EF0" w:rsidP="00487EF0">
      <w:pPr>
        <w:pStyle w:val="Heading1"/>
        <w:widowControl w:val="0"/>
        <w:spacing w:before="0" w:beforeAutospacing="0" w:after="0" w:afterAutospacing="0" w:line="360" w:lineRule="auto"/>
        <w:jc w:val="both"/>
        <w:rPr>
          <w:sz w:val="20"/>
          <w:szCs w:val="20"/>
        </w:rPr>
      </w:pPr>
    </w:p>
    <w:p w14:paraId="0CDB689B" w14:textId="4431AE03" w:rsidR="00487EF0" w:rsidRPr="00487EF0" w:rsidRDefault="003B5602" w:rsidP="00487EF0">
      <w:pPr>
        <w:pStyle w:val="Heading1"/>
        <w:widowControl w:val="0"/>
        <w:spacing w:before="0" w:beforeAutospacing="0" w:after="0" w:afterAutospacing="0" w:line="360" w:lineRule="auto"/>
        <w:jc w:val="both"/>
        <w:rPr>
          <w:b w:val="0"/>
          <w:bCs w:val="0"/>
          <w:sz w:val="20"/>
          <w:szCs w:val="20"/>
        </w:rPr>
      </w:pPr>
      <w:r>
        <w:rPr>
          <w:color w:val="0070C0"/>
          <w:sz w:val="20"/>
          <w:szCs w:val="20"/>
        </w:rPr>
        <w:t xml:space="preserve">1.6. </w:t>
      </w:r>
      <w:r w:rsidR="00487EF0" w:rsidRPr="00487EF0">
        <w:rPr>
          <w:color w:val="0070C0"/>
          <w:sz w:val="20"/>
          <w:szCs w:val="20"/>
        </w:rPr>
        <w:t xml:space="preserve">Current Treatments with Short-term and Long-term Outcomes </w:t>
      </w:r>
    </w:p>
    <w:p w14:paraId="7A331D83" w14:textId="0B10E93C" w:rsidR="00487EF0" w:rsidRPr="00487EF0" w:rsidRDefault="00487EF0" w:rsidP="00487EF0">
      <w:pPr>
        <w:widowControl w:val="0"/>
        <w:spacing w:after="0" w:line="360" w:lineRule="auto"/>
        <w:jc w:val="both"/>
        <w:rPr>
          <w:rFonts w:ascii="Times New Roman" w:hAnsi="Times New Roman" w:cs="Times New Roman"/>
          <w:sz w:val="20"/>
          <w:szCs w:val="20"/>
        </w:rPr>
      </w:pPr>
      <w:r w:rsidRPr="00487EF0">
        <w:rPr>
          <w:rFonts w:ascii="Times New Roman" w:hAnsi="Times New Roman" w:cs="Times New Roman"/>
          <w:sz w:val="20"/>
          <w:szCs w:val="20"/>
        </w:rPr>
        <w:t xml:space="preserve">The main goals of AK treatment are to remove clinically visible lesions, minimize the extent of field cancerization, reduce symptoms, and potentially reduce the risk of progression to invasive cSCC [14]. Since there is considerable clinical and biologic heterogeneity among AK lesions, treatment should be individualized according to lesion characteristics, disease extent, patient comorbidities, patient preference, treatment tolerance, and cosmetic considerations </w:t>
      </w:r>
      <w:r w:rsidRPr="00487EF0">
        <w:rPr>
          <w:rFonts w:ascii="Times New Roman" w:hAnsi="Times New Roman" w:cs="Times New Roman"/>
          <w:sz w:val="20"/>
          <w:szCs w:val="20"/>
        </w:rPr>
        <w:lastRenderedPageBreak/>
        <w:t>[14]. Current management is centered around a framework distinguishing between lesion-directed therapies, which target single visible lesions, from field-directed therapies, which treat the broader area of photodamaged skin [14,104]</w:t>
      </w:r>
      <w:r w:rsidRPr="00487EF0">
        <w:rPr>
          <w:rFonts w:ascii="Times New Roman" w:hAnsi="Times New Roman" w:cs="Times New Roman"/>
          <w:b/>
          <w:sz w:val="20"/>
          <w:szCs w:val="20"/>
        </w:rPr>
        <w:t xml:space="preserve"> </w:t>
      </w:r>
      <w:r w:rsidRPr="00BB328B">
        <w:rPr>
          <w:rFonts w:ascii="Times New Roman" w:hAnsi="Times New Roman" w:cs="Times New Roman"/>
          <w:bCs/>
          <w:sz w:val="20"/>
          <w:szCs w:val="20"/>
        </w:rPr>
        <w:t>(Figure 3).</w:t>
      </w:r>
      <w:r w:rsidRPr="00487EF0">
        <w:rPr>
          <w:rFonts w:ascii="Times New Roman" w:hAnsi="Times New Roman" w:cs="Times New Roman"/>
          <w:sz w:val="20"/>
          <w:szCs w:val="20"/>
        </w:rPr>
        <w:t xml:space="preserve"> This variation in treatment carries clinical importance given the field cancerization phenomenon, where addressing only clinically apparent lesions leaves the surrounding photodamaged field preserved and susceptible to newly arising lesion formation or independent malignant transformation [97]. Current guidelines from both the American Academy of Dermatology and the European consensus group suggest personalizing treatment based on lesion count, location, clinical grade, extent of field damage, and patient immune status [14,110]. Both guidelines also recognize that patients with field cancerization generally benefit from field-directed therapy, either alone or in combination with lesion-directed treatment, rather than lesion-directed therapy alone [14,97].</w:t>
      </w:r>
    </w:p>
    <w:p w14:paraId="186B584F" w14:textId="77777777" w:rsidR="00324410" w:rsidRPr="00487EF0" w:rsidRDefault="00324410" w:rsidP="00487EF0">
      <w:pPr>
        <w:pStyle w:val="Heading1"/>
        <w:spacing w:before="0" w:beforeAutospacing="0" w:after="0" w:afterAutospacing="0" w:line="360" w:lineRule="auto"/>
        <w:jc w:val="both"/>
        <w:rPr>
          <w:rFonts w:eastAsia="Calibri"/>
          <w:color w:val="0070C0"/>
          <w:sz w:val="18"/>
          <w:szCs w:val="18"/>
        </w:rPr>
      </w:pPr>
    </w:p>
    <w:p w14:paraId="2B580E6B" w14:textId="6C39DD0D" w:rsidR="00324410" w:rsidRPr="00826ACA" w:rsidRDefault="000573D3" w:rsidP="000573D3">
      <w:pPr>
        <w:pStyle w:val="Heading1"/>
        <w:spacing w:before="0" w:beforeAutospacing="0" w:after="0" w:afterAutospacing="0" w:line="360" w:lineRule="auto"/>
        <w:jc w:val="center"/>
        <w:rPr>
          <w:rFonts w:eastAsia="Calibri"/>
          <w:color w:val="0070C0"/>
          <w:sz w:val="20"/>
          <w:szCs w:val="20"/>
        </w:rPr>
      </w:pPr>
      <w:r>
        <w:rPr>
          <w:rFonts w:eastAsia="Calibri"/>
          <w:noProof/>
          <w:color w:val="0070C0"/>
          <w:sz w:val="20"/>
          <w:szCs w:val="20"/>
        </w:rPr>
        <w:drawing>
          <wp:inline distT="0" distB="0" distL="0" distR="0" wp14:anchorId="05890C4E" wp14:editId="1DF57297">
            <wp:extent cx="2774950" cy="2705100"/>
            <wp:effectExtent l="0" t="0" r="6350" b="0"/>
            <wp:docPr id="1031287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4950" cy="2705100"/>
                    </a:xfrm>
                    <a:prstGeom prst="rect">
                      <a:avLst/>
                    </a:prstGeom>
                    <a:noFill/>
                    <a:ln>
                      <a:noFill/>
                    </a:ln>
                  </pic:spPr>
                </pic:pic>
              </a:graphicData>
            </a:graphic>
          </wp:inline>
        </w:drawing>
      </w:r>
    </w:p>
    <w:p w14:paraId="389A4796" w14:textId="77777777" w:rsidR="00324410" w:rsidRDefault="00324410" w:rsidP="00BD256F">
      <w:pPr>
        <w:pStyle w:val="Heading1"/>
        <w:spacing w:before="0" w:beforeAutospacing="0" w:after="0" w:afterAutospacing="0" w:line="360" w:lineRule="auto"/>
        <w:jc w:val="both"/>
        <w:rPr>
          <w:rFonts w:eastAsia="Calibri"/>
          <w:color w:val="0070C0"/>
          <w:sz w:val="22"/>
          <w:szCs w:val="22"/>
        </w:rPr>
      </w:pPr>
    </w:p>
    <w:p w14:paraId="790D942E" w14:textId="637CCE87" w:rsidR="000573D3" w:rsidRPr="000573D3" w:rsidRDefault="000573D3" w:rsidP="000573D3">
      <w:pPr>
        <w:widowControl w:val="0"/>
        <w:spacing w:after="0" w:line="360" w:lineRule="auto"/>
        <w:jc w:val="center"/>
        <w:rPr>
          <w:rFonts w:ascii="Times New Roman" w:hAnsi="Times New Roman" w:cs="Times New Roman"/>
          <w:sz w:val="20"/>
          <w:szCs w:val="20"/>
        </w:rPr>
      </w:pPr>
      <w:r w:rsidRPr="000573D3">
        <w:rPr>
          <w:rFonts w:ascii="Times New Roman" w:hAnsi="Times New Roman" w:cs="Times New Roman"/>
          <w:b/>
          <w:color w:val="0070C0"/>
          <w:sz w:val="20"/>
          <w:szCs w:val="20"/>
        </w:rPr>
        <w:t>Figure 3:</w:t>
      </w:r>
      <w:r w:rsidR="00B670E8">
        <w:rPr>
          <w:rFonts w:ascii="Times New Roman" w:hAnsi="Times New Roman" w:cs="Times New Roman"/>
          <w:b/>
          <w:color w:val="0070C0"/>
          <w:sz w:val="20"/>
          <w:szCs w:val="20"/>
        </w:rPr>
        <w:t xml:space="preserve"> </w:t>
      </w:r>
      <w:r w:rsidRPr="000573D3">
        <w:rPr>
          <w:rFonts w:ascii="Times New Roman" w:hAnsi="Times New Roman" w:cs="Times New Roman"/>
          <w:sz w:val="20"/>
          <w:szCs w:val="20"/>
        </w:rPr>
        <w:t>Management of actinic keratosis is guided by lesion burden, the presence of field cancerization, and individual patient characteristics. Patients with isolated lesions are managed with lesion-directed therapies, whereas those with multiple lesions or field cancerizations are treated with field-directed therapies. Long-term surveillance, photoprotection, and preventive strategies remain essential factors of ongoing treatment.</w:t>
      </w:r>
    </w:p>
    <w:p w14:paraId="18FAAF49" w14:textId="77777777" w:rsidR="000573D3" w:rsidRPr="000573D3" w:rsidRDefault="000573D3" w:rsidP="000573D3">
      <w:pPr>
        <w:widowControl w:val="0"/>
        <w:spacing w:after="0" w:line="360" w:lineRule="auto"/>
        <w:jc w:val="both"/>
        <w:rPr>
          <w:rFonts w:ascii="Times New Roman" w:hAnsi="Times New Roman" w:cs="Times New Roman"/>
          <w:sz w:val="20"/>
          <w:szCs w:val="20"/>
        </w:rPr>
      </w:pPr>
    </w:p>
    <w:p w14:paraId="1495DE1B" w14:textId="5E4C39CB" w:rsidR="000573D3" w:rsidRPr="000573D3" w:rsidRDefault="000573D3" w:rsidP="000573D3">
      <w:pPr>
        <w:widowControl w:val="0"/>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Cryotherapy with liquid nitrogen remains the most widely used lesion-directed treatment for AK because of its accessibility, quick administration, and low cost for individual lesions [9,111].</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This in-office procedure is performed without anesthesia, applying liquid nitrogen via a cotton-tip applicator or spray device over one to three freeze-thaw cycles [9,112]. Liquid nitrogen promotes intracellular ice crystal formation, vascular injury, and subsequent destruction of atypical keratinocytes [9]. Despite its widespread use, cryotherapy is not a standardized intervention, and outcome variability represents one of its most significant limitations [52,99]. Recent clinical reviews attribute much of the variability to inconsistent freezing protocols, freeze duration, lesion thickness, operator technique, and number of freeze-thaw cycles [52].</w:t>
      </w:r>
      <w:r>
        <w:rPr>
          <w:rFonts w:ascii="Times New Roman" w:hAnsi="Times New Roman" w:cs="Times New Roman"/>
          <w:sz w:val="20"/>
          <w:szCs w:val="20"/>
        </w:rPr>
        <w:t xml:space="preserve"> </w:t>
      </w:r>
      <w:r w:rsidRPr="000573D3">
        <w:rPr>
          <w:rFonts w:ascii="Times New Roman" w:hAnsi="Times New Roman" w:cs="Times New Roman"/>
          <w:sz w:val="20"/>
          <w:szCs w:val="20"/>
        </w:rPr>
        <w:t xml:space="preserve">Adverse events are mainly local, including pain, erythema, blistering, and crusting [113]. Some patients also experience permanent hypopigmentation or hyperpigmentation, specifically with longer freeze durations or </w:t>
      </w:r>
      <w:r w:rsidRPr="000573D3">
        <w:rPr>
          <w:rFonts w:ascii="Times New Roman" w:hAnsi="Times New Roman" w:cs="Times New Roman"/>
          <w:sz w:val="20"/>
          <w:szCs w:val="20"/>
        </w:rPr>
        <w:lastRenderedPageBreak/>
        <w:t>in patients with Fitzpatrick phototypes III-VI [9,114]. Most importantly, cryotherapy does not address the subclinical photodamage surrounding treated lesions [99,115].</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Since it only targets the clinically apparent AKs and leaves the greater field of atypical keratinocytes untouched, recurrence and de novo lesion formation in surrounding skin remain common even after successful treatment of individual lesions [99]. Therefore, patients with extensive photodamage may benefit from combining cryotherapy and field-directed treatment to improve clearance of clinically visible lesions while also addressing subclinical disease [116].</w:t>
      </w:r>
      <w:r>
        <w:rPr>
          <w:rFonts w:ascii="Times New Roman" w:hAnsi="Times New Roman" w:cs="Times New Roman"/>
          <w:sz w:val="20"/>
          <w:szCs w:val="20"/>
        </w:rPr>
        <w:t xml:space="preserve"> </w:t>
      </w:r>
      <w:r w:rsidRPr="000573D3">
        <w:rPr>
          <w:rFonts w:ascii="Times New Roman" w:hAnsi="Times New Roman" w:cs="Times New Roman"/>
          <w:sz w:val="20"/>
          <w:szCs w:val="20"/>
        </w:rPr>
        <w:t>Field-directed therapies aim to treat broader areas of chronically sun-damaged skin to eliminate subclinical dysplastic keratinocytes alongside visible AKs, [117].</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Topical 5-fluorouracil (5-FU) remains one of the most well-studied field therapies and is strongly recommended by current guideline support because of its consistent ability to reduce lesion burden and address field cancerization [117].</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However, its main drawback revolves around creating local inflammatory reactions, including erythema, discomfort, crusting, and erosion, which may negatively impact adherence despite its long-term efficacy [118].</w:t>
      </w:r>
      <w:r>
        <w:rPr>
          <w:rFonts w:ascii="Times New Roman" w:hAnsi="Times New Roman" w:cs="Times New Roman"/>
          <w:sz w:val="20"/>
          <w:szCs w:val="20"/>
        </w:rPr>
        <w:t xml:space="preserve"> </w:t>
      </w:r>
      <w:r w:rsidRPr="000573D3">
        <w:rPr>
          <w:rFonts w:ascii="Times New Roman" w:hAnsi="Times New Roman" w:cs="Times New Roman"/>
          <w:sz w:val="20"/>
          <w:szCs w:val="20"/>
        </w:rPr>
        <w:t>Imiquimod offers another established field-directed option that functions by activating toll-like receptor 7 and enhancing local innate and adaptive immune responses against atypical keratinocytes [119,120]. Like 5-fluorouracil, imiquimod has achieved desirable clearance rates but commonly induces local inflammatory skin reactions that can interfere with treatment completion [121]. In contrast, diclofenac sodium is generally well tolerated and associated with milder adverse effects but requires a substantially longer course of treatment and is considered less effective than other field-directed treatments [121].</w:t>
      </w:r>
    </w:p>
    <w:p w14:paraId="714D98D5" w14:textId="77777777" w:rsidR="000573D3" w:rsidRDefault="000573D3" w:rsidP="000573D3">
      <w:pPr>
        <w:widowControl w:val="0"/>
        <w:spacing w:after="0" w:line="360" w:lineRule="auto"/>
        <w:jc w:val="both"/>
        <w:rPr>
          <w:rFonts w:ascii="Times New Roman" w:hAnsi="Times New Roman" w:cs="Times New Roman"/>
          <w:sz w:val="20"/>
          <w:szCs w:val="20"/>
        </w:rPr>
      </w:pPr>
    </w:p>
    <w:p w14:paraId="4866BC67" w14:textId="1121C270" w:rsidR="000573D3" w:rsidRPr="000573D3" w:rsidRDefault="000573D3" w:rsidP="000573D3">
      <w:pPr>
        <w:widowControl w:val="0"/>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Photodynamic therapy (PDT) offers another field-directed option in which a topical photosensitizing agent is activated by a particular wavelength of light, creating reactive oxygen species that selectively destroy dysplastic keratinocytes [122].</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PDT is well-suited to patients with multiple facial or scalp lesions since it pairs successful field treatment with strong cosmetic outcomes [122].</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However, its broader use is limited by treatment-associated pain during illumination, cost, and limited availability [122].</w:t>
      </w:r>
      <w:r>
        <w:rPr>
          <w:rFonts w:ascii="Times New Roman" w:hAnsi="Times New Roman" w:cs="Times New Roman"/>
          <w:sz w:val="20"/>
          <w:szCs w:val="20"/>
        </w:rPr>
        <w:t xml:space="preserve"> </w:t>
      </w:r>
      <w:r w:rsidRPr="000573D3">
        <w:rPr>
          <w:rFonts w:ascii="Times New Roman" w:hAnsi="Times New Roman" w:cs="Times New Roman"/>
          <w:sz w:val="20"/>
          <w:szCs w:val="20"/>
        </w:rPr>
        <w:t xml:space="preserve">More recently, </w:t>
      </w:r>
      <w:proofErr w:type="spellStart"/>
      <w:r w:rsidRPr="000573D3">
        <w:rPr>
          <w:rFonts w:ascii="Times New Roman" w:hAnsi="Times New Roman" w:cs="Times New Roman"/>
          <w:sz w:val="20"/>
          <w:szCs w:val="20"/>
        </w:rPr>
        <w:t>Tirbanibulin</w:t>
      </w:r>
      <w:proofErr w:type="spellEnd"/>
      <w:r w:rsidRPr="000573D3">
        <w:rPr>
          <w:rFonts w:ascii="Times New Roman" w:hAnsi="Times New Roman" w:cs="Times New Roman"/>
          <w:sz w:val="20"/>
          <w:szCs w:val="20"/>
        </w:rPr>
        <w:t xml:space="preserve"> has emerged as a treatment option for AK [123].</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This topical microtubule inhibitor is administered once daily for five consecutive days, providing a notably shorter treatment duration than many conventional field therapies [123].</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 xml:space="preserve">Current evidence points to therapeutic efficacy, high patient satisfaction, and good tolerability, leading to a strong recommendation for its use in appropriately selected patients from the American Academy of Dermatology [54,124]. While these early results are promising, further long-term comparative studies are needed to accurately define recurrence rates, duration of response, and </w:t>
      </w:r>
      <w:proofErr w:type="gramStart"/>
      <w:r w:rsidRPr="000573D3">
        <w:rPr>
          <w:rFonts w:ascii="Times New Roman" w:hAnsi="Times New Roman" w:cs="Times New Roman"/>
          <w:sz w:val="20"/>
          <w:szCs w:val="20"/>
        </w:rPr>
        <w:t>its</w:t>
      </w:r>
      <w:proofErr w:type="gramEnd"/>
      <w:r w:rsidRPr="000573D3">
        <w:rPr>
          <w:rFonts w:ascii="Times New Roman" w:hAnsi="Times New Roman" w:cs="Times New Roman"/>
          <w:sz w:val="20"/>
          <w:szCs w:val="20"/>
        </w:rPr>
        <w:t xml:space="preserve"> role relative to established therapeutic options [54].</w:t>
      </w:r>
      <w:r>
        <w:rPr>
          <w:rFonts w:ascii="Times New Roman" w:hAnsi="Times New Roman" w:cs="Times New Roman"/>
          <w:sz w:val="20"/>
          <w:szCs w:val="20"/>
        </w:rPr>
        <w:t xml:space="preserve"> </w:t>
      </w:r>
      <w:r w:rsidRPr="000573D3">
        <w:rPr>
          <w:rFonts w:ascii="Times New Roman" w:hAnsi="Times New Roman" w:cs="Times New Roman"/>
          <w:sz w:val="20"/>
          <w:szCs w:val="20"/>
        </w:rPr>
        <w:t>Growing evidence also supports sequential and combination approaches [116]. Pairing lesion-directed cryotherapy with subsequent field-directed therapy may improve overall clearance by concurrently treating subclinical disease and clinically visible lesions within the surrounding photodamaged field [116].</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This strategy has demonstrated enhanced lesion reduction in selected patient populations and is increasingly considered for patients with recurrent disease or extensive field cancerization [116].</w:t>
      </w:r>
      <w:r>
        <w:rPr>
          <w:rFonts w:ascii="Times New Roman" w:hAnsi="Times New Roman" w:cs="Times New Roman"/>
          <w:sz w:val="20"/>
          <w:szCs w:val="20"/>
        </w:rPr>
        <w:t xml:space="preserve"> </w:t>
      </w:r>
      <w:r w:rsidRPr="000573D3">
        <w:rPr>
          <w:rFonts w:ascii="Times New Roman" w:hAnsi="Times New Roman" w:cs="Times New Roman"/>
          <w:sz w:val="20"/>
          <w:szCs w:val="20"/>
        </w:rPr>
        <w:t>Even with numerous effective therapies available, no single treatment is optimal for all patients [121].</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Variation in tolerability, efficacy, treatment duration, cosmetic outcomes, recurrence rates, cost, and adherence means clinicians must personalize management based on patient-specific factors [125].</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As a result, current AK management has shifted away from a one-size-fits-all approach toward individualized treatment strategies that incorporate factors including field cancerization, lesion burden, patient preferences, and overall skin cancer risk [125].</w:t>
      </w:r>
    </w:p>
    <w:p w14:paraId="2856A358" w14:textId="77777777" w:rsidR="000573D3" w:rsidRPr="000573D3" w:rsidRDefault="000573D3" w:rsidP="000573D3">
      <w:pPr>
        <w:pStyle w:val="Heading1"/>
        <w:widowControl w:val="0"/>
        <w:spacing w:before="0" w:beforeAutospacing="0" w:after="0" w:afterAutospacing="0" w:line="360" w:lineRule="auto"/>
        <w:jc w:val="both"/>
        <w:rPr>
          <w:color w:val="0070C0"/>
          <w:sz w:val="20"/>
          <w:szCs w:val="20"/>
        </w:rPr>
      </w:pPr>
    </w:p>
    <w:p w14:paraId="1EC53E56" w14:textId="14AE61B3" w:rsidR="000573D3" w:rsidRPr="000573D3" w:rsidRDefault="003B5602" w:rsidP="000573D3">
      <w:pPr>
        <w:pStyle w:val="Heading1"/>
        <w:widowControl w:val="0"/>
        <w:spacing w:before="0" w:beforeAutospacing="0" w:after="0" w:afterAutospacing="0" w:line="360" w:lineRule="auto"/>
        <w:jc w:val="both"/>
        <w:rPr>
          <w:b w:val="0"/>
          <w:bCs w:val="0"/>
          <w:color w:val="0070C0"/>
          <w:sz w:val="20"/>
          <w:szCs w:val="20"/>
        </w:rPr>
      </w:pPr>
      <w:r>
        <w:rPr>
          <w:color w:val="0070C0"/>
          <w:sz w:val="20"/>
          <w:szCs w:val="20"/>
        </w:rPr>
        <w:lastRenderedPageBreak/>
        <w:t xml:space="preserve">1.7. </w:t>
      </w:r>
      <w:r w:rsidR="000573D3" w:rsidRPr="000573D3">
        <w:rPr>
          <w:color w:val="0070C0"/>
          <w:sz w:val="20"/>
          <w:szCs w:val="20"/>
        </w:rPr>
        <w:t xml:space="preserve">Barriers to Early and Effective Treatment </w:t>
      </w:r>
    </w:p>
    <w:p w14:paraId="2B15BD85" w14:textId="2B381D3F" w:rsidR="000573D3" w:rsidRPr="000573D3" w:rsidRDefault="000573D3" w:rsidP="000573D3">
      <w:pPr>
        <w:widowControl w:val="0"/>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Although numerous effective field-directed and lesion-directed therapies exist, the management of AK in daily clinical practice remains challenging. Successful treatment depends on more than efficacy of any individual therapy; it also depends on early lesion recognition, accurate assessment of field cancerization, treatment tolerability, access to care, patient adherence, and ongoing surveillance [126]. Consequently, real-world outcomes frequently differ from those reported in clinical trials, emphasizing the multiple barriers that continue to limit optimal disease management [127].</w:t>
      </w:r>
      <w:r>
        <w:rPr>
          <w:rFonts w:ascii="Times New Roman" w:hAnsi="Times New Roman" w:cs="Times New Roman"/>
          <w:sz w:val="20"/>
          <w:szCs w:val="20"/>
        </w:rPr>
        <w:t xml:space="preserve"> </w:t>
      </w:r>
      <w:r w:rsidRPr="000573D3">
        <w:rPr>
          <w:rFonts w:ascii="Times New Roman" w:hAnsi="Times New Roman" w:cs="Times New Roman"/>
          <w:sz w:val="20"/>
          <w:szCs w:val="20"/>
        </w:rPr>
        <w:t>One of the most significant barriers to effective AK management is delayed recognition of disease. Since AKs are often asymptomatic and may initially appear as small or rough, many individuals dismiss their clinical significance or mistake them for chronic sun damage or normal signs of aging [114].</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Further, field cancerization frequently contains numerous clinically inapparent lesions that go undetected during routine self-examination, allowing the extent of disease to be underestimated until more extensive photodamage has developed [128].</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Taken together, these factors contribute to delayed presentation and emphasize the significance of patient education and frequent dermatologic assessment, especially in high-risk populations [52].</w:t>
      </w:r>
      <w:r>
        <w:rPr>
          <w:rFonts w:ascii="Times New Roman" w:hAnsi="Times New Roman" w:cs="Times New Roman"/>
          <w:sz w:val="20"/>
          <w:szCs w:val="20"/>
        </w:rPr>
        <w:t xml:space="preserve"> </w:t>
      </w:r>
      <w:r w:rsidRPr="000573D3">
        <w:rPr>
          <w:rFonts w:ascii="Times New Roman" w:hAnsi="Times New Roman" w:cs="Times New Roman"/>
          <w:sz w:val="20"/>
          <w:szCs w:val="20"/>
        </w:rPr>
        <w:t>Patient adherence poses another key determinant of treatment success, specifically for field-directed therapies [126]. Topical agents such as 5-fluorouracil and imiquimod typically cause erythema, erosion, crusting, burning, and discomfort as part of their expected therapeutic response [126].</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While these local skin reactions may reassure patients that the medication is exerting its intended effect, they may discourage patients from completing the full prescribed course, especially when treatment spans several weeks [129]. Systematic reviews of patient-reported outcomes repeatedly demonstrate that shorter treatment regimens and simple dosing schedules correlate with greater satisfaction and improved adherence, whereas longer treatment durations and more severe local reactions raise the likelihood of premature discontinuation [126].</w:t>
      </w:r>
      <w:r>
        <w:rPr>
          <w:rFonts w:ascii="Times New Roman" w:hAnsi="Times New Roman" w:cs="Times New Roman"/>
          <w:sz w:val="20"/>
          <w:szCs w:val="20"/>
        </w:rPr>
        <w:t xml:space="preserve"> </w:t>
      </w:r>
      <w:r w:rsidRPr="000573D3">
        <w:rPr>
          <w:rFonts w:ascii="Times New Roman" w:hAnsi="Times New Roman" w:cs="Times New Roman"/>
          <w:sz w:val="20"/>
          <w:szCs w:val="20"/>
        </w:rPr>
        <w:t>The recurrent and chronic nature of AK further complicates long-term management [130].</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Even after visible lesions are completely cleared, patients frequently develop new AKs within the same chronically sun-damaged skin because treatment does not eliminate the underlying carcinogenic field [55].</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As a result, many patients require repeated treatment cycles and lifelong surveillance</w:t>
      </w:r>
      <w:hyperlink r:id="rId13">
        <w:r w:rsidRPr="000573D3">
          <w:rPr>
            <w:rFonts w:ascii="Times New Roman" w:hAnsi="Times New Roman" w:cs="Times New Roman"/>
            <w:sz w:val="20"/>
            <w:szCs w:val="20"/>
          </w:rPr>
          <w:t xml:space="preserve"> [104]</w:t>
        </w:r>
      </w:hyperlink>
      <w:r w:rsidRPr="000573D3">
        <w:rPr>
          <w:rFonts w:ascii="Times New Roman" w:hAnsi="Times New Roman" w:cs="Times New Roman"/>
          <w:sz w:val="20"/>
          <w:szCs w:val="20"/>
        </w:rPr>
        <w:t xml:space="preserve"> . Framing AK as a chronic disease rather than a one-time problem may improve long-term engagement with preventive care and follow-up [130].</w:t>
      </w:r>
    </w:p>
    <w:p w14:paraId="5F4E87BB" w14:textId="77777777" w:rsidR="000573D3" w:rsidRDefault="000573D3" w:rsidP="000573D3">
      <w:pPr>
        <w:widowControl w:val="0"/>
        <w:spacing w:after="0" w:line="360" w:lineRule="auto"/>
        <w:jc w:val="both"/>
        <w:rPr>
          <w:rFonts w:ascii="Times New Roman" w:hAnsi="Times New Roman" w:cs="Times New Roman"/>
          <w:sz w:val="20"/>
          <w:szCs w:val="20"/>
        </w:rPr>
      </w:pPr>
    </w:p>
    <w:p w14:paraId="2BC48F48" w14:textId="02A8E551" w:rsidR="000573D3" w:rsidRPr="000573D3" w:rsidRDefault="000573D3" w:rsidP="000573D3">
      <w:pPr>
        <w:widowControl w:val="0"/>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Diagnostic variability also presents a significant barrier. Distinguishing AK from hypertrophic AK, Bowen disease, and early invasive cutaneous squamous cell carcinoma can be clinically challenging, specifically for thicker or inflamed lesions [131].</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In addition, significant variability exists in lesion counting methods, severity grading, and outcome measures used across clinical studies, making it difficult to compare results between clinical trials 25]. Recent studies have highlighted the need for standardized AK severity metrics and validated outcome measures to improve research quality and clinical decision-making [25,132].</w:t>
      </w:r>
      <w:r>
        <w:rPr>
          <w:rFonts w:ascii="Times New Roman" w:hAnsi="Times New Roman" w:cs="Times New Roman"/>
          <w:sz w:val="20"/>
          <w:szCs w:val="20"/>
        </w:rPr>
        <w:t xml:space="preserve"> </w:t>
      </w:r>
      <w:r w:rsidRPr="000573D3">
        <w:rPr>
          <w:rFonts w:ascii="Times New Roman" w:hAnsi="Times New Roman" w:cs="Times New Roman"/>
          <w:sz w:val="20"/>
          <w:szCs w:val="20"/>
        </w:rPr>
        <w:t>Healthcare system factors can also influence treatment selection and outcomes. Access to dermatologic care, insurance coverage, treatment cost, medication availability, and geographic disparities in specialist access all play a role in timely diagnosis and management of AK [133].</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Certain therapies, such as photodynamic therapy, may be unavailable in some practice settings or may carry higher out-of-pocket costs, prompting clinicians and patients to select alternative treatments despite differences in efficacy, tolerability, or cosmetic outcomes [134]. Given these limitations, shared decision-making becomes essential to align treatment choices with patient priorities while considering practical limitations [135].</w:t>
      </w:r>
      <w:r>
        <w:rPr>
          <w:rFonts w:ascii="Times New Roman" w:hAnsi="Times New Roman" w:cs="Times New Roman"/>
          <w:sz w:val="20"/>
          <w:szCs w:val="20"/>
        </w:rPr>
        <w:t xml:space="preserve"> </w:t>
      </w:r>
      <w:r w:rsidRPr="000573D3">
        <w:rPr>
          <w:rFonts w:ascii="Times New Roman" w:hAnsi="Times New Roman" w:cs="Times New Roman"/>
          <w:sz w:val="20"/>
          <w:szCs w:val="20"/>
        </w:rPr>
        <w:t xml:space="preserve">Lastly, increasing attention has turned to patient-centered care as </w:t>
      </w:r>
      <w:r w:rsidRPr="000573D3">
        <w:rPr>
          <w:rFonts w:ascii="Times New Roman" w:hAnsi="Times New Roman" w:cs="Times New Roman"/>
          <w:sz w:val="20"/>
          <w:szCs w:val="20"/>
        </w:rPr>
        <w:lastRenderedPageBreak/>
        <w:t>a means of addressing many of these barriers [136]. Clear communication regarding the chronic nature of AK, expected treatment reactions, the importance of treatment completion, and the reasoning behind field-directed therapy has been associated with enhanced patient satisfaction and stronger adherence [136]. Recent guideline recommendations further advocate for personalized treatment plans that account for patient preferences, lesion burden, cosmetic concerns, tolerance for adverse effects, and lifestyle factors, recognizing that optimal long-term management extends beyond lesion clearance alone [136,137].</w:t>
      </w:r>
      <w:r>
        <w:rPr>
          <w:rFonts w:ascii="Times New Roman" w:hAnsi="Times New Roman" w:cs="Times New Roman"/>
          <w:sz w:val="20"/>
          <w:szCs w:val="20"/>
        </w:rPr>
        <w:t xml:space="preserve"> </w:t>
      </w:r>
      <w:r w:rsidRPr="000573D3">
        <w:rPr>
          <w:rFonts w:ascii="Times New Roman" w:hAnsi="Times New Roman" w:cs="Times New Roman"/>
          <w:sz w:val="20"/>
          <w:szCs w:val="20"/>
        </w:rPr>
        <w:t>Taken together, these barriers show that effective AK management requires more than selecting an effective therapy [135]. Improving patient education, adherence, access to care, diagnostic consistency, and personalized treatment strategies will be essential for reducing recurrence, enhancing long-term outcomes, and maximizing the benefits of currently available therapies [136].</w:t>
      </w:r>
    </w:p>
    <w:p w14:paraId="1E58E38A" w14:textId="77777777" w:rsidR="000573D3" w:rsidRPr="000573D3" w:rsidRDefault="000573D3" w:rsidP="000573D3">
      <w:pPr>
        <w:pStyle w:val="Heading1"/>
        <w:widowControl w:val="0"/>
        <w:spacing w:before="0" w:beforeAutospacing="0" w:after="0" w:afterAutospacing="0" w:line="360" w:lineRule="auto"/>
        <w:jc w:val="both"/>
        <w:rPr>
          <w:b w:val="0"/>
          <w:bCs w:val="0"/>
          <w:sz w:val="20"/>
          <w:szCs w:val="20"/>
        </w:rPr>
      </w:pPr>
    </w:p>
    <w:p w14:paraId="531DE2CC" w14:textId="2B3056F4" w:rsidR="000573D3" w:rsidRPr="000573D3" w:rsidRDefault="003B5602" w:rsidP="000573D3">
      <w:pPr>
        <w:pStyle w:val="Heading1"/>
        <w:widowControl w:val="0"/>
        <w:spacing w:before="0" w:beforeAutospacing="0" w:after="0" w:afterAutospacing="0" w:line="360" w:lineRule="auto"/>
        <w:jc w:val="both"/>
        <w:rPr>
          <w:b w:val="0"/>
          <w:bCs w:val="0"/>
          <w:color w:val="0070C0"/>
          <w:sz w:val="20"/>
          <w:szCs w:val="20"/>
        </w:rPr>
      </w:pPr>
      <w:r>
        <w:rPr>
          <w:color w:val="0070C0"/>
          <w:sz w:val="20"/>
          <w:szCs w:val="20"/>
        </w:rPr>
        <w:t xml:space="preserve">1.8. </w:t>
      </w:r>
      <w:r w:rsidR="000573D3" w:rsidRPr="000573D3">
        <w:rPr>
          <w:color w:val="0070C0"/>
          <w:sz w:val="20"/>
          <w:szCs w:val="20"/>
        </w:rPr>
        <w:t xml:space="preserve">Preventive Strategies </w:t>
      </w:r>
    </w:p>
    <w:p w14:paraId="45CE047C" w14:textId="0F05E5AF" w:rsidR="000573D3" w:rsidRPr="003B5602" w:rsidRDefault="003B5602" w:rsidP="003B5602">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1.8.1 </w:t>
      </w:r>
      <w:r w:rsidR="000573D3" w:rsidRPr="000573D3">
        <w:rPr>
          <w:rFonts w:ascii="Times New Roman" w:hAnsi="Times New Roman" w:cs="Times New Roman"/>
          <w:color w:val="0070C0"/>
          <w:sz w:val="20"/>
          <w:szCs w:val="20"/>
        </w:rPr>
        <w:t>Primary Prevention: Sun Protection Behaviors</w:t>
      </w:r>
      <w:r>
        <w:rPr>
          <w:rFonts w:ascii="Times New Roman" w:hAnsi="Times New Roman" w:cs="Times New Roman"/>
          <w:color w:val="0070C0"/>
          <w:sz w:val="20"/>
          <w:szCs w:val="20"/>
        </w:rPr>
        <w:t xml:space="preserve">: </w:t>
      </w:r>
      <w:r w:rsidR="000573D3" w:rsidRPr="003B5602">
        <w:rPr>
          <w:rFonts w:ascii="Times New Roman" w:hAnsi="Times New Roman" w:cs="Times New Roman"/>
          <w:b w:val="0"/>
          <w:bCs w:val="0"/>
          <w:color w:val="000000" w:themeColor="text1"/>
          <w:sz w:val="20"/>
          <w:szCs w:val="20"/>
        </w:rPr>
        <w:t>UV exposure is the dominant modifiable risk factor for AK; therefore, behavioral prevention remains the first line of defense [3,138]. Strategies that reduce cumulative UV exposure show varying degrees of effectiveness, with the strongest evidence supporting regular sunscreen use [138,139]. Regular application of broad-spectrum sunscreen significantly reduces AK incidence. The landmark Nambour Skin Cancer Prevention Trial, a randomized controlled study conducted in Australia, found that participants assigned to daily sunscreen use developed fewer new AKs and experienced regression of existing lesions compared with those using sunscreen irregularly [140-142]. This provides direct evidence that consistent sunscreen use not only prevents sunburn but also reduces UV-induced precancerous lesions [138,142]. Sunscreen protection also increases with SPF level. SPF 15 blocks approximately 93% of UVB rays, SPF 30 blocks about 97%, and SPF 50 blocks roughly 98% [139]. Because most people apply sunscreen at less than half the recommended thickness, a higher labeled SPF helps compensate for underapplication in real-world use [139,143]. Physical barriers complement sunscreen and can be highly effective. UPF-rated clothing blocks a substantial proportion of UV radiation. Under the Australian and New Zealand Standard, UPF</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15</w:t>
      </w:r>
      <w:r w:rsidR="005F4AC6" w:rsidRPr="003B5602">
        <w:rPr>
          <w:rFonts w:ascii="Times New Roman" w:hAnsi="Times New Roman" w:cs="Times New Roman"/>
          <w:b w:val="0"/>
          <w:bCs w:val="0"/>
          <w:color w:val="000000" w:themeColor="text1"/>
          <w:sz w:val="20"/>
          <w:szCs w:val="20"/>
        </w:rPr>
        <w:t>-</w:t>
      </w:r>
      <w:r w:rsidR="000573D3" w:rsidRPr="003B5602">
        <w:rPr>
          <w:rFonts w:ascii="Times New Roman" w:hAnsi="Times New Roman" w:cs="Times New Roman"/>
          <w:b w:val="0"/>
          <w:bCs w:val="0"/>
          <w:color w:val="000000" w:themeColor="text1"/>
          <w:sz w:val="20"/>
          <w:szCs w:val="20"/>
        </w:rPr>
        <w:t>24 garments block 93.3 to 95.9% of UVB, UPF 25 to 50 garments block 96.0 to 98.9%, and UPF 50+ garments block 99% or more [144].</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Wide-brimmed hats also meaningfully reduce UV exposure to high-risk facial zones. In a modeling study, Backes et al. found that a wide-brimmed hat reduced mean facial UV dose by half compared with no hat (1.7 SED vs 3.3 SED) during cloudless summer midday conditions, with the greatest protection observed at the nose, eyes, and ears [145]. Hats with circular brims also reduced neck exposure during summer months [145]. However, no hat style achieved complete protection at any facial zone, with a maximum protection factor of 76%, and effectiveness varied considerably with sun angle and environmental conditions [145].</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 xml:space="preserve">The CDC therefore recommends a hat with a circumferential brim of at least 3 inches that shades the face, neck, and ears, and advises against relying on standard baseball caps alone [146]. Fewer studies have directly examined clothing in relation to AK incidence specifically, but the established UV-blocking effectiveness of these physical barriers supports a biologically plausible role in reducing cumulative photodamage and lesion formation [139,140]. Clothing also offers a practical advantage over topical products because it does not require reapplication and may reduce dependence on repeated sunscreen use, making it a comparatively accessible option for patients facing socioeconomic barriers or physical limitations that complicate frequent sunscreen application [144]. At the population level, public health initiatives have demonstrated that sustained sun-protection messaging can shift behavior and reduce UV-related skin disease. Australia's SunSmart campaign </w:t>
      </w:r>
      <w:r w:rsidR="000573D3" w:rsidRPr="003B5602">
        <w:rPr>
          <w:rFonts w:ascii="Times New Roman" w:hAnsi="Times New Roman" w:cs="Times New Roman"/>
          <w:b w:val="0"/>
          <w:bCs w:val="0"/>
          <w:color w:val="000000" w:themeColor="text1"/>
          <w:sz w:val="20"/>
          <w:szCs w:val="20"/>
        </w:rPr>
        <w:lastRenderedPageBreak/>
        <w:t>provides the clearest example. Long-term evaluation has shown sustained increases in sunscreen use, hat wearing, and shade seeking, alongside reduced sunburn prevalence and favorable skin cancer incidence trends among younger populations [147-149]. The campaign has been associated with decreased melanoma incidence among Australians under 55 years of age, and economic modeling estimates it has prevented thousands of skin cancers and saved substantial healthcare costs [150,151]. These findings show the real-world effectiveness of coordinated prevention strategies [152,153].</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 xml:space="preserve">Despite the demonstrated effectiveness of these measures, their real-world impact depends on consistent, sustained adherence. Primary prevention reduces AK burden only when protective behaviors are maintained over time, making adherence a key consideration and highlighting the importance of understanding the barriers that may limit engagement with preventive strategies. </w:t>
      </w:r>
    </w:p>
    <w:p w14:paraId="0B8EF3C0" w14:textId="77777777" w:rsidR="000573D3" w:rsidRPr="003B5602" w:rsidRDefault="000573D3" w:rsidP="000573D3">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p>
    <w:p w14:paraId="29F6B2AC" w14:textId="287768A1" w:rsidR="000573D3" w:rsidRPr="003B5602" w:rsidRDefault="003B5602" w:rsidP="003B5602">
      <w:pPr>
        <w:pStyle w:val="Heading2"/>
        <w:keepNext w:val="0"/>
        <w:keepLines w:val="0"/>
        <w:widowControl w:val="0"/>
        <w:spacing w:before="0" w:line="360" w:lineRule="auto"/>
        <w:jc w:val="both"/>
        <w:rPr>
          <w:rFonts w:ascii="Times New Roman" w:hAnsi="Times New Roman" w:cs="Times New Roman"/>
          <w:b w:val="0"/>
          <w:bCs w:val="0"/>
          <w:color w:val="000000" w:themeColor="text1"/>
          <w:sz w:val="20"/>
          <w:szCs w:val="20"/>
        </w:rPr>
      </w:pPr>
      <w:r>
        <w:rPr>
          <w:rFonts w:ascii="Times New Roman" w:hAnsi="Times New Roman" w:cs="Times New Roman"/>
          <w:color w:val="0070C0"/>
          <w:sz w:val="20"/>
          <w:szCs w:val="20"/>
        </w:rPr>
        <w:t xml:space="preserve">1.8.2. </w:t>
      </w:r>
      <w:r w:rsidR="000573D3" w:rsidRPr="000573D3">
        <w:rPr>
          <w:rFonts w:ascii="Times New Roman" w:hAnsi="Times New Roman" w:cs="Times New Roman"/>
          <w:color w:val="0070C0"/>
          <w:sz w:val="20"/>
          <w:szCs w:val="20"/>
        </w:rPr>
        <w:t>Secondary Prevention</w:t>
      </w:r>
      <w:r>
        <w:rPr>
          <w:rFonts w:ascii="Times New Roman" w:hAnsi="Times New Roman" w:cs="Times New Roman"/>
          <w:color w:val="0070C0"/>
          <w:sz w:val="20"/>
          <w:szCs w:val="20"/>
        </w:rPr>
        <w:t xml:space="preserve">: </w:t>
      </w:r>
      <w:r w:rsidR="000573D3" w:rsidRPr="003B5602">
        <w:rPr>
          <w:rFonts w:ascii="Times New Roman" w:hAnsi="Times New Roman" w:cs="Times New Roman"/>
          <w:b w:val="0"/>
          <w:bCs w:val="0"/>
          <w:color w:val="000000" w:themeColor="text1"/>
          <w:sz w:val="20"/>
          <w:szCs w:val="20"/>
        </w:rPr>
        <w:t>Once individuals are at increased risk of actinic keratosis (AK) or have already developed lesions, the focus of prevention shifts from primary prevention to secondary prevention. AKs develop in chronically sun-damaged skin, so secondary prevention focuses on identifying lesions that may progress to cancer and reducing the amount of precancerous tissue.</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Total body skin examinations (TBSEs) are important to surveillance in individuals at elevated risk of keratinocyte carcinoma. High-risk groups include organ transplant recipients receiving long-term immunosuppression, individuals with a history of non-melanoma skin cancer, patients with extensive actinic damage or multiple AKs, and those with fair skin phototypes who have accumulated substantial lifetime UV exposure 154,155]. Professional organizations recommend regular dermatologic surveillance for these populations. For example, transplant dermatology guidelines often recommend at least annual skin examinations, with more frequent reviews for patients who have previously developed skin cancer or numerous Aks [156,157]. Similarly, patients with a history of cutaneous squamous cell carcinoma (cSCC) are commonly reviewed every 3</w:t>
      </w:r>
      <w:r w:rsidR="005F4AC6" w:rsidRPr="003B5602">
        <w:rPr>
          <w:rFonts w:ascii="Times New Roman" w:hAnsi="Times New Roman" w:cs="Times New Roman"/>
          <w:b w:val="0"/>
          <w:bCs w:val="0"/>
          <w:color w:val="000000" w:themeColor="text1"/>
          <w:sz w:val="20"/>
          <w:szCs w:val="20"/>
        </w:rPr>
        <w:t>-</w:t>
      </w:r>
      <w:r w:rsidR="000573D3" w:rsidRPr="003B5602">
        <w:rPr>
          <w:rFonts w:ascii="Times New Roman" w:hAnsi="Times New Roman" w:cs="Times New Roman"/>
          <w:b w:val="0"/>
          <w:bCs w:val="0"/>
          <w:color w:val="000000" w:themeColor="text1"/>
          <w:sz w:val="20"/>
          <w:szCs w:val="20"/>
        </w:rPr>
        <w:t>12 months depending on recurrence risk and disease burden [154].</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Despite widespread clinical adoption, there is no direct evidence that routine skin cancer screening reduces cSCC-specific mortality, as there has not been a study to report this as an outcome measure [158]. This same notion holds true for melanoma as well, where more research has been conducted, yet the available evidence remains insufficient to demonstrate a clear mortality benefit [159]. No such randomized controlled trials have been completed [160].</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A significant portion of the available evidence has come from German population screening programs and other observational studies. These studies reported an initial reduction in mortality, but this effect was not maintained during longer follow-up [158]. Given the relatively low mortality associated with cSCC and the logistical challenges of conducting large screening trials, definitive evidence of a mortality benefit remains difficult to obtain [159].</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 xml:space="preserve">This represents an important gap in the literature and highlights the need for further research evaluating the efficacy and cost-effectiveness of skin cancer screening programs. Self-skin examination provides an additional opportunity for early detection between clinical visits. Patients can be taught to monitor existing lesions for changes in size, thickness, </w:t>
      </w:r>
      <w:r w:rsidR="00D62A90" w:rsidRPr="003B5602">
        <w:rPr>
          <w:rFonts w:ascii="Times New Roman" w:hAnsi="Times New Roman" w:cs="Times New Roman"/>
          <w:b w:val="0"/>
          <w:bCs w:val="0"/>
          <w:color w:val="000000" w:themeColor="text1"/>
          <w:sz w:val="20"/>
          <w:szCs w:val="20"/>
        </w:rPr>
        <w:t>tenderness</w:t>
      </w:r>
      <w:r w:rsidR="000573D3" w:rsidRPr="003B5602">
        <w:rPr>
          <w:rFonts w:ascii="Times New Roman" w:hAnsi="Times New Roman" w:cs="Times New Roman"/>
          <w:b w:val="0"/>
          <w:bCs w:val="0"/>
          <w:color w:val="000000" w:themeColor="text1"/>
          <w:sz w:val="20"/>
          <w:szCs w:val="20"/>
        </w:rPr>
        <w:t>, or failure to heal, while also identifying newly emerging lesions within sun-damaged skin [155].</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Studies suggest that patient-performed examinations can improve the detection of suspicious lesions, particularly when combined with educational interventions.</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However, diagnostic accuracy is variable and generally lower than that of trained clinicians.</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 xml:space="preserve">Accordingly, self-skin examination is encouraged as an adjunct to regular clinical surveillance, rather than serving as a replacement. Beyond surveillance, chemoprevention seeks to reduce the development of new AKs and keratinocyte carcinomas through pharmacological intervention. Oral retinoids are among the most extensively studied </w:t>
      </w:r>
      <w:r w:rsidR="000573D3" w:rsidRPr="003B5602">
        <w:rPr>
          <w:rFonts w:ascii="Times New Roman" w:hAnsi="Times New Roman" w:cs="Times New Roman"/>
          <w:b w:val="0"/>
          <w:bCs w:val="0"/>
          <w:color w:val="000000" w:themeColor="text1"/>
          <w:sz w:val="20"/>
          <w:szCs w:val="20"/>
        </w:rPr>
        <w:lastRenderedPageBreak/>
        <w:t xml:space="preserve">agents, particularly in immunosuppressed populations. By promoting normal keratinocyte differentiation and inhibiting epidermal proliferation, retinoids may reduce the formation of premalignant and malignant lesions [161]. Clinical trials in organ transplant recipients have demonstrated significant reductions in the incidence of new AKs and </w:t>
      </w:r>
      <w:proofErr w:type="spellStart"/>
      <w:r w:rsidR="000573D3" w:rsidRPr="003B5602">
        <w:rPr>
          <w:rFonts w:ascii="Times New Roman" w:hAnsi="Times New Roman" w:cs="Times New Roman"/>
          <w:b w:val="0"/>
          <w:bCs w:val="0"/>
          <w:color w:val="000000" w:themeColor="text1"/>
          <w:sz w:val="20"/>
          <w:szCs w:val="20"/>
        </w:rPr>
        <w:t>cSCCs</w:t>
      </w:r>
      <w:proofErr w:type="spellEnd"/>
      <w:r w:rsidR="000573D3" w:rsidRPr="003B5602">
        <w:rPr>
          <w:rFonts w:ascii="Times New Roman" w:hAnsi="Times New Roman" w:cs="Times New Roman"/>
          <w:b w:val="0"/>
          <w:bCs w:val="0"/>
          <w:color w:val="000000" w:themeColor="text1"/>
          <w:sz w:val="20"/>
          <w:szCs w:val="20"/>
        </w:rPr>
        <w:t xml:space="preserve"> during treatment with systemic retinoids such as acitretin [162,163].</w:t>
      </w:r>
      <w:r w:rsidR="00B670E8" w:rsidRPr="003B5602">
        <w:rPr>
          <w:rFonts w:ascii="Times New Roman" w:hAnsi="Times New Roman" w:cs="Times New Roman"/>
          <w:b w:val="0"/>
          <w:bCs w:val="0"/>
          <w:color w:val="000000" w:themeColor="text1"/>
          <w:sz w:val="20"/>
          <w:szCs w:val="20"/>
        </w:rPr>
        <w:t xml:space="preserve"> </w:t>
      </w:r>
      <w:r w:rsidR="000573D3" w:rsidRPr="003B5602">
        <w:rPr>
          <w:rFonts w:ascii="Times New Roman" w:hAnsi="Times New Roman" w:cs="Times New Roman"/>
          <w:b w:val="0"/>
          <w:bCs w:val="0"/>
          <w:color w:val="000000" w:themeColor="text1"/>
          <w:sz w:val="20"/>
          <w:szCs w:val="20"/>
        </w:rPr>
        <w:t xml:space="preserve">However, these benefits often diminish following treatment discontinuation, and long-term use is frequently limited by adverse effects including mucocutaneous dryness, hepatotoxicity, dyslipidemia, and teratogenicity [161,164]. Consequently, oral retinoids are generally reserved for patients at exceptionally high risk of recurrent skin cancer rather than for routine prevention in the general population [155,157]. Nicotinamide has emerged as a promising </w:t>
      </w:r>
      <w:proofErr w:type="spellStart"/>
      <w:r w:rsidR="000573D3" w:rsidRPr="003B5602">
        <w:rPr>
          <w:rFonts w:ascii="Times New Roman" w:hAnsi="Times New Roman" w:cs="Times New Roman"/>
          <w:b w:val="0"/>
          <w:bCs w:val="0"/>
          <w:color w:val="000000" w:themeColor="text1"/>
          <w:sz w:val="20"/>
          <w:szCs w:val="20"/>
        </w:rPr>
        <w:t>chemopreventive</w:t>
      </w:r>
      <w:proofErr w:type="spellEnd"/>
      <w:r w:rsidR="000573D3" w:rsidRPr="003B5602">
        <w:rPr>
          <w:rFonts w:ascii="Times New Roman" w:hAnsi="Times New Roman" w:cs="Times New Roman"/>
          <w:b w:val="0"/>
          <w:bCs w:val="0"/>
          <w:color w:val="000000" w:themeColor="text1"/>
          <w:sz w:val="20"/>
          <w:szCs w:val="20"/>
        </w:rPr>
        <w:t xml:space="preserve"> agent because of its favorable safety profile. Ultraviolet radiation depletes cellular energy stores and impairs DNA repair and cutaneous immune function. Nicotinamide replenishes intracellular nicotinamide adenine dinucleotide (NAD⁺) levels, thereby supporting DNA repair mechanisms and reducing UV-induced immunosuppression [165]. The phase III ONTRAC trial demonstrated that oral nicotinamide 500 mg twice daily, reduced the incidence of new non-melanoma skin cancers by approximately 23% and the number of AKs in high-risk individuals over 12 months [166]. Notably, these benefits were observed only during active treatment, with protection diminishing after cessation [166,167]. However, nicotinamide’s low cost, favorable tolerability, and ease of administration have made it an attractive option for secondary prevention in high-risk patients [164,167,168].</w:t>
      </w:r>
    </w:p>
    <w:p w14:paraId="012C8382" w14:textId="77777777" w:rsidR="00593F43" w:rsidRDefault="00593F43" w:rsidP="000573D3">
      <w:pPr>
        <w:widowControl w:val="0"/>
        <w:spacing w:after="0" w:line="360" w:lineRule="auto"/>
        <w:jc w:val="both"/>
        <w:rPr>
          <w:rFonts w:ascii="Times New Roman" w:hAnsi="Times New Roman" w:cs="Times New Roman"/>
          <w:sz w:val="20"/>
          <w:szCs w:val="20"/>
        </w:rPr>
      </w:pPr>
    </w:p>
    <w:p w14:paraId="145C5694" w14:textId="267F6AAF" w:rsidR="000573D3" w:rsidRDefault="000573D3" w:rsidP="000573D3">
      <w:pPr>
        <w:widowControl w:val="0"/>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Topical field-directed therapies, including 5-fluorouracil, imiquimod, and photodynamic therapy, also reduce the burden of clinically visible and subclinical AKs within chronically sun-damaged skin [3,166]. Although these therapies are primarily used to treat existing lesions rather than prevent their initial development, they reduce the number of precancerous changes within chronically sun-damaged skin by eliminating dysplastic keratinocytes that may give rise to future lesions [154].</w:t>
      </w:r>
      <w:r>
        <w:rPr>
          <w:rFonts w:ascii="Times New Roman" w:hAnsi="Times New Roman" w:cs="Times New Roman"/>
          <w:sz w:val="20"/>
          <w:szCs w:val="20"/>
        </w:rPr>
        <w:t xml:space="preserve"> </w:t>
      </w:r>
      <w:r w:rsidRPr="000573D3">
        <w:rPr>
          <w:rFonts w:ascii="Times New Roman" w:hAnsi="Times New Roman" w:cs="Times New Roman"/>
          <w:sz w:val="20"/>
          <w:szCs w:val="20"/>
        </w:rPr>
        <w:t xml:space="preserve">Together, surveillance and chemoprevention form the foundation of secondary prevention for AK. Regular skin examinations facilitate earlier detection of malignant change, while pharmacological interventions may reduce lesion burden and the risk of future </w:t>
      </w:r>
      <w:r w:rsidR="00D62A90" w:rsidRPr="000573D3">
        <w:rPr>
          <w:rFonts w:ascii="Times New Roman" w:hAnsi="Times New Roman" w:cs="Times New Roman"/>
          <w:sz w:val="20"/>
          <w:szCs w:val="20"/>
        </w:rPr>
        <w:t>carcinoma</w:t>
      </w:r>
      <w:r w:rsidRPr="000573D3">
        <w:rPr>
          <w:rFonts w:ascii="Times New Roman" w:hAnsi="Times New Roman" w:cs="Times New Roman"/>
          <w:sz w:val="20"/>
          <w:szCs w:val="20"/>
        </w:rPr>
        <w:t>.</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There are still uncertainties regarding optimal surveillance intervals, long-term chemoprevention strategies, and the extent these approaches reduce cSCC-related morbidity and mortality.</w:t>
      </w:r>
      <w:r w:rsidR="00B670E8">
        <w:rPr>
          <w:rFonts w:ascii="Times New Roman" w:hAnsi="Times New Roman" w:cs="Times New Roman"/>
          <w:sz w:val="20"/>
          <w:szCs w:val="20"/>
        </w:rPr>
        <w:t xml:space="preserve"> </w:t>
      </w:r>
      <w:r w:rsidRPr="000573D3">
        <w:rPr>
          <w:rFonts w:ascii="Times New Roman" w:hAnsi="Times New Roman" w:cs="Times New Roman"/>
          <w:sz w:val="20"/>
          <w:szCs w:val="20"/>
        </w:rPr>
        <w:t xml:space="preserve">Future research should aim to clarify these uncertainties and identify the most effective and cost-effective approaches to secondary prevention in high-risk populations. </w:t>
      </w:r>
    </w:p>
    <w:p w14:paraId="6699A30B" w14:textId="77777777" w:rsidR="00F31D3D" w:rsidRDefault="00F31D3D" w:rsidP="00F31D3D">
      <w:pPr>
        <w:pStyle w:val="Heading2"/>
        <w:keepNext w:val="0"/>
        <w:keepLines w:val="0"/>
        <w:widowControl w:val="0"/>
        <w:spacing w:before="0" w:line="360" w:lineRule="auto"/>
        <w:jc w:val="both"/>
        <w:rPr>
          <w:rFonts w:ascii="Times New Roman" w:hAnsi="Times New Roman" w:cs="Times New Roman"/>
          <w:color w:val="0070C0"/>
          <w:sz w:val="20"/>
          <w:szCs w:val="20"/>
        </w:rPr>
      </w:pPr>
    </w:p>
    <w:p w14:paraId="24D91B50" w14:textId="15BF11D5" w:rsidR="00F31D3D" w:rsidRPr="00F31D3D" w:rsidRDefault="003B5602" w:rsidP="00F31D3D">
      <w:pPr>
        <w:pStyle w:val="Heading2"/>
        <w:keepNext w:val="0"/>
        <w:keepLines w:val="0"/>
        <w:widowControl w:val="0"/>
        <w:spacing w:before="0" w:line="360" w:lineRule="auto"/>
        <w:jc w:val="both"/>
        <w:rPr>
          <w:rFonts w:ascii="Times New Roman" w:hAnsi="Times New Roman" w:cs="Times New Roman"/>
          <w:color w:val="0070C0"/>
          <w:sz w:val="20"/>
          <w:szCs w:val="20"/>
        </w:rPr>
      </w:pPr>
      <w:r>
        <w:rPr>
          <w:rFonts w:ascii="Times New Roman" w:hAnsi="Times New Roman" w:cs="Times New Roman"/>
          <w:color w:val="0070C0"/>
          <w:sz w:val="20"/>
          <w:szCs w:val="20"/>
        </w:rPr>
        <w:t xml:space="preserve">1.9. </w:t>
      </w:r>
      <w:r w:rsidR="00F31D3D" w:rsidRPr="00F31D3D">
        <w:rPr>
          <w:rFonts w:ascii="Times New Roman" w:hAnsi="Times New Roman" w:cs="Times New Roman"/>
          <w:color w:val="0070C0"/>
          <w:sz w:val="20"/>
          <w:szCs w:val="20"/>
        </w:rPr>
        <w:t xml:space="preserve">Gaps in Our Knowledge and Future Directions </w:t>
      </w:r>
    </w:p>
    <w:p w14:paraId="37F9859C" w14:textId="4BF428B9" w:rsidR="00F31D3D" w:rsidRPr="00F31D3D" w:rsidRDefault="00F31D3D" w:rsidP="00F31D3D">
      <w:pPr>
        <w:widowControl w:val="0"/>
        <w:spacing w:after="0" w:line="360" w:lineRule="auto"/>
        <w:jc w:val="both"/>
        <w:rPr>
          <w:rFonts w:ascii="Times New Roman" w:hAnsi="Times New Roman" w:cs="Times New Roman"/>
          <w:sz w:val="20"/>
          <w:szCs w:val="20"/>
        </w:rPr>
      </w:pPr>
      <w:r w:rsidRPr="00F31D3D">
        <w:rPr>
          <w:rFonts w:ascii="Times New Roman" w:hAnsi="Times New Roman" w:cs="Times New Roman"/>
          <w:sz w:val="20"/>
          <w:szCs w:val="20"/>
        </w:rPr>
        <w:t>Current treatment approaches for actinic keratosis face several important limitations that restrict their long-term effectiveness. Therapies such as topical 5-fluorouracil, imiquimod, and photodynamic therapy address subclinical lesions across an area of sun-damaged skin, but they are often limited by poor patient adherence due to significant local skin reactions [50]. These skin reactions include erythema, crusting, and discomfort, which can lead patients to discontinue treatment before completing the full course. Lesion-directed therapies like cryotherapy are quick and convenient but only treat clinically visible lesions, leaving the subclinical UV damage untreated. This dilemma is the main reason why AK recurrence rates remain high. AK is not an isolated lesion but a visible manifestation of a larger area of cumulative photodamage called "field cancerization," in which keratinocytes through repeated sun-exposure are genetically mutated before any lesion becomes clinically apparent [50].</w:t>
      </w:r>
      <w:r w:rsidR="00B670E8">
        <w:rPr>
          <w:rFonts w:ascii="Times New Roman" w:hAnsi="Times New Roman" w:cs="Times New Roman"/>
          <w:sz w:val="20"/>
          <w:szCs w:val="20"/>
        </w:rPr>
        <w:t xml:space="preserve"> </w:t>
      </w:r>
      <w:r w:rsidRPr="00F31D3D">
        <w:rPr>
          <w:rFonts w:ascii="Times New Roman" w:hAnsi="Times New Roman" w:cs="Times New Roman"/>
          <w:sz w:val="20"/>
          <w:szCs w:val="20"/>
        </w:rPr>
        <w:t xml:space="preserve">Treating only the visible lesion does not address the surrounding </w:t>
      </w:r>
      <w:r w:rsidRPr="00F31D3D">
        <w:rPr>
          <w:rFonts w:ascii="Times New Roman" w:hAnsi="Times New Roman" w:cs="Times New Roman"/>
          <w:sz w:val="20"/>
          <w:szCs w:val="20"/>
        </w:rPr>
        <w:lastRenderedPageBreak/>
        <w:t xml:space="preserve">subclinical field, so new lesions frequently emerge from adjacent damaged tissue rather than representing true treatment failure of the original lesion. Ongoing UV exposure, incomplete patient adherence to field therapies, immunosuppression, and the difficulty of achieving complete microscopic clearance (as opposed to just clinical clearance) all contribute to recurrence [50]. Together, these factors mean that no current therapy offers a durable cure, and management is better understood as long-term suppression of a chronic, field-wide process rather than a one-time eradication. </w:t>
      </w:r>
    </w:p>
    <w:p w14:paraId="37B84A02" w14:textId="77777777" w:rsidR="00F31D3D" w:rsidRDefault="00F31D3D" w:rsidP="00F31D3D">
      <w:pPr>
        <w:widowControl w:val="0"/>
        <w:spacing w:after="0" w:line="360" w:lineRule="auto"/>
        <w:jc w:val="both"/>
        <w:rPr>
          <w:rFonts w:ascii="Times New Roman" w:hAnsi="Times New Roman" w:cs="Times New Roman"/>
          <w:sz w:val="20"/>
          <w:szCs w:val="20"/>
        </w:rPr>
      </w:pPr>
    </w:p>
    <w:p w14:paraId="747FD8FD" w14:textId="328D90AD" w:rsidR="00F31D3D" w:rsidRPr="00F31D3D" w:rsidRDefault="00F31D3D" w:rsidP="00F31D3D">
      <w:pPr>
        <w:widowControl w:val="0"/>
        <w:spacing w:after="0" w:line="360" w:lineRule="auto"/>
        <w:jc w:val="both"/>
        <w:rPr>
          <w:rFonts w:ascii="Times New Roman" w:hAnsi="Times New Roman" w:cs="Times New Roman"/>
          <w:sz w:val="20"/>
          <w:szCs w:val="20"/>
        </w:rPr>
      </w:pPr>
      <w:r w:rsidRPr="00F31D3D">
        <w:rPr>
          <w:rFonts w:ascii="Times New Roman" w:hAnsi="Times New Roman" w:cs="Times New Roman"/>
          <w:sz w:val="20"/>
          <w:szCs w:val="20"/>
        </w:rPr>
        <w:t>Despite decades of research, the natural history of actinic keratosis remains poorly understood at the individual level, which limits clinician’s ability to predict which lesions will progress to invasive squamous cell carcinoma, which will persist unchanged, and which will spontaneously regress [50]. Published estimates of malignant transformation rates per lesion vary enormously, from well under 1% to over 20% depending on the study population and follow-up duration [50,169], reflecting the absence of a reliable biomarker or histological feature that can prospectively distinguish a stable AK from one with a trajectory toward malignancy. Current grading systems, such as the Olsen clinical grading scale and the AK/SCC histological continuum, attempt to stratify risk based on morphology and degree of atypical cells, but neither has been validated as a strong independent predictor of progression, and inter-rater reliability remains inconsistent. It is also unclear why some patients with extensive field cancerization never develop invasive disease while others with a single lesion progress relatively quickly, suggesting that individual factors such as immune surveillance, genetic susceptibility, and local microenvironment likely play a role that is not yet well characterized. Molecular work has identified recurrent mutations in genes like TP53 and CDKN2A in AK lesions, but these same mutations are common in normal sun-exposed skin, so their presence cannot explain why only a minority of AKs progress. This uncertainty has direct clinical consequences, since it makes it difficult to counsel patients on individualized risk and complicates whether all AKs need treatment or whether a watchful-waiting approach is appropriate for lower-risk lesions.</w:t>
      </w:r>
      <w:r w:rsidR="00B670E8">
        <w:rPr>
          <w:rFonts w:ascii="Times New Roman" w:hAnsi="Times New Roman" w:cs="Times New Roman"/>
          <w:sz w:val="20"/>
          <w:szCs w:val="20"/>
        </w:rPr>
        <w:t xml:space="preserve"> </w:t>
      </w:r>
      <w:r w:rsidRPr="00F31D3D">
        <w:rPr>
          <w:rFonts w:ascii="Times New Roman" w:hAnsi="Times New Roman" w:cs="Times New Roman"/>
          <w:sz w:val="20"/>
          <w:szCs w:val="20"/>
        </w:rPr>
        <w:t>Longitudinal cohort studies with standardized grading and molecular correlations are needed to build risk-prediction models that go beyond population-level averages. Emerging treatment strategies for actinic keratosis are moving in two directions. One is to</w:t>
      </w:r>
      <w:r w:rsidR="00B670E8">
        <w:rPr>
          <w:rFonts w:ascii="Times New Roman" w:hAnsi="Times New Roman" w:cs="Times New Roman"/>
          <w:sz w:val="20"/>
          <w:szCs w:val="20"/>
        </w:rPr>
        <w:t xml:space="preserve"> </w:t>
      </w:r>
      <w:r w:rsidRPr="00F31D3D">
        <w:rPr>
          <w:rFonts w:ascii="Times New Roman" w:hAnsi="Times New Roman" w:cs="Times New Roman"/>
          <w:sz w:val="20"/>
          <w:szCs w:val="20"/>
        </w:rPr>
        <w:t>enhance the immune response against dysplastic keratinocytes, and the other is directly</w:t>
      </w:r>
      <w:r w:rsidR="00B670E8">
        <w:rPr>
          <w:rFonts w:ascii="Times New Roman" w:hAnsi="Times New Roman" w:cs="Times New Roman"/>
          <w:sz w:val="20"/>
          <w:szCs w:val="20"/>
        </w:rPr>
        <w:t xml:space="preserve"> </w:t>
      </w:r>
      <w:r w:rsidRPr="00F31D3D">
        <w:rPr>
          <w:rFonts w:ascii="Times New Roman" w:hAnsi="Times New Roman" w:cs="Times New Roman"/>
          <w:sz w:val="20"/>
          <w:szCs w:val="20"/>
        </w:rPr>
        <w:t>targeting the molecular pathways that drive their proliferation and survival</w:t>
      </w:r>
      <w:hyperlink r:id="rId14">
        <w:r w:rsidRPr="00F31D3D">
          <w:rPr>
            <w:rFonts w:ascii="Times New Roman" w:hAnsi="Times New Roman" w:cs="Times New Roman"/>
            <w:sz w:val="20"/>
            <w:szCs w:val="20"/>
          </w:rPr>
          <w:t xml:space="preserve"> </w:t>
        </w:r>
      </w:hyperlink>
      <w:hyperlink r:id="rId15">
        <w:r w:rsidRPr="00F31D3D">
          <w:rPr>
            <w:rFonts w:ascii="Times New Roman" w:hAnsi="Times New Roman" w:cs="Times New Roman"/>
            <w:sz w:val="20"/>
            <w:szCs w:val="20"/>
          </w:rPr>
          <w:t xml:space="preserve"> [144]</w:t>
        </w:r>
      </w:hyperlink>
      <w:hyperlink r:id="rId16">
        <w:r w:rsidRPr="00F31D3D">
          <w:rPr>
            <w:rFonts w:ascii="Times New Roman" w:hAnsi="Times New Roman" w:cs="Times New Roman"/>
            <w:sz w:val="20"/>
            <w:szCs w:val="20"/>
          </w:rPr>
          <w:t xml:space="preserve"> </w:t>
        </w:r>
      </w:hyperlink>
      <w:hyperlink r:id="rId17">
        <w:r w:rsidRPr="00F31D3D">
          <w:rPr>
            <w:rFonts w:ascii="Times New Roman" w:hAnsi="Times New Roman" w:cs="Times New Roman"/>
            <w:sz w:val="20"/>
            <w:szCs w:val="20"/>
          </w:rPr>
          <w:t>.</w:t>
        </w:r>
      </w:hyperlink>
      <w:hyperlink r:id="rId18">
        <w:r w:rsidRPr="00F31D3D">
          <w:rPr>
            <w:rFonts w:ascii="Times New Roman" w:hAnsi="Times New Roman" w:cs="Times New Roman"/>
            <w:sz w:val="20"/>
            <w:szCs w:val="20"/>
          </w:rPr>
          <w:t xml:space="preserve"> </w:t>
        </w:r>
      </w:hyperlink>
      <w:r w:rsidRPr="00F31D3D">
        <w:rPr>
          <w:rFonts w:ascii="Times New Roman" w:hAnsi="Times New Roman" w:cs="Times New Roman"/>
          <w:sz w:val="20"/>
          <w:szCs w:val="20"/>
        </w:rPr>
        <w:t xml:space="preserve"> On the</w:t>
      </w:r>
      <w:r w:rsidR="00B670E8">
        <w:rPr>
          <w:rFonts w:ascii="Times New Roman" w:hAnsi="Times New Roman" w:cs="Times New Roman"/>
          <w:sz w:val="20"/>
          <w:szCs w:val="20"/>
        </w:rPr>
        <w:t xml:space="preserve"> </w:t>
      </w:r>
      <w:r w:rsidRPr="00F31D3D">
        <w:rPr>
          <w:rFonts w:ascii="Times New Roman" w:hAnsi="Times New Roman" w:cs="Times New Roman"/>
          <w:sz w:val="20"/>
          <w:szCs w:val="20"/>
        </w:rPr>
        <w:t xml:space="preserve">immunotherapy side, agents such as </w:t>
      </w:r>
      <w:proofErr w:type="spellStart"/>
      <w:r w:rsidRPr="00F31D3D">
        <w:rPr>
          <w:rFonts w:ascii="Times New Roman" w:hAnsi="Times New Roman" w:cs="Times New Roman"/>
          <w:sz w:val="20"/>
          <w:szCs w:val="20"/>
        </w:rPr>
        <w:t>resiquimod</w:t>
      </w:r>
      <w:proofErr w:type="spellEnd"/>
      <w:r w:rsidRPr="00F31D3D">
        <w:rPr>
          <w:rFonts w:ascii="Times New Roman" w:hAnsi="Times New Roman" w:cs="Times New Roman"/>
          <w:sz w:val="20"/>
          <w:szCs w:val="20"/>
        </w:rPr>
        <w:t xml:space="preserve">, </w:t>
      </w:r>
      <w:proofErr w:type="spellStart"/>
      <w:r w:rsidRPr="00F31D3D">
        <w:rPr>
          <w:rFonts w:ascii="Times New Roman" w:hAnsi="Times New Roman" w:cs="Times New Roman"/>
          <w:sz w:val="20"/>
          <w:szCs w:val="20"/>
        </w:rPr>
        <w:t>ingenol</w:t>
      </w:r>
      <w:proofErr w:type="spellEnd"/>
      <w:r w:rsidRPr="00F31D3D">
        <w:rPr>
          <w:rFonts w:ascii="Times New Roman" w:hAnsi="Times New Roman" w:cs="Times New Roman"/>
          <w:sz w:val="20"/>
          <w:szCs w:val="20"/>
        </w:rPr>
        <w:t xml:space="preserve"> </w:t>
      </w:r>
      <w:proofErr w:type="spellStart"/>
      <w:r w:rsidRPr="00F31D3D">
        <w:rPr>
          <w:rFonts w:ascii="Times New Roman" w:hAnsi="Times New Roman" w:cs="Times New Roman"/>
          <w:sz w:val="20"/>
          <w:szCs w:val="20"/>
        </w:rPr>
        <w:t>disoxate</w:t>
      </w:r>
      <w:proofErr w:type="spellEnd"/>
      <w:r w:rsidRPr="00F31D3D">
        <w:rPr>
          <w:rFonts w:ascii="Times New Roman" w:hAnsi="Times New Roman" w:cs="Times New Roman"/>
          <w:sz w:val="20"/>
          <w:szCs w:val="20"/>
        </w:rPr>
        <w:t>, and topical anti-PD1</w:t>
      </w:r>
      <w:r w:rsidR="00B670E8">
        <w:rPr>
          <w:rFonts w:ascii="Times New Roman" w:hAnsi="Times New Roman" w:cs="Times New Roman"/>
          <w:sz w:val="20"/>
          <w:szCs w:val="20"/>
        </w:rPr>
        <w:t xml:space="preserve"> </w:t>
      </w:r>
      <w:r w:rsidRPr="00F31D3D">
        <w:rPr>
          <w:rFonts w:ascii="Times New Roman" w:hAnsi="Times New Roman" w:cs="Times New Roman"/>
          <w:sz w:val="20"/>
          <w:szCs w:val="20"/>
        </w:rPr>
        <w:t>formulations are under investigation, building on the immune-modulating mechanism already</w:t>
      </w:r>
      <w:r w:rsidR="00B670E8">
        <w:rPr>
          <w:rFonts w:ascii="Times New Roman" w:hAnsi="Times New Roman" w:cs="Times New Roman"/>
          <w:sz w:val="20"/>
          <w:szCs w:val="20"/>
        </w:rPr>
        <w:t xml:space="preserve"> </w:t>
      </w:r>
      <w:r w:rsidRPr="00F31D3D">
        <w:rPr>
          <w:rFonts w:ascii="Times New Roman" w:hAnsi="Times New Roman" w:cs="Times New Roman"/>
          <w:sz w:val="20"/>
          <w:szCs w:val="20"/>
        </w:rPr>
        <w:t>established by imiquimod [170].</w:t>
      </w:r>
      <w:r w:rsidR="00B670E8">
        <w:rPr>
          <w:rFonts w:ascii="Times New Roman" w:hAnsi="Times New Roman" w:cs="Times New Roman"/>
          <w:sz w:val="20"/>
          <w:szCs w:val="20"/>
        </w:rPr>
        <w:t xml:space="preserve"> </w:t>
      </w:r>
      <w:proofErr w:type="spellStart"/>
      <w:r w:rsidRPr="00F31D3D">
        <w:rPr>
          <w:rFonts w:ascii="Times New Roman" w:hAnsi="Times New Roman" w:cs="Times New Roman"/>
          <w:sz w:val="20"/>
          <w:szCs w:val="20"/>
        </w:rPr>
        <w:t>Resiquimod</w:t>
      </w:r>
      <w:proofErr w:type="spellEnd"/>
      <w:r w:rsidRPr="00F31D3D">
        <w:rPr>
          <w:rFonts w:ascii="Times New Roman" w:hAnsi="Times New Roman" w:cs="Times New Roman"/>
          <w:sz w:val="20"/>
          <w:szCs w:val="20"/>
        </w:rPr>
        <w:t>, for example, acts as a topical immune modifier that engages TLR7/8, activating myeloid and other immune cells to drive clearance of dysplastic tissue [170]. This approach amplifies the same innate and adaptive immune surveillance thought</w:t>
      </w:r>
      <w:r>
        <w:rPr>
          <w:rFonts w:ascii="Times New Roman" w:hAnsi="Times New Roman" w:cs="Times New Roman"/>
          <w:sz w:val="20"/>
          <w:szCs w:val="20"/>
        </w:rPr>
        <w:t xml:space="preserve"> </w:t>
      </w:r>
      <w:r w:rsidRPr="00F31D3D">
        <w:rPr>
          <w:rFonts w:ascii="Times New Roman" w:hAnsi="Times New Roman" w:cs="Times New Roman"/>
          <w:sz w:val="20"/>
          <w:szCs w:val="20"/>
        </w:rPr>
        <w:t>to underlie spontaneous AK regression. This immune-based strategy carries a limitation as their efficacy is somewhat reduced in solid organ transplant recipients because of their immunosuppressed state [170].</w:t>
      </w:r>
      <w:r w:rsidR="00B670E8">
        <w:rPr>
          <w:rFonts w:ascii="Times New Roman" w:hAnsi="Times New Roman" w:cs="Times New Roman"/>
          <w:sz w:val="20"/>
          <w:szCs w:val="20"/>
        </w:rPr>
        <w:t xml:space="preserve"> </w:t>
      </w:r>
      <w:r w:rsidRPr="00F31D3D">
        <w:rPr>
          <w:rFonts w:ascii="Times New Roman" w:hAnsi="Times New Roman" w:cs="Times New Roman"/>
          <w:sz w:val="20"/>
          <w:szCs w:val="20"/>
        </w:rPr>
        <w:t xml:space="preserve">On the targeted molecular therapy side, </w:t>
      </w:r>
      <w:r w:rsidR="00D62A90" w:rsidRPr="00F31D3D">
        <w:rPr>
          <w:rFonts w:ascii="Times New Roman" w:hAnsi="Times New Roman" w:cs="Times New Roman"/>
          <w:sz w:val="20"/>
          <w:szCs w:val="20"/>
        </w:rPr>
        <w:t>investigation</w:t>
      </w:r>
      <w:r w:rsidRPr="00F31D3D">
        <w:rPr>
          <w:rFonts w:ascii="Times New Roman" w:hAnsi="Times New Roman" w:cs="Times New Roman"/>
          <w:sz w:val="20"/>
          <w:szCs w:val="20"/>
        </w:rPr>
        <w:t xml:space="preserve"> agents that act on specific pathways implicated in keratinocyte dysplasia are being explored. These include EGFR/ErbB2 antagonists such as </w:t>
      </w:r>
      <w:proofErr w:type="spellStart"/>
      <w:r w:rsidRPr="00F31D3D">
        <w:rPr>
          <w:rFonts w:ascii="Times New Roman" w:hAnsi="Times New Roman" w:cs="Times New Roman"/>
          <w:sz w:val="20"/>
          <w:szCs w:val="20"/>
        </w:rPr>
        <w:t>sinecatechins</w:t>
      </w:r>
      <w:proofErr w:type="spellEnd"/>
      <w:r w:rsidRPr="00F31D3D">
        <w:rPr>
          <w:rFonts w:ascii="Times New Roman" w:hAnsi="Times New Roman" w:cs="Times New Roman"/>
          <w:sz w:val="20"/>
          <w:szCs w:val="20"/>
        </w:rPr>
        <w:t xml:space="preserve">, beta-tubulin antagonists such as paclitaxel, Na+/K+-ATPase inhibitors such as furosemide and digoxin, and VDAC/hexokinase 2 modulators such as </w:t>
      </w:r>
      <w:proofErr w:type="spellStart"/>
      <w:r w:rsidRPr="00F31D3D">
        <w:rPr>
          <w:rFonts w:ascii="Times New Roman" w:hAnsi="Times New Roman" w:cs="Times New Roman"/>
          <w:sz w:val="20"/>
          <w:szCs w:val="20"/>
        </w:rPr>
        <w:t>tuvatexib</w:t>
      </w:r>
      <w:proofErr w:type="spellEnd"/>
      <w:r w:rsidRPr="00F31D3D">
        <w:rPr>
          <w:rFonts w:ascii="Times New Roman" w:hAnsi="Times New Roman" w:cs="Times New Roman"/>
          <w:sz w:val="20"/>
          <w:szCs w:val="20"/>
        </w:rPr>
        <w:t xml:space="preserve"> [170]. These work to disrupt the specific proliferative or metabolic machinery of dysplastic cells rather than relying on the host immune system to do so. Combination approaches are also being tested clinically, such as pairing topical calcipotriene, a vitamin D analog with immunomodulatory effects, with 5-fluorouracil to enhance field treatment, particularly in high-risk populations like </w:t>
      </w:r>
      <w:r w:rsidRPr="00F31D3D">
        <w:rPr>
          <w:rFonts w:ascii="Times New Roman" w:hAnsi="Times New Roman" w:cs="Times New Roman"/>
          <w:sz w:val="20"/>
          <w:szCs w:val="20"/>
        </w:rPr>
        <w:lastRenderedPageBreak/>
        <w:t>organ transplant recipients. Overall immunotherapy approaches engage the body's own surveillance mechanisms but are restricted in immunosuppressed patients. Targeted molecular therapies bypass the need for intact immune function but require more precise understanding of the pathways driving individual lesions. This gap connects directly to the unresolved questions around the risk prediction in individual patients. Further research and clinical trials will clarify how these approaches fit into the evolving knowledge of AK management.</w:t>
      </w:r>
      <w:r>
        <w:rPr>
          <w:rFonts w:ascii="Times New Roman" w:hAnsi="Times New Roman" w:cs="Times New Roman"/>
          <w:sz w:val="20"/>
          <w:szCs w:val="20"/>
        </w:rPr>
        <w:t xml:space="preserve"> </w:t>
      </w:r>
      <w:r w:rsidRPr="00F31D3D">
        <w:rPr>
          <w:rFonts w:ascii="Times New Roman" w:hAnsi="Times New Roman" w:cs="Times New Roman"/>
          <w:sz w:val="20"/>
          <w:szCs w:val="20"/>
        </w:rPr>
        <w:t xml:space="preserve">A major research priority in AK is the development of non-invasive, biopsy-free methods that can distinguish stable lesions from malignant risk lesions. Since it is currently not possible to determine which AK lesions are at higher risk of progressing to SCC [169], and the biopsy required to assess histology is invasive, costly, and impractical to perform across every lesion in a field of multiple AKs, a biopsy-free method is needed. A developing approach uses adhesive tape stripping to non-invasively collect epidermal RNA for gene expression profiling [169]. It can identify differentially expressed genes that may play a role in AK progression to SCC, potentially opening a path toward biopsy-free genomic risk stratification [169]. In parallel, imaging-based biomarkers are advancing as complementary tools, including reflectance confocal microscopy (RCM), line-field confocal optical coherence tomography, and high-frequency ultrasound, which allow in vivo visualization of epidermal disorganization, keratinocyte atypia, and dermal remodeling that would only be visible on histology [171]. RCM has proven useful for characterizing field cancerization. It can reveal an atypical honeycomb pattern within the granular and spinous layers in subclinical AK that is not yet visible to the naked eye, a way to map the extent of a patient's photodamaged field beyond what clinical exam alone can detect. This matters clinically because clinical clearance after therapies does not correspond to histological resolution, which results in subclinical persistence and risk of recurrence [171]. Imaging-based monitoring could eventually help clinicians confirm true histological clearance rather than relying on visual assessment alone. Together, these non-invasive biomarker strategies, spanning genomic, cellular, and structural levels, are a critical piece needed to move AK risk prediction from population-level toward individualized, mechanism-based decision-making. </w:t>
      </w:r>
    </w:p>
    <w:p w14:paraId="00E654A9" w14:textId="77777777" w:rsidR="000573D3" w:rsidRPr="000573D3" w:rsidRDefault="000573D3" w:rsidP="000573D3">
      <w:pPr>
        <w:pStyle w:val="Heading1"/>
        <w:widowControl w:val="0"/>
        <w:spacing w:before="0" w:beforeAutospacing="0" w:after="0" w:afterAutospacing="0" w:line="360" w:lineRule="auto"/>
        <w:jc w:val="both"/>
        <w:rPr>
          <w:sz w:val="20"/>
          <w:szCs w:val="20"/>
        </w:rPr>
      </w:pPr>
    </w:p>
    <w:p w14:paraId="1F4A7644" w14:textId="77777777" w:rsidR="000573D3" w:rsidRPr="000573D3" w:rsidRDefault="000573D3" w:rsidP="000573D3">
      <w:pPr>
        <w:pStyle w:val="Heading1"/>
        <w:widowControl w:val="0"/>
        <w:spacing w:before="0" w:beforeAutospacing="0" w:after="0" w:afterAutospacing="0" w:line="360" w:lineRule="auto"/>
        <w:jc w:val="both"/>
        <w:rPr>
          <w:b w:val="0"/>
          <w:bCs w:val="0"/>
          <w:color w:val="0070C0"/>
          <w:sz w:val="20"/>
          <w:szCs w:val="20"/>
        </w:rPr>
      </w:pPr>
      <w:r w:rsidRPr="000573D3">
        <w:rPr>
          <w:color w:val="0070C0"/>
          <w:sz w:val="20"/>
          <w:szCs w:val="20"/>
        </w:rPr>
        <w:t xml:space="preserve">Key Points </w:t>
      </w:r>
    </w:p>
    <w:p w14:paraId="06A7E241"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Actinic Keratosis is one of the most common premalignant skin lesions and represents an early stage in the continuum leading to cutaneous squamous cell carcinoma.</w:t>
      </w:r>
    </w:p>
    <w:p w14:paraId="719F8488"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Chronic ultraviolet radiation exposure remains the primary driver of AK development through cumulative DNA damage, oxidative stress, immune dysregulation, and clonal expansion of atypical keratinocytes.</w:t>
      </w:r>
    </w:p>
    <w:p w14:paraId="0FAC3E59"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Field cancerization is a fundamental concept in AK pathogenesis and helps explain the frequent recurrence of lesions despite successful treatment of individual AKs.</w:t>
      </w:r>
    </w:p>
    <w:p w14:paraId="5DE08B9C"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Current risk stratification relies largely on clinical assessment because validated biomarkers capable of predicting progression of individual lesions are not yet available.</w:t>
      </w:r>
    </w:p>
    <w:p w14:paraId="0A58D11E"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 xml:space="preserve">Lesion-directed therapies target clinically apparent AKs, whereas field-directed therapies </w:t>
      </w:r>
      <w:r w:rsidRPr="000573D3">
        <w:rPr>
          <w:rFonts w:ascii="Times New Roman" w:hAnsi="Times New Roman" w:cs="Times New Roman"/>
          <w:sz w:val="20"/>
          <w:szCs w:val="20"/>
        </w:rPr>
        <w:tab/>
        <w:t xml:space="preserve"> treat both visible and subclinical lesions within areas of chronically sun-damaged skin.</w:t>
      </w:r>
    </w:p>
    <w:p w14:paraId="0C5B1F87"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Management should be individualized according to lesion characteristics, the extent of field disease, patient comorbidities, treatment tolerability, and patient preferences, as no single therapy is appropriate for all patients.</w:t>
      </w:r>
    </w:p>
    <w:p w14:paraId="1ED5374A"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 xml:space="preserve">Patient adherence, delayed lesion recognition, limited access to care, and variability in disease assessment </w:t>
      </w:r>
      <w:r w:rsidRPr="000573D3">
        <w:rPr>
          <w:rFonts w:ascii="Times New Roman" w:hAnsi="Times New Roman" w:cs="Times New Roman"/>
          <w:sz w:val="20"/>
          <w:szCs w:val="20"/>
        </w:rPr>
        <w:lastRenderedPageBreak/>
        <w:t>continue to represent significant barriers to effective long-term management.</w:t>
      </w:r>
    </w:p>
    <w:p w14:paraId="74B6E307"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Primary prevention through comprehensive photoprotection and secondary prevention through surveillance and appropriate chemoprevention remain essential components of AK management.</w:t>
      </w:r>
    </w:p>
    <w:p w14:paraId="273078E2"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 xml:space="preserve">Emerging molecular biomarkers, genomic profiling, and advanced noninvasive imaging </w:t>
      </w:r>
      <w:r w:rsidRPr="000573D3">
        <w:rPr>
          <w:rFonts w:ascii="Times New Roman" w:hAnsi="Times New Roman" w:cs="Times New Roman"/>
          <w:sz w:val="20"/>
          <w:szCs w:val="20"/>
        </w:rPr>
        <w:tab/>
        <w:t xml:space="preserve"> modalities have the potential to improve individualized risk prediction and guide more personalized treatment strategies.</w:t>
      </w:r>
    </w:p>
    <w:p w14:paraId="099A3AF7" w14:textId="77777777" w:rsidR="000573D3" w:rsidRPr="000573D3" w:rsidRDefault="000573D3" w:rsidP="000573D3">
      <w:pPr>
        <w:pStyle w:val="ListParagraph"/>
        <w:widowControl w:val="0"/>
        <w:numPr>
          <w:ilvl w:val="0"/>
          <w:numId w:val="8"/>
        </w:numPr>
        <w:spacing w:after="0" w:line="360" w:lineRule="auto"/>
        <w:jc w:val="both"/>
        <w:rPr>
          <w:rFonts w:ascii="Times New Roman" w:hAnsi="Times New Roman" w:cs="Times New Roman"/>
          <w:sz w:val="20"/>
          <w:szCs w:val="20"/>
        </w:rPr>
      </w:pPr>
      <w:r w:rsidRPr="000573D3">
        <w:rPr>
          <w:rFonts w:ascii="Times New Roman" w:hAnsi="Times New Roman" w:cs="Times New Roman"/>
          <w:sz w:val="20"/>
          <w:szCs w:val="20"/>
        </w:rPr>
        <w:t xml:space="preserve">Future research should focus on improving prediction of malignant progression, optimization of field-directed therapies, and development of durable treatment strategies capable of reducing recurrence and preventing progression to cutaneous squamous cell carcinoma. </w:t>
      </w:r>
    </w:p>
    <w:p w14:paraId="7CD4C66E" w14:textId="77777777" w:rsidR="000573D3" w:rsidRPr="000573D3" w:rsidRDefault="000573D3" w:rsidP="000573D3">
      <w:pPr>
        <w:pStyle w:val="Heading1"/>
        <w:widowControl w:val="0"/>
        <w:spacing w:before="0" w:beforeAutospacing="0" w:after="0" w:afterAutospacing="0" w:line="360" w:lineRule="auto"/>
        <w:jc w:val="both"/>
        <w:rPr>
          <w:sz w:val="20"/>
          <w:szCs w:val="20"/>
        </w:rPr>
      </w:pPr>
    </w:p>
    <w:p w14:paraId="7511D7BD" w14:textId="77777777" w:rsidR="000573D3" w:rsidRDefault="000573D3" w:rsidP="000573D3">
      <w:pPr>
        <w:widowControl w:val="0"/>
        <w:spacing w:after="0" w:line="360" w:lineRule="auto"/>
        <w:jc w:val="both"/>
        <w:rPr>
          <w:rFonts w:ascii="Times New Roman" w:hAnsi="Times New Roman" w:cs="Times New Roman"/>
          <w:b/>
          <w:color w:val="0070C0"/>
          <w:sz w:val="20"/>
          <w:szCs w:val="20"/>
        </w:rPr>
      </w:pPr>
      <w:r w:rsidRPr="000573D3">
        <w:rPr>
          <w:rFonts w:ascii="Times New Roman" w:hAnsi="Times New Roman" w:cs="Times New Roman"/>
          <w:b/>
          <w:color w:val="0070C0"/>
          <w:sz w:val="20"/>
          <w:szCs w:val="20"/>
        </w:rPr>
        <w:t>Funding</w:t>
      </w:r>
    </w:p>
    <w:p w14:paraId="09CD6CB7" w14:textId="5AB8D668" w:rsidR="000573D3" w:rsidRPr="000573D3" w:rsidRDefault="000573D3" w:rsidP="000573D3">
      <w:pPr>
        <w:widowControl w:val="0"/>
        <w:spacing w:after="0" w:line="360" w:lineRule="auto"/>
        <w:jc w:val="both"/>
        <w:rPr>
          <w:rFonts w:ascii="Times New Roman" w:eastAsiaTheme="minorEastAsia" w:hAnsi="Times New Roman" w:cs="Times New Roman"/>
          <w:b/>
          <w:sz w:val="20"/>
          <w:szCs w:val="20"/>
          <w:lang w:eastAsia="ja-JP"/>
        </w:rPr>
      </w:pPr>
      <w:r w:rsidRPr="000573D3">
        <w:rPr>
          <w:rFonts w:ascii="Times New Roman" w:hAnsi="Times New Roman" w:cs="Times New Roman"/>
          <w:sz w:val="20"/>
          <w:szCs w:val="20"/>
        </w:rPr>
        <w:t>The research work of DKA is supported by the R25AI179582 grant from the National Institutes of Health, USA. The contents of this research article are solely the responsibility of the authors and do not necessarily represent the official views of the National Institutes of Health.</w:t>
      </w:r>
      <w:r w:rsidR="00B670E8">
        <w:rPr>
          <w:rFonts w:ascii="Times New Roman" w:hAnsi="Times New Roman" w:cs="Times New Roman"/>
          <w:sz w:val="20"/>
          <w:szCs w:val="20"/>
        </w:rPr>
        <w:t xml:space="preserve"> </w:t>
      </w:r>
    </w:p>
    <w:p w14:paraId="19A549BF" w14:textId="77777777" w:rsidR="000573D3" w:rsidRDefault="000573D3" w:rsidP="000573D3">
      <w:pPr>
        <w:widowControl w:val="0"/>
        <w:spacing w:after="0" w:line="360" w:lineRule="auto"/>
        <w:jc w:val="both"/>
        <w:rPr>
          <w:rFonts w:ascii="Times New Roman" w:hAnsi="Times New Roman" w:cs="Times New Roman"/>
          <w:b/>
          <w:bCs/>
          <w:color w:val="0070C0"/>
          <w:sz w:val="20"/>
          <w:szCs w:val="20"/>
        </w:rPr>
      </w:pPr>
    </w:p>
    <w:p w14:paraId="260C6E59" w14:textId="488E6429" w:rsidR="000573D3" w:rsidRDefault="000573D3" w:rsidP="000573D3">
      <w:pPr>
        <w:widowControl w:val="0"/>
        <w:spacing w:after="0" w:line="360" w:lineRule="auto"/>
        <w:jc w:val="both"/>
        <w:rPr>
          <w:rFonts w:ascii="Times New Roman" w:hAnsi="Times New Roman" w:cs="Times New Roman"/>
          <w:color w:val="0070C0"/>
          <w:sz w:val="20"/>
          <w:szCs w:val="20"/>
        </w:rPr>
      </w:pPr>
      <w:r w:rsidRPr="000573D3">
        <w:rPr>
          <w:rFonts w:ascii="Times New Roman" w:hAnsi="Times New Roman" w:cs="Times New Roman"/>
          <w:b/>
          <w:bCs/>
          <w:color w:val="0070C0"/>
          <w:sz w:val="20"/>
          <w:szCs w:val="20"/>
        </w:rPr>
        <w:t>Competing interests</w:t>
      </w:r>
    </w:p>
    <w:p w14:paraId="5C30DA01" w14:textId="4116E2ED" w:rsidR="000573D3" w:rsidRPr="000573D3" w:rsidRDefault="000573D3" w:rsidP="000573D3">
      <w:pPr>
        <w:widowControl w:val="0"/>
        <w:spacing w:after="0" w:line="360" w:lineRule="auto"/>
        <w:jc w:val="both"/>
        <w:rPr>
          <w:rFonts w:ascii="Times New Roman" w:hAnsi="Times New Roman" w:cs="Times New Roman"/>
          <w:color w:val="000000" w:themeColor="text1"/>
          <w:sz w:val="20"/>
          <w:szCs w:val="20"/>
        </w:rPr>
      </w:pPr>
      <w:r w:rsidRPr="000573D3">
        <w:rPr>
          <w:rFonts w:ascii="Times New Roman" w:hAnsi="Times New Roman" w:cs="Times New Roman"/>
          <w:color w:val="000000" w:themeColor="text1"/>
          <w:sz w:val="20"/>
          <w:szCs w:val="20"/>
        </w:rPr>
        <w:t>All authors have read the manuscript and declare no conflict of interest. No writing assistance was utilized in the production of this manuscript.</w:t>
      </w:r>
    </w:p>
    <w:p w14:paraId="3BF9AB9B" w14:textId="77777777" w:rsidR="000573D3" w:rsidRDefault="000573D3" w:rsidP="000573D3">
      <w:pPr>
        <w:widowControl w:val="0"/>
        <w:spacing w:after="0" w:line="360" w:lineRule="auto"/>
        <w:jc w:val="both"/>
        <w:rPr>
          <w:rFonts w:ascii="Times New Roman" w:hAnsi="Times New Roman" w:cs="Times New Roman"/>
          <w:b/>
          <w:bCs/>
          <w:color w:val="0070C0"/>
          <w:sz w:val="20"/>
          <w:szCs w:val="20"/>
        </w:rPr>
      </w:pPr>
    </w:p>
    <w:p w14:paraId="5A581A67" w14:textId="750AD77C" w:rsidR="000573D3" w:rsidRDefault="000573D3" w:rsidP="000573D3">
      <w:pPr>
        <w:widowControl w:val="0"/>
        <w:spacing w:after="0" w:line="360" w:lineRule="auto"/>
        <w:jc w:val="both"/>
        <w:rPr>
          <w:rFonts w:ascii="Times New Roman" w:hAnsi="Times New Roman" w:cs="Times New Roman"/>
          <w:color w:val="0070C0"/>
          <w:sz w:val="20"/>
          <w:szCs w:val="20"/>
        </w:rPr>
      </w:pPr>
      <w:r w:rsidRPr="000573D3">
        <w:rPr>
          <w:rFonts w:ascii="Times New Roman" w:hAnsi="Times New Roman" w:cs="Times New Roman"/>
          <w:b/>
          <w:bCs/>
          <w:color w:val="0070C0"/>
          <w:sz w:val="20"/>
          <w:szCs w:val="20"/>
        </w:rPr>
        <w:t>Consent for publication</w:t>
      </w:r>
    </w:p>
    <w:p w14:paraId="75A7CBBC" w14:textId="46C6F955" w:rsidR="000573D3" w:rsidRPr="000573D3" w:rsidRDefault="000573D3" w:rsidP="000573D3">
      <w:pPr>
        <w:widowControl w:val="0"/>
        <w:spacing w:after="0" w:line="360" w:lineRule="auto"/>
        <w:jc w:val="both"/>
        <w:rPr>
          <w:rFonts w:ascii="Times New Roman" w:hAnsi="Times New Roman" w:cs="Times New Roman"/>
          <w:color w:val="000000" w:themeColor="text1"/>
          <w:sz w:val="20"/>
          <w:szCs w:val="20"/>
        </w:rPr>
      </w:pPr>
      <w:r w:rsidRPr="000573D3">
        <w:rPr>
          <w:rFonts w:ascii="Times New Roman" w:hAnsi="Times New Roman" w:cs="Times New Roman"/>
          <w:color w:val="000000" w:themeColor="text1"/>
          <w:sz w:val="20"/>
          <w:szCs w:val="20"/>
        </w:rPr>
        <w:t>All authors have read the manuscript and consented for publication.</w:t>
      </w:r>
      <w:bookmarkStart w:id="0" w:name="_om0jgn1bwie6"/>
      <w:bookmarkEnd w:id="0"/>
    </w:p>
    <w:p w14:paraId="0CB0E353" w14:textId="77777777" w:rsidR="000573D3" w:rsidRPr="000573D3" w:rsidRDefault="000573D3" w:rsidP="000573D3">
      <w:pPr>
        <w:pStyle w:val="Heading1"/>
        <w:spacing w:before="0" w:beforeAutospacing="0" w:after="0" w:afterAutospacing="0" w:line="360" w:lineRule="auto"/>
        <w:jc w:val="both"/>
        <w:rPr>
          <w:rFonts w:eastAsia="Calibri"/>
          <w:color w:val="0070C0"/>
          <w:sz w:val="20"/>
          <w:szCs w:val="20"/>
        </w:rPr>
      </w:pPr>
    </w:p>
    <w:p w14:paraId="5F571769" w14:textId="7185703F" w:rsidR="00504BB1" w:rsidRDefault="00504BB1" w:rsidP="00504BB1">
      <w:pPr>
        <w:spacing w:after="0" w:line="360" w:lineRule="auto"/>
        <w:jc w:val="both"/>
        <w:rPr>
          <w:rFonts w:ascii="Times New Roman" w:hAnsi="Times New Roman" w:cs="Times New Roman"/>
          <w:b/>
          <w:bCs/>
          <w:color w:val="0070C0"/>
        </w:rPr>
      </w:pPr>
      <w:r w:rsidRPr="00504BB1">
        <w:rPr>
          <w:rFonts w:ascii="Times New Roman" w:hAnsi="Times New Roman" w:cs="Times New Roman"/>
          <w:b/>
          <w:bCs/>
          <w:color w:val="0070C0"/>
        </w:rPr>
        <w:t>References</w:t>
      </w:r>
    </w:p>
    <w:p w14:paraId="0DEB3682"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Wang Z, Wang X, Shi Y, et al. Advancements in elucidating the pathogenesis of actinic keratosis: present state and </w:t>
      </w:r>
      <w:proofErr w:type="gramStart"/>
      <w:r w:rsidRPr="00212245">
        <w:rPr>
          <w:rFonts w:ascii="Times New Roman" w:hAnsi="Times New Roman" w:cs="Times New Roman"/>
          <w:sz w:val="20"/>
          <w:szCs w:val="20"/>
        </w:rPr>
        <w:t>future prospects</w:t>
      </w:r>
      <w:proofErr w:type="gramEnd"/>
      <w:r w:rsidRPr="00212245">
        <w:rPr>
          <w:rFonts w:ascii="Times New Roman" w:hAnsi="Times New Roman" w:cs="Times New Roman"/>
          <w:sz w:val="20"/>
          <w:szCs w:val="20"/>
        </w:rPr>
        <w:t xml:space="preserve">. Front Med 11 (2024): 1330491. </w:t>
      </w:r>
    </w:p>
    <w:p w14:paraId="1396CB95" w14:textId="0868A3C8"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George CD, Lee T, </w:t>
      </w:r>
      <w:proofErr w:type="spellStart"/>
      <w:r w:rsidRPr="00212245">
        <w:rPr>
          <w:rFonts w:ascii="Times New Roman" w:hAnsi="Times New Roman" w:cs="Times New Roman"/>
          <w:sz w:val="20"/>
          <w:szCs w:val="20"/>
        </w:rPr>
        <w:t>Hollestein</w:t>
      </w:r>
      <w:proofErr w:type="spellEnd"/>
      <w:r w:rsidRPr="00212245">
        <w:rPr>
          <w:rFonts w:ascii="Times New Roman" w:hAnsi="Times New Roman" w:cs="Times New Roman"/>
          <w:sz w:val="20"/>
          <w:szCs w:val="20"/>
        </w:rPr>
        <w:t xml:space="preserve"> LM, et al. Global epidemiology of actinic keratosis in the general population: a systematic review and meta-analysis. Br J Dermatol 190 (2024): 465</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476. </w:t>
      </w:r>
    </w:p>
    <w:p w14:paraId="1B0CC901" w14:textId="47A1D520"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Eisen DB, Asgari MM, Bennett DD, et al. Guidelines of care for the management of actinic keratosis. J Am Acad Dermatol 85 (2021): e209</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e233. </w:t>
      </w:r>
    </w:p>
    <w:p w14:paraId="5487F5D7" w14:textId="32F20DE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proofErr w:type="spellStart"/>
      <w:r w:rsidRPr="00212245">
        <w:rPr>
          <w:rFonts w:ascii="Times New Roman" w:hAnsi="Times New Roman" w:cs="Times New Roman"/>
          <w:sz w:val="20"/>
          <w:szCs w:val="20"/>
        </w:rPr>
        <w:t>Malvehy</w:t>
      </w:r>
      <w:proofErr w:type="spellEnd"/>
      <w:r w:rsidRPr="00212245">
        <w:rPr>
          <w:rFonts w:ascii="Times New Roman" w:hAnsi="Times New Roman" w:cs="Times New Roman"/>
          <w:sz w:val="20"/>
          <w:szCs w:val="20"/>
        </w:rPr>
        <w:t xml:space="preserve"> J, Stratigos AJ, Bagot M, et al. Actinic keratosis: Current challenges and unanswered questions. J </w:t>
      </w:r>
      <w:proofErr w:type="spellStart"/>
      <w:r w:rsidRPr="00212245">
        <w:rPr>
          <w:rFonts w:ascii="Times New Roman" w:hAnsi="Times New Roman" w:cs="Times New Roman"/>
          <w:sz w:val="20"/>
          <w:szCs w:val="20"/>
        </w:rPr>
        <w:t>Eur</w:t>
      </w:r>
      <w:proofErr w:type="spellEnd"/>
      <w:r w:rsidRPr="00212245">
        <w:rPr>
          <w:rFonts w:ascii="Times New Roman" w:hAnsi="Times New Roman" w:cs="Times New Roman"/>
          <w:sz w:val="20"/>
          <w:szCs w:val="20"/>
        </w:rPr>
        <w:t xml:space="preserve"> Acad Dermatol </w:t>
      </w:r>
      <w:proofErr w:type="spellStart"/>
      <w:r w:rsidRPr="00212245">
        <w:rPr>
          <w:rFonts w:ascii="Times New Roman" w:hAnsi="Times New Roman" w:cs="Times New Roman"/>
          <w:sz w:val="20"/>
          <w:szCs w:val="20"/>
        </w:rPr>
        <w:t>Venereol</w:t>
      </w:r>
      <w:proofErr w:type="spellEnd"/>
      <w:r w:rsidRPr="00212245">
        <w:rPr>
          <w:rFonts w:ascii="Times New Roman" w:hAnsi="Times New Roman" w:cs="Times New Roman"/>
          <w:sz w:val="20"/>
          <w:szCs w:val="20"/>
        </w:rPr>
        <w:t xml:space="preserve"> 38 Suppl 5 (2024): 3</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11. </w:t>
      </w:r>
    </w:p>
    <w:p w14:paraId="7EEF2812"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proofErr w:type="spellStart"/>
      <w:r w:rsidRPr="00212245">
        <w:rPr>
          <w:rFonts w:ascii="Times New Roman" w:hAnsi="Times New Roman" w:cs="Times New Roman"/>
          <w:sz w:val="20"/>
          <w:szCs w:val="20"/>
        </w:rPr>
        <w:t>Dervenis</w:t>
      </w:r>
      <w:proofErr w:type="spellEnd"/>
      <w:r w:rsidRPr="00212245">
        <w:rPr>
          <w:rFonts w:ascii="Times New Roman" w:hAnsi="Times New Roman" w:cs="Times New Roman"/>
          <w:sz w:val="20"/>
          <w:szCs w:val="20"/>
        </w:rPr>
        <w:t xml:space="preserve"> V, Falkenberg C, Knebel A, et al. </w:t>
      </w:r>
      <w:proofErr w:type="spellStart"/>
      <w:r w:rsidRPr="00212245">
        <w:rPr>
          <w:rFonts w:ascii="Times New Roman" w:hAnsi="Times New Roman" w:cs="Times New Roman"/>
          <w:sz w:val="20"/>
          <w:szCs w:val="20"/>
        </w:rPr>
        <w:t>Immunohistological</w:t>
      </w:r>
      <w:proofErr w:type="spellEnd"/>
      <w:r w:rsidRPr="00212245">
        <w:rPr>
          <w:rFonts w:ascii="Times New Roman" w:hAnsi="Times New Roman" w:cs="Times New Roman"/>
          <w:sz w:val="20"/>
          <w:szCs w:val="20"/>
        </w:rPr>
        <w:t xml:space="preserve"> Characterization of Actinic Keratoses with Varying Degrees of Proliferation. Cancers 18 (2026): 1340. </w:t>
      </w:r>
    </w:p>
    <w:p w14:paraId="37E13B1E" w14:textId="05CA3EE1"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Heidari K, Shojaei S, Jin H, et al. Mohs Surgery vs. Wide Local Excision for Non-Melanoma Skin Cancer: Comparing Recurrence Rates, Economic Value, and Aesthetic Outcomes. J Cancer Sci Clin Ther 10 (2026): 12</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27. </w:t>
      </w:r>
    </w:p>
    <w:p w14:paraId="56A5BC0C" w14:textId="7A87721E"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lastRenderedPageBreak/>
        <w:t>Nguyen AH, Detty SQ, Agrawal DK. Clinical Implications of High-mobility Group Box-1 (HMGB1) and the Receptor for Advanced Glycation End-products (RAGE) in Cutaneous Malignancy: A Systematic Review. Anticancer Res 37 (2017): 1</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7. </w:t>
      </w:r>
    </w:p>
    <w:p w14:paraId="2F2C0382" w14:textId="49BFE81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Nguyen AH, Koenck C, Quirk SK, et al. Triggering Receptor Expressed on Myeloid Cells in Cutaneous Melanoma. Clin </w:t>
      </w:r>
      <w:proofErr w:type="spellStart"/>
      <w:r w:rsidRPr="00212245">
        <w:rPr>
          <w:rFonts w:ascii="Times New Roman" w:hAnsi="Times New Roman" w:cs="Times New Roman"/>
          <w:sz w:val="20"/>
          <w:szCs w:val="20"/>
        </w:rPr>
        <w:t>Transl</w:t>
      </w:r>
      <w:proofErr w:type="spellEnd"/>
      <w:r w:rsidRPr="00212245">
        <w:rPr>
          <w:rFonts w:ascii="Times New Roman" w:hAnsi="Times New Roman" w:cs="Times New Roman"/>
          <w:sz w:val="20"/>
          <w:szCs w:val="20"/>
        </w:rPr>
        <w:t xml:space="preserve"> Sci 8 (2015): 441</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444. </w:t>
      </w:r>
    </w:p>
    <w:p w14:paraId="468F6253" w14:textId="098AB059"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proofErr w:type="spellStart"/>
      <w:r w:rsidRPr="00212245">
        <w:rPr>
          <w:rFonts w:ascii="Times New Roman" w:hAnsi="Times New Roman" w:cs="Times New Roman"/>
          <w:sz w:val="20"/>
          <w:szCs w:val="20"/>
        </w:rPr>
        <w:t>Arisi</w:t>
      </w:r>
      <w:proofErr w:type="spellEnd"/>
      <w:r w:rsidRPr="00212245">
        <w:rPr>
          <w:rFonts w:ascii="Times New Roman" w:hAnsi="Times New Roman" w:cs="Times New Roman"/>
          <w:sz w:val="20"/>
          <w:szCs w:val="20"/>
        </w:rPr>
        <w:t xml:space="preserve"> M, Guasco Pisani E, </w:t>
      </w:r>
      <w:proofErr w:type="spellStart"/>
      <w:r w:rsidRPr="00212245">
        <w:rPr>
          <w:rFonts w:ascii="Times New Roman" w:hAnsi="Times New Roman" w:cs="Times New Roman"/>
          <w:sz w:val="20"/>
          <w:szCs w:val="20"/>
        </w:rPr>
        <w:t>Calzavara-Pinton</w:t>
      </w:r>
      <w:proofErr w:type="spellEnd"/>
      <w:r w:rsidRPr="00212245">
        <w:rPr>
          <w:rFonts w:ascii="Times New Roman" w:hAnsi="Times New Roman" w:cs="Times New Roman"/>
          <w:sz w:val="20"/>
          <w:szCs w:val="20"/>
        </w:rPr>
        <w:t xml:space="preserve"> P, et al. Cryotherapy for Actinic Keratosis: Basic Principles and Literature Review. Clin </w:t>
      </w:r>
      <w:proofErr w:type="spellStart"/>
      <w:r w:rsidRPr="00212245">
        <w:rPr>
          <w:rFonts w:ascii="Times New Roman" w:hAnsi="Times New Roman" w:cs="Times New Roman"/>
          <w:sz w:val="20"/>
          <w:szCs w:val="20"/>
        </w:rPr>
        <w:t>Cosmet</w:t>
      </w:r>
      <w:proofErr w:type="spellEnd"/>
      <w:r w:rsidRPr="00212245">
        <w:rPr>
          <w:rFonts w:ascii="Times New Roman" w:hAnsi="Times New Roman" w:cs="Times New Roman"/>
          <w:sz w:val="20"/>
          <w:szCs w:val="20"/>
        </w:rPr>
        <w:t xml:space="preserve"> </w:t>
      </w:r>
      <w:proofErr w:type="spellStart"/>
      <w:r w:rsidRPr="00212245">
        <w:rPr>
          <w:rFonts w:ascii="Times New Roman" w:hAnsi="Times New Roman" w:cs="Times New Roman"/>
          <w:sz w:val="20"/>
          <w:szCs w:val="20"/>
        </w:rPr>
        <w:t>Investig</w:t>
      </w:r>
      <w:proofErr w:type="spellEnd"/>
      <w:r w:rsidRPr="00212245">
        <w:rPr>
          <w:rFonts w:ascii="Times New Roman" w:hAnsi="Times New Roman" w:cs="Times New Roman"/>
          <w:sz w:val="20"/>
          <w:szCs w:val="20"/>
        </w:rPr>
        <w:t xml:space="preserve"> Dermatol 15 (2022): 357</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365. </w:t>
      </w:r>
    </w:p>
    <w:p w14:paraId="05BBEAAA" w14:textId="034CA60E"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Mokbel R, </w:t>
      </w:r>
      <w:proofErr w:type="spellStart"/>
      <w:r w:rsidRPr="00212245">
        <w:rPr>
          <w:rFonts w:ascii="Times New Roman" w:hAnsi="Times New Roman" w:cs="Times New Roman"/>
          <w:sz w:val="20"/>
          <w:szCs w:val="20"/>
        </w:rPr>
        <w:t>Kodresko</w:t>
      </w:r>
      <w:proofErr w:type="spellEnd"/>
      <w:r w:rsidRPr="00212245">
        <w:rPr>
          <w:rFonts w:ascii="Times New Roman" w:hAnsi="Times New Roman" w:cs="Times New Roman"/>
          <w:sz w:val="20"/>
          <w:szCs w:val="20"/>
        </w:rPr>
        <w:t xml:space="preserve"> A, Mokbel K, et al. Cutaneous Cryosurgery in Dermatology: Evolving Principles and Clinical Applications for Benign, Premalignant, and Malignant Lesions. In Vivo 39 (2025): 577</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612. </w:t>
      </w:r>
    </w:p>
    <w:p w14:paraId="15262D70"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Steeb T, Wessely A, Petzold A, et al. How to Assess the Efficacy of Interventions for Actinic Keratosis? A Review with a Focus on Long-Term Results. J Clin Med 10 (2021): 4736. </w:t>
      </w:r>
    </w:p>
    <w:p w14:paraId="74A9E592" w14:textId="2A69EDC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George CD, </w:t>
      </w:r>
      <w:proofErr w:type="spellStart"/>
      <w:r w:rsidRPr="00212245">
        <w:rPr>
          <w:rFonts w:ascii="Times New Roman" w:hAnsi="Times New Roman" w:cs="Times New Roman"/>
          <w:sz w:val="20"/>
          <w:szCs w:val="20"/>
        </w:rPr>
        <w:t>Tokez</w:t>
      </w:r>
      <w:proofErr w:type="spellEnd"/>
      <w:r w:rsidRPr="00212245">
        <w:rPr>
          <w:rFonts w:ascii="Times New Roman" w:hAnsi="Times New Roman" w:cs="Times New Roman"/>
          <w:sz w:val="20"/>
          <w:szCs w:val="20"/>
        </w:rPr>
        <w:t xml:space="preserve"> S, </w:t>
      </w:r>
      <w:proofErr w:type="spellStart"/>
      <w:r w:rsidRPr="00212245">
        <w:rPr>
          <w:rFonts w:ascii="Times New Roman" w:hAnsi="Times New Roman" w:cs="Times New Roman"/>
          <w:sz w:val="20"/>
          <w:szCs w:val="20"/>
        </w:rPr>
        <w:t>Hollestein</w:t>
      </w:r>
      <w:proofErr w:type="spellEnd"/>
      <w:r w:rsidRPr="00212245">
        <w:rPr>
          <w:rFonts w:ascii="Times New Roman" w:hAnsi="Times New Roman" w:cs="Times New Roman"/>
          <w:sz w:val="20"/>
          <w:szCs w:val="20"/>
        </w:rPr>
        <w:t xml:space="preserve"> L, et al. Longitudinal Assessment of the Prevalence of Actinic Keratosis and Extensive Risk Factor Evaluation: An Update from the Rotterdam Study. J Invest Dermatol 143 (2023): 2193</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2203.e12. </w:t>
      </w:r>
    </w:p>
    <w:p w14:paraId="34D9019C" w14:textId="185478B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Naldi L, </w:t>
      </w:r>
      <w:proofErr w:type="spellStart"/>
      <w:r w:rsidRPr="00212245">
        <w:rPr>
          <w:rFonts w:ascii="Times New Roman" w:hAnsi="Times New Roman" w:cs="Times New Roman"/>
          <w:sz w:val="20"/>
          <w:szCs w:val="20"/>
        </w:rPr>
        <w:t>Cassalia</w:t>
      </w:r>
      <w:proofErr w:type="spellEnd"/>
      <w:r w:rsidRPr="00212245">
        <w:rPr>
          <w:rFonts w:ascii="Times New Roman" w:hAnsi="Times New Roman" w:cs="Times New Roman"/>
          <w:sz w:val="20"/>
          <w:szCs w:val="20"/>
        </w:rPr>
        <w:t xml:space="preserve"> F. Actinic keratosis epidemiology: the good, the bad and the ugly. Br J Dermatol 190 (2024): 457</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458. </w:t>
      </w:r>
    </w:p>
    <w:p w14:paraId="041F82FC"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Burstein SE, Maibach H. Actinic keratosis metrics. Arch Dermatol Res 316 (2024): 543. </w:t>
      </w:r>
    </w:p>
    <w:p w14:paraId="47F0B1B2"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Li Y, Wang J, Xiao W, et al. Risk Factors for Actinic Keratoses: A Systematic Review and Meta-Analysis. Indian J Dermatol 67 (2022): 92. </w:t>
      </w:r>
    </w:p>
    <w:p w14:paraId="77DDE3AF" w14:textId="0598202E"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Ceryn J, Lesiak A, Sobolewska-</w:t>
      </w:r>
      <w:proofErr w:type="spellStart"/>
      <w:r w:rsidRPr="00212245">
        <w:rPr>
          <w:rFonts w:ascii="Times New Roman" w:hAnsi="Times New Roman" w:cs="Times New Roman"/>
          <w:sz w:val="20"/>
          <w:szCs w:val="20"/>
        </w:rPr>
        <w:t>Sztychny</w:t>
      </w:r>
      <w:proofErr w:type="spellEnd"/>
      <w:r w:rsidRPr="00212245">
        <w:rPr>
          <w:rFonts w:ascii="Times New Roman" w:hAnsi="Times New Roman" w:cs="Times New Roman"/>
          <w:sz w:val="20"/>
          <w:szCs w:val="20"/>
        </w:rPr>
        <w:t xml:space="preserve"> D, et al. Actinic keratosis: comprehensive review of current treatments and emerging therapeutic innovations. </w:t>
      </w:r>
      <w:proofErr w:type="spellStart"/>
      <w:r w:rsidRPr="00212245">
        <w:rPr>
          <w:rFonts w:ascii="Times New Roman" w:hAnsi="Times New Roman" w:cs="Times New Roman"/>
          <w:sz w:val="20"/>
          <w:szCs w:val="20"/>
        </w:rPr>
        <w:t>Postepy</w:t>
      </w:r>
      <w:proofErr w:type="spellEnd"/>
      <w:r w:rsidRPr="00212245">
        <w:rPr>
          <w:rFonts w:ascii="Times New Roman" w:hAnsi="Times New Roman" w:cs="Times New Roman"/>
          <w:sz w:val="20"/>
          <w:szCs w:val="20"/>
        </w:rPr>
        <w:t xml:space="preserve"> Dermatol </w:t>
      </w:r>
      <w:proofErr w:type="spellStart"/>
      <w:r w:rsidRPr="00212245">
        <w:rPr>
          <w:rFonts w:ascii="Times New Roman" w:hAnsi="Times New Roman" w:cs="Times New Roman"/>
          <w:sz w:val="20"/>
          <w:szCs w:val="20"/>
        </w:rPr>
        <w:t>Alergol</w:t>
      </w:r>
      <w:proofErr w:type="spellEnd"/>
      <w:r w:rsidRPr="00212245">
        <w:rPr>
          <w:rFonts w:ascii="Times New Roman" w:hAnsi="Times New Roman" w:cs="Times New Roman"/>
          <w:sz w:val="20"/>
          <w:szCs w:val="20"/>
        </w:rPr>
        <w:t xml:space="preserve"> 42 (2025): 221</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231. </w:t>
      </w:r>
    </w:p>
    <w:p w14:paraId="1674B19B"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Marques E, Chen TM. Actinic Keratosis. </w:t>
      </w:r>
      <w:proofErr w:type="spellStart"/>
      <w:r w:rsidRPr="00212245">
        <w:rPr>
          <w:rFonts w:ascii="Times New Roman" w:hAnsi="Times New Roman" w:cs="Times New Roman"/>
          <w:sz w:val="20"/>
          <w:szCs w:val="20"/>
        </w:rPr>
        <w:t>StatPearls</w:t>
      </w:r>
      <w:proofErr w:type="spellEnd"/>
      <w:r w:rsidRPr="00212245">
        <w:rPr>
          <w:rFonts w:ascii="Times New Roman" w:hAnsi="Times New Roman" w:cs="Times New Roman"/>
          <w:sz w:val="20"/>
          <w:szCs w:val="20"/>
        </w:rPr>
        <w:t xml:space="preserve">, Treasure Island (FL): </w:t>
      </w:r>
      <w:proofErr w:type="spellStart"/>
      <w:r w:rsidRPr="00212245">
        <w:rPr>
          <w:rFonts w:ascii="Times New Roman" w:hAnsi="Times New Roman" w:cs="Times New Roman"/>
          <w:sz w:val="20"/>
          <w:szCs w:val="20"/>
        </w:rPr>
        <w:t>StatPearls</w:t>
      </w:r>
      <w:proofErr w:type="spellEnd"/>
      <w:r w:rsidRPr="00212245">
        <w:rPr>
          <w:rFonts w:ascii="Times New Roman" w:hAnsi="Times New Roman" w:cs="Times New Roman"/>
          <w:sz w:val="20"/>
          <w:szCs w:val="20"/>
        </w:rPr>
        <w:t xml:space="preserve"> Publishing (2026). </w:t>
      </w:r>
    </w:p>
    <w:p w14:paraId="15CE32B2" w14:textId="6D04646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Molina-García M, </w:t>
      </w:r>
      <w:proofErr w:type="spellStart"/>
      <w:r w:rsidRPr="00212245">
        <w:rPr>
          <w:rFonts w:ascii="Times New Roman" w:hAnsi="Times New Roman" w:cs="Times New Roman"/>
          <w:sz w:val="20"/>
          <w:szCs w:val="20"/>
        </w:rPr>
        <w:t>Malvehy</w:t>
      </w:r>
      <w:proofErr w:type="spellEnd"/>
      <w:r w:rsidRPr="00212245">
        <w:rPr>
          <w:rFonts w:ascii="Times New Roman" w:hAnsi="Times New Roman" w:cs="Times New Roman"/>
          <w:sz w:val="20"/>
          <w:szCs w:val="20"/>
        </w:rPr>
        <w:t xml:space="preserve"> J, Granger C, et al. Exposome and Skin. Part 2. The Influential Role of the Exposome, Beyond UVR, in Actinic Keratosis, Bowen’s Disease and Squamous Cell Carcinoma: A Proposal. Dermatol Ther 12 (2022): 361</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380. </w:t>
      </w:r>
    </w:p>
    <w:p w14:paraId="227B90A9"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Schultz Junior A, Lopes LB, Barbosa RRB. Prevalence and factors associated with actinic keratosis in 1346 patients attending at a public dermatology service: a cross-sectional study. Sao Paulo Med J Rev Paul Med 143 (2025): e2024178. </w:t>
      </w:r>
    </w:p>
    <w:p w14:paraId="79696D7F"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Song D, Li Y, Chang L, et al. Prevalence of head and face actinic keratosis among older community residents aged ≥60 years in Shanghai: a cross-sectional study. Front Med 12 (2025): 1558683. </w:t>
      </w:r>
    </w:p>
    <w:p w14:paraId="5C9A93A0"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Thamm JR, Schuh S, Welzel J. Epidemiology and Risk Factors of Actinic Keratosis. What is New for The Management for Sun-Damaged Skin. Dermatol </w:t>
      </w:r>
      <w:proofErr w:type="spellStart"/>
      <w:r w:rsidRPr="00212245">
        <w:rPr>
          <w:rFonts w:ascii="Times New Roman" w:hAnsi="Times New Roman" w:cs="Times New Roman"/>
          <w:sz w:val="20"/>
          <w:szCs w:val="20"/>
        </w:rPr>
        <w:t>Pract</w:t>
      </w:r>
      <w:proofErr w:type="spellEnd"/>
      <w:r w:rsidRPr="00212245">
        <w:rPr>
          <w:rFonts w:ascii="Times New Roman" w:hAnsi="Times New Roman" w:cs="Times New Roman"/>
          <w:sz w:val="20"/>
          <w:szCs w:val="20"/>
        </w:rPr>
        <w:t xml:space="preserve"> Concept 14 (2024): e2024146S. </w:t>
      </w:r>
    </w:p>
    <w:p w14:paraId="311E4FF2" w14:textId="34A04604"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Morgan HJ, Deorukhkar RA, Tuckwell W, et al. Presence of </w:t>
      </w:r>
      <w:proofErr w:type="spellStart"/>
      <w:r w:rsidRPr="00212245">
        <w:rPr>
          <w:rFonts w:ascii="Times New Roman" w:hAnsi="Times New Roman" w:cs="Times New Roman"/>
          <w:sz w:val="20"/>
          <w:szCs w:val="20"/>
        </w:rPr>
        <w:t>koilocytes</w:t>
      </w:r>
      <w:proofErr w:type="spellEnd"/>
      <w:r w:rsidRPr="00212245">
        <w:rPr>
          <w:rFonts w:ascii="Times New Roman" w:hAnsi="Times New Roman" w:cs="Times New Roman"/>
          <w:sz w:val="20"/>
          <w:szCs w:val="20"/>
        </w:rPr>
        <w:t xml:space="preserve"> in actinic keratosis identifies those at high risk of developing keratinocyte carcinoma. Br J Dermatol 194 (2026): 914</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922. </w:t>
      </w:r>
    </w:p>
    <w:p w14:paraId="72EDC330" w14:textId="4A41D212"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Trowbridge RM, Mitkov MV, Pittelkow MR, et al. Immunomodulation of malignant melanoma by contact sensitizing agents. Expert Rev Clin Immunol 10 (2014): 63</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76. </w:t>
      </w:r>
    </w:p>
    <w:p w14:paraId="26660532" w14:textId="5066CE40"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t xml:space="preserve">Trowbridge RM, Mitkov MV, Hunter WJ 3rd, et al. Vitamin D receptor and CD86 expression in the skin of vitamin D-deficient swine. Exp Mol </w:t>
      </w:r>
      <w:proofErr w:type="spellStart"/>
      <w:r w:rsidRPr="00212245">
        <w:rPr>
          <w:rFonts w:ascii="Times New Roman" w:hAnsi="Times New Roman" w:cs="Times New Roman"/>
          <w:sz w:val="20"/>
          <w:szCs w:val="20"/>
        </w:rPr>
        <w:t>Pathol</w:t>
      </w:r>
      <w:proofErr w:type="spellEnd"/>
      <w:r w:rsidRPr="00212245">
        <w:rPr>
          <w:rFonts w:ascii="Times New Roman" w:hAnsi="Times New Roman" w:cs="Times New Roman"/>
          <w:sz w:val="20"/>
          <w:szCs w:val="20"/>
        </w:rPr>
        <w:t xml:space="preserve"> 96 (2014): 42</w:t>
      </w:r>
      <w:r w:rsidR="005F4AC6">
        <w:rPr>
          <w:rFonts w:ascii="Times New Roman" w:hAnsi="Times New Roman" w:cs="Times New Roman"/>
          <w:sz w:val="20"/>
          <w:szCs w:val="20"/>
        </w:rPr>
        <w:t>-</w:t>
      </w:r>
      <w:r w:rsidRPr="00212245">
        <w:rPr>
          <w:rFonts w:ascii="Times New Roman" w:hAnsi="Times New Roman" w:cs="Times New Roman"/>
          <w:sz w:val="20"/>
          <w:szCs w:val="20"/>
        </w:rPr>
        <w:t xml:space="preserve">47. </w:t>
      </w:r>
    </w:p>
    <w:p w14:paraId="32E21346" w14:textId="7E248209"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hAnsi="Times New Roman" w:cs="Times New Roman"/>
          <w:sz w:val="20"/>
          <w:szCs w:val="20"/>
        </w:rPr>
      </w:pPr>
      <w:r w:rsidRPr="00212245">
        <w:rPr>
          <w:rFonts w:ascii="Times New Roman" w:hAnsi="Times New Roman" w:cs="Times New Roman"/>
          <w:sz w:val="20"/>
          <w:szCs w:val="20"/>
        </w:rPr>
        <w:lastRenderedPageBreak/>
        <w:t>Worley B, Harikumar V, Reynolds K, et al. Treatment of actinic keratosis: a systematic review. Arch Dermatol Res 315 (2023): 1099</w:t>
      </w:r>
      <w:r w:rsidR="005F4AC6">
        <w:rPr>
          <w:rFonts w:ascii="Times New Roman" w:hAnsi="Times New Roman" w:cs="Times New Roman"/>
          <w:sz w:val="20"/>
          <w:szCs w:val="20"/>
        </w:rPr>
        <w:t>-</w:t>
      </w:r>
      <w:r w:rsidRPr="00212245">
        <w:rPr>
          <w:rFonts w:ascii="Times New Roman" w:hAnsi="Times New Roman" w:cs="Times New Roman"/>
          <w:sz w:val="20"/>
          <w:szCs w:val="20"/>
        </w:rPr>
        <w:t>1108.</w:t>
      </w:r>
    </w:p>
    <w:p w14:paraId="260A428B" w14:textId="0BEA896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Larese Filon F, Buric M, </w:t>
      </w:r>
      <w:proofErr w:type="spellStart"/>
      <w:r w:rsidRPr="00212245">
        <w:rPr>
          <w:rFonts w:ascii="Times New Roman" w:eastAsia="Times New Roman" w:hAnsi="Times New Roman" w:cs="Times New Roman"/>
          <w:sz w:val="20"/>
          <w:szCs w:val="20"/>
          <w:lang w:eastAsia="en-IN"/>
        </w:rPr>
        <w:t>Fluehler</w:t>
      </w:r>
      <w:proofErr w:type="spellEnd"/>
      <w:r w:rsidRPr="00212245">
        <w:rPr>
          <w:rFonts w:ascii="Times New Roman" w:eastAsia="Times New Roman" w:hAnsi="Times New Roman" w:cs="Times New Roman"/>
          <w:sz w:val="20"/>
          <w:szCs w:val="20"/>
          <w:lang w:eastAsia="en-IN"/>
        </w:rPr>
        <w:t xml:space="preserve"> C. UV exposure, preventive habits, risk perception, and occupation in NMSC patients: A case-control study in Trieste (NE Italy). </w:t>
      </w:r>
      <w:proofErr w:type="spellStart"/>
      <w:r w:rsidRPr="00212245">
        <w:rPr>
          <w:rFonts w:ascii="Times New Roman" w:eastAsia="Times New Roman" w:hAnsi="Times New Roman" w:cs="Times New Roman"/>
          <w:sz w:val="20"/>
          <w:szCs w:val="20"/>
          <w:lang w:eastAsia="en-IN"/>
        </w:rPr>
        <w:t>Photodermatol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Photoimmunol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Photomed</w:t>
      </w:r>
      <w:proofErr w:type="spellEnd"/>
      <w:r w:rsidRPr="00212245">
        <w:rPr>
          <w:rFonts w:ascii="Times New Roman" w:eastAsia="Times New Roman" w:hAnsi="Times New Roman" w:cs="Times New Roman"/>
          <w:sz w:val="20"/>
          <w:szCs w:val="20"/>
          <w:lang w:eastAsia="en-IN"/>
        </w:rPr>
        <w:t xml:space="preserve"> 35 (2019): 24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30. </w:t>
      </w:r>
    </w:p>
    <w:p w14:paraId="72A7875D"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Tranquillini</w:t>
      </w:r>
      <w:proofErr w:type="spellEnd"/>
      <w:r w:rsidRPr="00212245">
        <w:rPr>
          <w:rFonts w:ascii="Times New Roman" w:eastAsia="Times New Roman" w:hAnsi="Times New Roman" w:cs="Times New Roman"/>
          <w:sz w:val="20"/>
          <w:szCs w:val="20"/>
          <w:lang w:eastAsia="en-IN"/>
        </w:rPr>
        <w:t xml:space="preserve"> F, Soares VG, Mendes BX, et al. Skin cancer and actinic keratosis in people with albinism: a systematic review and meta-analysis. </w:t>
      </w:r>
      <w:proofErr w:type="gramStart"/>
      <w:r w:rsidRPr="00212245">
        <w:rPr>
          <w:rFonts w:ascii="Times New Roman" w:eastAsia="Times New Roman" w:hAnsi="Times New Roman" w:cs="Times New Roman"/>
          <w:sz w:val="20"/>
          <w:szCs w:val="20"/>
          <w:lang w:eastAsia="en-IN"/>
        </w:rPr>
        <w:t>An</w:t>
      </w:r>
      <w:proofErr w:type="gramEnd"/>
      <w:r w:rsidRPr="00212245">
        <w:rPr>
          <w:rFonts w:ascii="Times New Roman" w:eastAsia="Times New Roman" w:hAnsi="Times New Roman" w:cs="Times New Roman"/>
          <w:sz w:val="20"/>
          <w:szCs w:val="20"/>
          <w:lang w:eastAsia="en-IN"/>
        </w:rPr>
        <w:t xml:space="preserve"> Bras Dermatol 101 (2026): 501374. </w:t>
      </w:r>
    </w:p>
    <w:p w14:paraId="2000F5D2"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Karampinis</w:t>
      </w:r>
      <w:proofErr w:type="spellEnd"/>
      <w:r w:rsidRPr="00212245">
        <w:rPr>
          <w:rFonts w:ascii="Times New Roman" w:eastAsia="Times New Roman" w:hAnsi="Times New Roman" w:cs="Times New Roman"/>
          <w:sz w:val="20"/>
          <w:szCs w:val="20"/>
          <w:lang w:eastAsia="en-IN"/>
        </w:rPr>
        <w:t xml:space="preserve"> E, Georgopoulou K-E, </w:t>
      </w:r>
      <w:proofErr w:type="spellStart"/>
      <w:r w:rsidRPr="00212245">
        <w:rPr>
          <w:rFonts w:ascii="Times New Roman" w:eastAsia="Times New Roman" w:hAnsi="Times New Roman" w:cs="Times New Roman"/>
          <w:sz w:val="20"/>
          <w:szCs w:val="20"/>
          <w:lang w:eastAsia="en-IN"/>
        </w:rPr>
        <w:t>Kampra</w:t>
      </w:r>
      <w:proofErr w:type="spellEnd"/>
      <w:r w:rsidRPr="00212245">
        <w:rPr>
          <w:rFonts w:ascii="Times New Roman" w:eastAsia="Times New Roman" w:hAnsi="Times New Roman" w:cs="Times New Roman"/>
          <w:sz w:val="20"/>
          <w:szCs w:val="20"/>
          <w:lang w:eastAsia="en-IN"/>
        </w:rPr>
        <w:t xml:space="preserve"> E, et al. Clinical and </w:t>
      </w:r>
      <w:proofErr w:type="spellStart"/>
      <w:r w:rsidRPr="00212245">
        <w:rPr>
          <w:rFonts w:ascii="Times New Roman" w:eastAsia="Times New Roman" w:hAnsi="Times New Roman" w:cs="Times New Roman"/>
          <w:sz w:val="20"/>
          <w:szCs w:val="20"/>
          <w:lang w:eastAsia="en-IN"/>
        </w:rPr>
        <w:t>Dermoscopic</w:t>
      </w:r>
      <w:proofErr w:type="spellEnd"/>
      <w:r w:rsidRPr="00212245">
        <w:rPr>
          <w:rFonts w:ascii="Times New Roman" w:eastAsia="Times New Roman" w:hAnsi="Times New Roman" w:cs="Times New Roman"/>
          <w:sz w:val="20"/>
          <w:szCs w:val="20"/>
          <w:lang w:eastAsia="en-IN"/>
        </w:rPr>
        <w:t xml:space="preserve"> Patterns of Basal Cell Carcinoma and Its Mimickers in Skin of Color: A Practical Summary. Medicina (Mex) 60 (2024): 1386. </w:t>
      </w:r>
    </w:p>
    <w:p w14:paraId="5FE336A7"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De Francesco MA, Salvi M, Gerami R, et al. Actinic Keratosis and Human Papillomaviruses: may their relationship constitute a new approach for actinic keratosis management? </w:t>
      </w:r>
      <w:proofErr w:type="spellStart"/>
      <w:r w:rsidRPr="00212245">
        <w:rPr>
          <w:rFonts w:ascii="Times New Roman" w:eastAsia="Times New Roman" w:hAnsi="Times New Roman" w:cs="Times New Roman"/>
          <w:sz w:val="20"/>
          <w:szCs w:val="20"/>
          <w:lang w:eastAsia="en-IN"/>
        </w:rPr>
        <w:t>Tumour</w:t>
      </w:r>
      <w:proofErr w:type="spellEnd"/>
      <w:r w:rsidRPr="00212245">
        <w:rPr>
          <w:rFonts w:ascii="Times New Roman" w:eastAsia="Times New Roman" w:hAnsi="Times New Roman" w:cs="Times New Roman"/>
          <w:sz w:val="20"/>
          <w:szCs w:val="20"/>
          <w:lang w:eastAsia="en-IN"/>
        </w:rPr>
        <w:t xml:space="preserve"> Virus Res 20 (2025): 200330. </w:t>
      </w:r>
    </w:p>
    <w:p w14:paraId="2AB49BCE" w14:textId="521011D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Navsaria</w:t>
      </w:r>
      <w:proofErr w:type="spellEnd"/>
      <w:r w:rsidRPr="00212245">
        <w:rPr>
          <w:rFonts w:ascii="Times New Roman" w:eastAsia="Times New Roman" w:hAnsi="Times New Roman" w:cs="Times New Roman"/>
          <w:sz w:val="20"/>
          <w:szCs w:val="20"/>
          <w:lang w:eastAsia="en-IN"/>
        </w:rPr>
        <w:t xml:space="preserve"> LJ, Liao K, </w:t>
      </w:r>
      <w:proofErr w:type="spellStart"/>
      <w:r w:rsidRPr="00212245">
        <w:rPr>
          <w:rFonts w:ascii="Times New Roman" w:eastAsia="Times New Roman" w:hAnsi="Times New Roman" w:cs="Times New Roman"/>
          <w:sz w:val="20"/>
          <w:szCs w:val="20"/>
          <w:lang w:eastAsia="en-IN"/>
        </w:rPr>
        <w:t>Veerabagu</w:t>
      </w:r>
      <w:proofErr w:type="spellEnd"/>
      <w:r w:rsidRPr="00212245">
        <w:rPr>
          <w:rFonts w:ascii="Times New Roman" w:eastAsia="Times New Roman" w:hAnsi="Times New Roman" w:cs="Times New Roman"/>
          <w:sz w:val="20"/>
          <w:szCs w:val="20"/>
          <w:lang w:eastAsia="en-IN"/>
        </w:rPr>
        <w:t xml:space="preserve"> S, et al. Actinic Keratosis Incidence in Solid Organ Transplant Recipients. JAMA Dermatol 161 (2025): 334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336. </w:t>
      </w:r>
    </w:p>
    <w:p w14:paraId="6DCA0054"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Guerra LO, Leão Santos AC, </w:t>
      </w:r>
      <w:proofErr w:type="spellStart"/>
      <w:r w:rsidRPr="00212245">
        <w:rPr>
          <w:rFonts w:ascii="Times New Roman" w:eastAsia="Times New Roman" w:hAnsi="Times New Roman" w:cs="Times New Roman"/>
          <w:sz w:val="20"/>
          <w:szCs w:val="20"/>
          <w:lang w:eastAsia="en-IN"/>
        </w:rPr>
        <w:t>Cortinoz</w:t>
      </w:r>
      <w:proofErr w:type="spellEnd"/>
      <w:r w:rsidRPr="00212245">
        <w:rPr>
          <w:rFonts w:ascii="Times New Roman" w:eastAsia="Times New Roman" w:hAnsi="Times New Roman" w:cs="Times New Roman"/>
          <w:sz w:val="20"/>
          <w:szCs w:val="20"/>
          <w:lang w:eastAsia="en-IN"/>
        </w:rPr>
        <w:t xml:space="preserve"> JR, et al. Photographic scale for the characterization of actinic keratosis through reflectance confocal microscopy: a quantitative approach to cellular transformation. Front Med 11 (2024): 1391859. </w:t>
      </w:r>
    </w:p>
    <w:p w14:paraId="797B9631" w14:textId="19E67E5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Li Pomi F, Di Domenico EG, </w:t>
      </w:r>
      <w:proofErr w:type="spellStart"/>
      <w:r w:rsidRPr="00212245">
        <w:rPr>
          <w:rFonts w:ascii="Times New Roman" w:eastAsia="Times New Roman" w:hAnsi="Times New Roman" w:cs="Times New Roman"/>
          <w:sz w:val="20"/>
          <w:szCs w:val="20"/>
          <w:lang w:eastAsia="en-IN"/>
        </w:rPr>
        <w:t>Pimpinelli</w:t>
      </w:r>
      <w:proofErr w:type="spellEnd"/>
      <w:r w:rsidRPr="00212245">
        <w:rPr>
          <w:rFonts w:ascii="Times New Roman" w:eastAsia="Times New Roman" w:hAnsi="Times New Roman" w:cs="Times New Roman"/>
          <w:sz w:val="20"/>
          <w:szCs w:val="20"/>
          <w:lang w:eastAsia="en-IN"/>
        </w:rPr>
        <w:t xml:space="preserve"> F, et al. Actinic Keratosis at the Crossroads of Inflammation and Cutaneous Dysbiosis. Dermatol Ther 16 (2026): 1515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1530. </w:t>
      </w:r>
    </w:p>
    <w:p w14:paraId="153DC36C" w14:textId="461DC954"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Cañueto</w:t>
      </w:r>
      <w:proofErr w:type="spellEnd"/>
      <w:r w:rsidRPr="00212245">
        <w:rPr>
          <w:rFonts w:ascii="Times New Roman" w:eastAsia="Times New Roman" w:hAnsi="Times New Roman" w:cs="Times New Roman"/>
          <w:sz w:val="20"/>
          <w:szCs w:val="20"/>
          <w:lang w:eastAsia="en-IN"/>
        </w:rPr>
        <w:t xml:space="preserve"> J, Turrión L, </w:t>
      </w:r>
      <w:proofErr w:type="spellStart"/>
      <w:r w:rsidRPr="00212245">
        <w:rPr>
          <w:rFonts w:ascii="Times New Roman" w:eastAsia="Times New Roman" w:hAnsi="Times New Roman" w:cs="Times New Roman"/>
          <w:sz w:val="20"/>
          <w:szCs w:val="20"/>
          <w:lang w:eastAsia="en-IN"/>
        </w:rPr>
        <w:t>Ferrándiz</w:t>
      </w:r>
      <w:proofErr w:type="spellEnd"/>
      <w:r w:rsidRPr="00212245">
        <w:rPr>
          <w:rFonts w:ascii="Times New Roman" w:eastAsia="Times New Roman" w:hAnsi="Times New Roman" w:cs="Times New Roman"/>
          <w:sz w:val="20"/>
          <w:szCs w:val="20"/>
          <w:lang w:eastAsia="en-IN"/>
        </w:rPr>
        <w:t xml:space="preserve">-Pulido C. [Translated article] An Overview of Actinic Keratoses: Understanding Etiology, Diagnosis, and Treatment Approaches. </w:t>
      </w:r>
      <w:proofErr w:type="spellStart"/>
      <w:r w:rsidRPr="00212245">
        <w:rPr>
          <w:rFonts w:ascii="Times New Roman" w:eastAsia="Times New Roman" w:hAnsi="Times New Roman" w:cs="Times New Roman"/>
          <w:sz w:val="20"/>
          <w:szCs w:val="20"/>
          <w:lang w:eastAsia="en-IN"/>
        </w:rPr>
        <w:t>Actas</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Dermosifiliogr</w:t>
      </w:r>
      <w:proofErr w:type="spellEnd"/>
      <w:r w:rsidRPr="00212245">
        <w:rPr>
          <w:rFonts w:ascii="Times New Roman" w:eastAsia="Times New Roman" w:hAnsi="Times New Roman" w:cs="Times New Roman"/>
          <w:sz w:val="20"/>
          <w:szCs w:val="20"/>
          <w:lang w:eastAsia="en-IN"/>
        </w:rPr>
        <w:t xml:space="preserve"> 116 (2025): T740</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T754. </w:t>
      </w:r>
    </w:p>
    <w:p w14:paraId="7D7ED62E"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Soare C, Cozma EC, </w:t>
      </w:r>
      <w:proofErr w:type="spellStart"/>
      <w:r w:rsidRPr="00212245">
        <w:rPr>
          <w:rFonts w:ascii="Times New Roman" w:eastAsia="Times New Roman" w:hAnsi="Times New Roman" w:cs="Times New Roman"/>
          <w:sz w:val="20"/>
          <w:szCs w:val="20"/>
          <w:lang w:eastAsia="en-IN"/>
        </w:rPr>
        <w:t>Poroșnicu</w:t>
      </w:r>
      <w:proofErr w:type="spellEnd"/>
      <w:r w:rsidRPr="00212245">
        <w:rPr>
          <w:rFonts w:ascii="Times New Roman" w:eastAsia="Times New Roman" w:hAnsi="Times New Roman" w:cs="Times New Roman"/>
          <w:sz w:val="20"/>
          <w:szCs w:val="20"/>
          <w:lang w:eastAsia="en-IN"/>
        </w:rPr>
        <w:t xml:space="preserve"> AL, et al. </w:t>
      </w:r>
      <w:proofErr w:type="spellStart"/>
      <w:r w:rsidRPr="00212245">
        <w:rPr>
          <w:rFonts w:ascii="Times New Roman" w:eastAsia="Times New Roman" w:hAnsi="Times New Roman" w:cs="Times New Roman"/>
          <w:sz w:val="20"/>
          <w:szCs w:val="20"/>
          <w:lang w:eastAsia="en-IN"/>
        </w:rPr>
        <w:t>Clinico</w:t>
      </w:r>
      <w:proofErr w:type="spellEnd"/>
      <w:r w:rsidRPr="00212245">
        <w:rPr>
          <w:rFonts w:ascii="Times New Roman" w:eastAsia="Times New Roman" w:hAnsi="Times New Roman" w:cs="Times New Roman"/>
          <w:sz w:val="20"/>
          <w:szCs w:val="20"/>
          <w:lang w:eastAsia="en-IN"/>
        </w:rPr>
        <w:t xml:space="preserve">-Pathologic Profile of a Cohort of Patients with Actinic Keratosis in a Tertiary Center in Romania. Cancers 17 (2025): 1923. </w:t>
      </w:r>
    </w:p>
    <w:p w14:paraId="05EB9BA6"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Minoretti</w:t>
      </w:r>
      <w:proofErr w:type="spellEnd"/>
      <w:r w:rsidRPr="00212245">
        <w:rPr>
          <w:rFonts w:ascii="Times New Roman" w:eastAsia="Times New Roman" w:hAnsi="Times New Roman" w:cs="Times New Roman"/>
          <w:sz w:val="20"/>
          <w:szCs w:val="20"/>
          <w:lang w:eastAsia="en-IN"/>
        </w:rPr>
        <w:t xml:space="preserve"> P, Emanuele E, García Martín Á, et al. Exploring the Protective Efficacy of Topical Products for Actinic Keratosis Against Ultraviolet-Induced DNA and Protein Damage: An Experimental, Double-Blind Irradiation Study. </w:t>
      </w:r>
      <w:proofErr w:type="spellStart"/>
      <w:r w:rsidRPr="00212245">
        <w:rPr>
          <w:rFonts w:ascii="Times New Roman" w:eastAsia="Times New Roman" w:hAnsi="Times New Roman" w:cs="Times New Roman"/>
          <w:sz w:val="20"/>
          <w:szCs w:val="20"/>
          <w:lang w:eastAsia="en-IN"/>
        </w:rPr>
        <w:t>Cureus</w:t>
      </w:r>
      <w:proofErr w:type="spellEnd"/>
      <w:r w:rsidRPr="00212245">
        <w:rPr>
          <w:rFonts w:ascii="Times New Roman" w:eastAsia="Times New Roman" w:hAnsi="Times New Roman" w:cs="Times New Roman"/>
          <w:sz w:val="20"/>
          <w:szCs w:val="20"/>
          <w:lang w:eastAsia="en-IN"/>
        </w:rPr>
        <w:t xml:space="preserve"> 15 (2023): e44065. </w:t>
      </w:r>
    </w:p>
    <w:p w14:paraId="3ABEE960" w14:textId="3E46B8A2"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Thomson J, Bewicke-Copley F, Anene CA, et al. The Genomic Landscape of Actinic Keratosis. J Invest Dermatol 141 (2021): 1664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1674.e7. </w:t>
      </w:r>
    </w:p>
    <w:p w14:paraId="490BD8F2"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Symanzik</w:t>
      </w:r>
      <w:proofErr w:type="spellEnd"/>
      <w:r w:rsidRPr="00212245">
        <w:rPr>
          <w:rFonts w:ascii="Times New Roman" w:eastAsia="Times New Roman" w:hAnsi="Times New Roman" w:cs="Times New Roman"/>
          <w:sz w:val="20"/>
          <w:szCs w:val="20"/>
          <w:lang w:eastAsia="en-IN"/>
        </w:rPr>
        <w:t xml:space="preserve"> C, John SM. Sun protection and occupation: Current developments and perspectives for prevention of occupational skin cancer. Front Public Health 10 (2022): 1110158. </w:t>
      </w:r>
    </w:p>
    <w:p w14:paraId="668EAA48" w14:textId="5CB9FBDF"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Thamm JR, Welzel J, Schuh S. Diagnosis and therapy of actinic keratosis. J Dtsch Dermatol Ges J Ger Soc Dermatol JDDG 22 (2024): 675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690. </w:t>
      </w:r>
    </w:p>
    <w:p w14:paraId="0A277B5A" w14:textId="39AB8C6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Dessinioti</w:t>
      </w:r>
      <w:proofErr w:type="spellEnd"/>
      <w:r w:rsidRPr="00212245">
        <w:rPr>
          <w:rFonts w:ascii="Times New Roman" w:eastAsia="Times New Roman" w:hAnsi="Times New Roman" w:cs="Times New Roman"/>
          <w:sz w:val="20"/>
          <w:szCs w:val="20"/>
          <w:lang w:eastAsia="en-IN"/>
        </w:rPr>
        <w:t xml:space="preserve"> C, Stratigos AJ. An Epidemiological Update on Indoor Tanning and the Risk of Skin Cancers. Curr Oncol 29 (2022): 8886</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8903. </w:t>
      </w:r>
    </w:p>
    <w:p w14:paraId="27B3F474"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Papa V, Li Pomi F, Borgia F, et al. </w:t>
      </w:r>
      <w:proofErr w:type="spellStart"/>
      <w:r w:rsidRPr="00212245">
        <w:rPr>
          <w:rFonts w:ascii="Times New Roman" w:eastAsia="Times New Roman" w:hAnsi="Times New Roman" w:cs="Times New Roman"/>
          <w:sz w:val="20"/>
          <w:szCs w:val="20"/>
          <w:lang w:eastAsia="en-IN"/>
        </w:rPr>
        <w:t>Immunosenescence</w:t>
      </w:r>
      <w:proofErr w:type="spellEnd"/>
      <w:r w:rsidRPr="00212245">
        <w:rPr>
          <w:rFonts w:ascii="Times New Roman" w:eastAsia="Times New Roman" w:hAnsi="Times New Roman" w:cs="Times New Roman"/>
          <w:sz w:val="20"/>
          <w:szCs w:val="20"/>
          <w:lang w:eastAsia="en-IN"/>
        </w:rPr>
        <w:t xml:space="preserve"> and Skin: A State of Art of Its Etiopathogenetic Role and Crucial Watershed for Systemic Implications. Int J Mol Sci 24 (2023): 7956. </w:t>
      </w:r>
    </w:p>
    <w:p w14:paraId="3DB5C7EE" w14:textId="09B3217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lastRenderedPageBreak/>
        <w:t>Lee W, Chaudhary F, Agrawal DK. Environmental Influences on Atopic Eczema. J Environ Sci Public Health 8 (2024): 101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115. </w:t>
      </w:r>
    </w:p>
    <w:p w14:paraId="01C3BB60" w14:textId="0EAA0E01"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Delgadillo F, Agrawal DK. Immunopathogenesis, Diagnosis, and Treatment of Hashimoto's Thyroiditis. Arch Intern Med Res 9 (2026): 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13. </w:t>
      </w:r>
    </w:p>
    <w:p w14:paraId="4CF7F10B" w14:textId="58AF5F5D"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Perry S, </w:t>
      </w:r>
      <w:proofErr w:type="spellStart"/>
      <w:r w:rsidRPr="00212245">
        <w:rPr>
          <w:rFonts w:ascii="Times New Roman" w:eastAsia="Times New Roman" w:hAnsi="Times New Roman" w:cs="Times New Roman"/>
          <w:sz w:val="20"/>
          <w:szCs w:val="20"/>
          <w:lang w:eastAsia="en-IN"/>
        </w:rPr>
        <w:t>Pillarisetti</w:t>
      </w:r>
      <w:proofErr w:type="spellEnd"/>
      <w:r w:rsidRPr="00212245">
        <w:rPr>
          <w:rFonts w:ascii="Times New Roman" w:eastAsia="Times New Roman" w:hAnsi="Times New Roman" w:cs="Times New Roman"/>
          <w:sz w:val="20"/>
          <w:szCs w:val="20"/>
          <w:lang w:eastAsia="en-IN"/>
        </w:rPr>
        <w:t xml:space="preserve"> L, Gelfman T, et al. Gut-Brain Axis in Inflammatory Bowel Disease: Pathogenesis and Therapeutics. Arch Intern Med Res 8 (2025): 339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345. </w:t>
      </w:r>
    </w:p>
    <w:p w14:paraId="5EE7226A" w14:textId="6A539EBE"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Quirk SK, Shure AK, Agrawal DK. Immune-mediated adverse events of anticytotoxic T lymphocyte-associated antigen 4 antibody therapy in metastatic melanoma. </w:t>
      </w:r>
      <w:proofErr w:type="spellStart"/>
      <w:r w:rsidRPr="00212245">
        <w:rPr>
          <w:rFonts w:ascii="Times New Roman" w:eastAsia="Times New Roman" w:hAnsi="Times New Roman" w:cs="Times New Roman"/>
          <w:sz w:val="20"/>
          <w:szCs w:val="20"/>
          <w:lang w:eastAsia="en-IN"/>
        </w:rPr>
        <w:t>Transl</w:t>
      </w:r>
      <w:proofErr w:type="spellEnd"/>
      <w:r w:rsidRPr="00212245">
        <w:rPr>
          <w:rFonts w:ascii="Times New Roman" w:eastAsia="Times New Roman" w:hAnsi="Times New Roman" w:cs="Times New Roman"/>
          <w:sz w:val="20"/>
          <w:szCs w:val="20"/>
          <w:lang w:eastAsia="en-IN"/>
        </w:rPr>
        <w:t xml:space="preserve"> Res 166 (2015): 412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424. </w:t>
      </w:r>
    </w:p>
    <w:p w14:paraId="6420312B" w14:textId="375BA8E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Darling VR, Hauke RJ, </w:t>
      </w:r>
      <w:proofErr w:type="spellStart"/>
      <w:r w:rsidRPr="00212245">
        <w:rPr>
          <w:rFonts w:ascii="Times New Roman" w:eastAsia="Times New Roman" w:hAnsi="Times New Roman" w:cs="Times New Roman"/>
          <w:sz w:val="20"/>
          <w:szCs w:val="20"/>
          <w:lang w:eastAsia="en-IN"/>
        </w:rPr>
        <w:t>Tarantolo</w:t>
      </w:r>
      <w:proofErr w:type="spellEnd"/>
      <w:r w:rsidRPr="00212245">
        <w:rPr>
          <w:rFonts w:ascii="Times New Roman" w:eastAsia="Times New Roman" w:hAnsi="Times New Roman" w:cs="Times New Roman"/>
          <w:sz w:val="20"/>
          <w:szCs w:val="20"/>
          <w:lang w:eastAsia="en-IN"/>
        </w:rPr>
        <w:t xml:space="preserve"> S, et al. Immunological effects and therapeutic role of C5a in cancer. Expert Rev Clin Immunol 11 (2015): 255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263. </w:t>
      </w:r>
    </w:p>
    <w:p w14:paraId="420B37B5" w14:textId="1940B09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Lee YB, Kim J-I. Genetic Studies of Actinic Keratosis Development: Where Are We Now? Ann Dermatol 35 (2023): 389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399. </w:t>
      </w:r>
    </w:p>
    <w:p w14:paraId="4364E29C" w14:textId="13171F2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Hedberg M, Seykora JT. Clarifying Progress on the Genomic Landscape of Actinic Keratosis. J Invest Dermatol 141 (2021): 1622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1624. </w:t>
      </w:r>
    </w:p>
    <w:p w14:paraId="10565BEF" w14:textId="60FEA814"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Thatiparthi</w:t>
      </w:r>
      <w:proofErr w:type="spellEnd"/>
      <w:r w:rsidRPr="00212245">
        <w:rPr>
          <w:rFonts w:ascii="Times New Roman" w:eastAsia="Times New Roman" w:hAnsi="Times New Roman" w:cs="Times New Roman"/>
          <w:sz w:val="20"/>
          <w:szCs w:val="20"/>
          <w:lang w:eastAsia="en-IN"/>
        </w:rPr>
        <w:t xml:space="preserve"> A, Martin A, Liu J, et al. Risk of Skin Cancer with Phototherapy in Moderate-to-Severe Psoriasis: An Updated Systematic Review. J Clin Aesthetic Dermatol 15 (2022): 68</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75. </w:t>
      </w:r>
    </w:p>
    <w:p w14:paraId="5C118A75"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Tang GT, </w:t>
      </w:r>
      <w:proofErr w:type="spellStart"/>
      <w:r w:rsidRPr="00212245">
        <w:rPr>
          <w:rFonts w:ascii="Times New Roman" w:eastAsia="Times New Roman" w:hAnsi="Times New Roman" w:cs="Times New Roman"/>
          <w:sz w:val="20"/>
          <w:szCs w:val="20"/>
          <w:lang w:eastAsia="en-IN"/>
        </w:rPr>
        <w:t>Elakis</w:t>
      </w:r>
      <w:proofErr w:type="spellEnd"/>
      <w:r w:rsidRPr="00212245">
        <w:rPr>
          <w:rFonts w:ascii="Times New Roman" w:eastAsia="Times New Roman" w:hAnsi="Times New Roman" w:cs="Times New Roman"/>
          <w:sz w:val="20"/>
          <w:szCs w:val="20"/>
          <w:lang w:eastAsia="en-IN"/>
        </w:rPr>
        <w:t xml:space="preserve"> J, </w:t>
      </w:r>
      <w:proofErr w:type="spellStart"/>
      <w:r w:rsidRPr="00212245">
        <w:rPr>
          <w:rFonts w:ascii="Times New Roman" w:eastAsia="Times New Roman" w:hAnsi="Times New Roman" w:cs="Times New Roman"/>
          <w:sz w:val="20"/>
          <w:szCs w:val="20"/>
          <w:lang w:eastAsia="en-IN"/>
        </w:rPr>
        <w:t>Scardamaglia</w:t>
      </w:r>
      <w:proofErr w:type="spellEnd"/>
      <w:r w:rsidRPr="00212245">
        <w:rPr>
          <w:rFonts w:ascii="Times New Roman" w:eastAsia="Times New Roman" w:hAnsi="Times New Roman" w:cs="Times New Roman"/>
          <w:sz w:val="20"/>
          <w:szCs w:val="20"/>
          <w:lang w:eastAsia="en-IN"/>
        </w:rPr>
        <w:t xml:space="preserve"> L. Cutaneous manifestations and treatment of arsenic toxicity: A systematic review. Skin Health Dis 3 (2023): e231. </w:t>
      </w:r>
    </w:p>
    <w:p w14:paraId="27F991E8"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Paradisi A, Bocchino E, Mannino M, et al. The State of the Art in the Treatment of Actinic Keratosis and Field Cancerization: A Narrative Review. J Pers Med 15 (2025): 421. </w:t>
      </w:r>
    </w:p>
    <w:p w14:paraId="2C5F3E3C"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Li Z, Lu F, Zhou F, et al. From actinic keratosis to cutaneous squamous cell carcinoma: the key pathogenesis and treatments. Front Immunol 16 (2025): 1518633. </w:t>
      </w:r>
    </w:p>
    <w:p w14:paraId="5CE34C2D" w14:textId="4E1382AF"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Kandolf</w:t>
      </w:r>
      <w:proofErr w:type="spellEnd"/>
      <w:r w:rsidRPr="00212245">
        <w:rPr>
          <w:rFonts w:ascii="Times New Roman" w:eastAsia="Times New Roman" w:hAnsi="Times New Roman" w:cs="Times New Roman"/>
          <w:sz w:val="20"/>
          <w:szCs w:val="20"/>
          <w:lang w:eastAsia="en-IN"/>
        </w:rPr>
        <w:t xml:space="preserve"> L, Peris K, </w:t>
      </w:r>
      <w:proofErr w:type="spellStart"/>
      <w:r w:rsidRPr="00212245">
        <w:rPr>
          <w:rFonts w:ascii="Times New Roman" w:eastAsia="Times New Roman" w:hAnsi="Times New Roman" w:cs="Times New Roman"/>
          <w:sz w:val="20"/>
          <w:szCs w:val="20"/>
          <w:lang w:eastAsia="en-IN"/>
        </w:rPr>
        <w:t>Malvehy</w:t>
      </w:r>
      <w:proofErr w:type="spellEnd"/>
      <w:r w:rsidRPr="00212245">
        <w:rPr>
          <w:rFonts w:ascii="Times New Roman" w:eastAsia="Times New Roman" w:hAnsi="Times New Roman" w:cs="Times New Roman"/>
          <w:sz w:val="20"/>
          <w:szCs w:val="20"/>
          <w:lang w:eastAsia="en-IN"/>
        </w:rPr>
        <w:t xml:space="preserve"> J, et al. European consensus-based interdisciplinary guideline for diagnosis, treatment and prevention of actinic keratoses, epithelial UV-induced dysplasia and field cancerization on behalf of European Association of Dermato-Oncology, European Dermatology Forum, European Academy of Dermatology and Venereology and Union of Medical Specialists (Union </w:t>
      </w:r>
      <w:proofErr w:type="spellStart"/>
      <w:r w:rsidRPr="00212245">
        <w:rPr>
          <w:rFonts w:ascii="Times New Roman" w:eastAsia="Times New Roman" w:hAnsi="Times New Roman" w:cs="Times New Roman"/>
          <w:sz w:val="20"/>
          <w:szCs w:val="20"/>
          <w:lang w:eastAsia="en-IN"/>
        </w:rPr>
        <w:t>Européenne</w:t>
      </w:r>
      <w:proofErr w:type="spellEnd"/>
      <w:r w:rsidRPr="00212245">
        <w:rPr>
          <w:rFonts w:ascii="Times New Roman" w:eastAsia="Times New Roman" w:hAnsi="Times New Roman" w:cs="Times New Roman"/>
          <w:sz w:val="20"/>
          <w:szCs w:val="20"/>
          <w:lang w:eastAsia="en-IN"/>
        </w:rPr>
        <w:t xml:space="preserve"> des Médecins </w:t>
      </w:r>
      <w:proofErr w:type="spellStart"/>
      <w:r w:rsidRPr="00212245">
        <w:rPr>
          <w:rFonts w:ascii="Times New Roman" w:eastAsia="Times New Roman" w:hAnsi="Times New Roman" w:cs="Times New Roman"/>
          <w:sz w:val="20"/>
          <w:szCs w:val="20"/>
          <w:lang w:eastAsia="en-IN"/>
        </w:rPr>
        <w:t>Spécialistes</w:t>
      </w:r>
      <w:proofErr w:type="spellEnd"/>
      <w:r w:rsidRPr="00212245">
        <w:rPr>
          <w:rFonts w:ascii="Times New Roman" w:eastAsia="Times New Roman" w:hAnsi="Times New Roman" w:cs="Times New Roman"/>
          <w:sz w:val="20"/>
          <w:szCs w:val="20"/>
          <w:lang w:eastAsia="en-IN"/>
        </w:rPr>
        <w:t xml:space="preserve">). J </w:t>
      </w:r>
      <w:proofErr w:type="spellStart"/>
      <w:r w:rsidRPr="00212245">
        <w:rPr>
          <w:rFonts w:ascii="Times New Roman" w:eastAsia="Times New Roman" w:hAnsi="Times New Roman" w:cs="Times New Roman"/>
          <w:sz w:val="20"/>
          <w:szCs w:val="20"/>
          <w:lang w:eastAsia="en-IN"/>
        </w:rPr>
        <w:t>Eur</w:t>
      </w:r>
      <w:proofErr w:type="spellEnd"/>
      <w:r w:rsidRPr="00212245">
        <w:rPr>
          <w:rFonts w:ascii="Times New Roman" w:eastAsia="Times New Roman" w:hAnsi="Times New Roman" w:cs="Times New Roman"/>
          <w:sz w:val="20"/>
          <w:szCs w:val="20"/>
          <w:lang w:eastAsia="en-IN"/>
        </w:rPr>
        <w:t xml:space="preserve"> Acad Dermatol </w:t>
      </w:r>
      <w:proofErr w:type="spellStart"/>
      <w:r w:rsidRPr="00212245">
        <w:rPr>
          <w:rFonts w:ascii="Times New Roman" w:eastAsia="Times New Roman" w:hAnsi="Times New Roman" w:cs="Times New Roman"/>
          <w:sz w:val="20"/>
          <w:szCs w:val="20"/>
          <w:lang w:eastAsia="en-IN"/>
        </w:rPr>
        <w:t>Venereol</w:t>
      </w:r>
      <w:proofErr w:type="spellEnd"/>
      <w:r w:rsidRPr="00212245">
        <w:rPr>
          <w:rFonts w:ascii="Times New Roman" w:eastAsia="Times New Roman" w:hAnsi="Times New Roman" w:cs="Times New Roman"/>
          <w:sz w:val="20"/>
          <w:szCs w:val="20"/>
          <w:lang w:eastAsia="en-IN"/>
        </w:rPr>
        <w:t xml:space="preserve"> JEADV 38 (2024): 1024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1047. </w:t>
      </w:r>
    </w:p>
    <w:p w14:paraId="16EE4606"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Knuutila JS, </w:t>
      </w:r>
      <w:proofErr w:type="spellStart"/>
      <w:r w:rsidRPr="00212245">
        <w:rPr>
          <w:rFonts w:ascii="Times New Roman" w:eastAsia="Times New Roman" w:hAnsi="Times New Roman" w:cs="Times New Roman"/>
          <w:sz w:val="20"/>
          <w:szCs w:val="20"/>
          <w:lang w:eastAsia="en-IN"/>
        </w:rPr>
        <w:t>Kaijala</w:t>
      </w:r>
      <w:proofErr w:type="spellEnd"/>
      <w:r w:rsidRPr="00212245">
        <w:rPr>
          <w:rFonts w:ascii="Times New Roman" w:eastAsia="Times New Roman" w:hAnsi="Times New Roman" w:cs="Times New Roman"/>
          <w:sz w:val="20"/>
          <w:szCs w:val="20"/>
          <w:lang w:eastAsia="en-IN"/>
        </w:rPr>
        <w:t xml:space="preserve"> O, Lehto S, et al. Clinical Risk Factors for Cutaneous Squamous Cell Carcinoma in Patients with Actinic Keratosis or Cutaneous Squamous Cell Carcinoma in Situ: A Retrospective Double-cohort Study. Acta Derm </w:t>
      </w:r>
      <w:proofErr w:type="spellStart"/>
      <w:r w:rsidRPr="00212245">
        <w:rPr>
          <w:rFonts w:ascii="Times New Roman" w:eastAsia="Times New Roman" w:hAnsi="Times New Roman" w:cs="Times New Roman"/>
          <w:sz w:val="20"/>
          <w:szCs w:val="20"/>
          <w:lang w:eastAsia="en-IN"/>
        </w:rPr>
        <w:t>Venereol</w:t>
      </w:r>
      <w:proofErr w:type="spellEnd"/>
      <w:r w:rsidRPr="00212245">
        <w:rPr>
          <w:rFonts w:ascii="Times New Roman" w:eastAsia="Times New Roman" w:hAnsi="Times New Roman" w:cs="Times New Roman"/>
          <w:sz w:val="20"/>
          <w:szCs w:val="20"/>
          <w:lang w:eastAsia="en-IN"/>
        </w:rPr>
        <w:t xml:space="preserve"> 104 (2024): adv40990. </w:t>
      </w:r>
    </w:p>
    <w:p w14:paraId="4E010854" w14:textId="78B35E6F"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Eisen DB, Dellavalle RP, Frazer-Green L, et al. Focused update: Guidelines of care for the management of actinic keratosis. J Am Acad Dermatol 87 (2022): 373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374.e5. </w:t>
      </w:r>
    </w:p>
    <w:p w14:paraId="18A9688B" w14:textId="2CB045DD"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Aggarwal I, </w:t>
      </w:r>
      <w:proofErr w:type="spellStart"/>
      <w:r w:rsidRPr="00212245">
        <w:rPr>
          <w:rFonts w:ascii="Times New Roman" w:eastAsia="Times New Roman" w:hAnsi="Times New Roman" w:cs="Times New Roman"/>
          <w:sz w:val="20"/>
          <w:szCs w:val="20"/>
          <w:lang w:eastAsia="en-IN"/>
        </w:rPr>
        <w:t>Puyana</w:t>
      </w:r>
      <w:proofErr w:type="spellEnd"/>
      <w:r w:rsidRPr="00212245">
        <w:rPr>
          <w:rFonts w:ascii="Times New Roman" w:eastAsia="Times New Roman" w:hAnsi="Times New Roman" w:cs="Times New Roman"/>
          <w:sz w:val="20"/>
          <w:szCs w:val="20"/>
          <w:lang w:eastAsia="en-IN"/>
        </w:rPr>
        <w:t xml:space="preserve"> C, Chandan N, et al. Field Cancerization Therapies for the Management of Actinic Keratosis: An Updated Review. Am J Clin Dermatol 25 (2024): 391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405. </w:t>
      </w:r>
    </w:p>
    <w:p w14:paraId="361C50CC"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Camillo L, </w:t>
      </w:r>
      <w:proofErr w:type="spellStart"/>
      <w:r w:rsidRPr="00212245">
        <w:rPr>
          <w:rFonts w:ascii="Times New Roman" w:eastAsia="Times New Roman" w:hAnsi="Times New Roman" w:cs="Times New Roman"/>
          <w:sz w:val="20"/>
          <w:szCs w:val="20"/>
          <w:lang w:eastAsia="en-IN"/>
        </w:rPr>
        <w:t>Zavattaro</w:t>
      </w:r>
      <w:proofErr w:type="spellEnd"/>
      <w:r w:rsidRPr="00212245">
        <w:rPr>
          <w:rFonts w:ascii="Times New Roman" w:eastAsia="Times New Roman" w:hAnsi="Times New Roman" w:cs="Times New Roman"/>
          <w:sz w:val="20"/>
          <w:szCs w:val="20"/>
          <w:lang w:eastAsia="en-IN"/>
        </w:rPr>
        <w:t xml:space="preserve"> E, Veronese F, et al. Ex Vivo Analysis of Cell Differentiation, Oxidative Stress, Inflammation, and DNA Damage on Cutaneous Field Cancerization. Int J Mol Sci 25 (2024): 5775. </w:t>
      </w:r>
    </w:p>
    <w:p w14:paraId="775473B4"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Gualdi</w:t>
      </w:r>
      <w:proofErr w:type="spellEnd"/>
      <w:r w:rsidRPr="00212245">
        <w:rPr>
          <w:rFonts w:ascii="Times New Roman" w:eastAsia="Times New Roman" w:hAnsi="Times New Roman" w:cs="Times New Roman"/>
          <w:sz w:val="20"/>
          <w:szCs w:val="20"/>
          <w:lang w:eastAsia="en-IN"/>
        </w:rPr>
        <w:t xml:space="preserve"> G, </w:t>
      </w:r>
      <w:proofErr w:type="spellStart"/>
      <w:r w:rsidRPr="00212245">
        <w:rPr>
          <w:rFonts w:ascii="Times New Roman" w:eastAsia="Times New Roman" w:hAnsi="Times New Roman" w:cs="Times New Roman"/>
          <w:sz w:val="20"/>
          <w:szCs w:val="20"/>
          <w:lang w:eastAsia="en-IN"/>
        </w:rPr>
        <w:t>Soligon</w:t>
      </w:r>
      <w:proofErr w:type="spellEnd"/>
      <w:r w:rsidRPr="00212245">
        <w:rPr>
          <w:rFonts w:ascii="Times New Roman" w:eastAsia="Times New Roman" w:hAnsi="Times New Roman" w:cs="Times New Roman"/>
          <w:sz w:val="20"/>
          <w:szCs w:val="20"/>
          <w:lang w:eastAsia="en-IN"/>
        </w:rPr>
        <w:t xml:space="preserve"> G, Silvetti P, et al. Sequential Field Therapy in Actinic Keratosis: A Mechanism-Based Rationale for Complementary Treatment Strategies. J Clin Med 15 (2026): 4553. </w:t>
      </w:r>
    </w:p>
    <w:p w14:paraId="7DE7B92C" w14:textId="7E2EAD5C"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lastRenderedPageBreak/>
        <w:t xml:space="preserve">Li J, Xia Y, Kong S, et al. Single-cell RNA-seq reveals actinic keratosis-specific keratinocyte subgroups and their crosstalk with secretory-papillary fibroblasts. J </w:t>
      </w:r>
      <w:proofErr w:type="spellStart"/>
      <w:r w:rsidRPr="00212245">
        <w:rPr>
          <w:rFonts w:ascii="Times New Roman" w:eastAsia="Times New Roman" w:hAnsi="Times New Roman" w:cs="Times New Roman"/>
          <w:sz w:val="20"/>
          <w:szCs w:val="20"/>
          <w:lang w:eastAsia="en-IN"/>
        </w:rPr>
        <w:t>Eur</w:t>
      </w:r>
      <w:proofErr w:type="spellEnd"/>
      <w:r w:rsidRPr="00212245">
        <w:rPr>
          <w:rFonts w:ascii="Times New Roman" w:eastAsia="Times New Roman" w:hAnsi="Times New Roman" w:cs="Times New Roman"/>
          <w:sz w:val="20"/>
          <w:szCs w:val="20"/>
          <w:lang w:eastAsia="en-IN"/>
        </w:rPr>
        <w:t xml:space="preserve"> Acad Dermatol </w:t>
      </w:r>
      <w:proofErr w:type="spellStart"/>
      <w:r w:rsidRPr="00212245">
        <w:rPr>
          <w:rFonts w:ascii="Times New Roman" w:eastAsia="Times New Roman" w:hAnsi="Times New Roman" w:cs="Times New Roman"/>
          <w:sz w:val="20"/>
          <w:szCs w:val="20"/>
          <w:lang w:eastAsia="en-IN"/>
        </w:rPr>
        <w:t>Venereol</w:t>
      </w:r>
      <w:proofErr w:type="spellEnd"/>
      <w:r w:rsidRPr="00212245">
        <w:rPr>
          <w:rFonts w:ascii="Times New Roman" w:eastAsia="Times New Roman" w:hAnsi="Times New Roman" w:cs="Times New Roman"/>
          <w:sz w:val="20"/>
          <w:szCs w:val="20"/>
          <w:lang w:eastAsia="en-IN"/>
        </w:rPr>
        <w:t xml:space="preserve"> JEADV 37 (2023): 2273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2283. </w:t>
      </w:r>
    </w:p>
    <w:p w14:paraId="3DB7C5B2" w14:textId="07B3213F"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Orte </w:t>
      </w:r>
      <w:proofErr w:type="spellStart"/>
      <w:r w:rsidRPr="00212245">
        <w:rPr>
          <w:rFonts w:ascii="Times New Roman" w:eastAsia="Times New Roman" w:hAnsi="Times New Roman" w:cs="Times New Roman"/>
          <w:sz w:val="20"/>
          <w:szCs w:val="20"/>
          <w:lang w:eastAsia="en-IN"/>
        </w:rPr>
        <w:t>Cano</w:t>
      </w:r>
      <w:proofErr w:type="spellEnd"/>
      <w:r w:rsidRPr="00212245">
        <w:rPr>
          <w:rFonts w:ascii="Times New Roman" w:eastAsia="Times New Roman" w:hAnsi="Times New Roman" w:cs="Times New Roman"/>
          <w:sz w:val="20"/>
          <w:szCs w:val="20"/>
          <w:lang w:eastAsia="en-IN"/>
        </w:rPr>
        <w:t xml:space="preserve"> C, Suppa M, </w:t>
      </w:r>
      <w:proofErr w:type="spellStart"/>
      <w:r w:rsidRPr="00212245">
        <w:rPr>
          <w:rFonts w:ascii="Times New Roman" w:eastAsia="Times New Roman" w:hAnsi="Times New Roman" w:cs="Times New Roman"/>
          <w:sz w:val="20"/>
          <w:szCs w:val="20"/>
          <w:lang w:eastAsia="en-IN"/>
        </w:rPr>
        <w:t>Pastushenko</w:t>
      </w:r>
      <w:proofErr w:type="spellEnd"/>
      <w:r w:rsidRPr="00212245">
        <w:rPr>
          <w:rFonts w:ascii="Times New Roman" w:eastAsia="Times New Roman" w:hAnsi="Times New Roman" w:cs="Times New Roman"/>
          <w:sz w:val="20"/>
          <w:szCs w:val="20"/>
          <w:lang w:eastAsia="en-IN"/>
        </w:rPr>
        <w:t xml:space="preserve"> I, et al. From basic to clinical and therapeutic insights: news on actinic keratosis and skin squamous cell carcinoma. Curr </w:t>
      </w:r>
      <w:proofErr w:type="spellStart"/>
      <w:r w:rsidRPr="00212245">
        <w:rPr>
          <w:rFonts w:ascii="Times New Roman" w:eastAsia="Times New Roman" w:hAnsi="Times New Roman" w:cs="Times New Roman"/>
          <w:sz w:val="20"/>
          <w:szCs w:val="20"/>
          <w:lang w:eastAsia="en-IN"/>
        </w:rPr>
        <w:t>Opin</w:t>
      </w:r>
      <w:proofErr w:type="spellEnd"/>
      <w:r w:rsidRPr="00212245">
        <w:rPr>
          <w:rFonts w:ascii="Times New Roman" w:eastAsia="Times New Roman" w:hAnsi="Times New Roman" w:cs="Times New Roman"/>
          <w:sz w:val="20"/>
          <w:szCs w:val="20"/>
          <w:lang w:eastAsia="en-IN"/>
        </w:rPr>
        <w:t xml:space="preserve"> Oncol 37 (2025): 105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109. </w:t>
      </w:r>
    </w:p>
    <w:p w14:paraId="4E28091E" w14:textId="267F92F3"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Schmitz L, Brehmer A, Falkenberg C, et al. Treatment-resistant actinic keratoses are characterized by distinct clinical and histological features. Ital J Dermatol </w:t>
      </w:r>
      <w:proofErr w:type="spellStart"/>
      <w:r w:rsidRPr="00212245">
        <w:rPr>
          <w:rFonts w:ascii="Times New Roman" w:eastAsia="Times New Roman" w:hAnsi="Times New Roman" w:cs="Times New Roman"/>
          <w:sz w:val="20"/>
          <w:szCs w:val="20"/>
          <w:lang w:eastAsia="en-IN"/>
        </w:rPr>
        <w:t>Venereol</w:t>
      </w:r>
      <w:proofErr w:type="spellEnd"/>
      <w:r w:rsidRPr="00212245">
        <w:rPr>
          <w:rFonts w:ascii="Times New Roman" w:eastAsia="Times New Roman" w:hAnsi="Times New Roman" w:cs="Times New Roman"/>
          <w:sz w:val="20"/>
          <w:szCs w:val="20"/>
          <w:lang w:eastAsia="en-IN"/>
        </w:rPr>
        <w:t xml:space="preserve"> 156 (2021): 213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219. </w:t>
      </w:r>
    </w:p>
    <w:p w14:paraId="70F29A5D" w14:textId="1FBB4C5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Tokez</w:t>
      </w:r>
      <w:proofErr w:type="spellEnd"/>
      <w:r w:rsidRPr="00212245">
        <w:rPr>
          <w:rFonts w:ascii="Times New Roman" w:eastAsia="Times New Roman" w:hAnsi="Times New Roman" w:cs="Times New Roman"/>
          <w:sz w:val="20"/>
          <w:szCs w:val="20"/>
          <w:lang w:eastAsia="en-IN"/>
        </w:rPr>
        <w:t xml:space="preserve"> S, Alblas M, </w:t>
      </w:r>
      <w:proofErr w:type="spellStart"/>
      <w:r w:rsidRPr="00212245">
        <w:rPr>
          <w:rFonts w:ascii="Times New Roman" w:eastAsia="Times New Roman" w:hAnsi="Times New Roman" w:cs="Times New Roman"/>
          <w:sz w:val="20"/>
          <w:szCs w:val="20"/>
          <w:lang w:eastAsia="en-IN"/>
        </w:rPr>
        <w:t>Nijsten</w:t>
      </w:r>
      <w:proofErr w:type="spellEnd"/>
      <w:r w:rsidRPr="00212245">
        <w:rPr>
          <w:rFonts w:ascii="Times New Roman" w:eastAsia="Times New Roman" w:hAnsi="Times New Roman" w:cs="Times New Roman"/>
          <w:sz w:val="20"/>
          <w:szCs w:val="20"/>
          <w:lang w:eastAsia="en-IN"/>
        </w:rPr>
        <w:t xml:space="preserve"> T, et al. Predicting keratinocyte carcinoma in patients with actinic keratosis: development and internal validation of a multivariable risk-prediction model. Br J Dermatol 183 (2020): 495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502. </w:t>
      </w:r>
    </w:p>
    <w:p w14:paraId="2618D327" w14:textId="26EDB6F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Mohr C, Li Y, </w:t>
      </w:r>
      <w:proofErr w:type="spellStart"/>
      <w:r w:rsidRPr="00212245">
        <w:rPr>
          <w:rFonts w:ascii="Times New Roman" w:eastAsia="Times New Roman" w:hAnsi="Times New Roman" w:cs="Times New Roman"/>
          <w:sz w:val="20"/>
          <w:szCs w:val="20"/>
          <w:lang w:eastAsia="en-IN"/>
        </w:rPr>
        <w:t>Navsaria</w:t>
      </w:r>
      <w:proofErr w:type="spellEnd"/>
      <w:r w:rsidRPr="00212245">
        <w:rPr>
          <w:rFonts w:ascii="Times New Roman" w:eastAsia="Times New Roman" w:hAnsi="Times New Roman" w:cs="Times New Roman"/>
          <w:sz w:val="20"/>
          <w:szCs w:val="20"/>
          <w:lang w:eastAsia="en-IN"/>
        </w:rPr>
        <w:t xml:space="preserve"> LJ, et al. Skin Cancers in Medicare Beneficiaries </w:t>
      </w:r>
      <w:proofErr w:type="gramStart"/>
      <w:r w:rsidRPr="00212245">
        <w:rPr>
          <w:rFonts w:ascii="Times New Roman" w:eastAsia="Times New Roman" w:hAnsi="Times New Roman" w:cs="Times New Roman"/>
          <w:sz w:val="20"/>
          <w:szCs w:val="20"/>
          <w:lang w:eastAsia="en-IN"/>
        </w:rPr>
        <w:t>With</w:t>
      </w:r>
      <w:proofErr w:type="gramEnd"/>
      <w:r w:rsidRPr="00212245">
        <w:rPr>
          <w:rFonts w:ascii="Times New Roman" w:eastAsia="Times New Roman" w:hAnsi="Times New Roman" w:cs="Times New Roman"/>
          <w:sz w:val="20"/>
          <w:szCs w:val="20"/>
          <w:lang w:eastAsia="en-IN"/>
        </w:rPr>
        <w:t xml:space="preserve"> Actinic Keratoses. JAMA Dermatol 159 (2023): 1368</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1372. </w:t>
      </w:r>
    </w:p>
    <w:p w14:paraId="21695244"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Fredman G, Fuchs CSK, </w:t>
      </w:r>
      <w:proofErr w:type="spellStart"/>
      <w:r w:rsidRPr="00212245">
        <w:rPr>
          <w:rFonts w:ascii="Times New Roman" w:eastAsia="Times New Roman" w:hAnsi="Times New Roman" w:cs="Times New Roman"/>
          <w:sz w:val="20"/>
          <w:szCs w:val="20"/>
          <w:lang w:eastAsia="en-IN"/>
        </w:rPr>
        <w:t>Wenande</w:t>
      </w:r>
      <w:proofErr w:type="spellEnd"/>
      <w:r w:rsidRPr="00212245">
        <w:rPr>
          <w:rFonts w:ascii="Times New Roman" w:eastAsia="Times New Roman" w:hAnsi="Times New Roman" w:cs="Times New Roman"/>
          <w:sz w:val="20"/>
          <w:szCs w:val="20"/>
          <w:lang w:eastAsia="en-IN"/>
        </w:rPr>
        <w:t xml:space="preserve"> E, et al. Dynamic optical coherence tomography unveils subclinical, vascular differences across actinic keratosis grades I-III. Exp Dermatol 33 (2024): e15153. </w:t>
      </w:r>
    </w:p>
    <w:p w14:paraId="6085BF09" w14:textId="50D2FE19"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Elsbroek</w:t>
      </w:r>
      <w:proofErr w:type="spellEnd"/>
      <w:r w:rsidRPr="00212245">
        <w:rPr>
          <w:rFonts w:ascii="Times New Roman" w:eastAsia="Times New Roman" w:hAnsi="Times New Roman" w:cs="Times New Roman"/>
          <w:sz w:val="20"/>
          <w:szCs w:val="20"/>
          <w:lang w:eastAsia="en-IN"/>
        </w:rPr>
        <w:t xml:space="preserve"> L, </w:t>
      </w:r>
      <w:proofErr w:type="spellStart"/>
      <w:r w:rsidRPr="00212245">
        <w:rPr>
          <w:rFonts w:ascii="Times New Roman" w:eastAsia="Times New Roman" w:hAnsi="Times New Roman" w:cs="Times New Roman"/>
          <w:sz w:val="20"/>
          <w:szCs w:val="20"/>
          <w:lang w:eastAsia="en-IN"/>
        </w:rPr>
        <w:t>Reuschlein</w:t>
      </w:r>
      <w:proofErr w:type="spellEnd"/>
      <w:r w:rsidRPr="00212245">
        <w:rPr>
          <w:rFonts w:ascii="Times New Roman" w:eastAsia="Times New Roman" w:hAnsi="Times New Roman" w:cs="Times New Roman"/>
          <w:sz w:val="20"/>
          <w:szCs w:val="20"/>
          <w:lang w:eastAsia="en-IN"/>
        </w:rPr>
        <w:t xml:space="preserve"> K, Karsai S, et al. Primary keratinocyte model of actinic keratosis reveals UV-induced DNA damage accumulation and persistent IFN signaling. J Invest Dermatol 146 (2026): 1837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1850.e4. </w:t>
      </w:r>
    </w:p>
    <w:p w14:paraId="05FEAF4A"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Pihl C, Togsverd-Bo K, Andersen F, et al. Keratinocyte Carcinoma and </w:t>
      </w:r>
      <w:proofErr w:type="spellStart"/>
      <w:r w:rsidRPr="00212245">
        <w:rPr>
          <w:rFonts w:ascii="Times New Roman" w:eastAsia="Times New Roman" w:hAnsi="Times New Roman" w:cs="Times New Roman"/>
          <w:sz w:val="20"/>
          <w:szCs w:val="20"/>
          <w:lang w:eastAsia="en-IN"/>
        </w:rPr>
        <w:t>Photoprevention</w:t>
      </w:r>
      <w:proofErr w:type="spellEnd"/>
      <w:r w:rsidRPr="00212245">
        <w:rPr>
          <w:rFonts w:ascii="Times New Roman" w:eastAsia="Times New Roman" w:hAnsi="Times New Roman" w:cs="Times New Roman"/>
          <w:sz w:val="20"/>
          <w:szCs w:val="20"/>
          <w:lang w:eastAsia="en-IN"/>
        </w:rPr>
        <w:t xml:space="preserve">: The Protective Actions of Repurposed Pharmaceuticals, Phytochemicals and Vitamins. Cancers 13 (2021): 3684. </w:t>
      </w:r>
    </w:p>
    <w:p w14:paraId="16975665"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Tornesello</w:t>
      </w:r>
      <w:proofErr w:type="spellEnd"/>
      <w:r w:rsidRPr="00212245">
        <w:rPr>
          <w:rFonts w:ascii="Times New Roman" w:eastAsia="Times New Roman" w:hAnsi="Times New Roman" w:cs="Times New Roman"/>
          <w:sz w:val="20"/>
          <w:szCs w:val="20"/>
          <w:lang w:eastAsia="en-IN"/>
        </w:rPr>
        <w:t xml:space="preserve"> ML. TP53 mutations in cancer: Molecular features and therapeutic opportunities (Review). Int J Mol Med 55 (2025): 7. </w:t>
      </w:r>
    </w:p>
    <w:p w14:paraId="46DA101F"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D’Orazi</w:t>
      </w:r>
      <w:proofErr w:type="spellEnd"/>
      <w:r w:rsidRPr="00212245">
        <w:rPr>
          <w:rFonts w:ascii="Times New Roman" w:eastAsia="Times New Roman" w:hAnsi="Times New Roman" w:cs="Times New Roman"/>
          <w:sz w:val="20"/>
          <w:szCs w:val="20"/>
          <w:lang w:eastAsia="en-IN"/>
        </w:rPr>
        <w:t xml:space="preserve"> G. Recent Advances in p53. Biomolecules 11 (2021): 211. </w:t>
      </w:r>
    </w:p>
    <w:p w14:paraId="36A94E47"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Piipponen M, </w:t>
      </w:r>
      <w:proofErr w:type="spellStart"/>
      <w:r w:rsidRPr="00212245">
        <w:rPr>
          <w:rFonts w:ascii="Times New Roman" w:eastAsia="Times New Roman" w:hAnsi="Times New Roman" w:cs="Times New Roman"/>
          <w:sz w:val="20"/>
          <w:szCs w:val="20"/>
          <w:lang w:eastAsia="en-IN"/>
        </w:rPr>
        <w:t>Riihilä</w:t>
      </w:r>
      <w:proofErr w:type="spellEnd"/>
      <w:r w:rsidRPr="00212245">
        <w:rPr>
          <w:rFonts w:ascii="Times New Roman" w:eastAsia="Times New Roman" w:hAnsi="Times New Roman" w:cs="Times New Roman"/>
          <w:sz w:val="20"/>
          <w:szCs w:val="20"/>
          <w:lang w:eastAsia="en-IN"/>
        </w:rPr>
        <w:t xml:space="preserve"> P, Nissinen L, et al. The Role of p53 in Progression of Cutaneous Squamous Cell Carcinoma. Cancers 13 (2021): 4507. </w:t>
      </w:r>
    </w:p>
    <w:p w14:paraId="182CCB8B" w14:textId="23899A53"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Kim Y-S, Shin S, Jung S-H, et al. Genomic Progression of Precancerous Actinic Keratosis to Squamous Cell Carcinoma. J Invest Dermatol 142 (2022): 528</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538.e8. </w:t>
      </w:r>
    </w:p>
    <w:p w14:paraId="09894D7F"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Wiggins CJ, Chon SY. Cutaneous Effects of Notch Inhibitor Therapy: A Report </w:t>
      </w:r>
      <w:proofErr w:type="gramStart"/>
      <w:r w:rsidRPr="00212245">
        <w:rPr>
          <w:rFonts w:ascii="Times New Roman" w:eastAsia="Times New Roman" w:hAnsi="Times New Roman" w:cs="Times New Roman"/>
          <w:sz w:val="20"/>
          <w:szCs w:val="20"/>
          <w:lang w:eastAsia="en-IN"/>
        </w:rPr>
        <w:t>of</w:t>
      </w:r>
      <w:proofErr w:type="gramEnd"/>
      <w:r w:rsidRPr="00212245">
        <w:rPr>
          <w:rFonts w:ascii="Times New Roman" w:eastAsia="Times New Roman" w:hAnsi="Times New Roman" w:cs="Times New Roman"/>
          <w:sz w:val="20"/>
          <w:szCs w:val="20"/>
          <w:lang w:eastAsia="en-IN"/>
        </w:rPr>
        <w:t xml:space="preserve"> Two Cases. Case Rep Dermatol Med 2020 (2020): 8842242. </w:t>
      </w:r>
    </w:p>
    <w:p w14:paraId="736EA4E0" w14:textId="129C0E82"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Okuyama R, Tagami H, </w:t>
      </w:r>
      <w:proofErr w:type="spellStart"/>
      <w:r w:rsidRPr="00212245">
        <w:rPr>
          <w:rFonts w:ascii="Times New Roman" w:eastAsia="Times New Roman" w:hAnsi="Times New Roman" w:cs="Times New Roman"/>
          <w:sz w:val="20"/>
          <w:szCs w:val="20"/>
          <w:lang w:eastAsia="en-IN"/>
        </w:rPr>
        <w:t>Aiba</w:t>
      </w:r>
      <w:proofErr w:type="spellEnd"/>
      <w:r w:rsidRPr="00212245">
        <w:rPr>
          <w:rFonts w:ascii="Times New Roman" w:eastAsia="Times New Roman" w:hAnsi="Times New Roman" w:cs="Times New Roman"/>
          <w:sz w:val="20"/>
          <w:szCs w:val="20"/>
          <w:lang w:eastAsia="en-IN"/>
        </w:rPr>
        <w:t xml:space="preserve"> S. Notch signaling: its role in epidermal homeostasis and in the pathogenesis of skin diseases. J Dermatol Sci 49 (2008): 187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194. </w:t>
      </w:r>
    </w:p>
    <w:p w14:paraId="76B817DD" w14:textId="024176CA"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Bakshi A, Shafi R, Nelson J, et al. The clinical course of actinic keratosis correlates with underlying molecular mechanisms. Br J Dermatol 182 (2020): 995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1002. </w:t>
      </w:r>
    </w:p>
    <w:p w14:paraId="0F78681B" w14:textId="7EC4401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Oo N, Agrawal DK. Epidemiology, Pathogenesis, Clinical Manifestations, and Management Strategies of Tuberculous Meningitis. Arch Intern Med Res 8 (2025): 48</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58. </w:t>
      </w:r>
    </w:p>
    <w:p w14:paraId="193EA02A" w14:textId="0E6BF21C"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Radparvar</w:t>
      </w:r>
      <w:proofErr w:type="spellEnd"/>
      <w:r w:rsidRPr="00212245">
        <w:rPr>
          <w:rFonts w:ascii="Times New Roman" w:eastAsia="Times New Roman" w:hAnsi="Times New Roman" w:cs="Times New Roman"/>
          <w:sz w:val="20"/>
          <w:szCs w:val="20"/>
          <w:lang w:eastAsia="en-IN"/>
        </w:rPr>
        <w:t xml:space="preserve"> T, </w:t>
      </w:r>
      <w:proofErr w:type="spellStart"/>
      <w:r w:rsidRPr="00212245">
        <w:rPr>
          <w:rFonts w:ascii="Times New Roman" w:eastAsia="Times New Roman" w:hAnsi="Times New Roman" w:cs="Times New Roman"/>
          <w:sz w:val="20"/>
          <w:szCs w:val="20"/>
          <w:lang w:eastAsia="en-IN"/>
        </w:rPr>
        <w:t>Radparvar</w:t>
      </w:r>
      <w:proofErr w:type="spellEnd"/>
      <w:r w:rsidRPr="00212245">
        <w:rPr>
          <w:rFonts w:ascii="Times New Roman" w:eastAsia="Times New Roman" w:hAnsi="Times New Roman" w:cs="Times New Roman"/>
          <w:sz w:val="20"/>
          <w:szCs w:val="20"/>
          <w:lang w:eastAsia="en-IN"/>
        </w:rPr>
        <w:t xml:space="preserve"> I, Agrawal DK. Cardiorenal Protective Effects of </w:t>
      </w:r>
      <w:proofErr w:type="spellStart"/>
      <w:r w:rsidRPr="00212245">
        <w:rPr>
          <w:rFonts w:ascii="Times New Roman" w:eastAsia="Times New Roman" w:hAnsi="Times New Roman" w:cs="Times New Roman"/>
          <w:sz w:val="20"/>
          <w:szCs w:val="20"/>
          <w:lang w:eastAsia="en-IN"/>
        </w:rPr>
        <w:t>Finerenone</w:t>
      </w:r>
      <w:proofErr w:type="spellEnd"/>
      <w:r w:rsidRPr="00212245">
        <w:rPr>
          <w:rFonts w:ascii="Times New Roman" w:eastAsia="Times New Roman" w:hAnsi="Times New Roman" w:cs="Times New Roman"/>
          <w:sz w:val="20"/>
          <w:szCs w:val="20"/>
          <w:lang w:eastAsia="en-IN"/>
        </w:rPr>
        <w:t xml:space="preserve"> in Patients with Type 2 Diabetes Mellitus. Arch Intern Med Res 9 (2026): 94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106. </w:t>
      </w:r>
    </w:p>
    <w:p w14:paraId="12932242" w14:textId="02EE9949"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Delgadillo F, Agrawal DK. Immunopathogenesis, Diagnosis, and Treatment of Hashimoto's Thyroiditis. Arch Intern Med Res 9 (2026): 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13. </w:t>
      </w:r>
    </w:p>
    <w:p w14:paraId="3195FDE4" w14:textId="0F6ECA03"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lastRenderedPageBreak/>
        <w:t>Ramachandran N, Ayoub N, Agrawal DK. Integrating Radioprotective Agents into Post-Mastectomy Radiotherapy: Optimization of Reconstructive Outcomes in Breast Cancer. J Surg Res (Houst) 7 (2024): 454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465. </w:t>
      </w:r>
    </w:p>
    <w:p w14:paraId="6239EB58" w14:textId="056089AD"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Rajalekshmi</w:t>
      </w:r>
      <w:proofErr w:type="spellEnd"/>
      <w:r w:rsidRPr="00212245">
        <w:rPr>
          <w:rFonts w:ascii="Times New Roman" w:eastAsia="Times New Roman" w:hAnsi="Times New Roman" w:cs="Times New Roman"/>
          <w:sz w:val="20"/>
          <w:szCs w:val="20"/>
          <w:lang w:eastAsia="en-IN"/>
        </w:rPr>
        <w:t xml:space="preserve"> R, Agrawal DK. Therapeutic Efficacy of Medicinal Plants with Allopathic Medicine in Musculoskeletal Diseases. Int J Plant Anim Environ Sci 14 (2024): 104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129. </w:t>
      </w:r>
    </w:p>
    <w:p w14:paraId="63066ECD" w14:textId="662B9158"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Ahmed Z, Chaudhary F, Agrawal DK. Epidemiology, Pathophysiology, and Current Treatment Strategies in Stroke. </w:t>
      </w:r>
      <w:proofErr w:type="spellStart"/>
      <w:r w:rsidRPr="00212245">
        <w:rPr>
          <w:rFonts w:ascii="Times New Roman" w:eastAsia="Times New Roman" w:hAnsi="Times New Roman" w:cs="Times New Roman"/>
          <w:sz w:val="20"/>
          <w:szCs w:val="20"/>
          <w:lang w:eastAsia="en-IN"/>
        </w:rPr>
        <w:t>Cardiol</w:t>
      </w:r>
      <w:proofErr w:type="spellEnd"/>
      <w:r w:rsidRPr="00212245">
        <w:rPr>
          <w:rFonts w:ascii="Times New Roman" w:eastAsia="Times New Roman" w:hAnsi="Times New Roman" w:cs="Times New Roman"/>
          <w:sz w:val="20"/>
          <w:szCs w:val="20"/>
          <w:lang w:eastAsia="en-IN"/>
        </w:rPr>
        <w:t xml:space="preserve"> Cardiovasc Med 8 (2024): 389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404. </w:t>
      </w:r>
    </w:p>
    <w:p w14:paraId="08D59487" w14:textId="642D1E5E"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Deepu V, Rai V, Agrawal DK. Quantitative Assessment of Intracellular Effectors and Cellular Response in RAGE Activation. Arch Intern Med Res 7 (2024): 80</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103. </w:t>
      </w:r>
    </w:p>
    <w:p w14:paraId="04AFC1A8" w14:textId="4DBD08ED"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Mari YM, </w:t>
      </w:r>
      <w:proofErr w:type="spellStart"/>
      <w:r w:rsidRPr="00212245">
        <w:rPr>
          <w:rFonts w:ascii="Times New Roman" w:eastAsia="Times New Roman" w:hAnsi="Times New Roman" w:cs="Times New Roman"/>
          <w:sz w:val="20"/>
          <w:szCs w:val="20"/>
          <w:lang w:eastAsia="en-IN"/>
        </w:rPr>
        <w:t>Fraix</w:t>
      </w:r>
      <w:proofErr w:type="spellEnd"/>
      <w:r w:rsidRPr="00212245">
        <w:rPr>
          <w:rFonts w:ascii="Times New Roman" w:eastAsia="Times New Roman" w:hAnsi="Times New Roman" w:cs="Times New Roman"/>
          <w:sz w:val="20"/>
          <w:szCs w:val="20"/>
          <w:lang w:eastAsia="en-IN"/>
        </w:rPr>
        <w:t xml:space="preserve"> MP, Agrawal DK. Pulmonary Fibrosis and Diabetes Mellitus: Two coins with the same face. Arch Intern Med Res 7 (2024): 53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70. </w:t>
      </w:r>
    </w:p>
    <w:p w14:paraId="65A50FDD" w14:textId="37EFB05D"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Velpuri</w:t>
      </w:r>
      <w:proofErr w:type="spellEnd"/>
      <w:r w:rsidRPr="00212245">
        <w:rPr>
          <w:rFonts w:ascii="Times New Roman" w:eastAsia="Times New Roman" w:hAnsi="Times New Roman" w:cs="Times New Roman"/>
          <w:sz w:val="20"/>
          <w:szCs w:val="20"/>
          <w:lang w:eastAsia="en-IN"/>
        </w:rPr>
        <w:t xml:space="preserve"> P, Patel P, Yazdani A, et al. Increased Oxidative Stress and Decreased Sirtuin-3 and FOXO3 Expression Following Carotid Artery Intimal Injury in Hyperlipidemic Yucatan </w:t>
      </w:r>
      <w:proofErr w:type="spellStart"/>
      <w:r w:rsidRPr="00212245">
        <w:rPr>
          <w:rFonts w:ascii="Times New Roman" w:eastAsia="Times New Roman" w:hAnsi="Times New Roman" w:cs="Times New Roman"/>
          <w:sz w:val="20"/>
          <w:szCs w:val="20"/>
          <w:lang w:eastAsia="en-IN"/>
        </w:rPr>
        <w:t>Microswine</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Cardiol</w:t>
      </w:r>
      <w:proofErr w:type="spellEnd"/>
      <w:r w:rsidRPr="00212245">
        <w:rPr>
          <w:rFonts w:ascii="Times New Roman" w:eastAsia="Times New Roman" w:hAnsi="Times New Roman" w:cs="Times New Roman"/>
          <w:sz w:val="20"/>
          <w:szCs w:val="20"/>
          <w:lang w:eastAsia="en-IN"/>
        </w:rPr>
        <w:t xml:space="preserve"> Cardiovasc Med 8 (2024): 33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42. </w:t>
      </w:r>
    </w:p>
    <w:p w14:paraId="085E7638" w14:textId="1BFF9602"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DeMarco N, Rai V, Wilson DR, et al. </w:t>
      </w:r>
      <w:proofErr w:type="spellStart"/>
      <w:r w:rsidRPr="00212245">
        <w:rPr>
          <w:rFonts w:ascii="Times New Roman" w:eastAsia="Times New Roman" w:hAnsi="Times New Roman" w:cs="Times New Roman"/>
          <w:sz w:val="20"/>
          <w:szCs w:val="20"/>
          <w:lang w:eastAsia="en-IN"/>
        </w:rPr>
        <w:t>Oncostatin</w:t>
      </w:r>
      <w:proofErr w:type="spellEnd"/>
      <w:r w:rsidRPr="00212245">
        <w:rPr>
          <w:rFonts w:ascii="Times New Roman" w:eastAsia="Times New Roman" w:hAnsi="Times New Roman" w:cs="Times New Roman"/>
          <w:sz w:val="20"/>
          <w:szCs w:val="20"/>
          <w:lang w:eastAsia="en-IN"/>
        </w:rPr>
        <w:t xml:space="preserve"> M, Serpins, and Oxidative Stress in Extracellular Matrix Remodeling and Arteriovenous Fistula Maturation. </w:t>
      </w:r>
      <w:proofErr w:type="spellStart"/>
      <w:r w:rsidRPr="00212245">
        <w:rPr>
          <w:rFonts w:ascii="Times New Roman" w:eastAsia="Times New Roman" w:hAnsi="Times New Roman" w:cs="Times New Roman"/>
          <w:sz w:val="20"/>
          <w:szCs w:val="20"/>
          <w:lang w:eastAsia="en-IN"/>
        </w:rPr>
        <w:t>Cardiol</w:t>
      </w:r>
      <w:proofErr w:type="spellEnd"/>
      <w:r w:rsidRPr="00212245">
        <w:rPr>
          <w:rFonts w:ascii="Times New Roman" w:eastAsia="Times New Roman" w:hAnsi="Times New Roman" w:cs="Times New Roman"/>
          <w:sz w:val="20"/>
          <w:szCs w:val="20"/>
          <w:lang w:eastAsia="en-IN"/>
        </w:rPr>
        <w:t xml:space="preserve"> Cardiovasc Med 7 (2023): 129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140. </w:t>
      </w:r>
    </w:p>
    <w:p w14:paraId="2AE9E929" w14:textId="77B385F8"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Siddiqi I, Marino M, Agrawal DK, et al. Cellular Mechanisms of Electromagnetic Field in Traumatic Brain Injury. J </w:t>
      </w:r>
      <w:proofErr w:type="spellStart"/>
      <w:r w:rsidRPr="00212245">
        <w:rPr>
          <w:rFonts w:ascii="Times New Roman" w:eastAsia="Times New Roman" w:hAnsi="Times New Roman" w:cs="Times New Roman"/>
          <w:sz w:val="20"/>
          <w:szCs w:val="20"/>
          <w:lang w:eastAsia="en-IN"/>
        </w:rPr>
        <w:t>Biotechnol</w:t>
      </w:r>
      <w:proofErr w:type="spellEnd"/>
      <w:r w:rsidRPr="00212245">
        <w:rPr>
          <w:rFonts w:ascii="Times New Roman" w:eastAsia="Times New Roman" w:hAnsi="Times New Roman" w:cs="Times New Roman"/>
          <w:sz w:val="20"/>
          <w:szCs w:val="20"/>
          <w:lang w:eastAsia="en-IN"/>
        </w:rPr>
        <w:t xml:space="preserve"> Biomed 6 (2023): 95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104. </w:t>
      </w:r>
    </w:p>
    <w:p w14:paraId="6AA280D1" w14:textId="2F167FE8"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Lopes LA, Agrawal DK. Post-Operative Atrial Fibrillation: Current Treatments and Etiologies for a Persistent Surgical Complication. J Surg Res (Houst) 5 (2022): 159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172. </w:t>
      </w:r>
    </w:p>
    <w:p w14:paraId="7734B13B" w14:textId="5FE5CEF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Fang WH, Bonavida V, Agrawal DK, et al. Hyperlipidemia in tendon injury: chronicles of low-density lipoproteins. Cell Tissue Res 392 (2023): 431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442. </w:t>
      </w:r>
    </w:p>
    <w:p w14:paraId="3B80266F" w14:textId="0659BED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Velpuri</w:t>
      </w:r>
      <w:proofErr w:type="spellEnd"/>
      <w:r w:rsidRPr="00212245">
        <w:rPr>
          <w:rFonts w:ascii="Times New Roman" w:eastAsia="Times New Roman" w:hAnsi="Times New Roman" w:cs="Times New Roman"/>
          <w:sz w:val="20"/>
          <w:szCs w:val="20"/>
          <w:lang w:eastAsia="en-IN"/>
        </w:rPr>
        <w:t xml:space="preserve"> P, Rai V, Agrawal DK. Role of sirtuins in attenuating plaque vulnerability in atherosclerosis. Mol Cell </w:t>
      </w:r>
      <w:proofErr w:type="spellStart"/>
      <w:r w:rsidRPr="00212245">
        <w:rPr>
          <w:rFonts w:ascii="Times New Roman" w:eastAsia="Times New Roman" w:hAnsi="Times New Roman" w:cs="Times New Roman"/>
          <w:sz w:val="20"/>
          <w:szCs w:val="20"/>
          <w:lang w:eastAsia="en-IN"/>
        </w:rPr>
        <w:t>Biochem</w:t>
      </w:r>
      <w:proofErr w:type="spellEnd"/>
      <w:r w:rsidRPr="00212245">
        <w:rPr>
          <w:rFonts w:ascii="Times New Roman" w:eastAsia="Times New Roman" w:hAnsi="Times New Roman" w:cs="Times New Roman"/>
          <w:sz w:val="20"/>
          <w:szCs w:val="20"/>
          <w:lang w:eastAsia="en-IN"/>
        </w:rPr>
        <w:t xml:space="preserve"> 479 (2024): 51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62. </w:t>
      </w:r>
    </w:p>
    <w:p w14:paraId="3E4F4FDC" w14:textId="1887E343"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Rai V, Mendoza-Mari Y, </w:t>
      </w:r>
      <w:proofErr w:type="spellStart"/>
      <w:r w:rsidRPr="00212245">
        <w:rPr>
          <w:rFonts w:ascii="Times New Roman" w:eastAsia="Times New Roman" w:hAnsi="Times New Roman" w:cs="Times New Roman"/>
          <w:sz w:val="20"/>
          <w:szCs w:val="20"/>
          <w:lang w:eastAsia="en-IN"/>
        </w:rPr>
        <w:t>Brazdzionis</w:t>
      </w:r>
      <w:proofErr w:type="spellEnd"/>
      <w:r w:rsidRPr="00212245">
        <w:rPr>
          <w:rFonts w:ascii="Times New Roman" w:eastAsia="Times New Roman" w:hAnsi="Times New Roman" w:cs="Times New Roman"/>
          <w:sz w:val="20"/>
          <w:szCs w:val="20"/>
          <w:lang w:eastAsia="en-IN"/>
        </w:rPr>
        <w:t xml:space="preserve"> J, et al. Transcriptomic Analysis of Gene Expression and Effect of Electromagnetic Field in Brain Tissue after Traumatic Brain Injury. J </w:t>
      </w:r>
      <w:proofErr w:type="spellStart"/>
      <w:r w:rsidRPr="00212245">
        <w:rPr>
          <w:rFonts w:ascii="Times New Roman" w:eastAsia="Times New Roman" w:hAnsi="Times New Roman" w:cs="Times New Roman"/>
          <w:sz w:val="20"/>
          <w:szCs w:val="20"/>
          <w:lang w:eastAsia="en-IN"/>
        </w:rPr>
        <w:t>Biotechnol</w:t>
      </w:r>
      <w:proofErr w:type="spellEnd"/>
      <w:r w:rsidRPr="00212245">
        <w:rPr>
          <w:rFonts w:ascii="Times New Roman" w:eastAsia="Times New Roman" w:hAnsi="Times New Roman" w:cs="Times New Roman"/>
          <w:sz w:val="20"/>
          <w:szCs w:val="20"/>
          <w:lang w:eastAsia="en-IN"/>
        </w:rPr>
        <w:t xml:space="preserve"> Biomed 7 (2024): 101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110. </w:t>
      </w:r>
    </w:p>
    <w:p w14:paraId="03B7751B" w14:textId="44A5690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Stojanovic M, Rai V, Agrawal DK. Effect of Electromagnetic Field on Proliferation and Migration of Fibroblasts and Keratinocytes: Implications in Wound Healing and Regeneration. J </w:t>
      </w:r>
      <w:proofErr w:type="spellStart"/>
      <w:r w:rsidRPr="00212245">
        <w:rPr>
          <w:rFonts w:ascii="Times New Roman" w:eastAsia="Times New Roman" w:hAnsi="Times New Roman" w:cs="Times New Roman"/>
          <w:sz w:val="20"/>
          <w:szCs w:val="20"/>
          <w:lang w:eastAsia="en-IN"/>
        </w:rPr>
        <w:t>Biotechnol</w:t>
      </w:r>
      <w:proofErr w:type="spellEnd"/>
      <w:r w:rsidRPr="00212245">
        <w:rPr>
          <w:rFonts w:ascii="Times New Roman" w:eastAsia="Times New Roman" w:hAnsi="Times New Roman" w:cs="Times New Roman"/>
          <w:sz w:val="20"/>
          <w:szCs w:val="20"/>
          <w:lang w:eastAsia="en-IN"/>
        </w:rPr>
        <w:t xml:space="preserve"> Biomed 7 (2024): 387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399. </w:t>
      </w:r>
    </w:p>
    <w:p w14:paraId="3014398B"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Nakai K, Tsuruta D. What Are Reactive Oxygen Species, Free Radicals, and Oxidative Stress in Skin Diseases? Int J Mol Sci 22 (2021): 10799. </w:t>
      </w:r>
    </w:p>
    <w:p w14:paraId="12F04DD5" w14:textId="502B1973"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Nakamura H, Takada K. Reactive oxygen species in cancer: Current findings and future directions. Cancer Sci 112 (2021): 3945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3952. </w:t>
      </w:r>
    </w:p>
    <w:p w14:paraId="27E6B108" w14:textId="5A2D768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Chen J, Liu Y, Zhao Z, et al. Oxidative stress in the skin: Impact and related protection. Int J </w:t>
      </w:r>
      <w:proofErr w:type="spellStart"/>
      <w:r w:rsidRPr="00212245">
        <w:rPr>
          <w:rFonts w:ascii="Times New Roman" w:eastAsia="Times New Roman" w:hAnsi="Times New Roman" w:cs="Times New Roman"/>
          <w:sz w:val="20"/>
          <w:szCs w:val="20"/>
          <w:lang w:eastAsia="en-IN"/>
        </w:rPr>
        <w:t>Cosmet</w:t>
      </w:r>
      <w:proofErr w:type="spellEnd"/>
      <w:r w:rsidRPr="00212245">
        <w:rPr>
          <w:rFonts w:ascii="Times New Roman" w:eastAsia="Times New Roman" w:hAnsi="Times New Roman" w:cs="Times New Roman"/>
          <w:sz w:val="20"/>
          <w:szCs w:val="20"/>
          <w:lang w:eastAsia="en-IN"/>
        </w:rPr>
        <w:t xml:space="preserve"> Sci 43 (2021): 495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509. </w:t>
      </w:r>
    </w:p>
    <w:p w14:paraId="582252C7"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Ansary TM, Hossain MR, Kamiya K, et al. Inflammatory Molecules Associated with Ultraviolet Radiation-Mediated Skin Aging. Int J Mol Sci 22 (2021): 3974. </w:t>
      </w:r>
    </w:p>
    <w:p w14:paraId="37CE7216" w14:textId="3F32936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lastRenderedPageBreak/>
        <w:t xml:space="preserve">Salminen A, </w:t>
      </w:r>
      <w:proofErr w:type="spellStart"/>
      <w:r w:rsidRPr="00212245">
        <w:rPr>
          <w:rFonts w:ascii="Times New Roman" w:eastAsia="Times New Roman" w:hAnsi="Times New Roman" w:cs="Times New Roman"/>
          <w:sz w:val="20"/>
          <w:szCs w:val="20"/>
          <w:lang w:eastAsia="en-IN"/>
        </w:rPr>
        <w:t>Kaarniranta</w:t>
      </w:r>
      <w:proofErr w:type="spellEnd"/>
      <w:r w:rsidRPr="00212245">
        <w:rPr>
          <w:rFonts w:ascii="Times New Roman" w:eastAsia="Times New Roman" w:hAnsi="Times New Roman" w:cs="Times New Roman"/>
          <w:sz w:val="20"/>
          <w:szCs w:val="20"/>
          <w:lang w:eastAsia="en-IN"/>
        </w:rPr>
        <w:t xml:space="preserve"> K, Kauppinen A. Photoaging: UV radiation-induced inflammation and immunosuppression accelerate the aging process in the skin. </w:t>
      </w:r>
      <w:proofErr w:type="spellStart"/>
      <w:r w:rsidRPr="00212245">
        <w:rPr>
          <w:rFonts w:ascii="Times New Roman" w:eastAsia="Times New Roman" w:hAnsi="Times New Roman" w:cs="Times New Roman"/>
          <w:sz w:val="20"/>
          <w:szCs w:val="20"/>
          <w:lang w:eastAsia="en-IN"/>
        </w:rPr>
        <w:t>Inflamm</w:t>
      </w:r>
      <w:proofErr w:type="spellEnd"/>
      <w:r w:rsidRPr="00212245">
        <w:rPr>
          <w:rFonts w:ascii="Times New Roman" w:eastAsia="Times New Roman" w:hAnsi="Times New Roman" w:cs="Times New Roman"/>
          <w:sz w:val="20"/>
          <w:szCs w:val="20"/>
          <w:lang w:eastAsia="en-IN"/>
        </w:rPr>
        <w:t xml:space="preserve"> Res 71 (2022): 817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831. </w:t>
      </w:r>
    </w:p>
    <w:p w14:paraId="05FB8F03"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Johnson EM, Uppalapati CK, Pascual AS, et al. Complement Factor H in cSCC: Evidence of a Link Between Sun Exposure and Immunosuppression in Skin Cancer Progression. Front Oncol 12 (2022): 819580. </w:t>
      </w:r>
    </w:p>
    <w:p w14:paraId="1EAA117A" w14:textId="406B6D7F"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Wenande</w:t>
      </w:r>
      <w:proofErr w:type="spellEnd"/>
      <w:r w:rsidRPr="00212245">
        <w:rPr>
          <w:rFonts w:ascii="Times New Roman" w:eastAsia="Times New Roman" w:hAnsi="Times New Roman" w:cs="Times New Roman"/>
          <w:sz w:val="20"/>
          <w:szCs w:val="20"/>
          <w:lang w:eastAsia="en-IN"/>
        </w:rPr>
        <w:t xml:space="preserve"> E, Togsverd-Bo K, Hastrup A, et al. Skin Cancer Development Is Strongly Associated with Actinic Keratosis in Solid Organ Transplant Recipients: A Danish Cohort Study. Dermatology 239 (2023): 393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402. </w:t>
      </w:r>
    </w:p>
    <w:p w14:paraId="7D6D2F50" w14:textId="696BAA11"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Salviano LMO, Hirayama AB, </w:t>
      </w:r>
      <w:proofErr w:type="spellStart"/>
      <w:r w:rsidRPr="00212245">
        <w:rPr>
          <w:rFonts w:ascii="Times New Roman" w:eastAsia="Times New Roman" w:hAnsi="Times New Roman" w:cs="Times New Roman"/>
          <w:sz w:val="20"/>
          <w:szCs w:val="20"/>
          <w:lang w:eastAsia="en-IN"/>
        </w:rPr>
        <w:t>Pincelli</w:t>
      </w:r>
      <w:proofErr w:type="spellEnd"/>
      <w:r w:rsidRPr="00212245">
        <w:rPr>
          <w:rFonts w:ascii="Times New Roman" w:eastAsia="Times New Roman" w:hAnsi="Times New Roman" w:cs="Times New Roman"/>
          <w:sz w:val="20"/>
          <w:szCs w:val="20"/>
          <w:lang w:eastAsia="en-IN"/>
        </w:rPr>
        <w:t xml:space="preserve"> MS, et al. Clinical and Histopathological Assessment of the Field of Cancerization in Human Skin Before and After Treatment With a 1927-nm Thulium Fractional Laser. Lasers Surg Med 58 (2026): 311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320. </w:t>
      </w:r>
    </w:p>
    <w:p w14:paraId="60BD0087" w14:textId="52D39C1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Gilchrest BA. Actinic Keratoses: Reconciling the Biology of Field Cancerization with Treatment Paradigms. J Invest Dermatol 141 (2021): 727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731. </w:t>
      </w:r>
    </w:p>
    <w:p w14:paraId="4DCA2D9C"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de Andrade FAG, Isoldi FC, Ferreira LM. Skin field </w:t>
      </w:r>
      <w:proofErr w:type="spellStart"/>
      <w:r w:rsidRPr="00212245">
        <w:rPr>
          <w:rFonts w:ascii="Times New Roman" w:eastAsia="Times New Roman" w:hAnsi="Times New Roman" w:cs="Times New Roman"/>
          <w:sz w:val="20"/>
          <w:szCs w:val="20"/>
          <w:lang w:eastAsia="en-IN"/>
        </w:rPr>
        <w:t>cancerisation</w:t>
      </w:r>
      <w:proofErr w:type="spellEnd"/>
      <w:r w:rsidRPr="00212245">
        <w:rPr>
          <w:rFonts w:ascii="Times New Roman" w:eastAsia="Times New Roman" w:hAnsi="Times New Roman" w:cs="Times New Roman"/>
          <w:sz w:val="20"/>
          <w:szCs w:val="20"/>
          <w:lang w:eastAsia="en-IN"/>
        </w:rPr>
        <w:t xml:space="preserve">: A systematic review of the literature regarding its treatment. </w:t>
      </w:r>
      <w:proofErr w:type="spellStart"/>
      <w:r w:rsidRPr="00212245">
        <w:rPr>
          <w:rFonts w:ascii="Times New Roman" w:eastAsia="Times New Roman" w:hAnsi="Times New Roman" w:cs="Times New Roman"/>
          <w:sz w:val="20"/>
          <w:szCs w:val="20"/>
          <w:lang w:eastAsia="en-IN"/>
        </w:rPr>
        <w:t>Eur</w:t>
      </w:r>
      <w:proofErr w:type="spellEnd"/>
      <w:r w:rsidRPr="00212245">
        <w:rPr>
          <w:rFonts w:ascii="Times New Roman" w:eastAsia="Times New Roman" w:hAnsi="Times New Roman" w:cs="Times New Roman"/>
          <w:sz w:val="20"/>
          <w:szCs w:val="20"/>
          <w:lang w:eastAsia="en-IN"/>
        </w:rPr>
        <w:t xml:space="preserve"> J Cancer Care (Engl) 30 (2021): e13366. </w:t>
      </w:r>
    </w:p>
    <w:p w14:paraId="60448918" w14:textId="17D4E7C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Dianzani</w:t>
      </w:r>
      <w:proofErr w:type="spellEnd"/>
      <w:r w:rsidRPr="00212245">
        <w:rPr>
          <w:rFonts w:ascii="Times New Roman" w:eastAsia="Times New Roman" w:hAnsi="Times New Roman" w:cs="Times New Roman"/>
          <w:sz w:val="20"/>
          <w:szCs w:val="20"/>
          <w:lang w:eastAsia="en-IN"/>
        </w:rPr>
        <w:t xml:space="preserve"> C, Conforti C, Giuffrida R, et al. Current therapies for actinic keratosis. Int J Dermatol 59 (2020): 677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684. </w:t>
      </w:r>
    </w:p>
    <w:p w14:paraId="404C4C3D"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Zou D-D, Sun Y-Z, Li X-J, et al. Single-cell sequencing highlights heterogeneity and malignant progression in actinic keratosis and cutaneous squamous cell carcinoma. </w:t>
      </w:r>
      <w:proofErr w:type="spellStart"/>
      <w:r w:rsidRPr="00212245">
        <w:rPr>
          <w:rFonts w:ascii="Times New Roman" w:eastAsia="Times New Roman" w:hAnsi="Times New Roman" w:cs="Times New Roman"/>
          <w:sz w:val="20"/>
          <w:szCs w:val="20"/>
          <w:lang w:eastAsia="en-IN"/>
        </w:rPr>
        <w:t>eLife</w:t>
      </w:r>
      <w:proofErr w:type="spellEnd"/>
      <w:r w:rsidRPr="00212245">
        <w:rPr>
          <w:rFonts w:ascii="Times New Roman" w:eastAsia="Times New Roman" w:hAnsi="Times New Roman" w:cs="Times New Roman"/>
          <w:sz w:val="20"/>
          <w:szCs w:val="20"/>
          <w:lang w:eastAsia="en-IN"/>
        </w:rPr>
        <w:t xml:space="preserve"> 12 (2023): e85270. </w:t>
      </w:r>
    </w:p>
    <w:p w14:paraId="4A1596ED"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Dubois-Pot-Schneider H, Khairallah G, </w:t>
      </w:r>
      <w:proofErr w:type="spellStart"/>
      <w:r w:rsidRPr="00212245">
        <w:rPr>
          <w:rFonts w:ascii="Times New Roman" w:eastAsia="Times New Roman" w:hAnsi="Times New Roman" w:cs="Times New Roman"/>
          <w:sz w:val="20"/>
          <w:szCs w:val="20"/>
          <w:lang w:eastAsia="en-IN"/>
        </w:rPr>
        <w:t>Brzenczek</w:t>
      </w:r>
      <w:proofErr w:type="spellEnd"/>
      <w:r w:rsidRPr="00212245">
        <w:rPr>
          <w:rFonts w:ascii="Times New Roman" w:eastAsia="Times New Roman" w:hAnsi="Times New Roman" w:cs="Times New Roman"/>
          <w:sz w:val="20"/>
          <w:szCs w:val="20"/>
          <w:lang w:eastAsia="en-IN"/>
        </w:rPr>
        <w:t xml:space="preserve"> C, et al. Transcriptomic Study on Human Skin Samples: Identification of Two Subclasses of Actinic Keratoses. Int J Mol Sci 24 (2023): 5937. </w:t>
      </w:r>
    </w:p>
    <w:p w14:paraId="394BE8FA" w14:textId="02FE760F"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Dirschka</w:t>
      </w:r>
      <w:proofErr w:type="spellEnd"/>
      <w:r w:rsidRPr="00212245">
        <w:rPr>
          <w:rFonts w:ascii="Times New Roman" w:eastAsia="Times New Roman" w:hAnsi="Times New Roman" w:cs="Times New Roman"/>
          <w:sz w:val="20"/>
          <w:szCs w:val="20"/>
          <w:lang w:eastAsia="en-IN"/>
        </w:rPr>
        <w:t xml:space="preserve"> T, </w:t>
      </w:r>
      <w:proofErr w:type="spellStart"/>
      <w:r w:rsidRPr="00212245">
        <w:rPr>
          <w:rFonts w:ascii="Times New Roman" w:eastAsia="Times New Roman" w:hAnsi="Times New Roman" w:cs="Times New Roman"/>
          <w:sz w:val="20"/>
          <w:szCs w:val="20"/>
          <w:lang w:eastAsia="en-IN"/>
        </w:rPr>
        <w:t>Pellacani</w:t>
      </w:r>
      <w:proofErr w:type="spellEnd"/>
      <w:r w:rsidRPr="00212245">
        <w:rPr>
          <w:rFonts w:ascii="Times New Roman" w:eastAsia="Times New Roman" w:hAnsi="Times New Roman" w:cs="Times New Roman"/>
          <w:sz w:val="20"/>
          <w:szCs w:val="20"/>
          <w:lang w:eastAsia="en-IN"/>
        </w:rPr>
        <w:t xml:space="preserve"> G, Micali G, et al. A proposed scoring system for assessing the severity of actinic keratosis on the head: actinic keratosis area and severity index. J </w:t>
      </w:r>
      <w:proofErr w:type="spellStart"/>
      <w:r w:rsidRPr="00212245">
        <w:rPr>
          <w:rFonts w:ascii="Times New Roman" w:eastAsia="Times New Roman" w:hAnsi="Times New Roman" w:cs="Times New Roman"/>
          <w:sz w:val="20"/>
          <w:szCs w:val="20"/>
          <w:lang w:eastAsia="en-IN"/>
        </w:rPr>
        <w:t>Eur</w:t>
      </w:r>
      <w:proofErr w:type="spellEnd"/>
      <w:r w:rsidRPr="00212245">
        <w:rPr>
          <w:rFonts w:ascii="Times New Roman" w:eastAsia="Times New Roman" w:hAnsi="Times New Roman" w:cs="Times New Roman"/>
          <w:sz w:val="20"/>
          <w:szCs w:val="20"/>
          <w:lang w:eastAsia="en-IN"/>
        </w:rPr>
        <w:t xml:space="preserve"> Acad Dermatol </w:t>
      </w:r>
      <w:proofErr w:type="spellStart"/>
      <w:r w:rsidRPr="00212245">
        <w:rPr>
          <w:rFonts w:ascii="Times New Roman" w:eastAsia="Times New Roman" w:hAnsi="Times New Roman" w:cs="Times New Roman"/>
          <w:sz w:val="20"/>
          <w:szCs w:val="20"/>
          <w:lang w:eastAsia="en-IN"/>
        </w:rPr>
        <w:t>Venereol</w:t>
      </w:r>
      <w:proofErr w:type="spellEnd"/>
      <w:r w:rsidRPr="00212245">
        <w:rPr>
          <w:rFonts w:ascii="Times New Roman" w:eastAsia="Times New Roman" w:hAnsi="Times New Roman" w:cs="Times New Roman"/>
          <w:sz w:val="20"/>
          <w:szCs w:val="20"/>
          <w:lang w:eastAsia="en-IN"/>
        </w:rPr>
        <w:t xml:space="preserve"> JEADV 31 (2017): 1295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1302. </w:t>
      </w:r>
    </w:p>
    <w:p w14:paraId="3035815C" w14:textId="67BAEE0C"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Schmitz L, Kahl P, Majores M, et al. Actinic keratosis: correlation between clinical and histological classification systems. J </w:t>
      </w:r>
      <w:proofErr w:type="spellStart"/>
      <w:r w:rsidRPr="00212245">
        <w:rPr>
          <w:rFonts w:ascii="Times New Roman" w:eastAsia="Times New Roman" w:hAnsi="Times New Roman" w:cs="Times New Roman"/>
          <w:sz w:val="20"/>
          <w:szCs w:val="20"/>
          <w:lang w:eastAsia="en-IN"/>
        </w:rPr>
        <w:t>Eur</w:t>
      </w:r>
      <w:proofErr w:type="spellEnd"/>
      <w:r w:rsidRPr="00212245">
        <w:rPr>
          <w:rFonts w:ascii="Times New Roman" w:eastAsia="Times New Roman" w:hAnsi="Times New Roman" w:cs="Times New Roman"/>
          <w:sz w:val="20"/>
          <w:szCs w:val="20"/>
          <w:lang w:eastAsia="en-IN"/>
        </w:rPr>
        <w:t xml:space="preserve"> Acad Dermatol </w:t>
      </w:r>
      <w:proofErr w:type="spellStart"/>
      <w:r w:rsidRPr="00212245">
        <w:rPr>
          <w:rFonts w:ascii="Times New Roman" w:eastAsia="Times New Roman" w:hAnsi="Times New Roman" w:cs="Times New Roman"/>
          <w:sz w:val="20"/>
          <w:szCs w:val="20"/>
          <w:lang w:eastAsia="en-IN"/>
        </w:rPr>
        <w:t>Venereol</w:t>
      </w:r>
      <w:proofErr w:type="spellEnd"/>
      <w:r w:rsidRPr="00212245">
        <w:rPr>
          <w:rFonts w:ascii="Times New Roman" w:eastAsia="Times New Roman" w:hAnsi="Times New Roman" w:cs="Times New Roman"/>
          <w:sz w:val="20"/>
          <w:szCs w:val="20"/>
          <w:lang w:eastAsia="en-IN"/>
        </w:rPr>
        <w:t xml:space="preserve"> JEADV 30 (2016): 1303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1307. </w:t>
      </w:r>
    </w:p>
    <w:p w14:paraId="0FB0654A" w14:textId="2431C36C"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Park HS, Baek DJ, Kim YC, et al. High Risk of Non-Melanoma Skin Cancer in Actinic Keratosis Patients with Skin of Color: A Nationwide Register-Based Cohort Study. Dermatology 240 (2024): 859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863. </w:t>
      </w:r>
    </w:p>
    <w:p w14:paraId="7D2A8A91"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Danescu</w:t>
      </w:r>
      <w:proofErr w:type="spellEnd"/>
      <w:r w:rsidRPr="00212245">
        <w:rPr>
          <w:rFonts w:ascii="Times New Roman" w:eastAsia="Times New Roman" w:hAnsi="Times New Roman" w:cs="Times New Roman"/>
          <w:sz w:val="20"/>
          <w:szCs w:val="20"/>
          <w:lang w:eastAsia="en-IN"/>
        </w:rPr>
        <w:t xml:space="preserve"> S, </w:t>
      </w:r>
      <w:proofErr w:type="spellStart"/>
      <w:r w:rsidRPr="00212245">
        <w:rPr>
          <w:rFonts w:ascii="Times New Roman" w:eastAsia="Times New Roman" w:hAnsi="Times New Roman" w:cs="Times New Roman"/>
          <w:sz w:val="20"/>
          <w:szCs w:val="20"/>
          <w:lang w:eastAsia="en-IN"/>
        </w:rPr>
        <w:t>Negrutiu</w:t>
      </w:r>
      <w:proofErr w:type="spellEnd"/>
      <w:r w:rsidRPr="00212245">
        <w:rPr>
          <w:rFonts w:ascii="Times New Roman" w:eastAsia="Times New Roman" w:hAnsi="Times New Roman" w:cs="Times New Roman"/>
          <w:sz w:val="20"/>
          <w:szCs w:val="20"/>
          <w:lang w:eastAsia="en-IN"/>
        </w:rPr>
        <w:t xml:space="preserve"> M, </w:t>
      </w:r>
      <w:proofErr w:type="spellStart"/>
      <w:r w:rsidRPr="00212245">
        <w:rPr>
          <w:rFonts w:ascii="Times New Roman" w:eastAsia="Times New Roman" w:hAnsi="Times New Roman" w:cs="Times New Roman"/>
          <w:sz w:val="20"/>
          <w:szCs w:val="20"/>
          <w:lang w:eastAsia="en-IN"/>
        </w:rPr>
        <w:t>Focsan</w:t>
      </w:r>
      <w:proofErr w:type="spellEnd"/>
      <w:r w:rsidRPr="00212245">
        <w:rPr>
          <w:rFonts w:ascii="Times New Roman" w:eastAsia="Times New Roman" w:hAnsi="Times New Roman" w:cs="Times New Roman"/>
          <w:sz w:val="20"/>
          <w:szCs w:val="20"/>
          <w:lang w:eastAsia="en-IN"/>
        </w:rPr>
        <w:t xml:space="preserve"> M, et al. An overview of cutaneous squamous cell carcinoma imaging diagnosis methods. Front Med 11 (2024): 1388835. </w:t>
      </w:r>
    </w:p>
    <w:p w14:paraId="6412CFD7"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Cappilli</w:t>
      </w:r>
      <w:proofErr w:type="spellEnd"/>
      <w:r w:rsidRPr="00212245">
        <w:rPr>
          <w:rFonts w:ascii="Times New Roman" w:eastAsia="Times New Roman" w:hAnsi="Times New Roman" w:cs="Times New Roman"/>
          <w:sz w:val="20"/>
          <w:szCs w:val="20"/>
          <w:lang w:eastAsia="en-IN"/>
        </w:rPr>
        <w:t xml:space="preserve"> S, Paradisi A, Di Stefani A, et al. Line-Field Confocal Optical Coherence Tomography: A New Skin Imaging Technique Reproducing a “Virtual Biopsy” with Evolving Clinical Applications in Dermatology. Diagnostics 14 (2024): 1821. </w:t>
      </w:r>
    </w:p>
    <w:p w14:paraId="40BC4BFD"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Santos E Silva Caldeira Marques ML, Hero J, El-</w:t>
      </w:r>
      <w:proofErr w:type="spellStart"/>
      <w:r w:rsidRPr="00212245">
        <w:rPr>
          <w:rFonts w:ascii="Times New Roman" w:eastAsia="Times New Roman" w:hAnsi="Times New Roman" w:cs="Times New Roman"/>
          <w:sz w:val="20"/>
          <w:szCs w:val="20"/>
          <w:lang w:eastAsia="en-IN"/>
        </w:rPr>
        <w:t>Sharouni</w:t>
      </w:r>
      <w:proofErr w:type="spellEnd"/>
      <w:r w:rsidRPr="00212245">
        <w:rPr>
          <w:rFonts w:ascii="Times New Roman" w:eastAsia="Times New Roman" w:hAnsi="Times New Roman" w:cs="Times New Roman"/>
          <w:sz w:val="20"/>
          <w:szCs w:val="20"/>
          <w:lang w:eastAsia="en-IN"/>
        </w:rPr>
        <w:t xml:space="preserve"> M-A, et al. Systematic Review of Line-Field Confocal Optical Coherence Tomography for Diagnosing Pre-Malignant and Malignant </w:t>
      </w:r>
      <w:proofErr w:type="spellStart"/>
      <w:r w:rsidRPr="00212245">
        <w:rPr>
          <w:rFonts w:ascii="Times New Roman" w:eastAsia="Times New Roman" w:hAnsi="Times New Roman" w:cs="Times New Roman"/>
          <w:sz w:val="20"/>
          <w:szCs w:val="20"/>
          <w:lang w:eastAsia="en-IN"/>
        </w:rPr>
        <w:t>Keratinocytic</w:t>
      </w:r>
      <w:proofErr w:type="spellEnd"/>
      <w:r w:rsidRPr="00212245">
        <w:rPr>
          <w:rFonts w:ascii="Times New Roman" w:eastAsia="Times New Roman" w:hAnsi="Times New Roman" w:cs="Times New Roman"/>
          <w:sz w:val="20"/>
          <w:szCs w:val="20"/>
          <w:lang w:eastAsia="en-IN"/>
        </w:rPr>
        <w:t xml:space="preserve"> Lesions: </w:t>
      </w:r>
      <w:proofErr w:type="spellStart"/>
      <w:r w:rsidRPr="00212245">
        <w:rPr>
          <w:rFonts w:ascii="Times New Roman" w:eastAsia="Times New Roman" w:hAnsi="Times New Roman" w:cs="Times New Roman"/>
          <w:sz w:val="20"/>
          <w:szCs w:val="20"/>
          <w:lang w:eastAsia="en-IN"/>
        </w:rPr>
        <w:t>Optimising</w:t>
      </w:r>
      <w:proofErr w:type="spellEnd"/>
      <w:r w:rsidRPr="00212245">
        <w:rPr>
          <w:rFonts w:ascii="Times New Roman" w:eastAsia="Times New Roman" w:hAnsi="Times New Roman" w:cs="Times New Roman"/>
          <w:sz w:val="20"/>
          <w:szCs w:val="20"/>
          <w:lang w:eastAsia="en-IN"/>
        </w:rPr>
        <w:t xml:space="preserve"> the Workflow. Diagnostics 15 (2025): 2746. </w:t>
      </w:r>
    </w:p>
    <w:p w14:paraId="12BBFD6F"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lastRenderedPageBreak/>
        <w:t>Balcere</w:t>
      </w:r>
      <w:proofErr w:type="spellEnd"/>
      <w:r w:rsidRPr="00212245">
        <w:rPr>
          <w:rFonts w:ascii="Times New Roman" w:eastAsia="Times New Roman" w:hAnsi="Times New Roman" w:cs="Times New Roman"/>
          <w:sz w:val="20"/>
          <w:szCs w:val="20"/>
          <w:lang w:eastAsia="en-IN"/>
        </w:rPr>
        <w:t xml:space="preserve"> A, </w:t>
      </w:r>
      <w:proofErr w:type="spellStart"/>
      <w:r w:rsidRPr="00212245">
        <w:rPr>
          <w:rFonts w:ascii="Times New Roman" w:eastAsia="Times New Roman" w:hAnsi="Times New Roman" w:cs="Times New Roman"/>
          <w:sz w:val="20"/>
          <w:szCs w:val="20"/>
          <w:lang w:eastAsia="en-IN"/>
        </w:rPr>
        <w:t>Sperga</w:t>
      </w:r>
      <w:proofErr w:type="spellEnd"/>
      <w:r w:rsidRPr="00212245">
        <w:rPr>
          <w:rFonts w:ascii="Times New Roman" w:eastAsia="Times New Roman" w:hAnsi="Times New Roman" w:cs="Times New Roman"/>
          <w:sz w:val="20"/>
          <w:szCs w:val="20"/>
          <w:lang w:eastAsia="en-IN"/>
        </w:rPr>
        <w:t xml:space="preserve"> M, </w:t>
      </w:r>
      <w:proofErr w:type="spellStart"/>
      <w:r w:rsidRPr="00212245">
        <w:rPr>
          <w:rFonts w:ascii="Times New Roman" w:eastAsia="Times New Roman" w:hAnsi="Times New Roman" w:cs="Times New Roman"/>
          <w:sz w:val="20"/>
          <w:szCs w:val="20"/>
          <w:lang w:eastAsia="en-IN"/>
        </w:rPr>
        <w:t>Čēma</w:t>
      </w:r>
      <w:proofErr w:type="spellEnd"/>
      <w:r w:rsidRPr="00212245">
        <w:rPr>
          <w:rFonts w:ascii="Times New Roman" w:eastAsia="Times New Roman" w:hAnsi="Times New Roman" w:cs="Times New Roman"/>
          <w:sz w:val="20"/>
          <w:szCs w:val="20"/>
          <w:lang w:eastAsia="en-IN"/>
        </w:rPr>
        <w:t xml:space="preserve"> I, et al. Expression of p53, p63, p16, Ki67, Cyclin D, Bcl-2, and CD31 Markers in Actinic Keratosis, In Situ Squamous Cell Carcinoma and Normal Sun-Exposed Skin of Elderly Patients. J Clin Med 12 (2023): 7291. </w:t>
      </w:r>
    </w:p>
    <w:p w14:paraId="50F63A9A" w14:textId="65A830DA"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Queen D, Shen Y, Trager MH, et al. UV biomarker genes for classification and risk stratification of cutaneous actinic keratoses and squamous cell carcinoma subtypes. FASEB J Off </w:t>
      </w:r>
      <w:proofErr w:type="spellStart"/>
      <w:r w:rsidRPr="00212245">
        <w:rPr>
          <w:rFonts w:ascii="Times New Roman" w:eastAsia="Times New Roman" w:hAnsi="Times New Roman" w:cs="Times New Roman"/>
          <w:sz w:val="20"/>
          <w:szCs w:val="20"/>
          <w:lang w:eastAsia="en-IN"/>
        </w:rPr>
        <w:t>Publ</w:t>
      </w:r>
      <w:proofErr w:type="spellEnd"/>
      <w:r w:rsidRPr="00212245">
        <w:rPr>
          <w:rFonts w:ascii="Times New Roman" w:eastAsia="Times New Roman" w:hAnsi="Times New Roman" w:cs="Times New Roman"/>
          <w:sz w:val="20"/>
          <w:szCs w:val="20"/>
          <w:lang w:eastAsia="en-IN"/>
        </w:rPr>
        <w:t xml:space="preserve"> Fed Am Soc Exp Biol 34 (2020): 13022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13032. </w:t>
      </w:r>
    </w:p>
    <w:p w14:paraId="11331764"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Razi S, Kuo Y-H, Pathak G, et al. Line-Field Confocal Optical Coherence Tomography for the Diagnosis of Skin Tumors: A Systematic Review and Meta-Analysis. Diagnostics 14 (2024): 1522. </w:t>
      </w:r>
    </w:p>
    <w:p w14:paraId="70150AF3" w14:textId="0D56B7F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Salman S, </w:t>
      </w:r>
      <w:proofErr w:type="spellStart"/>
      <w:r w:rsidRPr="00212245">
        <w:rPr>
          <w:rFonts w:ascii="Times New Roman" w:eastAsia="Times New Roman" w:hAnsi="Times New Roman" w:cs="Times New Roman"/>
          <w:sz w:val="20"/>
          <w:szCs w:val="20"/>
          <w:lang w:eastAsia="en-IN"/>
        </w:rPr>
        <w:t>Sarsik</w:t>
      </w:r>
      <w:proofErr w:type="spellEnd"/>
      <w:r w:rsidRPr="00212245">
        <w:rPr>
          <w:rFonts w:ascii="Times New Roman" w:eastAsia="Times New Roman" w:hAnsi="Times New Roman" w:cs="Times New Roman"/>
          <w:sz w:val="20"/>
          <w:szCs w:val="20"/>
          <w:lang w:eastAsia="en-IN"/>
        </w:rPr>
        <w:t xml:space="preserve"> SM, El-</w:t>
      </w:r>
      <w:proofErr w:type="spellStart"/>
      <w:r w:rsidRPr="00212245">
        <w:rPr>
          <w:rFonts w:ascii="Times New Roman" w:eastAsia="Times New Roman" w:hAnsi="Times New Roman" w:cs="Times New Roman"/>
          <w:sz w:val="20"/>
          <w:szCs w:val="20"/>
          <w:lang w:eastAsia="en-IN"/>
        </w:rPr>
        <w:t>Qushayri</w:t>
      </w:r>
      <w:proofErr w:type="spellEnd"/>
      <w:r w:rsidRPr="00212245">
        <w:rPr>
          <w:rFonts w:ascii="Times New Roman" w:eastAsia="Times New Roman" w:hAnsi="Times New Roman" w:cs="Times New Roman"/>
          <w:sz w:val="20"/>
          <w:szCs w:val="20"/>
          <w:lang w:eastAsia="en-IN"/>
        </w:rPr>
        <w:t xml:space="preserve"> AE, et al. Safety and efficacy of the combination of cryotherapy and photodynamic modalities with imiquimod in patients with actinic keratosis: a systematic review and meta-analysis. Ital J Dermatol </w:t>
      </w:r>
      <w:proofErr w:type="spellStart"/>
      <w:r w:rsidRPr="00212245">
        <w:rPr>
          <w:rFonts w:ascii="Times New Roman" w:eastAsia="Times New Roman" w:hAnsi="Times New Roman" w:cs="Times New Roman"/>
          <w:sz w:val="20"/>
          <w:szCs w:val="20"/>
          <w:lang w:eastAsia="en-IN"/>
        </w:rPr>
        <w:t>Venereol</w:t>
      </w:r>
      <w:proofErr w:type="spellEnd"/>
      <w:r w:rsidRPr="00212245">
        <w:rPr>
          <w:rFonts w:ascii="Times New Roman" w:eastAsia="Times New Roman" w:hAnsi="Times New Roman" w:cs="Times New Roman"/>
          <w:sz w:val="20"/>
          <w:szCs w:val="20"/>
          <w:lang w:eastAsia="en-IN"/>
        </w:rPr>
        <w:t xml:space="preserve"> 158 (2023): 15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20. </w:t>
      </w:r>
    </w:p>
    <w:p w14:paraId="7252123F"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Aldraibi</w:t>
      </w:r>
      <w:proofErr w:type="spellEnd"/>
      <w:r w:rsidRPr="00212245">
        <w:rPr>
          <w:rFonts w:ascii="Times New Roman" w:eastAsia="Times New Roman" w:hAnsi="Times New Roman" w:cs="Times New Roman"/>
          <w:sz w:val="20"/>
          <w:szCs w:val="20"/>
          <w:lang w:eastAsia="en-IN"/>
        </w:rPr>
        <w:t xml:space="preserve"> S, Alharbi M, Alzubaidi K, et al. Comparative Efficacy of Photodynamic Therapy Versus Cryotherapy for Actinic Keratosis: A Systematic Review and Meta-Analysis of Randomized Controlled Trials. J </w:t>
      </w:r>
      <w:proofErr w:type="spellStart"/>
      <w:r w:rsidRPr="00212245">
        <w:rPr>
          <w:rFonts w:ascii="Times New Roman" w:eastAsia="Times New Roman" w:hAnsi="Times New Roman" w:cs="Times New Roman"/>
          <w:sz w:val="20"/>
          <w:szCs w:val="20"/>
          <w:lang w:eastAsia="en-IN"/>
        </w:rPr>
        <w:t>Cosmet</w:t>
      </w:r>
      <w:proofErr w:type="spellEnd"/>
      <w:r w:rsidRPr="00212245">
        <w:rPr>
          <w:rFonts w:ascii="Times New Roman" w:eastAsia="Times New Roman" w:hAnsi="Times New Roman" w:cs="Times New Roman"/>
          <w:sz w:val="20"/>
          <w:szCs w:val="20"/>
          <w:lang w:eastAsia="en-IN"/>
        </w:rPr>
        <w:t xml:space="preserve"> Dermatol 25 (2026): e70749. </w:t>
      </w:r>
    </w:p>
    <w:p w14:paraId="5192F266"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Chen H, Jin S, Zhang J, et al. Liquid nitrogen cryotherapy effectively and safely improves response of thick actinic keratoses lesions by 5-aminolevulinic acid-based photodynamic therapy: A randomized, prospective, single-blind trial. </w:t>
      </w:r>
      <w:proofErr w:type="spellStart"/>
      <w:r w:rsidRPr="00212245">
        <w:rPr>
          <w:rFonts w:ascii="Times New Roman" w:eastAsia="Times New Roman" w:hAnsi="Times New Roman" w:cs="Times New Roman"/>
          <w:sz w:val="20"/>
          <w:szCs w:val="20"/>
          <w:lang w:eastAsia="en-IN"/>
        </w:rPr>
        <w:t>Photodiagnosis</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Photodyn</w:t>
      </w:r>
      <w:proofErr w:type="spellEnd"/>
      <w:r w:rsidRPr="00212245">
        <w:rPr>
          <w:rFonts w:ascii="Times New Roman" w:eastAsia="Times New Roman" w:hAnsi="Times New Roman" w:cs="Times New Roman"/>
          <w:sz w:val="20"/>
          <w:szCs w:val="20"/>
          <w:lang w:eastAsia="en-IN"/>
        </w:rPr>
        <w:t xml:space="preserve"> Ther 50 (2024): 104363. </w:t>
      </w:r>
    </w:p>
    <w:p w14:paraId="0D6A021C" w14:textId="57E00CAA"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Reinehr CPH, Bakos RM. Actinic keratoses: review of clinical, </w:t>
      </w:r>
      <w:proofErr w:type="spellStart"/>
      <w:r w:rsidRPr="00212245">
        <w:rPr>
          <w:rFonts w:ascii="Times New Roman" w:eastAsia="Times New Roman" w:hAnsi="Times New Roman" w:cs="Times New Roman"/>
          <w:sz w:val="20"/>
          <w:szCs w:val="20"/>
          <w:lang w:eastAsia="en-IN"/>
        </w:rPr>
        <w:t>dermoscopic</w:t>
      </w:r>
      <w:proofErr w:type="spellEnd"/>
      <w:r w:rsidRPr="00212245">
        <w:rPr>
          <w:rFonts w:ascii="Times New Roman" w:eastAsia="Times New Roman" w:hAnsi="Times New Roman" w:cs="Times New Roman"/>
          <w:sz w:val="20"/>
          <w:szCs w:val="20"/>
          <w:lang w:eastAsia="en-IN"/>
        </w:rPr>
        <w:t xml:space="preserve">, and therapeutic aspects. </w:t>
      </w:r>
      <w:proofErr w:type="gramStart"/>
      <w:r w:rsidRPr="00212245">
        <w:rPr>
          <w:rFonts w:ascii="Times New Roman" w:eastAsia="Times New Roman" w:hAnsi="Times New Roman" w:cs="Times New Roman"/>
          <w:sz w:val="20"/>
          <w:szCs w:val="20"/>
          <w:lang w:eastAsia="en-IN"/>
        </w:rPr>
        <w:t>An</w:t>
      </w:r>
      <w:proofErr w:type="gramEnd"/>
      <w:r w:rsidRPr="00212245">
        <w:rPr>
          <w:rFonts w:ascii="Times New Roman" w:eastAsia="Times New Roman" w:hAnsi="Times New Roman" w:cs="Times New Roman"/>
          <w:sz w:val="20"/>
          <w:szCs w:val="20"/>
          <w:lang w:eastAsia="en-IN"/>
        </w:rPr>
        <w:t xml:space="preserve"> Bras Dermatol 94 (2019): 637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657. </w:t>
      </w:r>
    </w:p>
    <w:p w14:paraId="36DF917D" w14:textId="0558048D"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Huang A, Nguyen JK, Austin E, et al. Updates on Treatment Approaches for Cutaneous Field Cancerization. Curr Dermatol Rep 8 (2019): 122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132. </w:t>
      </w:r>
    </w:p>
    <w:p w14:paraId="39DD2D6B" w14:textId="22AE671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Heppt</w:t>
      </w:r>
      <w:proofErr w:type="spellEnd"/>
      <w:r w:rsidRPr="00212245">
        <w:rPr>
          <w:rFonts w:ascii="Times New Roman" w:eastAsia="Times New Roman" w:hAnsi="Times New Roman" w:cs="Times New Roman"/>
          <w:sz w:val="20"/>
          <w:szCs w:val="20"/>
          <w:lang w:eastAsia="en-IN"/>
        </w:rPr>
        <w:t xml:space="preserve"> MV, Steeb T, Ruzicka T, et al. Cryosurgery combined with topical interventions for actinic keratosis: a systematic review and meta-analysis. Br J Dermatol 180 (2019): 740</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748. </w:t>
      </w:r>
    </w:p>
    <w:p w14:paraId="752446DF" w14:textId="253295BC"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Stockfleth E, von Kiedrowski R, Dominicus R, et al. Efficacy and Safety of 5-Fluorouracil 0.5%/Salicylic Acid 10% in the Field-Directed Treatment of Actinic Keratosis: A Phase III, Randomized, Double-Blind, Vehicle-Controlled Trial. Dermatol Ther 7 (2017): 81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96. </w:t>
      </w:r>
    </w:p>
    <w:p w14:paraId="0BBFD386" w14:textId="43E665CE"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Tseng A, Yu R, Brown S, et al. A Prebiotic and Panthenol-Containing Repair Balm Improves Tolerability of Topical 5-Fluorouracil Field Therapy for Actinic Keratoses: A </w:t>
      </w:r>
      <w:proofErr w:type="spellStart"/>
      <w:r w:rsidRPr="00212245">
        <w:rPr>
          <w:rFonts w:ascii="Times New Roman" w:eastAsia="Times New Roman" w:hAnsi="Times New Roman" w:cs="Times New Roman"/>
          <w:sz w:val="20"/>
          <w:szCs w:val="20"/>
          <w:lang w:eastAsia="en-IN"/>
        </w:rPr>
        <w:t>Randomised</w:t>
      </w:r>
      <w:proofErr w:type="spellEnd"/>
      <w:r w:rsidRPr="00212245">
        <w:rPr>
          <w:rFonts w:ascii="Times New Roman" w:eastAsia="Times New Roman" w:hAnsi="Times New Roman" w:cs="Times New Roman"/>
          <w:sz w:val="20"/>
          <w:szCs w:val="20"/>
          <w:lang w:eastAsia="en-IN"/>
        </w:rPr>
        <w:t xml:space="preserve"> Controlled Trial. Dermatol Ther 16 (2026): 3065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3078. </w:t>
      </w:r>
    </w:p>
    <w:p w14:paraId="59226E8E" w14:textId="3C1694C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Torres A, </w:t>
      </w:r>
      <w:proofErr w:type="spellStart"/>
      <w:r w:rsidRPr="00212245">
        <w:rPr>
          <w:rFonts w:ascii="Times New Roman" w:eastAsia="Times New Roman" w:hAnsi="Times New Roman" w:cs="Times New Roman"/>
          <w:sz w:val="20"/>
          <w:szCs w:val="20"/>
          <w:lang w:eastAsia="en-IN"/>
        </w:rPr>
        <w:t>Storey</w:t>
      </w:r>
      <w:proofErr w:type="spellEnd"/>
      <w:r w:rsidRPr="00212245">
        <w:rPr>
          <w:rFonts w:ascii="Times New Roman" w:eastAsia="Times New Roman" w:hAnsi="Times New Roman" w:cs="Times New Roman"/>
          <w:sz w:val="20"/>
          <w:szCs w:val="20"/>
          <w:lang w:eastAsia="en-IN"/>
        </w:rPr>
        <w:t xml:space="preserve"> L, Anders M, et al. Microarray analysis of aberrant gene expression in actinic keratosis: effect of the Toll-like receptor-7 agonist imiquimod. Br J Dermatol 157 (2007): 1132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1147. </w:t>
      </w:r>
    </w:p>
    <w:p w14:paraId="18F8243E" w14:textId="129D2B19"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Farr MA, Joshi TP, Lewis DJ. </w:t>
      </w:r>
      <w:proofErr w:type="spellStart"/>
      <w:r w:rsidRPr="00212245">
        <w:rPr>
          <w:rFonts w:ascii="Times New Roman" w:eastAsia="Times New Roman" w:hAnsi="Times New Roman" w:cs="Times New Roman"/>
          <w:sz w:val="20"/>
          <w:szCs w:val="20"/>
          <w:lang w:eastAsia="en-IN"/>
        </w:rPr>
        <w:t>Resiquimod</w:t>
      </w:r>
      <w:proofErr w:type="spellEnd"/>
      <w:r w:rsidRPr="00212245">
        <w:rPr>
          <w:rFonts w:ascii="Times New Roman" w:eastAsia="Times New Roman" w:hAnsi="Times New Roman" w:cs="Times New Roman"/>
          <w:sz w:val="20"/>
          <w:szCs w:val="20"/>
          <w:lang w:eastAsia="en-IN"/>
        </w:rPr>
        <w:t xml:space="preserve">: a new topical immune-response modifier for the treatment of actinic keratosis. Expert </w:t>
      </w:r>
      <w:proofErr w:type="spellStart"/>
      <w:r w:rsidRPr="00212245">
        <w:rPr>
          <w:rFonts w:ascii="Times New Roman" w:eastAsia="Times New Roman" w:hAnsi="Times New Roman" w:cs="Times New Roman"/>
          <w:sz w:val="20"/>
          <w:szCs w:val="20"/>
          <w:lang w:eastAsia="en-IN"/>
        </w:rPr>
        <w:t>Opin</w:t>
      </w:r>
      <w:proofErr w:type="spellEnd"/>
      <w:r w:rsidRPr="00212245">
        <w:rPr>
          <w:rFonts w:ascii="Times New Roman" w:eastAsia="Times New Roman" w:hAnsi="Times New Roman" w:cs="Times New Roman"/>
          <w:sz w:val="20"/>
          <w:szCs w:val="20"/>
          <w:lang w:eastAsia="en-IN"/>
        </w:rPr>
        <w:t xml:space="preserve"> Emerg Drugs 26 (2021): 433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434. </w:t>
      </w:r>
    </w:p>
    <w:p w14:paraId="02930C29" w14:textId="1D24A180"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Gollnick H, </w:t>
      </w:r>
      <w:proofErr w:type="spellStart"/>
      <w:r w:rsidRPr="00212245">
        <w:rPr>
          <w:rFonts w:ascii="Times New Roman" w:eastAsia="Times New Roman" w:hAnsi="Times New Roman" w:cs="Times New Roman"/>
          <w:sz w:val="20"/>
          <w:szCs w:val="20"/>
          <w:lang w:eastAsia="en-IN"/>
        </w:rPr>
        <w:t>Dirschka</w:t>
      </w:r>
      <w:proofErr w:type="spellEnd"/>
      <w:r w:rsidRPr="00212245">
        <w:rPr>
          <w:rFonts w:ascii="Times New Roman" w:eastAsia="Times New Roman" w:hAnsi="Times New Roman" w:cs="Times New Roman"/>
          <w:sz w:val="20"/>
          <w:szCs w:val="20"/>
          <w:lang w:eastAsia="en-IN"/>
        </w:rPr>
        <w:t xml:space="preserve"> T, Ostendorf R, et al. Long-term clinical outcomes of imiquimod 5% cream vs. diclofenac 3% gel for actinic keratosis on the face or scalp: a pooled analysis of two randomized controlled trials. J </w:t>
      </w:r>
      <w:proofErr w:type="spellStart"/>
      <w:r w:rsidRPr="00212245">
        <w:rPr>
          <w:rFonts w:ascii="Times New Roman" w:eastAsia="Times New Roman" w:hAnsi="Times New Roman" w:cs="Times New Roman"/>
          <w:sz w:val="20"/>
          <w:szCs w:val="20"/>
          <w:lang w:eastAsia="en-IN"/>
        </w:rPr>
        <w:t>Eur</w:t>
      </w:r>
      <w:proofErr w:type="spellEnd"/>
      <w:r w:rsidRPr="00212245">
        <w:rPr>
          <w:rFonts w:ascii="Times New Roman" w:eastAsia="Times New Roman" w:hAnsi="Times New Roman" w:cs="Times New Roman"/>
          <w:sz w:val="20"/>
          <w:szCs w:val="20"/>
          <w:lang w:eastAsia="en-IN"/>
        </w:rPr>
        <w:t xml:space="preserve"> Acad Dermatol </w:t>
      </w:r>
      <w:proofErr w:type="spellStart"/>
      <w:r w:rsidRPr="00212245">
        <w:rPr>
          <w:rFonts w:ascii="Times New Roman" w:eastAsia="Times New Roman" w:hAnsi="Times New Roman" w:cs="Times New Roman"/>
          <w:sz w:val="20"/>
          <w:szCs w:val="20"/>
          <w:lang w:eastAsia="en-IN"/>
        </w:rPr>
        <w:t>Venereol</w:t>
      </w:r>
      <w:proofErr w:type="spellEnd"/>
      <w:r w:rsidRPr="00212245">
        <w:rPr>
          <w:rFonts w:ascii="Times New Roman" w:eastAsia="Times New Roman" w:hAnsi="Times New Roman" w:cs="Times New Roman"/>
          <w:sz w:val="20"/>
          <w:szCs w:val="20"/>
          <w:lang w:eastAsia="en-IN"/>
        </w:rPr>
        <w:t xml:space="preserve"> JEADV 34 (2020): 82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89. </w:t>
      </w:r>
    </w:p>
    <w:p w14:paraId="5E4625C2"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Beutler K, Nowicka D, </w:t>
      </w:r>
      <w:proofErr w:type="spellStart"/>
      <w:r w:rsidRPr="00212245">
        <w:rPr>
          <w:rFonts w:ascii="Times New Roman" w:eastAsia="Times New Roman" w:hAnsi="Times New Roman" w:cs="Times New Roman"/>
          <w:sz w:val="20"/>
          <w:szCs w:val="20"/>
          <w:lang w:eastAsia="en-IN"/>
        </w:rPr>
        <w:t>Chilicka</w:t>
      </w:r>
      <w:proofErr w:type="spellEnd"/>
      <w:r w:rsidRPr="00212245">
        <w:rPr>
          <w:rFonts w:ascii="Times New Roman" w:eastAsia="Times New Roman" w:hAnsi="Times New Roman" w:cs="Times New Roman"/>
          <w:sz w:val="20"/>
          <w:szCs w:val="20"/>
          <w:lang w:eastAsia="en-IN"/>
        </w:rPr>
        <w:t xml:space="preserve">-Hebel K. Current Perspectives on Photodynamic Therapy for Skin Diseases: A Narrative Review. Clin </w:t>
      </w:r>
      <w:proofErr w:type="spellStart"/>
      <w:r w:rsidRPr="00212245">
        <w:rPr>
          <w:rFonts w:ascii="Times New Roman" w:eastAsia="Times New Roman" w:hAnsi="Times New Roman" w:cs="Times New Roman"/>
          <w:sz w:val="20"/>
          <w:szCs w:val="20"/>
          <w:lang w:eastAsia="en-IN"/>
        </w:rPr>
        <w:t>Cosmet</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Investig</w:t>
      </w:r>
      <w:proofErr w:type="spellEnd"/>
      <w:r w:rsidRPr="00212245">
        <w:rPr>
          <w:rFonts w:ascii="Times New Roman" w:eastAsia="Times New Roman" w:hAnsi="Times New Roman" w:cs="Times New Roman"/>
          <w:sz w:val="20"/>
          <w:szCs w:val="20"/>
          <w:lang w:eastAsia="en-IN"/>
        </w:rPr>
        <w:t xml:space="preserve"> Dermatol 19 (2026): 614649. </w:t>
      </w:r>
    </w:p>
    <w:p w14:paraId="44236B68" w14:textId="411C3CD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lastRenderedPageBreak/>
        <w:t xml:space="preserve">Blauvelt A, Kempers S, Lain E, et al. Phase 3 Trials of </w:t>
      </w:r>
      <w:proofErr w:type="spellStart"/>
      <w:r w:rsidRPr="00212245">
        <w:rPr>
          <w:rFonts w:ascii="Times New Roman" w:eastAsia="Times New Roman" w:hAnsi="Times New Roman" w:cs="Times New Roman"/>
          <w:sz w:val="20"/>
          <w:szCs w:val="20"/>
          <w:lang w:eastAsia="en-IN"/>
        </w:rPr>
        <w:t>Tirbanibulin</w:t>
      </w:r>
      <w:proofErr w:type="spellEnd"/>
      <w:r w:rsidRPr="00212245">
        <w:rPr>
          <w:rFonts w:ascii="Times New Roman" w:eastAsia="Times New Roman" w:hAnsi="Times New Roman" w:cs="Times New Roman"/>
          <w:sz w:val="20"/>
          <w:szCs w:val="20"/>
          <w:lang w:eastAsia="en-IN"/>
        </w:rPr>
        <w:t xml:space="preserve"> Ointment for Actinic Keratosis. N Engl J Med 384 (2021): 512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520. </w:t>
      </w:r>
    </w:p>
    <w:p w14:paraId="1DDC3CCA" w14:textId="598CB458"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Bhatia N, Lain E, Jarell A, et al. Safety and tolerability of </w:t>
      </w:r>
      <w:proofErr w:type="spellStart"/>
      <w:r w:rsidRPr="00212245">
        <w:rPr>
          <w:rFonts w:ascii="Times New Roman" w:eastAsia="Times New Roman" w:hAnsi="Times New Roman" w:cs="Times New Roman"/>
          <w:sz w:val="20"/>
          <w:szCs w:val="20"/>
          <w:lang w:eastAsia="en-IN"/>
        </w:rPr>
        <w:t>tirbanibulin</w:t>
      </w:r>
      <w:proofErr w:type="spellEnd"/>
      <w:r w:rsidRPr="00212245">
        <w:rPr>
          <w:rFonts w:ascii="Times New Roman" w:eastAsia="Times New Roman" w:hAnsi="Times New Roman" w:cs="Times New Roman"/>
          <w:sz w:val="20"/>
          <w:szCs w:val="20"/>
          <w:lang w:eastAsia="en-IN"/>
        </w:rPr>
        <w:t xml:space="preserve"> ointment 1% treatment on 100 cm2 of the face or scalp in patients with actinic keratosis: A phase 3 study. JAAD Int 17 (2024): 6</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14. </w:t>
      </w:r>
    </w:p>
    <w:p w14:paraId="2514DA37" w14:textId="4F87D68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Cornejo CM, </w:t>
      </w:r>
      <w:proofErr w:type="spellStart"/>
      <w:r w:rsidRPr="00212245">
        <w:rPr>
          <w:rFonts w:ascii="Times New Roman" w:eastAsia="Times New Roman" w:hAnsi="Times New Roman" w:cs="Times New Roman"/>
          <w:sz w:val="20"/>
          <w:szCs w:val="20"/>
          <w:lang w:eastAsia="en-IN"/>
        </w:rPr>
        <w:t>Jambusaria-Pahlajani</w:t>
      </w:r>
      <w:proofErr w:type="spellEnd"/>
      <w:r w:rsidRPr="00212245">
        <w:rPr>
          <w:rFonts w:ascii="Times New Roman" w:eastAsia="Times New Roman" w:hAnsi="Times New Roman" w:cs="Times New Roman"/>
          <w:sz w:val="20"/>
          <w:szCs w:val="20"/>
          <w:lang w:eastAsia="en-IN"/>
        </w:rPr>
        <w:t xml:space="preserve"> A, Willenbrink TJ, et al. Field cancerization: Treatment. J Am Acad Dermatol 83 (2020): 719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730. </w:t>
      </w:r>
    </w:p>
    <w:p w14:paraId="2C0438BD"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Grada A, Feldman SR, </w:t>
      </w:r>
      <w:proofErr w:type="spellStart"/>
      <w:r w:rsidRPr="00212245">
        <w:rPr>
          <w:rFonts w:ascii="Times New Roman" w:eastAsia="Times New Roman" w:hAnsi="Times New Roman" w:cs="Times New Roman"/>
          <w:sz w:val="20"/>
          <w:szCs w:val="20"/>
          <w:lang w:eastAsia="en-IN"/>
        </w:rPr>
        <w:t>Bragazzi</w:t>
      </w:r>
      <w:proofErr w:type="spellEnd"/>
      <w:r w:rsidRPr="00212245">
        <w:rPr>
          <w:rFonts w:ascii="Times New Roman" w:eastAsia="Times New Roman" w:hAnsi="Times New Roman" w:cs="Times New Roman"/>
          <w:sz w:val="20"/>
          <w:szCs w:val="20"/>
          <w:lang w:eastAsia="en-IN"/>
        </w:rPr>
        <w:t xml:space="preserve"> NL, et al. Patient-reported outcomes of topical therapies in actinic keratosis: A systematic review. Dermatol Ther 34 (2021): e14833. </w:t>
      </w:r>
    </w:p>
    <w:p w14:paraId="39016C73" w14:textId="3DAE8063"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Lampley N, Rigo R, Schlesinger T, et al. Field Therapy for Actinic Keratosis: A Structured Review of the Literature on Efficacy, Cost, and Adherence. Dermatol Surg Off </w:t>
      </w:r>
      <w:proofErr w:type="spellStart"/>
      <w:r w:rsidRPr="00212245">
        <w:rPr>
          <w:rFonts w:ascii="Times New Roman" w:eastAsia="Times New Roman" w:hAnsi="Times New Roman" w:cs="Times New Roman"/>
          <w:sz w:val="20"/>
          <w:szCs w:val="20"/>
          <w:lang w:eastAsia="en-IN"/>
        </w:rPr>
        <w:t>Publ</w:t>
      </w:r>
      <w:proofErr w:type="spellEnd"/>
      <w:r w:rsidRPr="00212245">
        <w:rPr>
          <w:rFonts w:ascii="Times New Roman" w:eastAsia="Times New Roman" w:hAnsi="Times New Roman" w:cs="Times New Roman"/>
          <w:sz w:val="20"/>
          <w:szCs w:val="20"/>
          <w:lang w:eastAsia="en-IN"/>
        </w:rPr>
        <w:t xml:space="preserve"> Am Soc Dermatol Surg Al 49 (2023): 124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129. </w:t>
      </w:r>
    </w:p>
    <w:p w14:paraId="06AA3DB0" w14:textId="50A5DB4E"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Willenbrink TJ, Ruiz ES, Cornejo CM, et al. Field cancerization: Definition, epidemiology, risk factors, and outcomes. J Am Acad Dermatol 83 (2020): 709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717. </w:t>
      </w:r>
    </w:p>
    <w:p w14:paraId="4C0D4E78" w14:textId="3FF77551"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Shergill B, </w:t>
      </w:r>
      <w:proofErr w:type="spellStart"/>
      <w:r w:rsidRPr="00212245">
        <w:rPr>
          <w:rFonts w:ascii="Times New Roman" w:eastAsia="Times New Roman" w:hAnsi="Times New Roman" w:cs="Times New Roman"/>
          <w:sz w:val="20"/>
          <w:szCs w:val="20"/>
          <w:lang w:eastAsia="en-IN"/>
        </w:rPr>
        <w:t>Zokaie</w:t>
      </w:r>
      <w:proofErr w:type="spellEnd"/>
      <w:r w:rsidRPr="00212245">
        <w:rPr>
          <w:rFonts w:ascii="Times New Roman" w:eastAsia="Times New Roman" w:hAnsi="Times New Roman" w:cs="Times New Roman"/>
          <w:sz w:val="20"/>
          <w:szCs w:val="20"/>
          <w:lang w:eastAsia="en-IN"/>
        </w:rPr>
        <w:t xml:space="preserve"> S, Carr AJ. Non-adherence to topical treatments for actinic keratosis. Patient Prefer Adherence 8 (2013): 35</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41. </w:t>
      </w:r>
    </w:p>
    <w:p w14:paraId="35884103" w14:textId="5BA767EE"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Steeb T, Wessely A, Petzold A, et al. Long-term recurrence rates of actinic keratosis: A systematic review and pooled analysis of randomized controlled trials. J Am Acad Dermatol 86 (2022): 1116</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1119. </w:t>
      </w:r>
    </w:p>
    <w:p w14:paraId="4732EDC0" w14:textId="16F0617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Álvarez-</w:t>
      </w:r>
      <w:proofErr w:type="spellStart"/>
      <w:r w:rsidRPr="00212245">
        <w:rPr>
          <w:rFonts w:ascii="Times New Roman" w:eastAsia="Times New Roman" w:hAnsi="Times New Roman" w:cs="Times New Roman"/>
          <w:sz w:val="20"/>
          <w:szCs w:val="20"/>
          <w:lang w:eastAsia="en-IN"/>
        </w:rPr>
        <w:t>Salafranca</w:t>
      </w:r>
      <w:proofErr w:type="spellEnd"/>
      <w:r w:rsidRPr="00212245">
        <w:rPr>
          <w:rFonts w:ascii="Times New Roman" w:eastAsia="Times New Roman" w:hAnsi="Times New Roman" w:cs="Times New Roman"/>
          <w:sz w:val="20"/>
          <w:szCs w:val="20"/>
          <w:lang w:eastAsia="en-IN"/>
        </w:rPr>
        <w:t xml:space="preserve"> M, </w:t>
      </w:r>
      <w:proofErr w:type="spellStart"/>
      <w:r w:rsidRPr="00212245">
        <w:rPr>
          <w:rFonts w:ascii="Times New Roman" w:eastAsia="Times New Roman" w:hAnsi="Times New Roman" w:cs="Times New Roman"/>
          <w:sz w:val="20"/>
          <w:szCs w:val="20"/>
          <w:lang w:eastAsia="en-IN"/>
        </w:rPr>
        <w:t>Zaballos</w:t>
      </w:r>
      <w:proofErr w:type="spellEnd"/>
      <w:r w:rsidRPr="00212245">
        <w:rPr>
          <w:rFonts w:ascii="Times New Roman" w:eastAsia="Times New Roman" w:hAnsi="Times New Roman" w:cs="Times New Roman"/>
          <w:sz w:val="20"/>
          <w:szCs w:val="20"/>
          <w:lang w:eastAsia="en-IN"/>
        </w:rPr>
        <w:t xml:space="preserve"> P. [Translated article] </w:t>
      </w:r>
      <w:proofErr w:type="spellStart"/>
      <w:r w:rsidRPr="00212245">
        <w:rPr>
          <w:rFonts w:ascii="Times New Roman" w:eastAsia="Times New Roman" w:hAnsi="Times New Roman" w:cs="Times New Roman"/>
          <w:sz w:val="20"/>
          <w:szCs w:val="20"/>
          <w:lang w:eastAsia="en-IN"/>
        </w:rPr>
        <w:t>Dermoscopy</w:t>
      </w:r>
      <w:proofErr w:type="spellEnd"/>
      <w:r w:rsidRPr="00212245">
        <w:rPr>
          <w:rFonts w:ascii="Times New Roman" w:eastAsia="Times New Roman" w:hAnsi="Times New Roman" w:cs="Times New Roman"/>
          <w:sz w:val="20"/>
          <w:szCs w:val="20"/>
          <w:lang w:eastAsia="en-IN"/>
        </w:rPr>
        <w:t xml:space="preserve"> of Squamous Cell Carcinoma: From Actinic Keratosis to Invasive Forms. </w:t>
      </w:r>
      <w:proofErr w:type="spellStart"/>
      <w:r w:rsidRPr="00212245">
        <w:rPr>
          <w:rFonts w:ascii="Times New Roman" w:eastAsia="Times New Roman" w:hAnsi="Times New Roman" w:cs="Times New Roman"/>
          <w:sz w:val="20"/>
          <w:szCs w:val="20"/>
          <w:lang w:eastAsia="en-IN"/>
        </w:rPr>
        <w:t>Actas</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Dermosifiliogr</w:t>
      </w:r>
      <w:proofErr w:type="spellEnd"/>
      <w:r w:rsidRPr="00212245">
        <w:rPr>
          <w:rFonts w:ascii="Times New Roman" w:eastAsia="Times New Roman" w:hAnsi="Times New Roman" w:cs="Times New Roman"/>
          <w:sz w:val="20"/>
          <w:szCs w:val="20"/>
          <w:lang w:eastAsia="en-IN"/>
        </w:rPr>
        <w:t xml:space="preserve"> 115 (2024): T883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T895. </w:t>
      </w:r>
    </w:p>
    <w:p w14:paraId="07D7BA8A" w14:textId="4B7704C9"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Berman B, Armstrong A, Lebwohl M, et al. Developing a questionnaire for assessing clinician- and patient-reported outcomes in actinic keratosis: Results from an expert panel. JAAD Int 16 (2024): 192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198. </w:t>
      </w:r>
    </w:p>
    <w:p w14:paraId="7A1C0729" w14:textId="768CB3BE"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Rizzo L, Lin L, Aleisa A, et al. Geographic variability of pricing and insurance coverage of topical actinic keratosis therapy: A survey-based study. J Am Acad Dermatol 88 (2023): 663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665. </w:t>
      </w:r>
    </w:p>
    <w:p w14:paraId="204BB798" w14:textId="23AD77F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Patel VA, Arron ST, Berman B, et al. Expert consensus-based recommendations on the use of photodynamic therapy in actinic keratosis patients. JAAD Int 20 (2025): 62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73. </w:t>
      </w:r>
    </w:p>
    <w:p w14:paraId="13CEF3E6" w14:textId="2FB3C7A8"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Cerio R. The importance of patient-</w:t>
      </w:r>
      <w:proofErr w:type="spellStart"/>
      <w:r w:rsidRPr="00212245">
        <w:rPr>
          <w:rFonts w:ascii="Times New Roman" w:eastAsia="Times New Roman" w:hAnsi="Times New Roman" w:cs="Times New Roman"/>
          <w:sz w:val="20"/>
          <w:szCs w:val="20"/>
          <w:lang w:eastAsia="en-IN"/>
        </w:rPr>
        <w:t>centred</w:t>
      </w:r>
      <w:proofErr w:type="spellEnd"/>
      <w:r w:rsidRPr="00212245">
        <w:rPr>
          <w:rFonts w:ascii="Times New Roman" w:eastAsia="Times New Roman" w:hAnsi="Times New Roman" w:cs="Times New Roman"/>
          <w:sz w:val="20"/>
          <w:szCs w:val="20"/>
          <w:lang w:eastAsia="en-IN"/>
        </w:rPr>
        <w:t xml:space="preserve"> care </w:t>
      </w:r>
      <w:proofErr w:type="gramStart"/>
      <w:r w:rsidRPr="00212245">
        <w:rPr>
          <w:rFonts w:ascii="Times New Roman" w:eastAsia="Times New Roman" w:hAnsi="Times New Roman" w:cs="Times New Roman"/>
          <w:sz w:val="20"/>
          <w:szCs w:val="20"/>
          <w:lang w:eastAsia="en-IN"/>
        </w:rPr>
        <w:t>to</w:t>
      </w:r>
      <w:proofErr w:type="gramEnd"/>
      <w:r w:rsidRPr="00212245">
        <w:rPr>
          <w:rFonts w:ascii="Times New Roman" w:eastAsia="Times New Roman" w:hAnsi="Times New Roman" w:cs="Times New Roman"/>
          <w:sz w:val="20"/>
          <w:szCs w:val="20"/>
          <w:lang w:eastAsia="en-IN"/>
        </w:rPr>
        <w:t xml:space="preserve"> overcome barriers in the management of actinic keratosis. J </w:t>
      </w:r>
      <w:proofErr w:type="spellStart"/>
      <w:r w:rsidRPr="00212245">
        <w:rPr>
          <w:rFonts w:ascii="Times New Roman" w:eastAsia="Times New Roman" w:hAnsi="Times New Roman" w:cs="Times New Roman"/>
          <w:sz w:val="20"/>
          <w:szCs w:val="20"/>
          <w:lang w:eastAsia="en-IN"/>
        </w:rPr>
        <w:t>Eur</w:t>
      </w:r>
      <w:proofErr w:type="spellEnd"/>
      <w:r w:rsidRPr="00212245">
        <w:rPr>
          <w:rFonts w:ascii="Times New Roman" w:eastAsia="Times New Roman" w:hAnsi="Times New Roman" w:cs="Times New Roman"/>
          <w:sz w:val="20"/>
          <w:szCs w:val="20"/>
          <w:lang w:eastAsia="en-IN"/>
        </w:rPr>
        <w:t xml:space="preserve"> Acad Dermatol </w:t>
      </w:r>
      <w:proofErr w:type="spellStart"/>
      <w:r w:rsidRPr="00212245">
        <w:rPr>
          <w:rFonts w:ascii="Times New Roman" w:eastAsia="Times New Roman" w:hAnsi="Times New Roman" w:cs="Times New Roman"/>
          <w:sz w:val="20"/>
          <w:szCs w:val="20"/>
          <w:lang w:eastAsia="en-IN"/>
        </w:rPr>
        <w:t>Venereol</w:t>
      </w:r>
      <w:proofErr w:type="spellEnd"/>
      <w:r w:rsidRPr="00212245">
        <w:rPr>
          <w:rFonts w:ascii="Times New Roman" w:eastAsia="Times New Roman" w:hAnsi="Times New Roman" w:cs="Times New Roman"/>
          <w:sz w:val="20"/>
          <w:szCs w:val="20"/>
          <w:lang w:eastAsia="en-IN"/>
        </w:rPr>
        <w:t xml:space="preserve"> JEADV 31 Suppl 2 (2017): 17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20. </w:t>
      </w:r>
    </w:p>
    <w:p w14:paraId="056F8272" w14:textId="43900E3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Philipp-</w:t>
      </w:r>
      <w:proofErr w:type="spellStart"/>
      <w:r w:rsidRPr="00212245">
        <w:rPr>
          <w:rFonts w:ascii="Times New Roman" w:eastAsia="Times New Roman" w:hAnsi="Times New Roman" w:cs="Times New Roman"/>
          <w:sz w:val="20"/>
          <w:szCs w:val="20"/>
          <w:lang w:eastAsia="en-IN"/>
        </w:rPr>
        <w:t>Dormston</w:t>
      </w:r>
      <w:proofErr w:type="spellEnd"/>
      <w:r w:rsidRPr="00212245">
        <w:rPr>
          <w:rFonts w:ascii="Times New Roman" w:eastAsia="Times New Roman" w:hAnsi="Times New Roman" w:cs="Times New Roman"/>
          <w:sz w:val="20"/>
          <w:szCs w:val="20"/>
          <w:lang w:eastAsia="en-IN"/>
        </w:rPr>
        <w:t xml:space="preserve"> WG, Battistella M, </w:t>
      </w:r>
      <w:proofErr w:type="spellStart"/>
      <w:r w:rsidRPr="00212245">
        <w:rPr>
          <w:rFonts w:ascii="Times New Roman" w:eastAsia="Times New Roman" w:hAnsi="Times New Roman" w:cs="Times New Roman"/>
          <w:sz w:val="20"/>
          <w:szCs w:val="20"/>
          <w:lang w:eastAsia="en-IN"/>
        </w:rPr>
        <w:t>Boussemart</w:t>
      </w:r>
      <w:proofErr w:type="spellEnd"/>
      <w:r w:rsidRPr="00212245">
        <w:rPr>
          <w:rFonts w:ascii="Times New Roman" w:eastAsia="Times New Roman" w:hAnsi="Times New Roman" w:cs="Times New Roman"/>
          <w:sz w:val="20"/>
          <w:szCs w:val="20"/>
          <w:lang w:eastAsia="en-IN"/>
        </w:rPr>
        <w:t xml:space="preserve"> L, et al. Patient-centered management of actinic keratosis. Results of a multi-center clinical consensus analyzing non-melanoma skin cancer patient profiles and field-treatment strategies. J Dermatol Treat 31 (2020): 576</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582. </w:t>
      </w:r>
    </w:p>
    <w:p w14:paraId="21EBF242"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Chemoprevention of keratinocyte carcinomas and actinic keratoses in adults who were immunocompetent: a systematic review. UQ </w:t>
      </w:r>
      <w:proofErr w:type="spellStart"/>
      <w:r w:rsidRPr="00212245">
        <w:rPr>
          <w:rFonts w:ascii="Times New Roman" w:eastAsia="Times New Roman" w:hAnsi="Times New Roman" w:cs="Times New Roman"/>
          <w:sz w:val="20"/>
          <w:szCs w:val="20"/>
          <w:lang w:eastAsia="en-IN"/>
        </w:rPr>
        <w:t>eSpace</w:t>
      </w:r>
      <w:proofErr w:type="spellEnd"/>
      <w:r w:rsidRPr="00212245">
        <w:rPr>
          <w:rFonts w:ascii="Times New Roman" w:eastAsia="Times New Roman" w:hAnsi="Times New Roman" w:cs="Times New Roman"/>
          <w:sz w:val="20"/>
          <w:szCs w:val="20"/>
          <w:lang w:eastAsia="en-IN"/>
        </w:rPr>
        <w:t xml:space="preserve"> (n.d.). </w:t>
      </w:r>
    </w:p>
    <w:p w14:paraId="73B99335" w14:textId="647E15D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Green A, Williams G, Neale R, et al. Daily sunscreen application and </w:t>
      </w:r>
      <w:proofErr w:type="spellStart"/>
      <w:r w:rsidRPr="00212245">
        <w:rPr>
          <w:rFonts w:ascii="Times New Roman" w:eastAsia="Times New Roman" w:hAnsi="Times New Roman" w:cs="Times New Roman"/>
          <w:sz w:val="20"/>
          <w:szCs w:val="20"/>
          <w:lang w:eastAsia="en-IN"/>
        </w:rPr>
        <w:t>betacarotene</w:t>
      </w:r>
      <w:proofErr w:type="spellEnd"/>
      <w:r w:rsidRPr="00212245">
        <w:rPr>
          <w:rFonts w:ascii="Times New Roman" w:eastAsia="Times New Roman" w:hAnsi="Times New Roman" w:cs="Times New Roman"/>
          <w:sz w:val="20"/>
          <w:szCs w:val="20"/>
          <w:lang w:eastAsia="en-IN"/>
        </w:rPr>
        <w:t xml:space="preserve"> supplementation in prevention of basal-cell and squamous-cell carcinomas of the skin: a </w:t>
      </w:r>
      <w:proofErr w:type="spellStart"/>
      <w:r w:rsidRPr="00212245">
        <w:rPr>
          <w:rFonts w:ascii="Times New Roman" w:eastAsia="Times New Roman" w:hAnsi="Times New Roman" w:cs="Times New Roman"/>
          <w:sz w:val="20"/>
          <w:szCs w:val="20"/>
          <w:lang w:eastAsia="en-IN"/>
        </w:rPr>
        <w:t>randomised</w:t>
      </w:r>
      <w:proofErr w:type="spellEnd"/>
      <w:r w:rsidRPr="00212245">
        <w:rPr>
          <w:rFonts w:ascii="Times New Roman" w:eastAsia="Times New Roman" w:hAnsi="Times New Roman" w:cs="Times New Roman"/>
          <w:sz w:val="20"/>
          <w:szCs w:val="20"/>
          <w:lang w:eastAsia="en-IN"/>
        </w:rPr>
        <w:t xml:space="preserve"> controlled trial. Lancet 354 (1999): 723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729. </w:t>
      </w:r>
    </w:p>
    <w:p w14:paraId="3151522A" w14:textId="6E715EBA"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Petersen B, Wulf HC. Application of sunscreen--theory and reality. </w:t>
      </w:r>
      <w:proofErr w:type="spellStart"/>
      <w:r w:rsidRPr="00212245">
        <w:rPr>
          <w:rFonts w:ascii="Times New Roman" w:eastAsia="Times New Roman" w:hAnsi="Times New Roman" w:cs="Times New Roman"/>
          <w:sz w:val="20"/>
          <w:szCs w:val="20"/>
          <w:lang w:eastAsia="en-IN"/>
        </w:rPr>
        <w:t>Photodermatol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Photoimmunol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Photomed</w:t>
      </w:r>
      <w:proofErr w:type="spellEnd"/>
      <w:r w:rsidRPr="00212245">
        <w:rPr>
          <w:rFonts w:ascii="Times New Roman" w:eastAsia="Times New Roman" w:hAnsi="Times New Roman" w:cs="Times New Roman"/>
          <w:sz w:val="20"/>
          <w:szCs w:val="20"/>
          <w:lang w:eastAsia="en-IN"/>
        </w:rPr>
        <w:t xml:space="preserve"> 30 (2014): 96</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101. </w:t>
      </w:r>
    </w:p>
    <w:p w14:paraId="17C9DD1E"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lastRenderedPageBreak/>
        <w:t xml:space="preserve">Sánchez G, Nova J, Rodriguez-Hernandez AE, et al. Sun protection for preventing basal cell and squamous cell skin cancers. Cochrane Database Syst Rev 7 (2016): CD011161. </w:t>
      </w:r>
    </w:p>
    <w:p w14:paraId="363482CB" w14:textId="1281118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Darlington S, Williams G, Neale R, et al. A randomized controlled trial to assess sunscreen application and beta carotene supplementation in the prevention of solar keratoses. Arch Dermatol 139 (2003): 451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455. </w:t>
      </w:r>
    </w:p>
    <w:p w14:paraId="178A76BF" w14:textId="71BA95B4"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Thompson SC, Jolley D, Marks R. Reduction of solar keratoses by regular sunscreen use. N Engl J Med 329 (1993): 1147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1151. </w:t>
      </w:r>
    </w:p>
    <w:p w14:paraId="35FA3E6D" w14:textId="1A5EF62A"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Ou-Yang H, Stanfield J, Cole C, et al. High-SPF sunscreens (SPF ≥ 70) may provide ultraviolet protection above minimal recommended levels by adequately compensating for lower sunscreen user application amounts. J Am Acad Dermatol 67 (2012): 1220</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1227. </w:t>
      </w:r>
    </w:p>
    <w:p w14:paraId="5C39A88C" w14:textId="1D3846BD"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Boothby-Shoemaker WT, Mohammad TF, Ozog DM, et al. Photoprotection by clothing: A review. </w:t>
      </w:r>
      <w:proofErr w:type="spellStart"/>
      <w:r w:rsidRPr="00212245">
        <w:rPr>
          <w:rFonts w:ascii="Times New Roman" w:eastAsia="Times New Roman" w:hAnsi="Times New Roman" w:cs="Times New Roman"/>
          <w:sz w:val="20"/>
          <w:szCs w:val="20"/>
          <w:lang w:eastAsia="en-IN"/>
        </w:rPr>
        <w:t>Photodermatol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Photoimmunol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Photomed</w:t>
      </w:r>
      <w:proofErr w:type="spellEnd"/>
      <w:r w:rsidRPr="00212245">
        <w:rPr>
          <w:rFonts w:ascii="Times New Roman" w:eastAsia="Times New Roman" w:hAnsi="Times New Roman" w:cs="Times New Roman"/>
          <w:sz w:val="20"/>
          <w:szCs w:val="20"/>
          <w:lang w:eastAsia="en-IN"/>
        </w:rPr>
        <w:t xml:space="preserve"> 38 (2022): 478</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488. </w:t>
      </w:r>
    </w:p>
    <w:p w14:paraId="2B03F19B" w14:textId="4877C05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Backes C, </w:t>
      </w:r>
      <w:proofErr w:type="spellStart"/>
      <w:r w:rsidRPr="00212245">
        <w:rPr>
          <w:rFonts w:ascii="Times New Roman" w:eastAsia="Times New Roman" w:hAnsi="Times New Roman" w:cs="Times New Roman"/>
          <w:sz w:val="20"/>
          <w:szCs w:val="20"/>
          <w:lang w:eastAsia="en-IN"/>
        </w:rPr>
        <w:t>Religi</w:t>
      </w:r>
      <w:proofErr w:type="spellEnd"/>
      <w:r w:rsidRPr="00212245">
        <w:rPr>
          <w:rFonts w:ascii="Times New Roman" w:eastAsia="Times New Roman" w:hAnsi="Times New Roman" w:cs="Times New Roman"/>
          <w:sz w:val="20"/>
          <w:szCs w:val="20"/>
          <w:lang w:eastAsia="en-IN"/>
        </w:rPr>
        <w:t xml:space="preserve"> A, </w:t>
      </w:r>
      <w:proofErr w:type="spellStart"/>
      <w:r w:rsidRPr="00212245">
        <w:rPr>
          <w:rFonts w:ascii="Times New Roman" w:eastAsia="Times New Roman" w:hAnsi="Times New Roman" w:cs="Times New Roman"/>
          <w:sz w:val="20"/>
          <w:szCs w:val="20"/>
          <w:lang w:eastAsia="en-IN"/>
        </w:rPr>
        <w:t>Moccozet</w:t>
      </w:r>
      <w:proofErr w:type="spellEnd"/>
      <w:r w:rsidRPr="00212245">
        <w:rPr>
          <w:rFonts w:ascii="Times New Roman" w:eastAsia="Times New Roman" w:hAnsi="Times New Roman" w:cs="Times New Roman"/>
          <w:sz w:val="20"/>
          <w:szCs w:val="20"/>
          <w:lang w:eastAsia="en-IN"/>
        </w:rPr>
        <w:t xml:space="preserve"> L, et al. Facial exposure to ultraviolet radiation: Predicted sun protection effectiveness of various hat styles. </w:t>
      </w:r>
      <w:proofErr w:type="spellStart"/>
      <w:r w:rsidRPr="00212245">
        <w:rPr>
          <w:rFonts w:ascii="Times New Roman" w:eastAsia="Times New Roman" w:hAnsi="Times New Roman" w:cs="Times New Roman"/>
          <w:sz w:val="20"/>
          <w:szCs w:val="20"/>
          <w:lang w:eastAsia="en-IN"/>
        </w:rPr>
        <w:t>Photodermatol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Photoimmunol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Photomed</w:t>
      </w:r>
      <w:proofErr w:type="spellEnd"/>
      <w:r w:rsidRPr="00212245">
        <w:rPr>
          <w:rFonts w:ascii="Times New Roman" w:eastAsia="Times New Roman" w:hAnsi="Times New Roman" w:cs="Times New Roman"/>
          <w:sz w:val="20"/>
          <w:szCs w:val="20"/>
          <w:lang w:eastAsia="en-IN"/>
        </w:rPr>
        <w:t xml:space="preserve"> 34 (2018): 330</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337. </w:t>
      </w:r>
    </w:p>
    <w:p w14:paraId="51588C9E"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CDC. Sun Exposure in Travelers. CDC Yellow Book (2026). </w:t>
      </w:r>
    </w:p>
    <w:p w14:paraId="4D1763E9"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Tabbakh T, Volkov A, Wakefield M, et al. Implementation of the SunSmart program and population sun protection </w:t>
      </w:r>
      <w:proofErr w:type="spellStart"/>
      <w:r w:rsidRPr="00212245">
        <w:rPr>
          <w:rFonts w:ascii="Times New Roman" w:eastAsia="Times New Roman" w:hAnsi="Times New Roman" w:cs="Times New Roman"/>
          <w:sz w:val="20"/>
          <w:szCs w:val="20"/>
          <w:lang w:eastAsia="en-IN"/>
        </w:rPr>
        <w:t>behaviour</w:t>
      </w:r>
      <w:proofErr w:type="spellEnd"/>
      <w:r w:rsidRPr="00212245">
        <w:rPr>
          <w:rFonts w:ascii="Times New Roman" w:eastAsia="Times New Roman" w:hAnsi="Times New Roman" w:cs="Times New Roman"/>
          <w:sz w:val="20"/>
          <w:szCs w:val="20"/>
          <w:lang w:eastAsia="en-IN"/>
        </w:rPr>
        <w:t xml:space="preserve"> in Melbourne, Australia: Results from cross-sectional summer surveys from 1987 to 2017. </w:t>
      </w:r>
      <w:proofErr w:type="spellStart"/>
      <w:proofErr w:type="gramStart"/>
      <w:r w:rsidRPr="00212245">
        <w:rPr>
          <w:rFonts w:ascii="Times New Roman" w:eastAsia="Times New Roman" w:hAnsi="Times New Roman" w:cs="Times New Roman"/>
          <w:sz w:val="20"/>
          <w:szCs w:val="20"/>
          <w:lang w:eastAsia="en-IN"/>
        </w:rPr>
        <w:t>PLoS</w:t>
      </w:r>
      <w:proofErr w:type="spellEnd"/>
      <w:proofErr w:type="gramEnd"/>
      <w:r w:rsidRPr="00212245">
        <w:rPr>
          <w:rFonts w:ascii="Times New Roman" w:eastAsia="Times New Roman" w:hAnsi="Times New Roman" w:cs="Times New Roman"/>
          <w:sz w:val="20"/>
          <w:szCs w:val="20"/>
          <w:lang w:eastAsia="en-IN"/>
        </w:rPr>
        <w:t xml:space="preserve"> Med 16 (2019): e1002932. </w:t>
      </w:r>
    </w:p>
    <w:p w14:paraId="1560CBAC" w14:textId="78EBAFE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Dobbinson SJ, Wakefield MA, </w:t>
      </w:r>
      <w:proofErr w:type="spellStart"/>
      <w:r w:rsidRPr="00212245">
        <w:rPr>
          <w:rFonts w:ascii="Times New Roman" w:eastAsia="Times New Roman" w:hAnsi="Times New Roman" w:cs="Times New Roman"/>
          <w:sz w:val="20"/>
          <w:szCs w:val="20"/>
          <w:lang w:eastAsia="en-IN"/>
        </w:rPr>
        <w:t>Jamsen</w:t>
      </w:r>
      <w:proofErr w:type="spellEnd"/>
      <w:r w:rsidRPr="00212245">
        <w:rPr>
          <w:rFonts w:ascii="Times New Roman" w:eastAsia="Times New Roman" w:hAnsi="Times New Roman" w:cs="Times New Roman"/>
          <w:sz w:val="20"/>
          <w:szCs w:val="20"/>
          <w:lang w:eastAsia="en-IN"/>
        </w:rPr>
        <w:t xml:space="preserve"> KM, et al. Weekend sun protection and sunburn in Australia trends (1987</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2002) and association with SunSmart television advertising. Am J Prev Med 34 (2008): 94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101. </w:t>
      </w:r>
    </w:p>
    <w:p w14:paraId="3D7239C9" w14:textId="0DA4345D"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Makin JK, Warne CD, Dobbinson SJ, et al. Population and age-group trends in weekend sun protection and sunburn over two decades of the SunSmart </w:t>
      </w:r>
      <w:proofErr w:type="spellStart"/>
      <w:r w:rsidRPr="00212245">
        <w:rPr>
          <w:rFonts w:ascii="Times New Roman" w:eastAsia="Times New Roman" w:hAnsi="Times New Roman" w:cs="Times New Roman"/>
          <w:sz w:val="20"/>
          <w:szCs w:val="20"/>
          <w:lang w:eastAsia="en-IN"/>
        </w:rPr>
        <w:t>programme</w:t>
      </w:r>
      <w:proofErr w:type="spellEnd"/>
      <w:r w:rsidRPr="00212245">
        <w:rPr>
          <w:rFonts w:ascii="Times New Roman" w:eastAsia="Times New Roman" w:hAnsi="Times New Roman" w:cs="Times New Roman"/>
          <w:sz w:val="20"/>
          <w:szCs w:val="20"/>
          <w:lang w:eastAsia="en-IN"/>
        </w:rPr>
        <w:t xml:space="preserve"> in Melbourne, Australia. Br J Dermatol 168 (2013): 154</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161. </w:t>
      </w:r>
    </w:p>
    <w:p w14:paraId="621FA59D" w14:textId="22279F7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Shih ST-F, Carter R, Sinclair C, et al. Economic evaluation of skin cancer prevention in Australia. Prev Med 49 (2009): 449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453. </w:t>
      </w:r>
    </w:p>
    <w:p w14:paraId="732170D1"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Collins LG, Minto C, Ledger M, et al. Cost-effectiveness analysis and return on investment of SunSmart Western Australia to prevent skin cancer. Health </w:t>
      </w:r>
      <w:proofErr w:type="spellStart"/>
      <w:r w:rsidRPr="00212245">
        <w:rPr>
          <w:rFonts w:ascii="Times New Roman" w:eastAsia="Times New Roman" w:hAnsi="Times New Roman" w:cs="Times New Roman"/>
          <w:sz w:val="20"/>
          <w:szCs w:val="20"/>
          <w:lang w:eastAsia="en-IN"/>
        </w:rPr>
        <w:t>Promot</w:t>
      </w:r>
      <w:proofErr w:type="spellEnd"/>
      <w:r w:rsidRPr="00212245">
        <w:rPr>
          <w:rFonts w:ascii="Times New Roman" w:eastAsia="Times New Roman" w:hAnsi="Times New Roman" w:cs="Times New Roman"/>
          <w:sz w:val="20"/>
          <w:szCs w:val="20"/>
          <w:lang w:eastAsia="en-IN"/>
        </w:rPr>
        <w:t xml:space="preserve"> Int 39 (2024): daae091. </w:t>
      </w:r>
    </w:p>
    <w:p w14:paraId="64F1FAA2" w14:textId="261DE175"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Wakefield MA, Loken B, Hornik RC. Use of mass media campaigns to change health </w:t>
      </w:r>
      <w:proofErr w:type="spellStart"/>
      <w:r w:rsidRPr="00212245">
        <w:rPr>
          <w:rFonts w:ascii="Times New Roman" w:eastAsia="Times New Roman" w:hAnsi="Times New Roman" w:cs="Times New Roman"/>
          <w:sz w:val="20"/>
          <w:szCs w:val="20"/>
          <w:lang w:eastAsia="en-IN"/>
        </w:rPr>
        <w:t>behaviour</w:t>
      </w:r>
      <w:proofErr w:type="spellEnd"/>
      <w:r w:rsidRPr="00212245">
        <w:rPr>
          <w:rFonts w:ascii="Times New Roman" w:eastAsia="Times New Roman" w:hAnsi="Times New Roman" w:cs="Times New Roman"/>
          <w:sz w:val="20"/>
          <w:szCs w:val="20"/>
          <w:lang w:eastAsia="en-IN"/>
        </w:rPr>
        <w:t>. Lancet 376 (2010): 1261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1271. </w:t>
      </w:r>
    </w:p>
    <w:p w14:paraId="32290AAB" w14:textId="528A4CE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Sinclair C, Foley P. Skin cancer prevention in Australia. Br J Dermatol 161 Suppl 3 (2009): 116</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123. </w:t>
      </w:r>
    </w:p>
    <w:p w14:paraId="6B8B1896" w14:textId="39F98B58"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Wysong A. Squamous-Cell Carcinoma of the Skin. N Engl J Med 388 (2023): 2262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2273. </w:t>
      </w:r>
    </w:p>
    <w:p w14:paraId="523B23DC"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gramStart"/>
      <w:r w:rsidRPr="00212245">
        <w:rPr>
          <w:rFonts w:ascii="Times New Roman" w:eastAsia="Times New Roman" w:hAnsi="Times New Roman" w:cs="Times New Roman"/>
          <w:sz w:val="20"/>
          <w:szCs w:val="20"/>
          <w:lang w:eastAsia="en-IN"/>
        </w:rPr>
        <w:t>Guidelines Detail</w:t>
      </w:r>
      <w:proofErr w:type="gramEnd"/>
      <w:r w:rsidRPr="00212245">
        <w:rPr>
          <w:rFonts w:ascii="Times New Roman" w:eastAsia="Times New Roman" w:hAnsi="Times New Roman" w:cs="Times New Roman"/>
          <w:sz w:val="20"/>
          <w:szCs w:val="20"/>
          <w:lang w:eastAsia="en-IN"/>
        </w:rPr>
        <w:t xml:space="preserve">. NCCN (n.d.). </w:t>
      </w:r>
    </w:p>
    <w:p w14:paraId="41DB8204"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Korzeniowski P, Griffith C, Young PA. Update on skin cancer prevention modalities and screening protocols in solid organ transplant recipients: a scoping review. Arch Dermatol Res 317 (2024): 52. </w:t>
      </w:r>
    </w:p>
    <w:p w14:paraId="1D17BE27" w14:textId="43AFDF7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Massey PR, </w:t>
      </w:r>
      <w:proofErr w:type="spellStart"/>
      <w:r w:rsidRPr="00212245">
        <w:rPr>
          <w:rFonts w:ascii="Times New Roman" w:eastAsia="Times New Roman" w:hAnsi="Times New Roman" w:cs="Times New Roman"/>
          <w:sz w:val="20"/>
          <w:szCs w:val="20"/>
          <w:lang w:eastAsia="en-IN"/>
        </w:rPr>
        <w:t>Schmults</w:t>
      </w:r>
      <w:proofErr w:type="spellEnd"/>
      <w:r w:rsidRPr="00212245">
        <w:rPr>
          <w:rFonts w:ascii="Times New Roman" w:eastAsia="Times New Roman" w:hAnsi="Times New Roman" w:cs="Times New Roman"/>
          <w:sz w:val="20"/>
          <w:szCs w:val="20"/>
          <w:lang w:eastAsia="en-IN"/>
        </w:rPr>
        <w:t xml:space="preserve"> CD, Li SJ, et al. Consensus-Based Recommendations on the Prevention of Squamous Cell Carcinoma in Solid Organ Transplant Recipients: A Delphi Consensus Statement. JAMA Dermatol 157 (2021): 1219</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1226. </w:t>
      </w:r>
    </w:p>
    <w:p w14:paraId="32E6AAD2" w14:textId="5B7EAC8B"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Henrikson NB, </w:t>
      </w:r>
      <w:proofErr w:type="spellStart"/>
      <w:r w:rsidRPr="00212245">
        <w:rPr>
          <w:rFonts w:ascii="Times New Roman" w:eastAsia="Times New Roman" w:hAnsi="Times New Roman" w:cs="Times New Roman"/>
          <w:sz w:val="20"/>
          <w:szCs w:val="20"/>
          <w:lang w:eastAsia="en-IN"/>
        </w:rPr>
        <w:t>Ivlev</w:t>
      </w:r>
      <w:proofErr w:type="spellEnd"/>
      <w:r w:rsidRPr="00212245">
        <w:rPr>
          <w:rFonts w:ascii="Times New Roman" w:eastAsia="Times New Roman" w:hAnsi="Times New Roman" w:cs="Times New Roman"/>
          <w:sz w:val="20"/>
          <w:szCs w:val="20"/>
          <w:lang w:eastAsia="en-IN"/>
        </w:rPr>
        <w:t xml:space="preserve"> I, Blasi PR, et al. Skin Cancer Screening: Updated Evidence Report and Systematic Review for the US Preventive Services Task Force. JAMA 329 (2023): 1296</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1307. </w:t>
      </w:r>
    </w:p>
    <w:p w14:paraId="56340D29" w14:textId="2A01C438"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lastRenderedPageBreak/>
        <w:t>US Preventive Services Task Force, Krist AH, Davidson KW, et al. Screening for Lung Cancer: US Preventive Services Task Force Recommendation Statement. JAMA 325 (2021): 962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970. </w:t>
      </w:r>
    </w:p>
    <w:p w14:paraId="25E9B3B0"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Johansson M, Brodersen J, Gøtzsche PC, et al. Screening for reducing morbidity and mortality in malignant melanoma. Cochrane Database Syst Rev 6 (2019): CD012352. </w:t>
      </w:r>
    </w:p>
    <w:p w14:paraId="119F3FF5" w14:textId="1D640EC4"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Herold M, Good AJ, Nielson CB, et al. Use of Topical and Systemic Retinoids in Solid Organ Transplant Recipients: Update and Review of the Current Literature. Dermatol Surg Off </w:t>
      </w:r>
      <w:proofErr w:type="spellStart"/>
      <w:r w:rsidRPr="00212245">
        <w:rPr>
          <w:rFonts w:ascii="Times New Roman" w:eastAsia="Times New Roman" w:hAnsi="Times New Roman" w:cs="Times New Roman"/>
          <w:sz w:val="20"/>
          <w:szCs w:val="20"/>
          <w:lang w:eastAsia="en-IN"/>
        </w:rPr>
        <w:t>Publ</w:t>
      </w:r>
      <w:proofErr w:type="spellEnd"/>
      <w:r w:rsidRPr="00212245">
        <w:rPr>
          <w:rFonts w:ascii="Times New Roman" w:eastAsia="Times New Roman" w:hAnsi="Times New Roman" w:cs="Times New Roman"/>
          <w:sz w:val="20"/>
          <w:szCs w:val="20"/>
          <w:lang w:eastAsia="en-IN"/>
        </w:rPr>
        <w:t xml:space="preserve"> Am Soc Dermatol Surg Al 45 (2019): 1442</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1449. </w:t>
      </w:r>
    </w:p>
    <w:p w14:paraId="25654564" w14:textId="1FBAC1F3"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Bavinck JN, Tieben LM, Van der Woude FJ, et al. Prevention of skin cancer and reduction of keratotic skin lesions during acitretin therapy in renal transplant recipients: a double-blind, placebo-controlled study. J Clin Oncol Off J Am Soc Clin Oncol 13 (1995): 1933</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1938. </w:t>
      </w:r>
    </w:p>
    <w:p w14:paraId="3923C753" w14:textId="114AFA52"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Solomon-Cohen E, Reiss-Huss S, Hodak E, et al. Low-Dose Acitretin for Secondary Prevention of Keratinocyte Carcinomas in Solid-Organ Transplant Recipients. Dermatology 238 (2022): 161</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166. </w:t>
      </w:r>
    </w:p>
    <w:p w14:paraId="2CA28542" w14:textId="1E0F2B08"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Wehner MR. Keratinocyte Carcinoma: A Review. JAMA 335 (2026): 70</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81. </w:t>
      </w:r>
    </w:p>
    <w:p w14:paraId="71DF011A"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Ziglar J, Mohammad TF, </w:t>
      </w:r>
      <w:proofErr w:type="spellStart"/>
      <w:r w:rsidRPr="00212245">
        <w:rPr>
          <w:rFonts w:ascii="Times New Roman" w:eastAsia="Times New Roman" w:hAnsi="Times New Roman" w:cs="Times New Roman"/>
          <w:sz w:val="20"/>
          <w:szCs w:val="20"/>
          <w:lang w:eastAsia="en-IN"/>
        </w:rPr>
        <w:t>Gilaberte</w:t>
      </w:r>
      <w:proofErr w:type="spellEnd"/>
      <w:r w:rsidRPr="00212245">
        <w:rPr>
          <w:rFonts w:ascii="Times New Roman" w:eastAsia="Times New Roman" w:hAnsi="Times New Roman" w:cs="Times New Roman"/>
          <w:sz w:val="20"/>
          <w:szCs w:val="20"/>
          <w:lang w:eastAsia="en-IN"/>
        </w:rPr>
        <w:t xml:space="preserve"> Y, et al. Sunscreens: Updates on Sunscreen Filters and Formulations. </w:t>
      </w:r>
      <w:proofErr w:type="spellStart"/>
      <w:r w:rsidRPr="00212245">
        <w:rPr>
          <w:rFonts w:ascii="Times New Roman" w:eastAsia="Times New Roman" w:hAnsi="Times New Roman" w:cs="Times New Roman"/>
          <w:sz w:val="20"/>
          <w:szCs w:val="20"/>
          <w:lang w:eastAsia="en-IN"/>
        </w:rPr>
        <w:t>Photodermatol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Photoimmunol</w:t>
      </w:r>
      <w:proofErr w:type="spellEnd"/>
      <w:r w:rsidRPr="00212245">
        <w:rPr>
          <w:rFonts w:ascii="Times New Roman" w:eastAsia="Times New Roman" w:hAnsi="Times New Roman" w:cs="Times New Roman"/>
          <w:sz w:val="20"/>
          <w:szCs w:val="20"/>
          <w:lang w:eastAsia="en-IN"/>
        </w:rPr>
        <w:t xml:space="preserve"> </w:t>
      </w:r>
      <w:proofErr w:type="spellStart"/>
      <w:r w:rsidRPr="00212245">
        <w:rPr>
          <w:rFonts w:ascii="Times New Roman" w:eastAsia="Times New Roman" w:hAnsi="Times New Roman" w:cs="Times New Roman"/>
          <w:sz w:val="20"/>
          <w:szCs w:val="20"/>
          <w:lang w:eastAsia="en-IN"/>
        </w:rPr>
        <w:t>Photomed</w:t>
      </w:r>
      <w:proofErr w:type="spellEnd"/>
      <w:r w:rsidRPr="00212245">
        <w:rPr>
          <w:rFonts w:ascii="Times New Roman" w:eastAsia="Times New Roman" w:hAnsi="Times New Roman" w:cs="Times New Roman"/>
          <w:sz w:val="20"/>
          <w:szCs w:val="20"/>
          <w:lang w:eastAsia="en-IN"/>
        </w:rPr>
        <w:t xml:space="preserve"> 41 (2025): e70026. </w:t>
      </w:r>
    </w:p>
    <w:p w14:paraId="133A3144" w14:textId="6338782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Chen AC, Martin AJ, Choy B, et al. A Phase 3 Randomized Trial of Nicotinamide for Skin-Cancer Chemoprevention. N Engl J Med 373 (2015): 1618</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1626. </w:t>
      </w:r>
    </w:p>
    <w:p w14:paraId="3A80CA0E" w14:textId="0EB64746"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Breglio</w:t>
      </w:r>
      <w:proofErr w:type="spellEnd"/>
      <w:r w:rsidRPr="00212245">
        <w:rPr>
          <w:rFonts w:ascii="Times New Roman" w:eastAsia="Times New Roman" w:hAnsi="Times New Roman" w:cs="Times New Roman"/>
          <w:sz w:val="20"/>
          <w:szCs w:val="20"/>
          <w:lang w:eastAsia="en-IN"/>
        </w:rPr>
        <w:t xml:space="preserve"> KF, Knox KM, Hwang J, et al. Nicotinamide for Skin Cancer Chemoprevention. JAMA Dermatol 161 (2025): 1140</w:t>
      </w:r>
      <w:r w:rsidR="005F4AC6">
        <w:rPr>
          <w:rFonts w:ascii="Times New Roman" w:eastAsia="Times New Roman" w:hAnsi="Times New Roman" w:cs="Times New Roman"/>
          <w:sz w:val="20"/>
          <w:szCs w:val="20"/>
          <w:lang w:eastAsia="en-IN"/>
        </w:rPr>
        <w:t>-</w:t>
      </w:r>
      <w:r w:rsidRPr="00212245">
        <w:rPr>
          <w:rFonts w:ascii="Times New Roman" w:eastAsia="Times New Roman" w:hAnsi="Times New Roman" w:cs="Times New Roman"/>
          <w:sz w:val="20"/>
          <w:szCs w:val="20"/>
          <w:lang w:eastAsia="en-IN"/>
        </w:rPr>
        <w:t xml:space="preserve">1147. </w:t>
      </w:r>
    </w:p>
    <w:p w14:paraId="79D45872"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gramStart"/>
      <w:r w:rsidRPr="00212245">
        <w:rPr>
          <w:rFonts w:ascii="Times New Roman" w:eastAsia="Times New Roman" w:hAnsi="Times New Roman" w:cs="Times New Roman"/>
          <w:sz w:val="20"/>
          <w:szCs w:val="20"/>
          <w:lang w:eastAsia="en-IN"/>
        </w:rPr>
        <w:t>Guidelines Detail</w:t>
      </w:r>
      <w:proofErr w:type="gramEnd"/>
      <w:r w:rsidRPr="00212245">
        <w:rPr>
          <w:rFonts w:ascii="Times New Roman" w:eastAsia="Times New Roman" w:hAnsi="Times New Roman" w:cs="Times New Roman"/>
          <w:sz w:val="20"/>
          <w:szCs w:val="20"/>
          <w:lang w:eastAsia="en-IN"/>
        </w:rPr>
        <w:t xml:space="preserve">. NCCN (n.d.). </w:t>
      </w:r>
    </w:p>
    <w:p w14:paraId="6251F3B0"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r w:rsidRPr="00212245">
        <w:rPr>
          <w:rFonts w:ascii="Times New Roman" w:eastAsia="Times New Roman" w:hAnsi="Times New Roman" w:cs="Times New Roman"/>
          <w:sz w:val="20"/>
          <w:szCs w:val="20"/>
          <w:lang w:eastAsia="en-IN"/>
        </w:rPr>
        <w:t xml:space="preserve">Non-Invasive Diagnosis of Sun Damaged Skin: Actinic Keratosis Vs Squamous Cell Carcinoma. </w:t>
      </w:r>
      <w:proofErr w:type="spellStart"/>
      <w:r w:rsidRPr="00212245">
        <w:rPr>
          <w:rFonts w:ascii="Times New Roman" w:eastAsia="Times New Roman" w:hAnsi="Times New Roman" w:cs="Times New Roman"/>
          <w:sz w:val="20"/>
          <w:szCs w:val="20"/>
          <w:lang w:eastAsia="en-IN"/>
        </w:rPr>
        <w:t>JDDonline</w:t>
      </w:r>
      <w:proofErr w:type="spellEnd"/>
      <w:r w:rsidRPr="00212245">
        <w:rPr>
          <w:rFonts w:ascii="Times New Roman" w:eastAsia="Times New Roman" w:hAnsi="Times New Roman" w:cs="Times New Roman"/>
          <w:sz w:val="20"/>
          <w:szCs w:val="20"/>
          <w:lang w:eastAsia="en-IN"/>
        </w:rPr>
        <w:t xml:space="preserve"> - J Drugs Dermatol (n.d.). </w:t>
      </w:r>
    </w:p>
    <w:p w14:paraId="7CFEA4E3"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Pistore</w:t>
      </w:r>
      <w:proofErr w:type="spellEnd"/>
      <w:r w:rsidRPr="00212245">
        <w:rPr>
          <w:rFonts w:ascii="Times New Roman" w:eastAsia="Times New Roman" w:hAnsi="Times New Roman" w:cs="Times New Roman"/>
          <w:sz w:val="20"/>
          <w:szCs w:val="20"/>
          <w:lang w:eastAsia="en-IN"/>
        </w:rPr>
        <w:t xml:space="preserve"> G, Ambrosio L, Di Guardo A, et al. Non-Invasive Assessment of Treatment Response in Actinic Keratosis: A Clinically Oriented Multimodal Review. Cancers 18 (2026): 708. </w:t>
      </w:r>
    </w:p>
    <w:p w14:paraId="5008A5A1" w14:textId="77777777" w:rsidR="00212245" w:rsidRPr="00212245" w:rsidRDefault="00212245" w:rsidP="00212245">
      <w:pPr>
        <w:pStyle w:val="ListParagraph"/>
        <w:numPr>
          <w:ilvl w:val="0"/>
          <w:numId w:val="10"/>
        </w:numPr>
        <w:spacing w:after="0" w:line="360" w:lineRule="auto"/>
        <w:ind w:left="1077" w:hanging="720"/>
        <w:contextualSpacing w:val="0"/>
        <w:jc w:val="both"/>
        <w:rPr>
          <w:rFonts w:ascii="Times New Roman" w:eastAsia="Times New Roman" w:hAnsi="Times New Roman" w:cs="Times New Roman"/>
          <w:sz w:val="20"/>
          <w:szCs w:val="20"/>
          <w:lang w:eastAsia="en-IN"/>
        </w:rPr>
      </w:pPr>
      <w:proofErr w:type="spellStart"/>
      <w:r w:rsidRPr="00212245">
        <w:rPr>
          <w:rFonts w:ascii="Times New Roman" w:eastAsia="Times New Roman" w:hAnsi="Times New Roman" w:cs="Times New Roman"/>
          <w:sz w:val="20"/>
          <w:szCs w:val="20"/>
          <w:lang w:eastAsia="en-IN"/>
        </w:rPr>
        <w:t>Korecka</w:t>
      </w:r>
      <w:proofErr w:type="spellEnd"/>
      <w:r w:rsidRPr="00212245">
        <w:rPr>
          <w:rFonts w:ascii="Times New Roman" w:eastAsia="Times New Roman" w:hAnsi="Times New Roman" w:cs="Times New Roman"/>
          <w:sz w:val="20"/>
          <w:szCs w:val="20"/>
          <w:lang w:eastAsia="en-IN"/>
        </w:rPr>
        <w:t xml:space="preserve"> K, Kwiatkowska D, Mazur E, et al. An Update on Non-Invasive Skin Imaging Techniques in Actinic Keratosis—A Narrative Review. Medicina (Mex) 60 (2024): 1043. </w:t>
      </w:r>
    </w:p>
    <w:p w14:paraId="76C6F36B" w14:textId="77777777" w:rsidR="00212245" w:rsidRPr="00212245" w:rsidRDefault="00212245" w:rsidP="00212245">
      <w:pPr>
        <w:spacing w:after="0" w:line="360" w:lineRule="auto"/>
        <w:ind w:left="1077" w:hanging="720"/>
        <w:jc w:val="both"/>
        <w:rPr>
          <w:rFonts w:ascii="Times New Roman" w:hAnsi="Times New Roman" w:cs="Times New Roman"/>
          <w:sz w:val="20"/>
          <w:szCs w:val="20"/>
        </w:rPr>
      </w:pPr>
    </w:p>
    <w:p w14:paraId="511AC461" w14:textId="77777777" w:rsidR="00A847BC" w:rsidRPr="00212245" w:rsidRDefault="00A847BC" w:rsidP="00212245">
      <w:pPr>
        <w:spacing w:after="0" w:line="360" w:lineRule="auto"/>
        <w:ind w:left="1077" w:hanging="720"/>
        <w:jc w:val="both"/>
        <w:rPr>
          <w:rFonts w:ascii="Times New Roman" w:hAnsi="Times New Roman" w:cs="Times New Roman"/>
          <w:color w:val="000000" w:themeColor="text1"/>
          <w:sz w:val="20"/>
          <w:szCs w:val="20"/>
        </w:rPr>
      </w:pPr>
    </w:p>
    <w:sectPr w:rsidR="00A847BC" w:rsidRPr="00212245" w:rsidSect="00D8639A">
      <w:headerReference w:type="default" r:id="rId19"/>
      <w:footerReference w:type="default" r:id="rId20"/>
      <w:type w:val="continuous"/>
      <w:pgSz w:w="12240" w:h="15840"/>
      <w:pgMar w:top="1360" w:right="1320" w:bottom="280" w:left="1200" w:header="720" w:footer="720" w:gutter="0"/>
      <w:pgNumType w:start="12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09DD0" w14:textId="77777777" w:rsidR="00CD261F" w:rsidRDefault="00CD261F" w:rsidP="00A62EFF">
      <w:pPr>
        <w:spacing w:after="0" w:line="240" w:lineRule="auto"/>
      </w:pPr>
      <w:r>
        <w:separator/>
      </w:r>
    </w:p>
  </w:endnote>
  <w:endnote w:type="continuationSeparator" w:id="0">
    <w:p w14:paraId="64B1A404" w14:textId="77777777" w:rsidR="00CD261F" w:rsidRDefault="00CD261F"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auto"/>
    <w:pitch w:val="variable"/>
    <w:sig w:usb0="E00002FF" w:usb1="5000205A" w:usb2="00000000" w:usb3="00000000" w:csb0="0000019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4560" w14:textId="77777777" w:rsidR="002F7917" w:rsidRDefault="002F7917">
    <w:pPr>
      <w:pStyle w:val="Footer"/>
      <w:rPr>
        <w:rFonts w:ascii="Times New Roman" w:hAnsi="Times New Roman" w:cs="Times New Roman"/>
        <w:b/>
        <w:color w:val="2E74B5"/>
        <w:sz w:val="20"/>
        <w:szCs w:val="20"/>
      </w:rPr>
    </w:pPr>
  </w:p>
  <w:p w14:paraId="31F7593D" w14:textId="77777777" w:rsidR="002F7917" w:rsidRDefault="002F7917">
    <w:pPr>
      <w:pStyle w:val="Footer"/>
      <w:rPr>
        <w:rFonts w:ascii="Times New Roman" w:hAnsi="Times New Roman" w:cs="Times New Roman"/>
        <w:b/>
        <w:color w:val="2E74B5"/>
        <w:sz w:val="20"/>
        <w:szCs w:val="20"/>
      </w:rPr>
    </w:pPr>
  </w:p>
  <w:p w14:paraId="77E338E8" w14:textId="00EA276E" w:rsidR="002F7917" w:rsidRDefault="002F7917">
    <w:pPr>
      <w:pStyle w:val="Footer"/>
    </w:pPr>
    <w:r w:rsidRPr="004419B9">
      <w:rPr>
        <w:rFonts w:ascii="Times New Roman" w:hAnsi="Times New Roman" w:cs="Times New Roman"/>
        <w:b/>
        <w:color w:val="2E74B5"/>
        <w:sz w:val="20"/>
        <w:szCs w:val="20"/>
      </w:rPr>
      <w:t>Journal of Cancer Science and Clinical Therapeutics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D64A2" w14:textId="77777777" w:rsidR="00CD261F" w:rsidRDefault="00CD261F" w:rsidP="00A62EFF">
      <w:pPr>
        <w:spacing w:after="0" w:line="240" w:lineRule="auto"/>
      </w:pPr>
      <w:r>
        <w:separator/>
      </w:r>
    </w:p>
  </w:footnote>
  <w:footnote w:type="continuationSeparator" w:id="0">
    <w:p w14:paraId="04DCCBC1" w14:textId="77777777" w:rsidR="00CD261F" w:rsidRDefault="00CD261F"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FF56F" w14:textId="2E34D2D4" w:rsidR="002F7917" w:rsidRPr="0050057C" w:rsidRDefault="00B264E8" w:rsidP="00B264E8">
    <w:pPr>
      <w:pStyle w:val="Header"/>
      <w:tabs>
        <w:tab w:val="clear" w:pos="9360"/>
        <w:tab w:val="right" w:pos="9781"/>
      </w:tabs>
      <w:spacing w:line="360" w:lineRule="auto"/>
      <w:jc w:val="both"/>
      <w:rPr>
        <w:rFonts w:ascii="Times New Roman" w:hAnsi="Times New Roman" w:cs="Times New Roman"/>
        <w:b/>
        <w:i/>
        <w:color w:val="2E74B5"/>
        <w:sz w:val="20"/>
        <w:szCs w:val="20"/>
      </w:rPr>
    </w:pPr>
    <w:r>
      <w:rPr>
        <w:rFonts w:ascii="Times New Roman" w:hAnsi="Times New Roman" w:cs="Times New Roman"/>
        <w:b/>
        <w:i/>
        <w:color w:val="2E74B5"/>
        <w:sz w:val="20"/>
        <w:szCs w:val="20"/>
      </w:rPr>
      <w:t xml:space="preserve">J Cancer Sci Clin Ther 10 (2026): </w:t>
    </w:r>
    <w:r w:rsidR="00BE6911">
      <w:rPr>
        <w:rFonts w:ascii="Times New Roman" w:hAnsi="Times New Roman" w:cs="Times New Roman"/>
        <w:b/>
        <w:i/>
        <w:color w:val="2E74B5"/>
        <w:sz w:val="20"/>
        <w:szCs w:val="20"/>
      </w:rPr>
      <w:t xml:space="preserve">98-116                                         </w:t>
    </w:r>
    <w:r w:rsidR="00B670E8">
      <w:rPr>
        <w:rFonts w:ascii="Times New Roman" w:hAnsi="Times New Roman" w:cs="Times New Roman"/>
        <w:b/>
        <w:i/>
        <w:color w:val="2E74B5"/>
        <w:sz w:val="20"/>
        <w:szCs w:val="20"/>
      </w:rPr>
      <w:t xml:space="preserve">                                    </w:t>
    </w:r>
    <w:r>
      <w:rPr>
        <w:rFonts w:ascii="Times New Roman" w:hAnsi="Times New Roman" w:cs="Times New Roman"/>
        <w:b/>
        <w:bCs/>
        <w:i/>
        <w:color w:val="2E74B6"/>
        <w:sz w:val="20"/>
        <w:szCs w:val="20"/>
      </w:rPr>
      <w:t>DOI:</w:t>
    </w:r>
    <w:r w:rsidRPr="00DE6A7B">
      <w:rPr>
        <w:rFonts w:ascii="ArialMT" w:hAnsi="ArialMT" w:cs="ArialMT"/>
        <w:color w:val="0A88CA"/>
        <w:sz w:val="16"/>
        <w:szCs w:val="16"/>
        <w:lang w:val="en-IN"/>
      </w:rPr>
      <w:t xml:space="preserve"> </w:t>
    </w:r>
    <w:r w:rsidR="00BE6911" w:rsidRPr="00BE6911">
      <w:rPr>
        <w:rFonts w:ascii="Times New Roman" w:hAnsi="Times New Roman" w:cs="Times New Roman"/>
        <w:b/>
        <w:bCs/>
        <w:i/>
        <w:color w:val="2E74B6"/>
        <w:sz w:val="20"/>
        <w:szCs w:val="20"/>
        <w:lang w:val="en-IN"/>
      </w:rPr>
      <w:t>10.26502/jcsct.5079289</w:t>
    </w:r>
  </w:p>
  <w:p w14:paraId="2549F4C7" w14:textId="77777777" w:rsidR="00B264E8" w:rsidRDefault="00B264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A5E5E"/>
    <w:multiLevelType w:val="hybridMultilevel"/>
    <w:tmpl w:val="0F0E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22216"/>
    <w:multiLevelType w:val="hybridMultilevel"/>
    <w:tmpl w:val="1F0EC3BC"/>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2351F3"/>
    <w:multiLevelType w:val="hybridMultilevel"/>
    <w:tmpl w:val="5992BB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78C109F"/>
    <w:multiLevelType w:val="hybridMultilevel"/>
    <w:tmpl w:val="8F6ED1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38D21AF"/>
    <w:multiLevelType w:val="multilevel"/>
    <w:tmpl w:val="C92E73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CDF1D92"/>
    <w:multiLevelType w:val="hybridMultilevel"/>
    <w:tmpl w:val="56206B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11B6A9D"/>
    <w:multiLevelType w:val="hybridMultilevel"/>
    <w:tmpl w:val="D03899E6"/>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7" w15:restartNumberingAfterBreak="0">
    <w:nsid w:val="43CD49D3"/>
    <w:multiLevelType w:val="hybridMultilevel"/>
    <w:tmpl w:val="B6D80C5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557A03CC"/>
    <w:multiLevelType w:val="hybridMultilevel"/>
    <w:tmpl w:val="E716C252"/>
    <w:lvl w:ilvl="0" w:tplc="35F2F4DA">
      <w:start w:val="1"/>
      <w:numFmt w:val="bullet"/>
      <w:lvlText w:val=""/>
      <w:lvlJc w:val="left"/>
      <w:pPr>
        <w:ind w:left="720" w:hanging="360"/>
      </w:pPr>
      <w:rPr>
        <w:rFonts w:ascii="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D367DE9"/>
    <w:multiLevelType w:val="hybridMultilevel"/>
    <w:tmpl w:val="6BDAFC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58F337D"/>
    <w:multiLevelType w:val="hybridMultilevel"/>
    <w:tmpl w:val="F016354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13748846">
    <w:abstractNumId w:val="6"/>
  </w:num>
  <w:num w:numId="2" w16cid:durableId="1647973262">
    <w:abstractNumId w:val="8"/>
  </w:num>
  <w:num w:numId="3" w16cid:durableId="1532187570">
    <w:abstractNumId w:val="3"/>
  </w:num>
  <w:num w:numId="4" w16cid:durableId="894968780">
    <w:abstractNumId w:val="10"/>
  </w:num>
  <w:num w:numId="5" w16cid:durableId="1023672750">
    <w:abstractNumId w:val="2"/>
  </w:num>
  <w:num w:numId="6" w16cid:durableId="462576823">
    <w:abstractNumId w:val="5"/>
  </w:num>
  <w:num w:numId="7" w16cid:durableId="997611919">
    <w:abstractNumId w:val="0"/>
  </w:num>
  <w:num w:numId="8" w16cid:durableId="1962150998">
    <w:abstractNumId w:val="9"/>
  </w:num>
  <w:num w:numId="9" w16cid:durableId="1030373444">
    <w:abstractNumId w:val="7"/>
  </w:num>
  <w:num w:numId="10" w16cid:durableId="1742678278">
    <w:abstractNumId w:val="1"/>
  </w:num>
  <w:num w:numId="11" w16cid:durableId="117803941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3E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30AA"/>
    <w:rsid w:val="000233E6"/>
    <w:rsid w:val="00023441"/>
    <w:rsid w:val="00023479"/>
    <w:rsid w:val="0002357D"/>
    <w:rsid w:val="00023B5C"/>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71E"/>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66"/>
    <w:rsid w:val="00042F7C"/>
    <w:rsid w:val="0004315F"/>
    <w:rsid w:val="00043490"/>
    <w:rsid w:val="0004354D"/>
    <w:rsid w:val="00043567"/>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24"/>
    <w:rsid w:val="00055CE8"/>
    <w:rsid w:val="00055D9E"/>
    <w:rsid w:val="00055F59"/>
    <w:rsid w:val="0005617C"/>
    <w:rsid w:val="00056415"/>
    <w:rsid w:val="00056793"/>
    <w:rsid w:val="000567E5"/>
    <w:rsid w:val="00056BB2"/>
    <w:rsid w:val="00057342"/>
    <w:rsid w:val="0005739E"/>
    <w:rsid w:val="000573D3"/>
    <w:rsid w:val="0005787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BE8"/>
    <w:rsid w:val="00061C8C"/>
    <w:rsid w:val="0006226B"/>
    <w:rsid w:val="00062410"/>
    <w:rsid w:val="0006283F"/>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874"/>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90274"/>
    <w:rsid w:val="00090396"/>
    <w:rsid w:val="00090961"/>
    <w:rsid w:val="00090AE3"/>
    <w:rsid w:val="00091539"/>
    <w:rsid w:val="00091711"/>
    <w:rsid w:val="00091779"/>
    <w:rsid w:val="000919AB"/>
    <w:rsid w:val="00091B31"/>
    <w:rsid w:val="00091FAF"/>
    <w:rsid w:val="00092068"/>
    <w:rsid w:val="0009228D"/>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59"/>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97A68"/>
    <w:rsid w:val="000A023A"/>
    <w:rsid w:val="000A0400"/>
    <w:rsid w:val="000A046F"/>
    <w:rsid w:val="000A05E6"/>
    <w:rsid w:val="000A07C2"/>
    <w:rsid w:val="000A0886"/>
    <w:rsid w:val="000A0C11"/>
    <w:rsid w:val="000A0CA5"/>
    <w:rsid w:val="000A0F8A"/>
    <w:rsid w:val="000A1241"/>
    <w:rsid w:val="000A132A"/>
    <w:rsid w:val="000A14AD"/>
    <w:rsid w:val="000A1B0E"/>
    <w:rsid w:val="000A1CA9"/>
    <w:rsid w:val="000A2131"/>
    <w:rsid w:val="000A238D"/>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08A"/>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C20"/>
    <w:rsid w:val="000B1C71"/>
    <w:rsid w:val="000B221A"/>
    <w:rsid w:val="000B25CD"/>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819"/>
    <w:rsid w:val="000B6ACE"/>
    <w:rsid w:val="000B6BA5"/>
    <w:rsid w:val="000B6CE9"/>
    <w:rsid w:val="000B7765"/>
    <w:rsid w:val="000B7BC1"/>
    <w:rsid w:val="000B7CD8"/>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3C11"/>
    <w:rsid w:val="000C4321"/>
    <w:rsid w:val="000C4587"/>
    <w:rsid w:val="000C4603"/>
    <w:rsid w:val="000C4651"/>
    <w:rsid w:val="000C4700"/>
    <w:rsid w:val="000C4720"/>
    <w:rsid w:val="000C4974"/>
    <w:rsid w:val="000C4D26"/>
    <w:rsid w:val="000C4DF8"/>
    <w:rsid w:val="000C5122"/>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37"/>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875"/>
    <w:rsid w:val="000D3A0D"/>
    <w:rsid w:val="000D3BA4"/>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E7EC7"/>
    <w:rsid w:val="000F0000"/>
    <w:rsid w:val="000F09DF"/>
    <w:rsid w:val="000F0A37"/>
    <w:rsid w:val="000F0B8D"/>
    <w:rsid w:val="000F0E3F"/>
    <w:rsid w:val="000F106E"/>
    <w:rsid w:val="000F1151"/>
    <w:rsid w:val="000F17E6"/>
    <w:rsid w:val="000F1B48"/>
    <w:rsid w:val="000F2046"/>
    <w:rsid w:val="000F21DE"/>
    <w:rsid w:val="000F2527"/>
    <w:rsid w:val="000F2542"/>
    <w:rsid w:val="000F257B"/>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4E89"/>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20DA"/>
    <w:rsid w:val="00112147"/>
    <w:rsid w:val="0011221C"/>
    <w:rsid w:val="00112B45"/>
    <w:rsid w:val="00112B7F"/>
    <w:rsid w:val="00112DE9"/>
    <w:rsid w:val="001130D9"/>
    <w:rsid w:val="00113156"/>
    <w:rsid w:val="001131D2"/>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29ED"/>
    <w:rsid w:val="00122CB3"/>
    <w:rsid w:val="00122D08"/>
    <w:rsid w:val="001231A2"/>
    <w:rsid w:val="00123292"/>
    <w:rsid w:val="00123508"/>
    <w:rsid w:val="0012373D"/>
    <w:rsid w:val="001237FD"/>
    <w:rsid w:val="00123A01"/>
    <w:rsid w:val="00123E3E"/>
    <w:rsid w:val="00123EDA"/>
    <w:rsid w:val="001240EA"/>
    <w:rsid w:val="00124253"/>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3DE"/>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154"/>
    <w:rsid w:val="0014424E"/>
    <w:rsid w:val="00144373"/>
    <w:rsid w:val="0014444C"/>
    <w:rsid w:val="00144F30"/>
    <w:rsid w:val="00145211"/>
    <w:rsid w:val="001454CB"/>
    <w:rsid w:val="00145A7B"/>
    <w:rsid w:val="00145B7B"/>
    <w:rsid w:val="00145D2B"/>
    <w:rsid w:val="00145E5E"/>
    <w:rsid w:val="00145FF4"/>
    <w:rsid w:val="001462B6"/>
    <w:rsid w:val="00146545"/>
    <w:rsid w:val="001466B3"/>
    <w:rsid w:val="001466E5"/>
    <w:rsid w:val="0014685C"/>
    <w:rsid w:val="00146CB5"/>
    <w:rsid w:val="00146CC3"/>
    <w:rsid w:val="00146CC4"/>
    <w:rsid w:val="00146D32"/>
    <w:rsid w:val="0014726F"/>
    <w:rsid w:val="00147596"/>
    <w:rsid w:val="001476D2"/>
    <w:rsid w:val="0014780E"/>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0E7"/>
    <w:rsid w:val="00155349"/>
    <w:rsid w:val="0015555F"/>
    <w:rsid w:val="001555E3"/>
    <w:rsid w:val="001555EE"/>
    <w:rsid w:val="0015571D"/>
    <w:rsid w:val="001558DE"/>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607"/>
    <w:rsid w:val="0016082A"/>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98D"/>
    <w:rsid w:val="00165CF9"/>
    <w:rsid w:val="00165D51"/>
    <w:rsid w:val="0016650F"/>
    <w:rsid w:val="001666E2"/>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3EF3"/>
    <w:rsid w:val="00174067"/>
    <w:rsid w:val="001740AE"/>
    <w:rsid w:val="0017412A"/>
    <w:rsid w:val="0017455F"/>
    <w:rsid w:val="00174678"/>
    <w:rsid w:val="001747B5"/>
    <w:rsid w:val="0017485D"/>
    <w:rsid w:val="00174951"/>
    <w:rsid w:val="00174954"/>
    <w:rsid w:val="001749D1"/>
    <w:rsid w:val="001749F8"/>
    <w:rsid w:val="00174C3E"/>
    <w:rsid w:val="00174C6F"/>
    <w:rsid w:val="00174CD3"/>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4D3"/>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F9"/>
    <w:rsid w:val="00183023"/>
    <w:rsid w:val="00183747"/>
    <w:rsid w:val="0018386D"/>
    <w:rsid w:val="00183E40"/>
    <w:rsid w:val="00183EB7"/>
    <w:rsid w:val="00183EDC"/>
    <w:rsid w:val="0018414F"/>
    <w:rsid w:val="001847DF"/>
    <w:rsid w:val="001847E6"/>
    <w:rsid w:val="0018494D"/>
    <w:rsid w:val="00184B5A"/>
    <w:rsid w:val="00184B6E"/>
    <w:rsid w:val="00184B92"/>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10"/>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0F"/>
    <w:rsid w:val="00195E31"/>
    <w:rsid w:val="00195E80"/>
    <w:rsid w:val="00195F63"/>
    <w:rsid w:val="00195FB6"/>
    <w:rsid w:val="001962F6"/>
    <w:rsid w:val="00196500"/>
    <w:rsid w:val="00196524"/>
    <w:rsid w:val="00196AF7"/>
    <w:rsid w:val="00196E16"/>
    <w:rsid w:val="00196ED7"/>
    <w:rsid w:val="001970BB"/>
    <w:rsid w:val="001974C3"/>
    <w:rsid w:val="0019777B"/>
    <w:rsid w:val="00197898"/>
    <w:rsid w:val="001978C5"/>
    <w:rsid w:val="00197EFC"/>
    <w:rsid w:val="00197F8C"/>
    <w:rsid w:val="001A0008"/>
    <w:rsid w:val="001A00AC"/>
    <w:rsid w:val="001A0169"/>
    <w:rsid w:val="001A01E6"/>
    <w:rsid w:val="001A026B"/>
    <w:rsid w:val="001A033D"/>
    <w:rsid w:val="001A039F"/>
    <w:rsid w:val="001A03FA"/>
    <w:rsid w:val="001A054C"/>
    <w:rsid w:val="001A0954"/>
    <w:rsid w:val="001A0B07"/>
    <w:rsid w:val="001A112D"/>
    <w:rsid w:val="001A136B"/>
    <w:rsid w:val="001A13DF"/>
    <w:rsid w:val="001A1671"/>
    <w:rsid w:val="001A16F3"/>
    <w:rsid w:val="001A192E"/>
    <w:rsid w:val="001A1B7E"/>
    <w:rsid w:val="001A205E"/>
    <w:rsid w:val="001A22FC"/>
    <w:rsid w:val="001A2A37"/>
    <w:rsid w:val="001A2FFF"/>
    <w:rsid w:val="001A34FB"/>
    <w:rsid w:val="001A369F"/>
    <w:rsid w:val="001A376B"/>
    <w:rsid w:val="001A385B"/>
    <w:rsid w:val="001A3F06"/>
    <w:rsid w:val="001A403B"/>
    <w:rsid w:val="001A4299"/>
    <w:rsid w:val="001A44BD"/>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8A3"/>
    <w:rsid w:val="001B5A3C"/>
    <w:rsid w:val="001B5A7A"/>
    <w:rsid w:val="001B5ED4"/>
    <w:rsid w:val="001B5F16"/>
    <w:rsid w:val="001B60AB"/>
    <w:rsid w:val="001B6380"/>
    <w:rsid w:val="001B639B"/>
    <w:rsid w:val="001B6682"/>
    <w:rsid w:val="001B6AAA"/>
    <w:rsid w:val="001B6DF1"/>
    <w:rsid w:val="001B6EBC"/>
    <w:rsid w:val="001B7192"/>
    <w:rsid w:val="001B779E"/>
    <w:rsid w:val="001B7D15"/>
    <w:rsid w:val="001C092A"/>
    <w:rsid w:val="001C0943"/>
    <w:rsid w:val="001C10DF"/>
    <w:rsid w:val="001C140D"/>
    <w:rsid w:val="001C1895"/>
    <w:rsid w:val="001C1950"/>
    <w:rsid w:val="001C1C74"/>
    <w:rsid w:val="001C1D12"/>
    <w:rsid w:val="001C23C6"/>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602"/>
    <w:rsid w:val="001C598D"/>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603"/>
    <w:rsid w:val="001D0653"/>
    <w:rsid w:val="001D06C3"/>
    <w:rsid w:val="001D0A99"/>
    <w:rsid w:val="001D10C0"/>
    <w:rsid w:val="001D1198"/>
    <w:rsid w:val="001D150B"/>
    <w:rsid w:val="001D1517"/>
    <w:rsid w:val="001D1607"/>
    <w:rsid w:val="001D1914"/>
    <w:rsid w:val="001D1B6E"/>
    <w:rsid w:val="001D1C2E"/>
    <w:rsid w:val="001D1CC5"/>
    <w:rsid w:val="001D21FC"/>
    <w:rsid w:val="001D242C"/>
    <w:rsid w:val="001D2608"/>
    <w:rsid w:val="001D27E8"/>
    <w:rsid w:val="001D2947"/>
    <w:rsid w:val="001D296D"/>
    <w:rsid w:val="001D2D15"/>
    <w:rsid w:val="001D370D"/>
    <w:rsid w:val="001D3713"/>
    <w:rsid w:val="001D37BC"/>
    <w:rsid w:val="001D3912"/>
    <w:rsid w:val="001D39F2"/>
    <w:rsid w:val="001D3C1C"/>
    <w:rsid w:val="001D3D93"/>
    <w:rsid w:val="001D4597"/>
    <w:rsid w:val="001D472B"/>
    <w:rsid w:val="001D5162"/>
    <w:rsid w:val="001D51A5"/>
    <w:rsid w:val="001D53F3"/>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5DA"/>
    <w:rsid w:val="001E178E"/>
    <w:rsid w:val="001E187C"/>
    <w:rsid w:val="001E19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411"/>
    <w:rsid w:val="001E6B98"/>
    <w:rsid w:val="001E6D97"/>
    <w:rsid w:val="001E6E7A"/>
    <w:rsid w:val="001E729A"/>
    <w:rsid w:val="001E753F"/>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D3A"/>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45"/>
    <w:rsid w:val="002122E1"/>
    <w:rsid w:val="002126E9"/>
    <w:rsid w:val="002129E4"/>
    <w:rsid w:val="00212A8F"/>
    <w:rsid w:val="002133A4"/>
    <w:rsid w:val="002138F3"/>
    <w:rsid w:val="002139D9"/>
    <w:rsid w:val="00213A73"/>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CC3"/>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2054"/>
    <w:rsid w:val="002320E7"/>
    <w:rsid w:val="002320FA"/>
    <w:rsid w:val="00232C18"/>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0BD"/>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4A3"/>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701"/>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1D6"/>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C3"/>
    <w:rsid w:val="002768E0"/>
    <w:rsid w:val="002768E7"/>
    <w:rsid w:val="00276D4D"/>
    <w:rsid w:val="00276EEA"/>
    <w:rsid w:val="00276EFF"/>
    <w:rsid w:val="00276F4F"/>
    <w:rsid w:val="002770A3"/>
    <w:rsid w:val="0027713A"/>
    <w:rsid w:val="0027718D"/>
    <w:rsid w:val="00277651"/>
    <w:rsid w:val="00277FA2"/>
    <w:rsid w:val="00277FF8"/>
    <w:rsid w:val="002801CD"/>
    <w:rsid w:val="0028024E"/>
    <w:rsid w:val="002804B3"/>
    <w:rsid w:val="00280566"/>
    <w:rsid w:val="00280CA3"/>
    <w:rsid w:val="00280E03"/>
    <w:rsid w:val="00281023"/>
    <w:rsid w:val="0028125D"/>
    <w:rsid w:val="002812B9"/>
    <w:rsid w:val="002815B1"/>
    <w:rsid w:val="002818B6"/>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265"/>
    <w:rsid w:val="00291378"/>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DC5"/>
    <w:rsid w:val="00297F2B"/>
    <w:rsid w:val="002A03F6"/>
    <w:rsid w:val="002A0465"/>
    <w:rsid w:val="002A0A5F"/>
    <w:rsid w:val="002A0F51"/>
    <w:rsid w:val="002A1686"/>
    <w:rsid w:val="002A1796"/>
    <w:rsid w:val="002A1B51"/>
    <w:rsid w:val="002A1B81"/>
    <w:rsid w:val="002A1C26"/>
    <w:rsid w:val="002A1D99"/>
    <w:rsid w:val="002A1E5E"/>
    <w:rsid w:val="002A1F99"/>
    <w:rsid w:val="002A2578"/>
    <w:rsid w:val="002A2876"/>
    <w:rsid w:val="002A2AA4"/>
    <w:rsid w:val="002A2C78"/>
    <w:rsid w:val="002A2C93"/>
    <w:rsid w:val="002A3237"/>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32A"/>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3DF3"/>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DF2"/>
    <w:rsid w:val="002D7F41"/>
    <w:rsid w:val="002E01CD"/>
    <w:rsid w:val="002E022C"/>
    <w:rsid w:val="002E0338"/>
    <w:rsid w:val="002E040B"/>
    <w:rsid w:val="002E04B1"/>
    <w:rsid w:val="002E054A"/>
    <w:rsid w:val="002E0725"/>
    <w:rsid w:val="002E075C"/>
    <w:rsid w:val="002E078B"/>
    <w:rsid w:val="002E07D6"/>
    <w:rsid w:val="002E07E3"/>
    <w:rsid w:val="002E0959"/>
    <w:rsid w:val="002E0C54"/>
    <w:rsid w:val="002E1041"/>
    <w:rsid w:val="002E11DF"/>
    <w:rsid w:val="002E1BE4"/>
    <w:rsid w:val="002E1FB5"/>
    <w:rsid w:val="002E212D"/>
    <w:rsid w:val="002E2225"/>
    <w:rsid w:val="002E2626"/>
    <w:rsid w:val="002E28F2"/>
    <w:rsid w:val="002E2F2D"/>
    <w:rsid w:val="002E313F"/>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3E5"/>
    <w:rsid w:val="002F15A9"/>
    <w:rsid w:val="002F2341"/>
    <w:rsid w:val="002F2569"/>
    <w:rsid w:val="002F2CFE"/>
    <w:rsid w:val="002F2E0E"/>
    <w:rsid w:val="002F2E16"/>
    <w:rsid w:val="002F3047"/>
    <w:rsid w:val="002F30BE"/>
    <w:rsid w:val="002F352D"/>
    <w:rsid w:val="002F3671"/>
    <w:rsid w:val="002F37BC"/>
    <w:rsid w:val="002F399D"/>
    <w:rsid w:val="002F3A6F"/>
    <w:rsid w:val="002F3B39"/>
    <w:rsid w:val="002F4090"/>
    <w:rsid w:val="002F40EA"/>
    <w:rsid w:val="002F468D"/>
    <w:rsid w:val="002F487A"/>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917"/>
    <w:rsid w:val="002F7B4A"/>
    <w:rsid w:val="002F7BBA"/>
    <w:rsid w:val="002F7C3D"/>
    <w:rsid w:val="002F7D71"/>
    <w:rsid w:val="003001F0"/>
    <w:rsid w:val="003002C1"/>
    <w:rsid w:val="00300370"/>
    <w:rsid w:val="00300454"/>
    <w:rsid w:val="00300546"/>
    <w:rsid w:val="00300DAD"/>
    <w:rsid w:val="00300FB7"/>
    <w:rsid w:val="003010FA"/>
    <w:rsid w:val="00301121"/>
    <w:rsid w:val="00301260"/>
    <w:rsid w:val="003014E5"/>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62"/>
    <w:rsid w:val="003075FD"/>
    <w:rsid w:val="003076CF"/>
    <w:rsid w:val="00307806"/>
    <w:rsid w:val="00307884"/>
    <w:rsid w:val="00307E1D"/>
    <w:rsid w:val="00307FC9"/>
    <w:rsid w:val="0031034E"/>
    <w:rsid w:val="00310494"/>
    <w:rsid w:val="003107AA"/>
    <w:rsid w:val="00310BA6"/>
    <w:rsid w:val="00310CA2"/>
    <w:rsid w:val="00310E04"/>
    <w:rsid w:val="00311089"/>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2DDB"/>
    <w:rsid w:val="00313492"/>
    <w:rsid w:val="00313555"/>
    <w:rsid w:val="00313588"/>
    <w:rsid w:val="00313659"/>
    <w:rsid w:val="00313E45"/>
    <w:rsid w:val="00313F8C"/>
    <w:rsid w:val="00314146"/>
    <w:rsid w:val="0031456B"/>
    <w:rsid w:val="00314866"/>
    <w:rsid w:val="0031487E"/>
    <w:rsid w:val="00314A99"/>
    <w:rsid w:val="00314D81"/>
    <w:rsid w:val="00315376"/>
    <w:rsid w:val="00315389"/>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5FF"/>
    <w:rsid w:val="0032179C"/>
    <w:rsid w:val="003217D7"/>
    <w:rsid w:val="00321961"/>
    <w:rsid w:val="00321992"/>
    <w:rsid w:val="00321F94"/>
    <w:rsid w:val="00322404"/>
    <w:rsid w:val="00322421"/>
    <w:rsid w:val="00322C16"/>
    <w:rsid w:val="00322E47"/>
    <w:rsid w:val="00322F2E"/>
    <w:rsid w:val="0032322F"/>
    <w:rsid w:val="003233CD"/>
    <w:rsid w:val="003233E5"/>
    <w:rsid w:val="00323607"/>
    <w:rsid w:val="00323894"/>
    <w:rsid w:val="00323DF7"/>
    <w:rsid w:val="0032411A"/>
    <w:rsid w:val="00324410"/>
    <w:rsid w:val="0032441E"/>
    <w:rsid w:val="00325303"/>
    <w:rsid w:val="0032548C"/>
    <w:rsid w:val="003254E6"/>
    <w:rsid w:val="00325630"/>
    <w:rsid w:val="00325FFE"/>
    <w:rsid w:val="00326111"/>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5E9"/>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56BB"/>
    <w:rsid w:val="003357FD"/>
    <w:rsid w:val="00335C7C"/>
    <w:rsid w:val="00335CBB"/>
    <w:rsid w:val="003365EC"/>
    <w:rsid w:val="00336BE1"/>
    <w:rsid w:val="00336DE2"/>
    <w:rsid w:val="00336E0B"/>
    <w:rsid w:val="00336E9A"/>
    <w:rsid w:val="00336F47"/>
    <w:rsid w:val="003370D2"/>
    <w:rsid w:val="00337272"/>
    <w:rsid w:val="0033754B"/>
    <w:rsid w:val="00337AE2"/>
    <w:rsid w:val="00337D30"/>
    <w:rsid w:val="00337E11"/>
    <w:rsid w:val="00337E8A"/>
    <w:rsid w:val="00337E95"/>
    <w:rsid w:val="003401DB"/>
    <w:rsid w:val="0034041A"/>
    <w:rsid w:val="00340457"/>
    <w:rsid w:val="0034061A"/>
    <w:rsid w:val="0034063D"/>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7049"/>
    <w:rsid w:val="00357312"/>
    <w:rsid w:val="0035782E"/>
    <w:rsid w:val="00357914"/>
    <w:rsid w:val="00357AD7"/>
    <w:rsid w:val="00357BF0"/>
    <w:rsid w:val="00357E2C"/>
    <w:rsid w:val="0036059A"/>
    <w:rsid w:val="0036062B"/>
    <w:rsid w:val="003609FA"/>
    <w:rsid w:val="00360A0C"/>
    <w:rsid w:val="00360AF8"/>
    <w:rsid w:val="00360C13"/>
    <w:rsid w:val="00360E75"/>
    <w:rsid w:val="00360E9C"/>
    <w:rsid w:val="003615CB"/>
    <w:rsid w:val="003617CD"/>
    <w:rsid w:val="00361804"/>
    <w:rsid w:val="00361838"/>
    <w:rsid w:val="0036189B"/>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EB3"/>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80417"/>
    <w:rsid w:val="00380556"/>
    <w:rsid w:val="003807CC"/>
    <w:rsid w:val="0038080B"/>
    <w:rsid w:val="003808AF"/>
    <w:rsid w:val="00380929"/>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40F0"/>
    <w:rsid w:val="003948AA"/>
    <w:rsid w:val="00394A04"/>
    <w:rsid w:val="00394A93"/>
    <w:rsid w:val="00394B3F"/>
    <w:rsid w:val="00394CEC"/>
    <w:rsid w:val="003955A5"/>
    <w:rsid w:val="003955EB"/>
    <w:rsid w:val="003956AB"/>
    <w:rsid w:val="003958D6"/>
    <w:rsid w:val="00395EA4"/>
    <w:rsid w:val="003961B1"/>
    <w:rsid w:val="00396450"/>
    <w:rsid w:val="00396467"/>
    <w:rsid w:val="0039647D"/>
    <w:rsid w:val="003969D9"/>
    <w:rsid w:val="00396B17"/>
    <w:rsid w:val="00396D92"/>
    <w:rsid w:val="00396D9F"/>
    <w:rsid w:val="00396E2A"/>
    <w:rsid w:val="00396E56"/>
    <w:rsid w:val="0039717D"/>
    <w:rsid w:val="00397537"/>
    <w:rsid w:val="00397580"/>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10"/>
    <w:rsid w:val="003B3186"/>
    <w:rsid w:val="003B3A5A"/>
    <w:rsid w:val="003B3C38"/>
    <w:rsid w:val="003B3DB2"/>
    <w:rsid w:val="003B3E90"/>
    <w:rsid w:val="003B41AB"/>
    <w:rsid w:val="003B42A2"/>
    <w:rsid w:val="003B4429"/>
    <w:rsid w:val="003B442C"/>
    <w:rsid w:val="003B4533"/>
    <w:rsid w:val="003B4598"/>
    <w:rsid w:val="003B47C2"/>
    <w:rsid w:val="003B4D5B"/>
    <w:rsid w:val="003B52CF"/>
    <w:rsid w:val="003B5378"/>
    <w:rsid w:val="003B54A3"/>
    <w:rsid w:val="003B5602"/>
    <w:rsid w:val="003B5611"/>
    <w:rsid w:val="003B5C26"/>
    <w:rsid w:val="003B5CD8"/>
    <w:rsid w:val="003B5EAE"/>
    <w:rsid w:val="003B5FB2"/>
    <w:rsid w:val="003B62EA"/>
    <w:rsid w:val="003B64ED"/>
    <w:rsid w:val="003B6F1F"/>
    <w:rsid w:val="003B731D"/>
    <w:rsid w:val="003B73E6"/>
    <w:rsid w:val="003B74D3"/>
    <w:rsid w:val="003B7AE7"/>
    <w:rsid w:val="003C0097"/>
    <w:rsid w:val="003C00B2"/>
    <w:rsid w:val="003C0224"/>
    <w:rsid w:val="003C07B6"/>
    <w:rsid w:val="003C0F96"/>
    <w:rsid w:val="003C11ED"/>
    <w:rsid w:val="003C1353"/>
    <w:rsid w:val="003C1822"/>
    <w:rsid w:val="003C1DD9"/>
    <w:rsid w:val="003C22DF"/>
    <w:rsid w:val="003C2442"/>
    <w:rsid w:val="003C2552"/>
    <w:rsid w:val="003C2582"/>
    <w:rsid w:val="003C2636"/>
    <w:rsid w:val="003C266D"/>
    <w:rsid w:val="003C2AE0"/>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C33"/>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724"/>
    <w:rsid w:val="003E6988"/>
    <w:rsid w:val="003E6F5E"/>
    <w:rsid w:val="003E71B5"/>
    <w:rsid w:val="003E71FB"/>
    <w:rsid w:val="003E79CF"/>
    <w:rsid w:val="003E7A6F"/>
    <w:rsid w:val="003E7DD2"/>
    <w:rsid w:val="003E7DD7"/>
    <w:rsid w:val="003E7F38"/>
    <w:rsid w:val="003E7FF3"/>
    <w:rsid w:val="003F0178"/>
    <w:rsid w:val="003F01BE"/>
    <w:rsid w:val="003F0532"/>
    <w:rsid w:val="003F0723"/>
    <w:rsid w:val="003F0864"/>
    <w:rsid w:val="003F0C9F"/>
    <w:rsid w:val="003F0D5F"/>
    <w:rsid w:val="003F0DDF"/>
    <w:rsid w:val="003F0F41"/>
    <w:rsid w:val="003F1066"/>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0D0"/>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218A"/>
    <w:rsid w:val="0040225F"/>
    <w:rsid w:val="004022FA"/>
    <w:rsid w:val="0040231E"/>
    <w:rsid w:val="0040245E"/>
    <w:rsid w:val="00402691"/>
    <w:rsid w:val="004026DD"/>
    <w:rsid w:val="004027FF"/>
    <w:rsid w:val="0040284E"/>
    <w:rsid w:val="00402928"/>
    <w:rsid w:val="004033F1"/>
    <w:rsid w:val="00403F2C"/>
    <w:rsid w:val="00404561"/>
    <w:rsid w:val="0040496D"/>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A5F"/>
    <w:rsid w:val="00407D6C"/>
    <w:rsid w:val="00410002"/>
    <w:rsid w:val="004100A4"/>
    <w:rsid w:val="00410308"/>
    <w:rsid w:val="00410733"/>
    <w:rsid w:val="00410884"/>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8C0"/>
    <w:rsid w:val="00415960"/>
    <w:rsid w:val="00415B04"/>
    <w:rsid w:val="00415B7B"/>
    <w:rsid w:val="00415C2C"/>
    <w:rsid w:val="00415F95"/>
    <w:rsid w:val="00416241"/>
    <w:rsid w:val="00416507"/>
    <w:rsid w:val="004166EB"/>
    <w:rsid w:val="00416B31"/>
    <w:rsid w:val="00416C48"/>
    <w:rsid w:val="004171A5"/>
    <w:rsid w:val="0041737B"/>
    <w:rsid w:val="004174D2"/>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55"/>
    <w:rsid w:val="00430547"/>
    <w:rsid w:val="0043065A"/>
    <w:rsid w:val="004309A4"/>
    <w:rsid w:val="00430A09"/>
    <w:rsid w:val="00430A39"/>
    <w:rsid w:val="00430B5B"/>
    <w:rsid w:val="00430D29"/>
    <w:rsid w:val="0043132D"/>
    <w:rsid w:val="00431435"/>
    <w:rsid w:val="00431541"/>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446"/>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88D"/>
    <w:rsid w:val="0045498E"/>
    <w:rsid w:val="004549DA"/>
    <w:rsid w:val="00454A02"/>
    <w:rsid w:val="00454A3F"/>
    <w:rsid w:val="00454BFB"/>
    <w:rsid w:val="00454D1F"/>
    <w:rsid w:val="00454DB9"/>
    <w:rsid w:val="00454FFF"/>
    <w:rsid w:val="00455024"/>
    <w:rsid w:val="004550BE"/>
    <w:rsid w:val="004550EC"/>
    <w:rsid w:val="00455281"/>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F50"/>
    <w:rsid w:val="00462F7C"/>
    <w:rsid w:val="00462F9A"/>
    <w:rsid w:val="0046314B"/>
    <w:rsid w:val="004631FC"/>
    <w:rsid w:val="00463279"/>
    <w:rsid w:val="004639D0"/>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7BC"/>
    <w:rsid w:val="00473903"/>
    <w:rsid w:val="00473B44"/>
    <w:rsid w:val="00473FD9"/>
    <w:rsid w:val="004740AB"/>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3D"/>
    <w:rsid w:val="00476F47"/>
    <w:rsid w:val="004770AA"/>
    <w:rsid w:val="00477482"/>
    <w:rsid w:val="00477777"/>
    <w:rsid w:val="004777BA"/>
    <w:rsid w:val="0047782F"/>
    <w:rsid w:val="00477894"/>
    <w:rsid w:val="00480018"/>
    <w:rsid w:val="0048017B"/>
    <w:rsid w:val="004802E3"/>
    <w:rsid w:val="004803FC"/>
    <w:rsid w:val="00480487"/>
    <w:rsid w:val="004806A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87EF0"/>
    <w:rsid w:val="004905D3"/>
    <w:rsid w:val="00490673"/>
    <w:rsid w:val="0049085F"/>
    <w:rsid w:val="00490BAB"/>
    <w:rsid w:val="00490BC7"/>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6C6"/>
    <w:rsid w:val="004A6824"/>
    <w:rsid w:val="004A6880"/>
    <w:rsid w:val="004A69CE"/>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F0C"/>
    <w:rsid w:val="004B4F2B"/>
    <w:rsid w:val="004B5170"/>
    <w:rsid w:val="004B5281"/>
    <w:rsid w:val="004B544A"/>
    <w:rsid w:val="004B5AB8"/>
    <w:rsid w:val="004B5D17"/>
    <w:rsid w:val="004B5E08"/>
    <w:rsid w:val="004B6033"/>
    <w:rsid w:val="004B607D"/>
    <w:rsid w:val="004B61BC"/>
    <w:rsid w:val="004B6622"/>
    <w:rsid w:val="004B6794"/>
    <w:rsid w:val="004B6893"/>
    <w:rsid w:val="004B68C5"/>
    <w:rsid w:val="004B6C9D"/>
    <w:rsid w:val="004B7114"/>
    <w:rsid w:val="004B72B6"/>
    <w:rsid w:val="004B73C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23E4"/>
    <w:rsid w:val="004D297B"/>
    <w:rsid w:val="004D2C2D"/>
    <w:rsid w:val="004D2CAB"/>
    <w:rsid w:val="004D3273"/>
    <w:rsid w:val="004D34A0"/>
    <w:rsid w:val="004D34C6"/>
    <w:rsid w:val="004D385E"/>
    <w:rsid w:val="004D3E2B"/>
    <w:rsid w:val="004D4293"/>
    <w:rsid w:val="004D530A"/>
    <w:rsid w:val="004D5521"/>
    <w:rsid w:val="004D56BA"/>
    <w:rsid w:val="004D576C"/>
    <w:rsid w:val="004D5B50"/>
    <w:rsid w:val="004D5C84"/>
    <w:rsid w:val="004D606E"/>
    <w:rsid w:val="004D62DB"/>
    <w:rsid w:val="004D6755"/>
    <w:rsid w:val="004D67B5"/>
    <w:rsid w:val="004D6D1F"/>
    <w:rsid w:val="004D6E00"/>
    <w:rsid w:val="004D7322"/>
    <w:rsid w:val="004D732C"/>
    <w:rsid w:val="004D778A"/>
    <w:rsid w:val="004D78DF"/>
    <w:rsid w:val="004D7B8B"/>
    <w:rsid w:val="004D7F0D"/>
    <w:rsid w:val="004D7F4F"/>
    <w:rsid w:val="004E0213"/>
    <w:rsid w:val="004E0323"/>
    <w:rsid w:val="004E0915"/>
    <w:rsid w:val="004E0A8D"/>
    <w:rsid w:val="004E1253"/>
    <w:rsid w:val="004E140B"/>
    <w:rsid w:val="004E15BB"/>
    <w:rsid w:val="004E15F0"/>
    <w:rsid w:val="004E17C3"/>
    <w:rsid w:val="004E186C"/>
    <w:rsid w:val="004E1967"/>
    <w:rsid w:val="004E1A6A"/>
    <w:rsid w:val="004E1AFC"/>
    <w:rsid w:val="004E1C37"/>
    <w:rsid w:val="004E1D6C"/>
    <w:rsid w:val="004E26C1"/>
    <w:rsid w:val="004E27F1"/>
    <w:rsid w:val="004E27FA"/>
    <w:rsid w:val="004E302F"/>
    <w:rsid w:val="004E368D"/>
    <w:rsid w:val="004E3A67"/>
    <w:rsid w:val="004E3C28"/>
    <w:rsid w:val="004E445F"/>
    <w:rsid w:val="004E4539"/>
    <w:rsid w:val="004E4B27"/>
    <w:rsid w:val="004E4CBC"/>
    <w:rsid w:val="004E4E32"/>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8F"/>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57C"/>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128"/>
    <w:rsid w:val="00502359"/>
    <w:rsid w:val="0050254A"/>
    <w:rsid w:val="00502564"/>
    <w:rsid w:val="005025AE"/>
    <w:rsid w:val="005028D6"/>
    <w:rsid w:val="00502990"/>
    <w:rsid w:val="00502A99"/>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4BB1"/>
    <w:rsid w:val="00505245"/>
    <w:rsid w:val="0050528E"/>
    <w:rsid w:val="005054F0"/>
    <w:rsid w:val="0050567A"/>
    <w:rsid w:val="00505A35"/>
    <w:rsid w:val="00505AE6"/>
    <w:rsid w:val="00505F52"/>
    <w:rsid w:val="00506311"/>
    <w:rsid w:val="00506B6C"/>
    <w:rsid w:val="00506E19"/>
    <w:rsid w:val="00506E5E"/>
    <w:rsid w:val="00506EBF"/>
    <w:rsid w:val="005072E7"/>
    <w:rsid w:val="005074EC"/>
    <w:rsid w:val="00507A8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E7F"/>
    <w:rsid w:val="00514F53"/>
    <w:rsid w:val="00514FBB"/>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D2F"/>
    <w:rsid w:val="0052418A"/>
    <w:rsid w:val="0052429F"/>
    <w:rsid w:val="0052456A"/>
    <w:rsid w:val="005247FD"/>
    <w:rsid w:val="00524851"/>
    <w:rsid w:val="0052487A"/>
    <w:rsid w:val="00524CB4"/>
    <w:rsid w:val="00524DA6"/>
    <w:rsid w:val="00524E3D"/>
    <w:rsid w:val="0052505E"/>
    <w:rsid w:val="00525080"/>
    <w:rsid w:val="00525246"/>
    <w:rsid w:val="005252E2"/>
    <w:rsid w:val="005256F6"/>
    <w:rsid w:val="005258C7"/>
    <w:rsid w:val="0052590D"/>
    <w:rsid w:val="005259FC"/>
    <w:rsid w:val="00525A54"/>
    <w:rsid w:val="00525AEC"/>
    <w:rsid w:val="00525D98"/>
    <w:rsid w:val="005260E3"/>
    <w:rsid w:val="005263D4"/>
    <w:rsid w:val="005265D0"/>
    <w:rsid w:val="0052663D"/>
    <w:rsid w:val="005268E2"/>
    <w:rsid w:val="005268FD"/>
    <w:rsid w:val="00526BF2"/>
    <w:rsid w:val="00526D03"/>
    <w:rsid w:val="00526ECE"/>
    <w:rsid w:val="00527216"/>
    <w:rsid w:val="005272A3"/>
    <w:rsid w:val="0052759F"/>
    <w:rsid w:val="0052798E"/>
    <w:rsid w:val="00527E45"/>
    <w:rsid w:val="005302C1"/>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203D"/>
    <w:rsid w:val="0053221B"/>
    <w:rsid w:val="0053227C"/>
    <w:rsid w:val="00532400"/>
    <w:rsid w:val="0053251D"/>
    <w:rsid w:val="00532549"/>
    <w:rsid w:val="00532628"/>
    <w:rsid w:val="00532B10"/>
    <w:rsid w:val="00532BE2"/>
    <w:rsid w:val="00532C86"/>
    <w:rsid w:val="00532D25"/>
    <w:rsid w:val="00532DA2"/>
    <w:rsid w:val="0053300A"/>
    <w:rsid w:val="005335A3"/>
    <w:rsid w:val="0053365C"/>
    <w:rsid w:val="00533700"/>
    <w:rsid w:val="00533824"/>
    <w:rsid w:val="00533950"/>
    <w:rsid w:val="00533B9D"/>
    <w:rsid w:val="00534088"/>
    <w:rsid w:val="005343F2"/>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2F"/>
    <w:rsid w:val="0054164E"/>
    <w:rsid w:val="0054195E"/>
    <w:rsid w:val="00541BE1"/>
    <w:rsid w:val="00541E58"/>
    <w:rsid w:val="00541E94"/>
    <w:rsid w:val="005420A5"/>
    <w:rsid w:val="005423AF"/>
    <w:rsid w:val="00542628"/>
    <w:rsid w:val="005426B0"/>
    <w:rsid w:val="00542934"/>
    <w:rsid w:val="00542DE9"/>
    <w:rsid w:val="00543060"/>
    <w:rsid w:val="005431F0"/>
    <w:rsid w:val="005431F6"/>
    <w:rsid w:val="005437BD"/>
    <w:rsid w:val="00543918"/>
    <w:rsid w:val="00543AE7"/>
    <w:rsid w:val="00543D52"/>
    <w:rsid w:val="00543EF4"/>
    <w:rsid w:val="005441C9"/>
    <w:rsid w:val="00544278"/>
    <w:rsid w:val="005442E6"/>
    <w:rsid w:val="00544792"/>
    <w:rsid w:val="00544A7E"/>
    <w:rsid w:val="00545339"/>
    <w:rsid w:val="005453A9"/>
    <w:rsid w:val="005454D9"/>
    <w:rsid w:val="0054550A"/>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8B5"/>
    <w:rsid w:val="00550EEC"/>
    <w:rsid w:val="00550F8C"/>
    <w:rsid w:val="00551057"/>
    <w:rsid w:val="00551143"/>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65"/>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511"/>
    <w:rsid w:val="005906BE"/>
    <w:rsid w:val="00590870"/>
    <w:rsid w:val="00590AF3"/>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43"/>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5E69"/>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AA"/>
    <w:rsid w:val="005A16F2"/>
    <w:rsid w:val="005A19E0"/>
    <w:rsid w:val="005A2696"/>
    <w:rsid w:val="005A2CB8"/>
    <w:rsid w:val="005A2F82"/>
    <w:rsid w:val="005A3161"/>
    <w:rsid w:val="005A31D0"/>
    <w:rsid w:val="005A3537"/>
    <w:rsid w:val="005A37DA"/>
    <w:rsid w:val="005A37FE"/>
    <w:rsid w:val="005A387C"/>
    <w:rsid w:val="005A399A"/>
    <w:rsid w:val="005A3AD1"/>
    <w:rsid w:val="005A3E11"/>
    <w:rsid w:val="005A3EAB"/>
    <w:rsid w:val="005A4094"/>
    <w:rsid w:val="005A4379"/>
    <w:rsid w:val="005A4693"/>
    <w:rsid w:val="005A488F"/>
    <w:rsid w:val="005A4B77"/>
    <w:rsid w:val="005A4C6F"/>
    <w:rsid w:val="005A5319"/>
    <w:rsid w:val="005A535A"/>
    <w:rsid w:val="005A5731"/>
    <w:rsid w:val="005A6196"/>
    <w:rsid w:val="005A61E6"/>
    <w:rsid w:val="005A6259"/>
    <w:rsid w:val="005A627F"/>
    <w:rsid w:val="005A63BA"/>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4A3"/>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5F0"/>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F5A"/>
    <w:rsid w:val="005E1021"/>
    <w:rsid w:val="005E10FD"/>
    <w:rsid w:val="005E11F7"/>
    <w:rsid w:val="005E141B"/>
    <w:rsid w:val="005E19AF"/>
    <w:rsid w:val="005E1DFE"/>
    <w:rsid w:val="005E2056"/>
    <w:rsid w:val="005E226B"/>
    <w:rsid w:val="005E260E"/>
    <w:rsid w:val="005E266A"/>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6127"/>
    <w:rsid w:val="005E62CA"/>
    <w:rsid w:val="005E64E7"/>
    <w:rsid w:val="005E6B24"/>
    <w:rsid w:val="005E6D6F"/>
    <w:rsid w:val="005E7020"/>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14F"/>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AC6"/>
    <w:rsid w:val="005F4C23"/>
    <w:rsid w:val="005F4C6F"/>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A73"/>
    <w:rsid w:val="00606D92"/>
    <w:rsid w:val="00606F30"/>
    <w:rsid w:val="00606FDF"/>
    <w:rsid w:val="006073B6"/>
    <w:rsid w:val="00607ACE"/>
    <w:rsid w:val="00607BA1"/>
    <w:rsid w:val="00607F4C"/>
    <w:rsid w:val="0061032C"/>
    <w:rsid w:val="0061032D"/>
    <w:rsid w:val="00610805"/>
    <w:rsid w:val="0061084B"/>
    <w:rsid w:val="00610A12"/>
    <w:rsid w:val="00610A55"/>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5B2"/>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4F90"/>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8A9"/>
    <w:rsid w:val="00654AE5"/>
    <w:rsid w:val="00654FA6"/>
    <w:rsid w:val="0065517C"/>
    <w:rsid w:val="00655467"/>
    <w:rsid w:val="006555E9"/>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AAA"/>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2D"/>
    <w:rsid w:val="00666C5A"/>
    <w:rsid w:val="00666CBB"/>
    <w:rsid w:val="00666D8E"/>
    <w:rsid w:val="00667280"/>
    <w:rsid w:val="0066732E"/>
    <w:rsid w:val="00667524"/>
    <w:rsid w:val="006676B8"/>
    <w:rsid w:val="0066776F"/>
    <w:rsid w:val="006677AC"/>
    <w:rsid w:val="0066796F"/>
    <w:rsid w:val="0067006E"/>
    <w:rsid w:val="0067044B"/>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165"/>
    <w:rsid w:val="00683242"/>
    <w:rsid w:val="0068335C"/>
    <w:rsid w:val="00683374"/>
    <w:rsid w:val="00683433"/>
    <w:rsid w:val="006837C2"/>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87E70"/>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1E9"/>
    <w:rsid w:val="00697239"/>
    <w:rsid w:val="00697827"/>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66B"/>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936"/>
    <w:rsid w:val="006C2F7A"/>
    <w:rsid w:val="006C3047"/>
    <w:rsid w:val="006C311D"/>
    <w:rsid w:val="006C3A9B"/>
    <w:rsid w:val="006C3B36"/>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C86"/>
    <w:rsid w:val="006D0F1D"/>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85E"/>
    <w:rsid w:val="006E6CB6"/>
    <w:rsid w:val="006E6E1D"/>
    <w:rsid w:val="006E6FEF"/>
    <w:rsid w:val="006E75CF"/>
    <w:rsid w:val="006E76A5"/>
    <w:rsid w:val="006E7ABE"/>
    <w:rsid w:val="006E7B2B"/>
    <w:rsid w:val="006E7C5C"/>
    <w:rsid w:val="006E7C96"/>
    <w:rsid w:val="006E7F2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3FF"/>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18F"/>
    <w:rsid w:val="00702203"/>
    <w:rsid w:val="0070225A"/>
    <w:rsid w:val="00702673"/>
    <w:rsid w:val="007027FA"/>
    <w:rsid w:val="00702D2C"/>
    <w:rsid w:val="00702EA2"/>
    <w:rsid w:val="00703146"/>
    <w:rsid w:val="007036FF"/>
    <w:rsid w:val="00704150"/>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4F"/>
    <w:rsid w:val="00706D71"/>
    <w:rsid w:val="00706EB0"/>
    <w:rsid w:val="00706F19"/>
    <w:rsid w:val="00706F1B"/>
    <w:rsid w:val="00706FAA"/>
    <w:rsid w:val="00706FB0"/>
    <w:rsid w:val="00707067"/>
    <w:rsid w:val="0070707A"/>
    <w:rsid w:val="00707A66"/>
    <w:rsid w:val="00707C18"/>
    <w:rsid w:val="00707FC6"/>
    <w:rsid w:val="00710185"/>
    <w:rsid w:val="00710244"/>
    <w:rsid w:val="00710580"/>
    <w:rsid w:val="0071069F"/>
    <w:rsid w:val="00710714"/>
    <w:rsid w:val="0071089F"/>
    <w:rsid w:val="0071094A"/>
    <w:rsid w:val="0071096E"/>
    <w:rsid w:val="00710CE4"/>
    <w:rsid w:val="00711104"/>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398"/>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BFF"/>
    <w:rsid w:val="00725C62"/>
    <w:rsid w:val="00725D28"/>
    <w:rsid w:val="00725D2D"/>
    <w:rsid w:val="00725F38"/>
    <w:rsid w:val="007261E2"/>
    <w:rsid w:val="00726248"/>
    <w:rsid w:val="00726356"/>
    <w:rsid w:val="007263AF"/>
    <w:rsid w:val="007265D0"/>
    <w:rsid w:val="0072672C"/>
    <w:rsid w:val="0072674A"/>
    <w:rsid w:val="007268A4"/>
    <w:rsid w:val="00726E1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3A3"/>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4CE"/>
    <w:rsid w:val="0074566A"/>
    <w:rsid w:val="007457FA"/>
    <w:rsid w:val="00745BE7"/>
    <w:rsid w:val="00745D30"/>
    <w:rsid w:val="0074649B"/>
    <w:rsid w:val="00746574"/>
    <w:rsid w:val="007465DC"/>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2F85"/>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0BCE"/>
    <w:rsid w:val="00771487"/>
    <w:rsid w:val="007714A9"/>
    <w:rsid w:val="00771E83"/>
    <w:rsid w:val="00771F28"/>
    <w:rsid w:val="00771F57"/>
    <w:rsid w:val="00772063"/>
    <w:rsid w:val="00772AEE"/>
    <w:rsid w:val="00772E99"/>
    <w:rsid w:val="00773890"/>
    <w:rsid w:val="00773B9F"/>
    <w:rsid w:val="00773BDB"/>
    <w:rsid w:val="00773CE1"/>
    <w:rsid w:val="00773F32"/>
    <w:rsid w:val="00774B56"/>
    <w:rsid w:val="0077553B"/>
    <w:rsid w:val="0077584A"/>
    <w:rsid w:val="007758BB"/>
    <w:rsid w:val="00775A0F"/>
    <w:rsid w:val="00775C63"/>
    <w:rsid w:val="00775EC0"/>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43D0"/>
    <w:rsid w:val="007845C5"/>
    <w:rsid w:val="0078468D"/>
    <w:rsid w:val="007849DF"/>
    <w:rsid w:val="00784D28"/>
    <w:rsid w:val="00784E45"/>
    <w:rsid w:val="007852DA"/>
    <w:rsid w:val="00785344"/>
    <w:rsid w:val="00785521"/>
    <w:rsid w:val="00785A55"/>
    <w:rsid w:val="00785BB3"/>
    <w:rsid w:val="00785CF6"/>
    <w:rsid w:val="0078601F"/>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825"/>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A7F99"/>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6297"/>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2ECE"/>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EE"/>
    <w:rsid w:val="007D515E"/>
    <w:rsid w:val="007D5223"/>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AE"/>
    <w:rsid w:val="007D7E33"/>
    <w:rsid w:val="007E0279"/>
    <w:rsid w:val="007E060D"/>
    <w:rsid w:val="007E07A0"/>
    <w:rsid w:val="007E08F9"/>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0A"/>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F0"/>
    <w:rsid w:val="00805576"/>
    <w:rsid w:val="00805624"/>
    <w:rsid w:val="00805AB2"/>
    <w:rsid w:val="00805FEF"/>
    <w:rsid w:val="0080690A"/>
    <w:rsid w:val="00806A71"/>
    <w:rsid w:val="00806D9F"/>
    <w:rsid w:val="00806F24"/>
    <w:rsid w:val="008076B6"/>
    <w:rsid w:val="00807C9C"/>
    <w:rsid w:val="00807F77"/>
    <w:rsid w:val="008100C9"/>
    <w:rsid w:val="00810144"/>
    <w:rsid w:val="00810230"/>
    <w:rsid w:val="00810244"/>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0B0"/>
    <w:rsid w:val="0081440D"/>
    <w:rsid w:val="0081445A"/>
    <w:rsid w:val="0081474E"/>
    <w:rsid w:val="0081490E"/>
    <w:rsid w:val="00814E90"/>
    <w:rsid w:val="00814EB1"/>
    <w:rsid w:val="00815798"/>
    <w:rsid w:val="008159CE"/>
    <w:rsid w:val="00815A9E"/>
    <w:rsid w:val="00815C9E"/>
    <w:rsid w:val="00815D36"/>
    <w:rsid w:val="00815D8E"/>
    <w:rsid w:val="0081602F"/>
    <w:rsid w:val="00816264"/>
    <w:rsid w:val="008162C2"/>
    <w:rsid w:val="0081639B"/>
    <w:rsid w:val="00816470"/>
    <w:rsid w:val="008164F0"/>
    <w:rsid w:val="0081670F"/>
    <w:rsid w:val="00816A80"/>
    <w:rsid w:val="00816B0D"/>
    <w:rsid w:val="00816C26"/>
    <w:rsid w:val="00816F13"/>
    <w:rsid w:val="00817393"/>
    <w:rsid w:val="0081742D"/>
    <w:rsid w:val="008177F8"/>
    <w:rsid w:val="008178F6"/>
    <w:rsid w:val="00817964"/>
    <w:rsid w:val="00817C73"/>
    <w:rsid w:val="00817F7E"/>
    <w:rsid w:val="00817FD6"/>
    <w:rsid w:val="008200A8"/>
    <w:rsid w:val="00820215"/>
    <w:rsid w:val="00820405"/>
    <w:rsid w:val="008204B1"/>
    <w:rsid w:val="00820787"/>
    <w:rsid w:val="00820EA3"/>
    <w:rsid w:val="00820FB8"/>
    <w:rsid w:val="0082106C"/>
    <w:rsid w:val="008211B0"/>
    <w:rsid w:val="0082150B"/>
    <w:rsid w:val="00821558"/>
    <w:rsid w:val="008216D8"/>
    <w:rsid w:val="008216E4"/>
    <w:rsid w:val="00821930"/>
    <w:rsid w:val="00821E09"/>
    <w:rsid w:val="00822018"/>
    <w:rsid w:val="00822035"/>
    <w:rsid w:val="00822473"/>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CA"/>
    <w:rsid w:val="00826AE2"/>
    <w:rsid w:val="00826EAB"/>
    <w:rsid w:val="0082732B"/>
    <w:rsid w:val="00827562"/>
    <w:rsid w:val="0082757D"/>
    <w:rsid w:val="0082762F"/>
    <w:rsid w:val="0082765F"/>
    <w:rsid w:val="00827C5C"/>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05B"/>
    <w:rsid w:val="00836164"/>
    <w:rsid w:val="008362BF"/>
    <w:rsid w:val="00836CE3"/>
    <w:rsid w:val="00836E69"/>
    <w:rsid w:val="00836F0C"/>
    <w:rsid w:val="008370DF"/>
    <w:rsid w:val="008371CE"/>
    <w:rsid w:val="008375FA"/>
    <w:rsid w:val="00837843"/>
    <w:rsid w:val="008378DA"/>
    <w:rsid w:val="00837B27"/>
    <w:rsid w:val="00837FEC"/>
    <w:rsid w:val="008400B9"/>
    <w:rsid w:val="00840294"/>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4E7"/>
    <w:rsid w:val="00842C6B"/>
    <w:rsid w:val="00842ED8"/>
    <w:rsid w:val="00842F89"/>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8EF"/>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08C0"/>
    <w:rsid w:val="00860ED6"/>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2D4C"/>
    <w:rsid w:val="00863030"/>
    <w:rsid w:val="00863109"/>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D9A"/>
    <w:rsid w:val="00872F99"/>
    <w:rsid w:val="008731F0"/>
    <w:rsid w:val="0087334F"/>
    <w:rsid w:val="00873710"/>
    <w:rsid w:val="00873889"/>
    <w:rsid w:val="0087398C"/>
    <w:rsid w:val="00873C1E"/>
    <w:rsid w:val="00873C89"/>
    <w:rsid w:val="00873D54"/>
    <w:rsid w:val="00873DA3"/>
    <w:rsid w:val="008741B1"/>
    <w:rsid w:val="008742EA"/>
    <w:rsid w:val="008746CC"/>
    <w:rsid w:val="00874A33"/>
    <w:rsid w:val="00874B08"/>
    <w:rsid w:val="00874D43"/>
    <w:rsid w:val="0087552A"/>
    <w:rsid w:val="0087557E"/>
    <w:rsid w:val="008757D5"/>
    <w:rsid w:val="00875BEB"/>
    <w:rsid w:val="00875E52"/>
    <w:rsid w:val="00875F64"/>
    <w:rsid w:val="00876121"/>
    <w:rsid w:val="008762C1"/>
    <w:rsid w:val="0087637C"/>
    <w:rsid w:val="00876778"/>
    <w:rsid w:val="0087688E"/>
    <w:rsid w:val="00876942"/>
    <w:rsid w:val="00876B4E"/>
    <w:rsid w:val="00876CC1"/>
    <w:rsid w:val="00877117"/>
    <w:rsid w:val="00877126"/>
    <w:rsid w:val="00877136"/>
    <w:rsid w:val="008774AF"/>
    <w:rsid w:val="008776D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C2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185"/>
    <w:rsid w:val="008923AE"/>
    <w:rsid w:val="00892444"/>
    <w:rsid w:val="008925AC"/>
    <w:rsid w:val="00892678"/>
    <w:rsid w:val="0089284E"/>
    <w:rsid w:val="00892987"/>
    <w:rsid w:val="00892AFA"/>
    <w:rsid w:val="00892BF6"/>
    <w:rsid w:val="00892D0E"/>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91F"/>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EA7"/>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16"/>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92C"/>
    <w:rsid w:val="008B49C3"/>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0E5"/>
    <w:rsid w:val="008C61C5"/>
    <w:rsid w:val="008C61F5"/>
    <w:rsid w:val="008C652F"/>
    <w:rsid w:val="008C6778"/>
    <w:rsid w:val="008C6AF0"/>
    <w:rsid w:val="008C6C4C"/>
    <w:rsid w:val="008C6F5D"/>
    <w:rsid w:val="008C70CD"/>
    <w:rsid w:val="008C72CC"/>
    <w:rsid w:val="008C731E"/>
    <w:rsid w:val="008C74BF"/>
    <w:rsid w:val="008C75B0"/>
    <w:rsid w:val="008C7AB8"/>
    <w:rsid w:val="008C7D61"/>
    <w:rsid w:val="008C7DFF"/>
    <w:rsid w:val="008C7E0B"/>
    <w:rsid w:val="008C7F72"/>
    <w:rsid w:val="008D0153"/>
    <w:rsid w:val="008D0814"/>
    <w:rsid w:val="008D09F3"/>
    <w:rsid w:val="008D0E14"/>
    <w:rsid w:val="008D1257"/>
    <w:rsid w:val="008D133C"/>
    <w:rsid w:val="008D1646"/>
    <w:rsid w:val="008D1A3C"/>
    <w:rsid w:val="008D1A8F"/>
    <w:rsid w:val="008D1C22"/>
    <w:rsid w:val="008D1CD9"/>
    <w:rsid w:val="008D1D47"/>
    <w:rsid w:val="008D2783"/>
    <w:rsid w:val="008D29F0"/>
    <w:rsid w:val="008D2AD3"/>
    <w:rsid w:val="008D2CDB"/>
    <w:rsid w:val="008D2E8D"/>
    <w:rsid w:val="008D3230"/>
    <w:rsid w:val="008D32E1"/>
    <w:rsid w:val="008D32E3"/>
    <w:rsid w:val="008D33BD"/>
    <w:rsid w:val="008D3ACA"/>
    <w:rsid w:val="008D3B16"/>
    <w:rsid w:val="008D3B56"/>
    <w:rsid w:val="008D4071"/>
    <w:rsid w:val="008D42D8"/>
    <w:rsid w:val="008D49ED"/>
    <w:rsid w:val="008D4BA4"/>
    <w:rsid w:val="008D4D7C"/>
    <w:rsid w:val="008D4DB9"/>
    <w:rsid w:val="008D4E75"/>
    <w:rsid w:val="008D5097"/>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8C8"/>
    <w:rsid w:val="008E7DE2"/>
    <w:rsid w:val="008F0604"/>
    <w:rsid w:val="008F069D"/>
    <w:rsid w:val="008F06DA"/>
    <w:rsid w:val="008F0764"/>
    <w:rsid w:val="008F08F6"/>
    <w:rsid w:val="008F0A15"/>
    <w:rsid w:val="008F0B7B"/>
    <w:rsid w:val="008F0CF5"/>
    <w:rsid w:val="008F10AA"/>
    <w:rsid w:val="008F124E"/>
    <w:rsid w:val="008F1331"/>
    <w:rsid w:val="008F1446"/>
    <w:rsid w:val="008F1572"/>
    <w:rsid w:val="008F1935"/>
    <w:rsid w:val="008F1E49"/>
    <w:rsid w:val="008F1FD4"/>
    <w:rsid w:val="008F24AC"/>
    <w:rsid w:val="008F25C5"/>
    <w:rsid w:val="008F2641"/>
    <w:rsid w:val="008F2880"/>
    <w:rsid w:val="008F2C6A"/>
    <w:rsid w:val="008F2DB1"/>
    <w:rsid w:val="008F2E05"/>
    <w:rsid w:val="008F2E7C"/>
    <w:rsid w:val="008F3049"/>
    <w:rsid w:val="008F31A4"/>
    <w:rsid w:val="008F3390"/>
    <w:rsid w:val="008F33D0"/>
    <w:rsid w:val="008F3467"/>
    <w:rsid w:val="008F3683"/>
    <w:rsid w:val="008F3692"/>
    <w:rsid w:val="008F36A3"/>
    <w:rsid w:val="008F3B84"/>
    <w:rsid w:val="008F3B99"/>
    <w:rsid w:val="008F416F"/>
    <w:rsid w:val="008F488E"/>
    <w:rsid w:val="008F48CB"/>
    <w:rsid w:val="008F4B0D"/>
    <w:rsid w:val="008F4B19"/>
    <w:rsid w:val="008F4E6F"/>
    <w:rsid w:val="008F502A"/>
    <w:rsid w:val="008F54C7"/>
    <w:rsid w:val="008F59D5"/>
    <w:rsid w:val="008F5B6E"/>
    <w:rsid w:val="008F5CFA"/>
    <w:rsid w:val="008F5ED7"/>
    <w:rsid w:val="008F61E3"/>
    <w:rsid w:val="008F62F3"/>
    <w:rsid w:val="008F649B"/>
    <w:rsid w:val="008F658B"/>
    <w:rsid w:val="008F6863"/>
    <w:rsid w:val="008F6A3E"/>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233"/>
    <w:rsid w:val="00917503"/>
    <w:rsid w:val="00917CC9"/>
    <w:rsid w:val="00917DD8"/>
    <w:rsid w:val="00920193"/>
    <w:rsid w:val="009204AD"/>
    <w:rsid w:val="00920FAE"/>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5E22"/>
    <w:rsid w:val="00925F65"/>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E04"/>
    <w:rsid w:val="00930F72"/>
    <w:rsid w:val="00931091"/>
    <w:rsid w:val="009310E7"/>
    <w:rsid w:val="0093127D"/>
    <w:rsid w:val="00931357"/>
    <w:rsid w:val="00931660"/>
    <w:rsid w:val="00931AD9"/>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AFE"/>
    <w:rsid w:val="0093730A"/>
    <w:rsid w:val="009373DC"/>
    <w:rsid w:val="0093766C"/>
    <w:rsid w:val="00937A61"/>
    <w:rsid w:val="009400E0"/>
    <w:rsid w:val="0094031D"/>
    <w:rsid w:val="00940B26"/>
    <w:rsid w:val="00940D3E"/>
    <w:rsid w:val="009410AC"/>
    <w:rsid w:val="0094111F"/>
    <w:rsid w:val="009413E7"/>
    <w:rsid w:val="0094161A"/>
    <w:rsid w:val="00941810"/>
    <w:rsid w:val="00941B41"/>
    <w:rsid w:val="00941C49"/>
    <w:rsid w:val="00941DCA"/>
    <w:rsid w:val="00942007"/>
    <w:rsid w:val="00942029"/>
    <w:rsid w:val="009421C7"/>
    <w:rsid w:val="0094221C"/>
    <w:rsid w:val="009426B6"/>
    <w:rsid w:val="00942739"/>
    <w:rsid w:val="00942A57"/>
    <w:rsid w:val="00942B22"/>
    <w:rsid w:val="0094302F"/>
    <w:rsid w:val="0094368F"/>
    <w:rsid w:val="009439B3"/>
    <w:rsid w:val="00943A0B"/>
    <w:rsid w:val="00943E9F"/>
    <w:rsid w:val="00943F17"/>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034"/>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72E"/>
    <w:rsid w:val="00967780"/>
    <w:rsid w:val="009677A5"/>
    <w:rsid w:val="009678B4"/>
    <w:rsid w:val="00967A7C"/>
    <w:rsid w:val="00967B0A"/>
    <w:rsid w:val="00967BC1"/>
    <w:rsid w:val="00967F74"/>
    <w:rsid w:val="0097023E"/>
    <w:rsid w:val="00970BAA"/>
    <w:rsid w:val="00970DF6"/>
    <w:rsid w:val="00971049"/>
    <w:rsid w:val="009717C0"/>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937"/>
    <w:rsid w:val="00973A78"/>
    <w:rsid w:val="00973C45"/>
    <w:rsid w:val="00973C4E"/>
    <w:rsid w:val="00973CE1"/>
    <w:rsid w:val="00973D2A"/>
    <w:rsid w:val="00973ECB"/>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3"/>
    <w:rsid w:val="009872A7"/>
    <w:rsid w:val="00987349"/>
    <w:rsid w:val="00987491"/>
    <w:rsid w:val="0098755D"/>
    <w:rsid w:val="00987894"/>
    <w:rsid w:val="00987A7E"/>
    <w:rsid w:val="00987CCC"/>
    <w:rsid w:val="0099062A"/>
    <w:rsid w:val="00990854"/>
    <w:rsid w:val="00990A71"/>
    <w:rsid w:val="00990C55"/>
    <w:rsid w:val="0099111E"/>
    <w:rsid w:val="00991543"/>
    <w:rsid w:val="0099167B"/>
    <w:rsid w:val="00991B49"/>
    <w:rsid w:val="00991CCE"/>
    <w:rsid w:val="00992249"/>
    <w:rsid w:val="00992691"/>
    <w:rsid w:val="00992973"/>
    <w:rsid w:val="00992AC2"/>
    <w:rsid w:val="00992F46"/>
    <w:rsid w:val="0099316E"/>
    <w:rsid w:val="009932AE"/>
    <w:rsid w:val="009932E5"/>
    <w:rsid w:val="009933C1"/>
    <w:rsid w:val="009933EB"/>
    <w:rsid w:val="009934E0"/>
    <w:rsid w:val="00993505"/>
    <w:rsid w:val="009938C9"/>
    <w:rsid w:val="009938D8"/>
    <w:rsid w:val="009939EB"/>
    <w:rsid w:val="00993B20"/>
    <w:rsid w:val="00993B4F"/>
    <w:rsid w:val="00993D86"/>
    <w:rsid w:val="00993E8E"/>
    <w:rsid w:val="00993F37"/>
    <w:rsid w:val="00994137"/>
    <w:rsid w:val="0099431E"/>
    <w:rsid w:val="009943BE"/>
    <w:rsid w:val="00994F92"/>
    <w:rsid w:val="009951F1"/>
    <w:rsid w:val="00995776"/>
    <w:rsid w:val="00995EBD"/>
    <w:rsid w:val="00995EFC"/>
    <w:rsid w:val="0099625E"/>
    <w:rsid w:val="0099629C"/>
    <w:rsid w:val="00996564"/>
    <w:rsid w:val="0099691B"/>
    <w:rsid w:val="009971BE"/>
    <w:rsid w:val="00997305"/>
    <w:rsid w:val="0099736F"/>
    <w:rsid w:val="009974CB"/>
    <w:rsid w:val="00997547"/>
    <w:rsid w:val="00997677"/>
    <w:rsid w:val="009978AE"/>
    <w:rsid w:val="00997B76"/>
    <w:rsid w:val="00997CC7"/>
    <w:rsid w:val="00997E1C"/>
    <w:rsid w:val="00997EA3"/>
    <w:rsid w:val="009A0195"/>
    <w:rsid w:val="009A01E1"/>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3151"/>
    <w:rsid w:val="009A31FB"/>
    <w:rsid w:val="009A32E2"/>
    <w:rsid w:val="009A3592"/>
    <w:rsid w:val="009A3630"/>
    <w:rsid w:val="009A366A"/>
    <w:rsid w:val="009A372E"/>
    <w:rsid w:val="009A3966"/>
    <w:rsid w:val="009A3A2C"/>
    <w:rsid w:val="009A3AEA"/>
    <w:rsid w:val="009A3B51"/>
    <w:rsid w:val="009A3C7F"/>
    <w:rsid w:val="009A419B"/>
    <w:rsid w:val="009A4435"/>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80F"/>
    <w:rsid w:val="009B1BDE"/>
    <w:rsid w:val="009B1C15"/>
    <w:rsid w:val="009B1FE0"/>
    <w:rsid w:val="009B2115"/>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7D5"/>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BF"/>
    <w:rsid w:val="009C5943"/>
    <w:rsid w:val="009C5A10"/>
    <w:rsid w:val="009C5AAC"/>
    <w:rsid w:val="009C5D18"/>
    <w:rsid w:val="009C5DDB"/>
    <w:rsid w:val="009C5DF1"/>
    <w:rsid w:val="009C5E9B"/>
    <w:rsid w:val="009C5EE1"/>
    <w:rsid w:val="009C5F12"/>
    <w:rsid w:val="009C60E2"/>
    <w:rsid w:val="009C62A2"/>
    <w:rsid w:val="009C6368"/>
    <w:rsid w:val="009C68B3"/>
    <w:rsid w:val="009C6CA9"/>
    <w:rsid w:val="009C6FA8"/>
    <w:rsid w:val="009C7252"/>
    <w:rsid w:val="009C72A2"/>
    <w:rsid w:val="009C7310"/>
    <w:rsid w:val="009C7546"/>
    <w:rsid w:val="009C7CA8"/>
    <w:rsid w:val="009C7DE3"/>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1EA1"/>
    <w:rsid w:val="009D2615"/>
    <w:rsid w:val="009D29AD"/>
    <w:rsid w:val="009D2A2E"/>
    <w:rsid w:val="009D2BEF"/>
    <w:rsid w:val="009D30DD"/>
    <w:rsid w:val="009D362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989"/>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A91"/>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7167"/>
    <w:rsid w:val="00A073DA"/>
    <w:rsid w:val="00A07852"/>
    <w:rsid w:val="00A0793B"/>
    <w:rsid w:val="00A0793D"/>
    <w:rsid w:val="00A07C7C"/>
    <w:rsid w:val="00A07C81"/>
    <w:rsid w:val="00A100AA"/>
    <w:rsid w:val="00A103C1"/>
    <w:rsid w:val="00A103FF"/>
    <w:rsid w:val="00A10657"/>
    <w:rsid w:val="00A10692"/>
    <w:rsid w:val="00A108A8"/>
    <w:rsid w:val="00A10976"/>
    <w:rsid w:val="00A10B80"/>
    <w:rsid w:val="00A10C47"/>
    <w:rsid w:val="00A10F11"/>
    <w:rsid w:val="00A10FB7"/>
    <w:rsid w:val="00A111B5"/>
    <w:rsid w:val="00A1122E"/>
    <w:rsid w:val="00A11C35"/>
    <w:rsid w:val="00A11DFE"/>
    <w:rsid w:val="00A11EB6"/>
    <w:rsid w:val="00A1235A"/>
    <w:rsid w:val="00A12400"/>
    <w:rsid w:val="00A1277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940"/>
    <w:rsid w:val="00A30A03"/>
    <w:rsid w:val="00A30AF6"/>
    <w:rsid w:val="00A3178F"/>
    <w:rsid w:val="00A317AA"/>
    <w:rsid w:val="00A317E9"/>
    <w:rsid w:val="00A32097"/>
    <w:rsid w:val="00A32202"/>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4DEF"/>
    <w:rsid w:val="00A35394"/>
    <w:rsid w:val="00A35499"/>
    <w:rsid w:val="00A355D1"/>
    <w:rsid w:val="00A35CB3"/>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1C4"/>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3C8"/>
    <w:rsid w:val="00A4647C"/>
    <w:rsid w:val="00A4647E"/>
    <w:rsid w:val="00A469BF"/>
    <w:rsid w:val="00A46B9E"/>
    <w:rsid w:val="00A46E54"/>
    <w:rsid w:val="00A47561"/>
    <w:rsid w:val="00A4759E"/>
    <w:rsid w:val="00A47631"/>
    <w:rsid w:val="00A477A5"/>
    <w:rsid w:val="00A477D3"/>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5AD3"/>
    <w:rsid w:val="00A66060"/>
    <w:rsid w:val="00A66181"/>
    <w:rsid w:val="00A663D6"/>
    <w:rsid w:val="00A66404"/>
    <w:rsid w:val="00A66487"/>
    <w:rsid w:val="00A66608"/>
    <w:rsid w:val="00A666A9"/>
    <w:rsid w:val="00A66BE8"/>
    <w:rsid w:val="00A66F62"/>
    <w:rsid w:val="00A67138"/>
    <w:rsid w:val="00A6734A"/>
    <w:rsid w:val="00A67A87"/>
    <w:rsid w:val="00A70321"/>
    <w:rsid w:val="00A70A98"/>
    <w:rsid w:val="00A70ACC"/>
    <w:rsid w:val="00A70B52"/>
    <w:rsid w:val="00A70CC2"/>
    <w:rsid w:val="00A710CE"/>
    <w:rsid w:val="00A7152A"/>
    <w:rsid w:val="00A71796"/>
    <w:rsid w:val="00A71A66"/>
    <w:rsid w:val="00A71ABF"/>
    <w:rsid w:val="00A71E16"/>
    <w:rsid w:val="00A71F6D"/>
    <w:rsid w:val="00A72277"/>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5B3"/>
    <w:rsid w:val="00A768A1"/>
    <w:rsid w:val="00A76A5A"/>
    <w:rsid w:val="00A77031"/>
    <w:rsid w:val="00A77628"/>
    <w:rsid w:val="00A77C3E"/>
    <w:rsid w:val="00A77CD6"/>
    <w:rsid w:val="00A77F72"/>
    <w:rsid w:val="00A800BC"/>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7BC"/>
    <w:rsid w:val="00A84874"/>
    <w:rsid w:val="00A8497B"/>
    <w:rsid w:val="00A84F81"/>
    <w:rsid w:val="00A85124"/>
    <w:rsid w:val="00A85128"/>
    <w:rsid w:val="00A853C9"/>
    <w:rsid w:val="00A8567C"/>
    <w:rsid w:val="00A85686"/>
    <w:rsid w:val="00A856BA"/>
    <w:rsid w:val="00A85700"/>
    <w:rsid w:val="00A85BEC"/>
    <w:rsid w:val="00A85E50"/>
    <w:rsid w:val="00A8626D"/>
    <w:rsid w:val="00A86436"/>
    <w:rsid w:val="00A8682D"/>
    <w:rsid w:val="00A86CA4"/>
    <w:rsid w:val="00A86DCD"/>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8AC"/>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546"/>
    <w:rsid w:val="00A945BA"/>
    <w:rsid w:val="00A9475D"/>
    <w:rsid w:val="00A947C0"/>
    <w:rsid w:val="00A94D94"/>
    <w:rsid w:val="00A954BD"/>
    <w:rsid w:val="00A95610"/>
    <w:rsid w:val="00A95654"/>
    <w:rsid w:val="00A95995"/>
    <w:rsid w:val="00A95A6C"/>
    <w:rsid w:val="00A95B7D"/>
    <w:rsid w:val="00A95D39"/>
    <w:rsid w:val="00A95EA8"/>
    <w:rsid w:val="00A9639F"/>
    <w:rsid w:val="00A9649A"/>
    <w:rsid w:val="00A965A2"/>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841"/>
    <w:rsid w:val="00AC286F"/>
    <w:rsid w:val="00AC28E7"/>
    <w:rsid w:val="00AC32A1"/>
    <w:rsid w:val="00AC32C0"/>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6D5"/>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1E4"/>
    <w:rsid w:val="00AF22BA"/>
    <w:rsid w:val="00AF23ED"/>
    <w:rsid w:val="00AF251F"/>
    <w:rsid w:val="00AF2970"/>
    <w:rsid w:val="00AF2A71"/>
    <w:rsid w:val="00AF35CC"/>
    <w:rsid w:val="00AF39E1"/>
    <w:rsid w:val="00AF3AED"/>
    <w:rsid w:val="00AF3B82"/>
    <w:rsid w:val="00AF3C5E"/>
    <w:rsid w:val="00AF42FE"/>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C47"/>
    <w:rsid w:val="00B0248D"/>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291"/>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2300"/>
    <w:rsid w:val="00B123A2"/>
    <w:rsid w:val="00B123F6"/>
    <w:rsid w:val="00B12442"/>
    <w:rsid w:val="00B1244C"/>
    <w:rsid w:val="00B12706"/>
    <w:rsid w:val="00B1296A"/>
    <w:rsid w:val="00B12BB9"/>
    <w:rsid w:val="00B12CC9"/>
    <w:rsid w:val="00B12EAB"/>
    <w:rsid w:val="00B13389"/>
    <w:rsid w:val="00B13513"/>
    <w:rsid w:val="00B138FC"/>
    <w:rsid w:val="00B13979"/>
    <w:rsid w:val="00B13C3A"/>
    <w:rsid w:val="00B13CF7"/>
    <w:rsid w:val="00B13E57"/>
    <w:rsid w:val="00B13F4D"/>
    <w:rsid w:val="00B1433A"/>
    <w:rsid w:val="00B1434E"/>
    <w:rsid w:val="00B143D8"/>
    <w:rsid w:val="00B14509"/>
    <w:rsid w:val="00B14741"/>
    <w:rsid w:val="00B1475B"/>
    <w:rsid w:val="00B14810"/>
    <w:rsid w:val="00B14ABF"/>
    <w:rsid w:val="00B14EA9"/>
    <w:rsid w:val="00B14FF3"/>
    <w:rsid w:val="00B15277"/>
    <w:rsid w:val="00B15430"/>
    <w:rsid w:val="00B15459"/>
    <w:rsid w:val="00B15633"/>
    <w:rsid w:val="00B15768"/>
    <w:rsid w:val="00B15781"/>
    <w:rsid w:val="00B157FA"/>
    <w:rsid w:val="00B15D65"/>
    <w:rsid w:val="00B15DDA"/>
    <w:rsid w:val="00B15E42"/>
    <w:rsid w:val="00B15F14"/>
    <w:rsid w:val="00B15F67"/>
    <w:rsid w:val="00B15FCA"/>
    <w:rsid w:val="00B161E2"/>
    <w:rsid w:val="00B1626B"/>
    <w:rsid w:val="00B16348"/>
    <w:rsid w:val="00B16546"/>
    <w:rsid w:val="00B1672E"/>
    <w:rsid w:val="00B16839"/>
    <w:rsid w:val="00B16D67"/>
    <w:rsid w:val="00B1732B"/>
    <w:rsid w:val="00B17408"/>
    <w:rsid w:val="00B17604"/>
    <w:rsid w:val="00B176FB"/>
    <w:rsid w:val="00B178E2"/>
    <w:rsid w:val="00B17BC8"/>
    <w:rsid w:val="00B17BD9"/>
    <w:rsid w:val="00B200AF"/>
    <w:rsid w:val="00B2024E"/>
    <w:rsid w:val="00B2034B"/>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8F"/>
    <w:rsid w:val="00B23FFE"/>
    <w:rsid w:val="00B24289"/>
    <w:rsid w:val="00B242EB"/>
    <w:rsid w:val="00B2438A"/>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4E8"/>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4B5"/>
    <w:rsid w:val="00B337AB"/>
    <w:rsid w:val="00B33E4C"/>
    <w:rsid w:val="00B33EE4"/>
    <w:rsid w:val="00B340C7"/>
    <w:rsid w:val="00B340E0"/>
    <w:rsid w:val="00B342B4"/>
    <w:rsid w:val="00B3434B"/>
    <w:rsid w:val="00B343D1"/>
    <w:rsid w:val="00B34543"/>
    <w:rsid w:val="00B34691"/>
    <w:rsid w:val="00B353F4"/>
    <w:rsid w:val="00B355C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E7A"/>
    <w:rsid w:val="00B670E8"/>
    <w:rsid w:val="00B6713F"/>
    <w:rsid w:val="00B67372"/>
    <w:rsid w:val="00B675A8"/>
    <w:rsid w:val="00B67671"/>
    <w:rsid w:val="00B678EC"/>
    <w:rsid w:val="00B67948"/>
    <w:rsid w:val="00B67E7E"/>
    <w:rsid w:val="00B703E9"/>
    <w:rsid w:val="00B707D8"/>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330"/>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34F"/>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D2C"/>
    <w:rsid w:val="00B94F86"/>
    <w:rsid w:val="00B95153"/>
    <w:rsid w:val="00B951C8"/>
    <w:rsid w:val="00B9563C"/>
    <w:rsid w:val="00B9595D"/>
    <w:rsid w:val="00B95DE2"/>
    <w:rsid w:val="00B9605E"/>
    <w:rsid w:val="00B96339"/>
    <w:rsid w:val="00B9633D"/>
    <w:rsid w:val="00B9667C"/>
    <w:rsid w:val="00B96872"/>
    <w:rsid w:val="00B96883"/>
    <w:rsid w:val="00B968DC"/>
    <w:rsid w:val="00B969A2"/>
    <w:rsid w:val="00B96A39"/>
    <w:rsid w:val="00B96CDB"/>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AF0"/>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2CE"/>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28B"/>
    <w:rsid w:val="00BB3527"/>
    <w:rsid w:val="00BB359C"/>
    <w:rsid w:val="00BB35C3"/>
    <w:rsid w:val="00BB3A90"/>
    <w:rsid w:val="00BB3F07"/>
    <w:rsid w:val="00BB44B6"/>
    <w:rsid w:val="00BB468B"/>
    <w:rsid w:val="00BB4D6F"/>
    <w:rsid w:val="00BB50E3"/>
    <w:rsid w:val="00BB5138"/>
    <w:rsid w:val="00BB5314"/>
    <w:rsid w:val="00BB535C"/>
    <w:rsid w:val="00BB56EA"/>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19E"/>
    <w:rsid w:val="00BC26AE"/>
    <w:rsid w:val="00BC2DF6"/>
    <w:rsid w:val="00BC2FC2"/>
    <w:rsid w:val="00BC30B6"/>
    <w:rsid w:val="00BC3210"/>
    <w:rsid w:val="00BC32F7"/>
    <w:rsid w:val="00BC3701"/>
    <w:rsid w:val="00BC3E1F"/>
    <w:rsid w:val="00BC3E28"/>
    <w:rsid w:val="00BC3EF3"/>
    <w:rsid w:val="00BC40C8"/>
    <w:rsid w:val="00BC4214"/>
    <w:rsid w:val="00BC4663"/>
    <w:rsid w:val="00BC4976"/>
    <w:rsid w:val="00BC4A9D"/>
    <w:rsid w:val="00BC4B80"/>
    <w:rsid w:val="00BC4C7F"/>
    <w:rsid w:val="00BC4C98"/>
    <w:rsid w:val="00BC4E57"/>
    <w:rsid w:val="00BC50A3"/>
    <w:rsid w:val="00BC51EA"/>
    <w:rsid w:val="00BC53BA"/>
    <w:rsid w:val="00BC5AED"/>
    <w:rsid w:val="00BC5B50"/>
    <w:rsid w:val="00BC5EA0"/>
    <w:rsid w:val="00BC5F29"/>
    <w:rsid w:val="00BC6088"/>
    <w:rsid w:val="00BC614B"/>
    <w:rsid w:val="00BC677E"/>
    <w:rsid w:val="00BC68F3"/>
    <w:rsid w:val="00BC6966"/>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46C"/>
    <w:rsid w:val="00BD150F"/>
    <w:rsid w:val="00BD156B"/>
    <w:rsid w:val="00BD1A3A"/>
    <w:rsid w:val="00BD1F68"/>
    <w:rsid w:val="00BD2008"/>
    <w:rsid w:val="00BD247E"/>
    <w:rsid w:val="00BD256F"/>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6911"/>
    <w:rsid w:val="00BE73C0"/>
    <w:rsid w:val="00BE768B"/>
    <w:rsid w:val="00BE79D0"/>
    <w:rsid w:val="00BE7B85"/>
    <w:rsid w:val="00BE7F23"/>
    <w:rsid w:val="00BE7FC7"/>
    <w:rsid w:val="00BF00A4"/>
    <w:rsid w:val="00BF03EC"/>
    <w:rsid w:val="00BF05C5"/>
    <w:rsid w:val="00BF066B"/>
    <w:rsid w:val="00BF085B"/>
    <w:rsid w:val="00BF0C0F"/>
    <w:rsid w:val="00BF0C59"/>
    <w:rsid w:val="00BF0FA7"/>
    <w:rsid w:val="00BF18A1"/>
    <w:rsid w:val="00BF1B62"/>
    <w:rsid w:val="00BF1BB5"/>
    <w:rsid w:val="00BF2076"/>
    <w:rsid w:val="00BF218C"/>
    <w:rsid w:val="00BF24EF"/>
    <w:rsid w:val="00BF25B6"/>
    <w:rsid w:val="00BF2909"/>
    <w:rsid w:val="00BF2C22"/>
    <w:rsid w:val="00BF2CDC"/>
    <w:rsid w:val="00BF2F6C"/>
    <w:rsid w:val="00BF2FFA"/>
    <w:rsid w:val="00BF38BF"/>
    <w:rsid w:val="00BF3B2F"/>
    <w:rsid w:val="00BF3B65"/>
    <w:rsid w:val="00BF3F7D"/>
    <w:rsid w:val="00BF4134"/>
    <w:rsid w:val="00BF416E"/>
    <w:rsid w:val="00BF44DC"/>
    <w:rsid w:val="00BF46DF"/>
    <w:rsid w:val="00BF4708"/>
    <w:rsid w:val="00BF47BF"/>
    <w:rsid w:val="00BF49C3"/>
    <w:rsid w:val="00BF4A1F"/>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C3B"/>
    <w:rsid w:val="00C00E76"/>
    <w:rsid w:val="00C00FFC"/>
    <w:rsid w:val="00C0116C"/>
    <w:rsid w:val="00C01399"/>
    <w:rsid w:val="00C0142A"/>
    <w:rsid w:val="00C01430"/>
    <w:rsid w:val="00C01780"/>
    <w:rsid w:val="00C018CC"/>
    <w:rsid w:val="00C01B51"/>
    <w:rsid w:val="00C021F9"/>
    <w:rsid w:val="00C023A0"/>
    <w:rsid w:val="00C02419"/>
    <w:rsid w:val="00C02457"/>
    <w:rsid w:val="00C02A47"/>
    <w:rsid w:val="00C031E3"/>
    <w:rsid w:val="00C03259"/>
    <w:rsid w:val="00C0329D"/>
    <w:rsid w:val="00C0335F"/>
    <w:rsid w:val="00C0370F"/>
    <w:rsid w:val="00C03715"/>
    <w:rsid w:val="00C0475A"/>
    <w:rsid w:val="00C04852"/>
    <w:rsid w:val="00C0494C"/>
    <w:rsid w:val="00C04BC3"/>
    <w:rsid w:val="00C04DE9"/>
    <w:rsid w:val="00C055DB"/>
    <w:rsid w:val="00C057AC"/>
    <w:rsid w:val="00C05986"/>
    <w:rsid w:val="00C05A4D"/>
    <w:rsid w:val="00C05B64"/>
    <w:rsid w:val="00C05C4F"/>
    <w:rsid w:val="00C06151"/>
    <w:rsid w:val="00C06685"/>
    <w:rsid w:val="00C0689B"/>
    <w:rsid w:val="00C068FD"/>
    <w:rsid w:val="00C06980"/>
    <w:rsid w:val="00C07012"/>
    <w:rsid w:val="00C07217"/>
    <w:rsid w:val="00C072C1"/>
    <w:rsid w:val="00C0745D"/>
    <w:rsid w:val="00C0762A"/>
    <w:rsid w:val="00C07818"/>
    <w:rsid w:val="00C07A01"/>
    <w:rsid w:val="00C07F27"/>
    <w:rsid w:val="00C100BE"/>
    <w:rsid w:val="00C105B8"/>
    <w:rsid w:val="00C10933"/>
    <w:rsid w:val="00C10B0B"/>
    <w:rsid w:val="00C1102E"/>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53"/>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817"/>
    <w:rsid w:val="00C21B72"/>
    <w:rsid w:val="00C224D5"/>
    <w:rsid w:val="00C225B5"/>
    <w:rsid w:val="00C227E0"/>
    <w:rsid w:val="00C229E4"/>
    <w:rsid w:val="00C22AF5"/>
    <w:rsid w:val="00C22F3F"/>
    <w:rsid w:val="00C23126"/>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BEB"/>
    <w:rsid w:val="00C40389"/>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8B8"/>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D14"/>
    <w:rsid w:val="00C51E79"/>
    <w:rsid w:val="00C51E8E"/>
    <w:rsid w:val="00C51EC5"/>
    <w:rsid w:val="00C520D8"/>
    <w:rsid w:val="00C522FB"/>
    <w:rsid w:val="00C52420"/>
    <w:rsid w:val="00C5258E"/>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184"/>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784B"/>
    <w:rsid w:val="00C67C97"/>
    <w:rsid w:val="00C67CEC"/>
    <w:rsid w:val="00C67D1F"/>
    <w:rsid w:val="00C67EA6"/>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F2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8C5"/>
    <w:rsid w:val="00C82A30"/>
    <w:rsid w:val="00C82A71"/>
    <w:rsid w:val="00C82D96"/>
    <w:rsid w:val="00C83100"/>
    <w:rsid w:val="00C83308"/>
    <w:rsid w:val="00C83391"/>
    <w:rsid w:val="00C83504"/>
    <w:rsid w:val="00C83A98"/>
    <w:rsid w:val="00C83B17"/>
    <w:rsid w:val="00C83BA1"/>
    <w:rsid w:val="00C83D47"/>
    <w:rsid w:val="00C84237"/>
    <w:rsid w:val="00C84297"/>
    <w:rsid w:val="00C84306"/>
    <w:rsid w:val="00C843EB"/>
    <w:rsid w:val="00C84B95"/>
    <w:rsid w:val="00C84D4E"/>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874"/>
    <w:rsid w:val="00C86A35"/>
    <w:rsid w:val="00C86E58"/>
    <w:rsid w:val="00C86EFA"/>
    <w:rsid w:val="00C87008"/>
    <w:rsid w:val="00C873A4"/>
    <w:rsid w:val="00C8748E"/>
    <w:rsid w:val="00C876AD"/>
    <w:rsid w:val="00C87736"/>
    <w:rsid w:val="00C878D1"/>
    <w:rsid w:val="00C87A00"/>
    <w:rsid w:val="00C87A7F"/>
    <w:rsid w:val="00C87B7A"/>
    <w:rsid w:val="00C87C19"/>
    <w:rsid w:val="00C87DEA"/>
    <w:rsid w:val="00C87F2B"/>
    <w:rsid w:val="00C90430"/>
    <w:rsid w:val="00C90474"/>
    <w:rsid w:val="00C90618"/>
    <w:rsid w:val="00C90796"/>
    <w:rsid w:val="00C907FE"/>
    <w:rsid w:val="00C908CA"/>
    <w:rsid w:val="00C90946"/>
    <w:rsid w:val="00C90B44"/>
    <w:rsid w:val="00C9104A"/>
    <w:rsid w:val="00C91612"/>
    <w:rsid w:val="00C91751"/>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7C0"/>
    <w:rsid w:val="00C95970"/>
    <w:rsid w:val="00C95CC3"/>
    <w:rsid w:val="00C961BF"/>
    <w:rsid w:val="00C963BF"/>
    <w:rsid w:val="00C966C4"/>
    <w:rsid w:val="00C96833"/>
    <w:rsid w:val="00C969F2"/>
    <w:rsid w:val="00C96CEB"/>
    <w:rsid w:val="00C96D06"/>
    <w:rsid w:val="00C96D26"/>
    <w:rsid w:val="00C971D3"/>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4EA"/>
    <w:rsid w:val="00CA155A"/>
    <w:rsid w:val="00CA169E"/>
    <w:rsid w:val="00CA19D6"/>
    <w:rsid w:val="00CA1E57"/>
    <w:rsid w:val="00CA1F16"/>
    <w:rsid w:val="00CA2163"/>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7D"/>
    <w:rsid w:val="00CA59B6"/>
    <w:rsid w:val="00CA5AD8"/>
    <w:rsid w:val="00CA623A"/>
    <w:rsid w:val="00CA6572"/>
    <w:rsid w:val="00CA67AE"/>
    <w:rsid w:val="00CA6DE6"/>
    <w:rsid w:val="00CA7139"/>
    <w:rsid w:val="00CA7295"/>
    <w:rsid w:val="00CA7438"/>
    <w:rsid w:val="00CA7606"/>
    <w:rsid w:val="00CA76F0"/>
    <w:rsid w:val="00CA7756"/>
    <w:rsid w:val="00CA7BD8"/>
    <w:rsid w:val="00CA7CC2"/>
    <w:rsid w:val="00CA7EAE"/>
    <w:rsid w:val="00CB01DC"/>
    <w:rsid w:val="00CB0B94"/>
    <w:rsid w:val="00CB0CD6"/>
    <w:rsid w:val="00CB0E8B"/>
    <w:rsid w:val="00CB1363"/>
    <w:rsid w:val="00CB14A5"/>
    <w:rsid w:val="00CB14B7"/>
    <w:rsid w:val="00CB14D3"/>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BF0"/>
    <w:rsid w:val="00CB3CE4"/>
    <w:rsid w:val="00CB4306"/>
    <w:rsid w:val="00CB4357"/>
    <w:rsid w:val="00CB43BD"/>
    <w:rsid w:val="00CB4516"/>
    <w:rsid w:val="00CB4668"/>
    <w:rsid w:val="00CB4C91"/>
    <w:rsid w:val="00CB4D74"/>
    <w:rsid w:val="00CB4FBC"/>
    <w:rsid w:val="00CB5077"/>
    <w:rsid w:val="00CB50E4"/>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A15"/>
    <w:rsid w:val="00CD0C20"/>
    <w:rsid w:val="00CD0F19"/>
    <w:rsid w:val="00CD1045"/>
    <w:rsid w:val="00CD141F"/>
    <w:rsid w:val="00CD1459"/>
    <w:rsid w:val="00CD15EC"/>
    <w:rsid w:val="00CD167C"/>
    <w:rsid w:val="00CD1722"/>
    <w:rsid w:val="00CD1FE7"/>
    <w:rsid w:val="00CD20EF"/>
    <w:rsid w:val="00CD225D"/>
    <w:rsid w:val="00CD261F"/>
    <w:rsid w:val="00CD287B"/>
    <w:rsid w:val="00CD28D9"/>
    <w:rsid w:val="00CD2CB4"/>
    <w:rsid w:val="00CD2CD4"/>
    <w:rsid w:val="00CD2D34"/>
    <w:rsid w:val="00CD2EB1"/>
    <w:rsid w:val="00CD2EC9"/>
    <w:rsid w:val="00CD323A"/>
    <w:rsid w:val="00CD3BCB"/>
    <w:rsid w:val="00CD3BDC"/>
    <w:rsid w:val="00CD3F42"/>
    <w:rsid w:val="00CD449C"/>
    <w:rsid w:val="00CD47B3"/>
    <w:rsid w:val="00CD4DA9"/>
    <w:rsid w:val="00CD4EB9"/>
    <w:rsid w:val="00CD5212"/>
    <w:rsid w:val="00CD5286"/>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11"/>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C9D"/>
    <w:rsid w:val="00CF010E"/>
    <w:rsid w:val="00CF01ED"/>
    <w:rsid w:val="00CF04A2"/>
    <w:rsid w:val="00CF05AF"/>
    <w:rsid w:val="00CF08AF"/>
    <w:rsid w:val="00CF0B10"/>
    <w:rsid w:val="00CF0CB4"/>
    <w:rsid w:val="00CF0D1D"/>
    <w:rsid w:val="00CF0D25"/>
    <w:rsid w:val="00CF0F6D"/>
    <w:rsid w:val="00CF100D"/>
    <w:rsid w:val="00CF127C"/>
    <w:rsid w:val="00CF13D3"/>
    <w:rsid w:val="00CF16FF"/>
    <w:rsid w:val="00CF1B58"/>
    <w:rsid w:val="00CF1D84"/>
    <w:rsid w:val="00CF2288"/>
    <w:rsid w:val="00CF22B4"/>
    <w:rsid w:val="00CF22EB"/>
    <w:rsid w:val="00CF2448"/>
    <w:rsid w:val="00CF2691"/>
    <w:rsid w:val="00CF2A2E"/>
    <w:rsid w:val="00CF2B12"/>
    <w:rsid w:val="00CF32CB"/>
    <w:rsid w:val="00CF367A"/>
    <w:rsid w:val="00CF3B2D"/>
    <w:rsid w:val="00CF3D03"/>
    <w:rsid w:val="00CF3F0C"/>
    <w:rsid w:val="00CF46E7"/>
    <w:rsid w:val="00CF4944"/>
    <w:rsid w:val="00CF4B37"/>
    <w:rsid w:val="00CF4B92"/>
    <w:rsid w:val="00CF4C1B"/>
    <w:rsid w:val="00CF4D64"/>
    <w:rsid w:val="00CF4F4A"/>
    <w:rsid w:val="00CF57A9"/>
    <w:rsid w:val="00CF5A4D"/>
    <w:rsid w:val="00CF5A55"/>
    <w:rsid w:val="00CF5BC0"/>
    <w:rsid w:val="00CF5ED9"/>
    <w:rsid w:val="00CF6447"/>
    <w:rsid w:val="00CF6535"/>
    <w:rsid w:val="00CF6786"/>
    <w:rsid w:val="00CF6846"/>
    <w:rsid w:val="00CF6AF9"/>
    <w:rsid w:val="00CF6F49"/>
    <w:rsid w:val="00CF70B4"/>
    <w:rsid w:val="00CF76C4"/>
    <w:rsid w:val="00CF76F3"/>
    <w:rsid w:val="00CF7728"/>
    <w:rsid w:val="00CF79E7"/>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2B"/>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0CA3"/>
    <w:rsid w:val="00D21014"/>
    <w:rsid w:val="00D210F7"/>
    <w:rsid w:val="00D21537"/>
    <w:rsid w:val="00D21A24"/>
    <w:rsid w:val="00D21B98"/>
    <w:rsid w:val="00D21EE5"/>
    <w:rsid w:val="00D21F75"/>
    <w:rsid w:val="00D223CB"/>
    <w:rsid w:val="00D2252F"/>
    <w:rsid w:val="00D225BD"/>
    <w:rsid w:val="00D225E4"/>
    <w:rsid w:val="00D229A7"/>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ADA"/>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238"/>
    <w:rsid w:val="00D463F8"/>
    <w:rsid w:val="00D467A9"/>
    <w:rsid w:val="00D467AC"/>
    <w:rsid w:val="00D46862"/>
    <w:rsid w:val="00D4688A"/>
    <w:rsid w:val="00D46E1D"/>
    <w:rsid w:val="00D46EC4"/>
    <w:rsid w:val="00D46FCA"/>
    <w:rsid w:val="00D471B1"/>
    <w:rsid w:val="00D47253"/>
    <w:rsid w:val="00D4726F"/>
    <w:rsid w:val="00D47818"/>
    <w:rsid w:val="00D47C1B"/>
    <w:rsid w:val="00D47C21"/>
    <w:rsid w:val="00D47C4F"/>
    <w:rsid w:val="00D50366"/>
    <w:rsid w:val="00D50630"/>
    <w:rsid w:val="00D5070D"/>
    <w:rsid w:val="00D509CC"/>
    <w:rsid w:val="00D50A14"/>
    <w:rsid w:val="00D50D12"/>
    <w:rsid w:val="00D512C9"/>
    <w:rsid w:val="00D515C3"/>
    <w:rsid w:val="00D51AAB"/>
    <w:rsid w:val="00D520FE"/>
    <w:rsid w:val="00D522BC"/>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5C41"/>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A90"/>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88C"/>
    <w:rsid w:val="00D80E39"/>
    <w:rsid w:val="00D81425"/>
    <w:rsid w:val="00D8153D"/>
    <w:rsid w:val="00D8154F"/>
    <w:rsid w:val="00D81A0A"/>
    <w:rsid w:val="00D81C50"/>
    <w:rsid w:val="00D81D0D"/>
    <w:rsid w:val="00D81FD6"/>
    <w:rsid w:val="00D822D1"/>
    <w:rsid w:val="00D8236E"/>
    <w:rsid w:val="00D82465"/>
    <w:rsid w:val="00D82557"/>
    <w:rsid w:val="00D8259F"/>
    <w:rsid w:val="00D828B9"/>
    <w:rsid w:val="00D828D8"/>
    <w:rsid w:val="00D82963"/>
    <w:rsid w:val="00D829BD"/>
    <w:rsid w:val="00D82C04"/>
    <w:rsid w:val="00D82C50"/>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2B4"/>
    <w:rsid w:val="00D85750"/>
    <w:rsid w:val="00D859EF"/>
    <w:rsid w:val="00D85A2A"/>
    <w:rsid w:val="00D85AE4"/>
    <w:rsid w:val="00D85CA8"/>
    <w:rsid w:val="00D85CB4"/>
    <w:rsid w:val="00D8639A"/>
    <w:rsid w:val="00D86A98"/>
    <w:rsid w:val="00D86CCE"/>
    <w:rsid w:val="00D86F98"/>
    <w:rsid w:val="00D8703F"/>
    <w:rsid w:val="00D87196"/>
    <w:rsid w:val="00D872DA"/>
    <w:rsid w:val="00D8769C"/>
    <w:rsid w:val="00D8784B"/>
    <w:rsid w:val="00D87A61"/>
    <w:rsid w:val="00D87CE2"/>
    <w:rsid w:val="00D87D68"/>
    <w:rsid w:val="00D87D95"/>
    <w:rsid w:val="00D87E61"/>
    <w:rsid w:val="00D90227"/>
    <w:rsid w:val="00D90424"/>
    <w:rsid w:val="00D905D6"/>
    <w:rsid w:val="00D9064B"/>
    <w:rsid w:val="00D90679"/>
    <w:rsid w:val="00D90837"/>
    <w:rsid w:val="00D9086C"/>
    <w:rsid w:val="00D9086E"/>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426"/>
    <w:rsid w:val="00D954D7"/>
    <w:rsid w:val="00D95548"/>
    <w:rsid w:val="00D95A95"/>
    <w:rsid w:val="00D96250"/>
    <w:rsid w:val="00D9672F"/>
    <w:rsid w:val="00D96B1E"/>
    <w:rsid w:val="00D96C5C"/>
    <w:rsid w:val="00D96E05"/>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5A3"/>
    <w:rsid w:val="00DA3694"/>
    <w:rsid w:val="00DA37A3"/>
    <w:rsid w:val="00DA3B24"/>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17"/>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7F8"/>
    <w:rsid w:val="00DB58C0"/>
    <w:rsid w:val="00DB5C3E"/>
    <w:rsid w:val="00DB6057"/>
    <w:rsid w:val="00DB61CC"/>
    <w:rsid w:val="00DB64A7"/>
    <w:rsid w:val="00DB64D6"/>
    <w:rsid w:val="00DB64F3"/>
    <w:rsid w:val="00DB670A"/>
    <w:rsid w:val="00DB6838"/>
    <w:rsid w:val="00DB6A12"/>
    <w:rsid w:val="00DB6B6A"/>
    <w:rsid w:val="00DB6B97"/>
    <w:rsid w:val="00DB6CDF"/>
    <w:rsid w:val="00DB74C8"/>
    <w:rsid w:val="00DB788A"/>
    <w:rsid w:val="00DB7CA8"/>
    <w:rsid w:val="00DC0402"/>
    <w:rsid w:val="00DC051F"/>
    <w:rsid w:val="00DC061D"/>
    <w:rsid w:val="00DC09D0"/>
    <w:rsid w:val="00DC0A2C"/>
    <w:rsid w:val="00DC0C6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4557"/>
    <w:rsid w:val="00DC45FC"/>
    <w:rsid w:val="00DC4619"/>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3107"/>
    <w:rsid w:val="00DE374F"/>
    <w:rsid w:val="00DE3C8D"/>
    <w:rsid w:val="00DE410B"/>
    <w:rsid w:val="00DE4317"/>
    <w:rsid w:val="00DE450F"/>
    <w:rsid w:val="00DE4B0E"/>
    <w:rsid w:val="00DE4C02"/>
    <w:rsid w:val="00DE4C3D"/>
    <w:rsid w:val="00DE4C88"/>
    <w:rsid w:val="00DE4E8E"/>
    <w:rsid w:val="00DE5196"/>
    <w:rsid w:val="00DE52B8"/>
    <w:rsid w:val="00DE53FF"/>
    <w:rsid w:val="00DE5418"/>
    <w:rsid w:val="00DE5594"/>
    <w:rsid w:val="00DE5AC0"/>
    <w:rsid w:val="00DE5B67"/>
    <w:rsid w:val="00DE5DB0"/>
    <w:rsid w:val="00DE6596"/>
    <w:rsid w:val="00DE6A7B"/>
    <w:rsid w:val="00DE6B8A"/>
    <w:rsid w:val="00DE6C0E"/>
    <w:rsid w:val="00DE712D"/>
    <w:rsid w:val="00DE72C3"/>
    <w:rsid w:val="00DE7385"/>
    <w:rsid w:val="00DE740F"/>
    <w:rsid w:val="00DE7814"/>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AB6"/>
    <w:rsid w:val="00DF2B3E"/>
    <w:rsid w:val="00DF2BD7"/>
    <w:rsid w:val="00DF30CB"/>
    <w:rsid w:val="00DF3638"/>
    <w:rsid w:val="00DF38CF"/>
    <w:rsid w:val="00DF3947"/>
    <w:rsid w:val="00DF39D0"/>
    <w:rsid w:val="00DF3A44"/>
    <w:rsid w:val="00DF3AD1"/>
    <w:rsid w:val="00DF3B08"/>
    <w:rsid w:val="00DF3EF7"/>
    <w:rsid w:val="00DF3FD0"/>
    <w:rsid w:val="00DF4249"/>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219"/>
    <w:rsid w:val="00E0136E"/>
    <w:rsid w:val="00E013EB"/>
    <w:rsid w:val="00E01417"/>
    <w:rsid w:val="00E01DE3"/>
    <w:rsid w:val="00E01E0A"/>
    <w:rsid w:val="00E0261D"/>
    <w:rsid w:val="00E026F1"/>
    <w:rsid w:val="00E02A24"/>
    <w:rsid w:val="00E02A68"/>
    <w:rsid w:val="00E02FA5"/>
    <w:rsid w:val="00E0308A"/>
    <w:rsid w:val="00E03600"/>
    <w:rsid w:val="00E0363A"/>
    <w:rsid w:val="00E036B9"/>
    <w:rsid w:val="00E0382A"/>
    <w:rsid w:val="00E03939"/>
    <w:rsid w:val="00E03AA3"/>
    <w:rsid w:val="00E03E34"/>
    <w:rsid w:val="00E03E78"/>
    <w:rsid w:val="00E042B3"/>
    <w:rsid w:val="00E04440"/>
    <w:rsid w:val="00E045EF"/>
    <w:rsid w:val="00E04933"/>
    <w:rsid w:val="00E04C9F"/>
    <w:rsid w:val="00E04D72"/>
    <w:rsid w:val="00E05191"/>
    <w:rsid w:val="00E05620"/>
    <w:rsid w:val="00E0577A"/>
    <w:rsid w:val="00E05A41"/>
    <w:rsid w:val="00E05A75"/>
    <w:rsid w:val="00E05BF7"/>
    <w:rsid w:val="00E05E75"/>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084"/>
    <w:rsid w:val="00E12172"/>
    <w:rsid w:val="00E1228C"/>
    <w:rsid w:val="00E124FE"/>
    <w:rsid w:val="00E12B40"/>
    <w:rsid w:val="00E12CD6"/>
    <w:rsid w:val="00E12CE3"/>
    <w:rsid w:val="00E12DD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14"/>
    <w:rsid w:val="00E16AD8"/>
    <w:rsid w:val="00E16DF5"/>
    <w:rsid w:val="00E17338"/>
    <w:rsid w:val="00E178DE"/>
    <w:rsid w:val="00E1799B"/>
    <w:rsid w:val="00E20040"/>
    <w:rsid w:val="00E20505"/>
    <w:rsid w:val="00E20651"/>
    <w:rsid w:val="00E20672"/>
    <w:rsid w:val="00E20ABB"/>
    <w:rsid w:val="00E20B25"/>
    <w:rsid w:val="00E20B2F"/>
    <w:rsid w:val="00E20B67"/>
    <w:rsid w:val="00E20DFC"/>
    <w:rsid w:val="00E21002"/>
    <w:rsid w:val="00E214D3"/>
    <w:rsid w:val="00E2154E"/>
    <w:rsid w:val="00E21C29"/>
    <w:rsid w:val="00E2211C"/>
    <w:rsid w:val="00E221F3"/>
    <w:rsid w:val="00E222B1"/>
    <w:rsid w:val="00E2232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90"/>
    <w:rsid w:val="00E3604C"/>
    <w:rsid w:val="00E360F6"/>
    <w:rsid w:val="00E3642F"/>
    <w:rsid w:val="00E3656A"/>
    <w:rsid w:val="00E36624"/>
    <w:rsid w:val="00E366D6"/>
    <w:rsid w:val="00E36945"/>
    <w:rsid w:val="00E36AB7"/>
    <w:rsid w:val="00E37010"/>
    <w:rsid w:val="00E3725D"/>
    <w:rsid w:val="00E375CA"/>
    <w:rsid w:val="00E37DA9"/>
    <w:rsid w:val="00E401AF"/>
    <w:rsid w:val="00E4026F"/>
    <w:rsid w:val="00E40293"/>
    <w:rsid w:val="00E402E7"/>
    <w:rsid w:val="00E408D8"/>
    <w:rsid w:val="00E40B34"/>
    <w:rsid w:val="00E4104D"/>
    <w:rsid w:val="00E412C5"/>
    <w:rsid w:val="00E4131B"/>
    <w:rsid w:val="00E4135A"/>
    <w:rsid w:val="00E4174F"/>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C61"/>
    <w:rsid w:val="00E61DE1"/>
    <w:rsid w:val="00E62217"/>
    <w:rsid w:val="00E62244"/>
    <w:rsid w:val="00E6249D"/>
    <w:rsid w:val="00E628A1"/>
    <w:rsid w:val="00E628F7"/>
    <w:rsid w:val="00E62993"/>
    <w:rsid w:val="00E62B46"/>
    <w:rsid w:val="00E62EA7"/>
    <w:rsid w:val="00E6317C"/>
    <w:rsid w:val="00E633A6"/>
    <w:rsid w:val="00E634BC"/>
    <w:rsid w:val="00E6372D"/>
    <w:rsid w:val="00E639B2"/>
    <w:rsid w:val="00E6426C"/>
    <w:rsid w:val="00E64342"/>
    <w:rsid w:val="00E64345"/>
    <w:rsid w:val="00E64354"/>
    <w:rsid w:val="00E64417"/>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482"/>
    <w:rsid w:val="00E66826"/>
    <w:rsid w:val="00E66CAE"/>
    <w:rsid w:val="00E66DB2"/>
    <w:rsid w:val="00E66EB8"/>
    <w:rsid w:val="00E672B0"/>
    <w:rsid w:val="00E6757B"/>
    <w:rsid w:val="00E67998"/>
    <w:rsid w:val="00E679A3"/>
    <w:rsid w:val="00E67CA6"/>
    <w:rsid w:val="00E67E99"/>
    <w:rsid w:val="00E67F54"/>
    <w:rsid w:val="00E67F9D"/>
    <w:rsid w:val="00E701F3"/>
    <w:rsid w:val="00E70343"/>
    <w:rsid w:val="00E704B8"/>
    <w:rsid w:val="00E704D5"/>
    <w:rsid w:val="00E707D8"/>
    <w:rsid w:val="00E70896"/>
    <w:rsid w:val="00E70A02"/>
    <w:rsid w:val="00E70E10"/>
    <w:rsid w:val="00E70F28"/>
    <w:rsid w:val="00E71185"/>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998"/>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0A"/>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476E"/>
    <w:rsid w:val="00EA47D3"/>
    <w:rsid w:val="00EA4D40"/>
    <w:rsid w:val="00EA5114"/>
    <w:rsid w:val="00EA5846"/>
    <w:rsid w:val="00EA5BF3"/>
    <w:rsid w:val="00EA668A"/>
    <w:rsid w:val="00EA677A"/>
    <w:rsid w:val="00EA6F43"/>
    <w:rsid w:val="00EA727E"/>
    <w:rsid w:val="00EA730E"/>
    <w:rsid w:val="00EA7626"/>
    <w:rsid w:val="00EA7628"/>
    <w:rsid w:val="00EA7645"/>
    <w:rsid w:val="00EA78BE"/>
    <w:rsid w:val="00EB0288"/>
    <w:rsid w:val="00EB02F9"/>
    <w:rsid w:val="00EB05B1"/>
    <w:rsid w:val="00EB0C23"/>
    <w:rsid w:val="00EB0EC8"/>
    <w:rsid w:val="00EB10E5"/>
    <w:rsid w:val="00EB12C9"/>
    <w:rsid w:val="00EB170E"/>
    <w:rsid w:val="00EB1717"/>
    <w:rsid w:val="00EB1A09"/>
    <w:rsid w:val="00EB1A2A"/>
    <w:rsid w:val="00EB1A8E"/>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2BC"/>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A86"/>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8E2"/>
    <w:rsid w:val="00EC4AD1"/>
    <w:rsid w:val="00EC4BC5"/>
    <w:rsid w:val="00EC4EA0"/>
    <w:rsid w:val="00EC4F84"/>
    <w:rsid w:val="00EC517B"/>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839"/>
    <w:rsid w:val="00ED68FA"/>
    <w:rsid w:val="00ED6A9D"/>
    <w:rsid w:val="00ED6F1F"/>
    <w:rsid w:val="00ED7603"/>
    <w:rsid w:val="00ED7742"/>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2C52"/>
    <w:rsid w:val="00EF338A"/>
    <w:rsid w:val="00EF3823"/>
    <w:rsid w:val="00EF3B90"/>
    <w:rsid w:val="00EF4039"/>
    <w:rsid w:val="00EF4367"/>
    <w:rsid w:val="00EF43D5"/>
    <w:rsid w:val="00EF4575"/>
    <w:rsid w:val="00EF458E"/>
    <w:rsid w:val="00EF479A"/>
    <w:rsid w:val="00EF480A"/>
    <w:rsid w:val="00EF48E2"/>
    <w:rsid w:val="00EF4A32"/>
    <w:rsid w:val="00EF4A6E"/>
    <w:rsid w:val="00EF4AE0"/>
    <w:rsid w:val="00EF4B27"/>
    <w:rsid w:val="00EF4D7F"/>
    <w:rsid w:val="00EF4DE9"/>
    <w:rsid w:val="00EF4F74"/>
    <w:rsid w:val="00EF516F"/>
    <w:rsid w:val="00EF51C6"/>
    <w:rsid w:val="00EF575B"/>
    <w:rsid w:val="00EF58AE"/>
    <w:rsid w:val="00EF5C4F"/>
    <w:rsid w:val="00EF5FC3"/>
    <w:rsid w:val="00EF67D2"/>
    <w:rsid w:val="00EF6B6F"/>
    <w:rsid w:val="00EF6DF0"/>
    <w:rsid w:val="00EF74B7"/>
    <w:rsid w:val="00EF7608"/>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4FD"/>
    <w:rsid w:val="00F10563"/>
    <w:rsid w:val="00F105C3"/>
    <w:rsid w:val="00F108B8"/>
    <w:rsid w:val="00F10923"/>
    <w:rsid w:val="00F10A3C"/>
    <w:rsid w:val="00F10A6C"/>
    <w:rsid w:val="00F10AC8"/>
    <w:rsid w:val="00F10FD7"/>
    <w:rsid w:val="00F110BB"/>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C07"/>
    <w:rsid w:val="00F14D9B"/>
    <w:rsid w:val="00F15073"/>
    <w:rsid w:val="00F151F1"/>
    <w:rsid w:val="00F15FD5"/>
    <w:rsid w:val="00F15FDA"/>
    <w:rsid w:val="00F15FF0"/>
    <w:rsid w:val="00F16309"/>
    <w:rsid w:val="00F1640C"/>
    <w:rsid w:val="00F16735"/>
    <w:rsid w:val="00F16B3A"/>
    <w:rsid w:val="00F16E32"/>
    <w:rsid w:val="00F174CD"/>
    <w:rsid w:val="00F175A4"/>
    <w:rsid w:val="00F17A8E"/>
    <w:rsid w:val="00F17E02"/>
    <w:rsid w:val="00F17E7C"/>
    <w:rsid w:val="00F20142"/>
    <w:rsid w:val="00F20452"/>
    <w:rsid w:val="00F2047C"/>
    <w:rsid w:val="00F20659"/>
    <w:rsid w:val="00F2080F"/>
    <w:rsid w:val="00F20855"/>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1D3D"/>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4AA8"/>
    <w:rsid w:val="00F34D1A"/>
    <w:rsid w:val="00F35456"/>
    <w:rsid w:val="00F35506"/>
    <w:rsid w:val="00F355E8"/>
    <w:rsid w:val="00F35C33"/>
    <w:rsid w:val="00F36047"/>
    <w:rsid w:val="00F3675A"/>
    <w:rsid w:val="00F36B56"/>
    <w:rsid w:val="00F3704D"/>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95F"/>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31"/>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5F48"/>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2230"/>
    <w:rsid w:val="00F6246B"/>
    <w:rsid w:val="00F624E4"/>
    <w:rsid w:val="00F6256D"/>
    <w:rsid w:val="00F62B60"/>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CF9"/>
    <w:rsid w:val="00F81D21"/>
    <w:rsid w:val="00F81F10"/>
    <w:rsid w:val="00F81FDA"/>
    <w:rsid w:val="00F8225C"/>
    <w:rsid w:val="00F82455"/>
    <w:rsid w:val="00F825CC"/>
    <w:rsid w:val="00F8289E"/>
    <w:rsid w:val="00F82987"/>
    <w:rsid w:val="00F829BC"/>
    <w:rsid w:val="00F82B9F"/>
    <w:rsid w:val="00F82EF1"/>
    <w:rsid w:val="00F83299"/>
    <w:rsid w:val="00F8330C"/>
    <w:rsid w:val="00F8364D"/>
    <w:rsid w:val="00F84339"/>
    <w:rsid w:val="00F84A80"/>
    <w:rsid w:val="00F8525A"/>
    <w:rsid w:val="00F85630"/>
    <w:rsid w:val="00F85636"/>
    <w:rsid w:val="00F85683"/>
    <w:rsid w:val="00F85953"/>
    <w:rsid w:val="00F85A57"/>
    <w:rsid w:val="00F85B3B"/>
    <w:rsid w:val="00F85C54"/>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900A1"/>
    <w:rsid w:val="00F9011D"/>
    <w:rsid w:val="00F90252"/>
    <w:rsid w:val="00F9039E"/>
    <w:rsid w:val="00F906D4"/>
    <w:rsid w:val="00F906FD"/>
    <w:rsid w:val="00F9082D"/>
    <w:rsid w:val="00F90DB5"/>
    <w:rsid w:val="00F90E4C"/>
    <w:rsid w:val="00F90F67"/>
    <w:rsid w:val="00F9199D"/>
    <w:rsid w:val="00F91ADA"/>
    <w:rsid w:val="00F91D45"/>
    <w:rsid w:val="00F91E5C"/>
    <w:rsid w:val="00F91EF9"/>
    <w:rsid w:val="00F92093"/>
    <w:rsid w:val="00F92230"/>
    <w:rsid w:val="00F924D3"/>
    <w:rsid w:val="00F92687"/>
    <w:rsid w:val="00F926E6"/>
    <w:rsid w:val="00F9274F"/>
    <w:rsid w:val="00F92784"/>
    <w:rsid w:val="00F927C7"/>
    <w:rsid w:val="00F9294D"/>
    <w:rsid w:val="00F9301C"/>
    <w:rsid w:val="00F93297"/>
    <w:rsid w:val="00F934CC"/>
    <w:rsid w:val="00F9359C"/>
    <w:rsid w:val="00F93963"/>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9A5"/>
    <w:rsid w:val="00F97A79"/>
    <w:rsid w:val="00F97D91"/>
    <w:rsid w:val="00F97FCB"/>
    <w:rsid w:val="00FA02EF"/>
    <w:rsid w:val="00FA044E"/>
    <w:rsid w:val="00FA04FE"/>
    <w:rsid w:val="00FA08C5"/>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CF1"/>
    <w:rsid w:val="00FA6DAB"/>
    <w:rsid w:val="00FA6E33"/>
    <w:rsid w:val="00FA7080"/>
    <w:rsid w:val="00FA7A20"/>
    <w:rsid w:val="00FA7ACA"/>
    <w:rsid w:val="00FA7EB3"/>
    <w:rsid w:val="00FA7F60"/>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5C7"/>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347"/>
    <w:rsid w:val="00FC464F"/>
    <w:rsid w:val="00FC46FC"/>
    <w:rsid w:val="00FC4729"/>
    <w:rsid w:val="00FC4804"/>
    <w:rsid w:val="00FC4A30"/>
    <w:rsid w:val="00FC4A78"/>
    <w:rsid w:val="00FC4A9A"/>
    <w:rsid w:val="00FC4BBF"/>
    <w:rsid w:val="00FC4D10"/>
    <w:rsid w:val="00FC5494"/>
    <w:rsid w:val="00FC5703"/>
    <w:rsid w:val="00FC5B31"/>
    <w:rsid w:val="00FC5DAA"/>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5A"/>
    <w:rsid w:val="00FD0D97"/>
    <w:rsid w:val="00FD114B"/>
    <w:rsid w:val="00FD1283"/>
    <w:rsid w:val="00FD2017"/>
    <w:rsid w:val="00FD2398"/>
    <w:rsid w:val="00FD23E0"/>
    <w:rsid w:val="00FD2416"/>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A5D"/>
    <w:rsid w:val="00FD60CF"/>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182"/>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4A"/>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3E40"/>
    <w:rsid w:val="00FF400E"/>
    <w:rsid w:val="00FF4126"/>
    <w:rsid w:val="00FF4633"/>
    <w:rsid w:val="00FF4AF6"/>
    <w:rsid w:val="00FF4D18"/>
    <w:rsid w:val="00FF5260"/>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B3A6A6D8-DE69-4121-A2D0-7BA2C70DA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customStyle="1" w:styleId="anchor-text">
    <w:name w:val="anchor-text"/>
    <w:basedOn w:val="DefaultParagraphFont"/>
    <w:rsid w:val="00260701"/>
  </w:style>
  <w:style w:type="paragraph" w:styleId="Quote">
    <w:name w:val="Quote"/>
    <w:basedOn w:val="Normal"/>
    <w:next w:val="Normal"/>
    <w:link w:val="QuoteChar"/>
    <w:uiPriority w:val="29"/>
    <w:qFormat/>
    <w:rsid w:val="00E124FE"/>
    <w:pPr>
      <w:spacing w:before="160" w:line="278" w:lineRule="auto"/>
      <w:jc w:val="center"/>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E124FE"/>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styleId="UnresolvedMention">
    <w:name w:val="Unresolved Mention"/>
    <w:basedOn w:val="DefaultParagraphFont"/>
    <w:uiPriority w:val="99"/>
    <w:semiHidden/>
    <w:unhideWhenUsed/>
    <w:rsid w:val="00925E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3502392">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2244">
      <w:bodyDiv w:val="1"/>
      <w:marLeft w:val="0"/>
      <w:marRight w:val="0"/>
      <w:marTop w:val="0"/>
      <w:marBottom w:val="0"/>
      <w:divBdr>
        <w:top w:val="none" w:sz="0" w:space="0" w:color="auto"/>
        <w:left w:val="none" w:sz="0" w:space="0" w:color="auto"/>
        <w:bottom w:val="none" w:sz="0" w:space="0" w:color="auto"/>
        <w:right w:val="none" w:sz="0" w:space="0" w:color="auto"/>
      </w:divBdr>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40724862">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3156306">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1929023">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328250">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1778080">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zotero.org/google-docs/?6A3mQ2" TargetMode="External"/><Relationship Id="rId18" Type="http://schemas.openxmlformats.org/officeDocument/2006/relationships/hyperlink" Target="https://www.zotero.org/google-docs/?AHPQa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zotero.org/google-docs/?AHPQay" TargetMode="External"/><Relationship Id="rId2" Type="http://schemas.openxmlformats.org/officeDocument/2006/relationships/numbering" Target="numbering.xml"/><Relationship Id="rId16" Type="http://schemas.openxmlformats.org/officeDocument/2006/relationships/hyperlink" Target="https://www.zotero.org/google-docs/?AHPQa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zotero.org/google-docs/?AHPQay"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zotero.org/google-docs/?AHPQa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93ABC-BD03-47D7-98FE-F64D08B73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28</Pages>
  <Words>13861</Words>
  <Characters>79009</Characters>
  <Application>Microsoft Office Word</Application>
  <DocSecurity>0</DocSecurity>
  <Lines>658</Lines>
  <Paragraphs>185</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Microsoft</Company>
  <LinksUpToDate>false</LinksUpToDate>
  <CharactersWithSpaces>92685</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Kripa Nidhana Nand</dc:creator>
  <cp:lastModifiedBy>t21617</cp:lastModifiedBy>
  <cp:revision>25</cp:revision>
  <cp:lastPrinted>2021-03-17T11:36:00Z</cp:lastPrinted>
  <dcterms:created xsi:type="dcterms:W3CDTF">2026-08-18T05:57:00Z</dcterms:created>
  <dcterms:modified xsi:type="dcterms:W3CDTF">2026-09-02T07:33:00Z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