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45B571D1" w:rsidR="00017D30" w:rsidRPr="002F4A93"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sidRPr="002F4A93">
        <w:rPr>
          <w:rFonts w:ascii="Times New Roman" w:hAnsi="Times New Roman" w:cs="Times New Roman"/>
          <w:noProof/>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2F4A93">
        <w:rPr>
          <w:rFonts w:ascii="Times New Roman" w:hAnsi="Times New Roman" w:cs="Times New Roman"/>
          <w:noProof/>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BC210A">
        <w:rPr>
          <w:rStyle w:val="Hyperlink"/>
          <w:rFonts w:ascii="Times New Roman" w:hAnsi="Times New Roman" w:cs="Times New Roman"/>
          <w:b/>
          <w:color w:val="FFFFFF"/>
          <w:sz w:val="28"/>
          <w:szCs w:val="46"/>
          <w:u w:val="none"/>
        </w:rPr>
        <w:t>Case Report</w:t>
      </w:r>
    </w:p>
    <w:p w14:paraId="267863B6" w14:textId="77777777" w:rsidR="00017D30" w:rsidRPr="002F4A93" w:rsidRDefault="00017D30" w:rsidP="00824CFE">
      <w:pPr>
        <w:spacing w:after="0" w:line="360" w:lineRule="auto"/>
        <w:jc w:val="both"/>
        <w:rPr>
          <w:rFonts w:ascii="Times New Roman" w:hAnsi="Times New Roman" w:cs="Times New Roman"/>
          <w:b/>
          <w:bCs/>
          <w:sz w:val="20"/>
          <w:szCs w:val="20"/>
        </w:rPr>
      </w:pPr>
    </w:p>
    <w:p w14:paraId="4D31AF4E" w14:textId="77777777" w:rsidR="00E615FE" w:rsidRPr="00E615FE" w:rsidRDefault="00E615FE" w:rsidP="00917190">
      <w:pPr>
        <w:spacing w:after="0" w:line="360" w:lineRule="auto"/>
        <w:jc w:val="center"/>
        <w:rPr>
          <w:rFonts w:ascii="Times New Roman" w:eastAsiaTheme="majorEastAsia" w:hAnsi="Times New Roman" w:cs="Times New Roman"/>
          <w:b/>
          <w:bCs/>
          <w:sz w:val="32"/>
          <w:szCs w:val="32"/>
          <w:lang w:val="pl-PL" w:eastAsia="pl-PL"/>
        </w:rPr>
      </w:pPr>
      <w:r w:rsidRPr="00E615FE">
        <w:rPr>
          <w:rFonts w:ascii="Times New Roman" w:eastAsiaTheme="majorEastAsia" w:hAnsi="Times New Roman" w:cs="Times New Roman"/>
          <w:b/>
          <w:bCs/>
          <w:sz w:val="32"/>
          <w:szCs w:val="32"/>
          <w:lang w:val="pl-PL" w:eastAsia="pl-PL"/>
        </w:rPr>
        <w:t>Acute Volar Wrist Pain in a Collegiate Baseball Athlete: Thrombosis of a Persistent Median Artery Associated with a Bifid Median Nerve</w:t>
      </w:r>
    </w:p>
    <w:p w14:paraId="061F13BD" w14:textId="77777777" w:rsidR="00E615FE" w:rsidRPr="00917190" w:rsidRDefault="00E615FE" w:rsidP="00917190">
      <w:pPr>
        <w:spacing w:after="0" w:line="360" w:lineRule="auto"/>
        <w:jc w:val="both"/>
        <w:rPr>
          <w:rFonts w:ascii="Times New Roman" w:eastAsiaTheme="majorEastAsia" w:hAnsi="Times New Roman" w:cs="Times New Roman"/>
          <w:b/>
          <w:bCs/>
          <w:sz w:val="20"/>
          <w:szCs w:val="20"/>
          <w:lang w:val="pl-PL" w:eastAsia="pl-PL"/>
        </w:rPr>
      </w:pPr>
    </w:p>
    <w:p w14:paraId="7144E950" w14:textId="55D0D0CD" w:rsidR="00E615FE" w:rsidRPr="00E615FE" w:rsidRDefault="00E615FE" w:rsidP="00917190">
      <w:pPr>
        <w:spacing w:after="0" w:line="360" w:lineRule="auto"/>
        <w:jc w:val="both"/>
        <w:rPr>
          <w:rFonts w:ascii="Times New Roman" w:eastAsiaTheme="majorEastAsia" w:hAnsi="Times New Roman" w:cs="Times New Roman"/>
          <w:b/>
          <w:bCs/>
          <w:lang w:val="pl-PL" w:eastAsia="pl-PL"/>
        </w:rPr>
      </w:pPr>
      <w:r w:rsidRPr="00E615FE">
        <w:rPr>
          <w:rFonts w:ascii="Times New Roman" w:eastAsiaTheme="majorEastAsia" w:hAnsi="Times New Roman" w:cs="Times New Roman"/>
          <w:b/>
          <w:bCs/>
          <w:lang w:val="pl-PL" w:eastAsia="pl-PL"/>
        </w:rPr>
        <w:t>Joseph N Salama</w:t>
      </w:r>
      <w:r w:rsidR="006868DF" w:rsidRPr="006868DF">
        <w:rPr>
          <w:rFonts w:ascii="Times New Roman" w:eastAsiaTheme="majorEastAsia" w:hAnsi="Times New Roman" w:cs="Times New Roman"/>
          <w:b/>
          <w:bCs/>
          <w:vertAlign w:val="superscript"/>
          <w:lang w:val="pl-PL" w:eastAsia="pl-PL"/>
        </w:rPr>
        <w:t>*</w:t>
      </w:r>
      <w:r w:rsidRPr="00E615FE">
        <w:rPr>
          <w:rFonts w:ascii="Times New Roman" w:eastAsiaTheme="majorEastAsia" w:hAnsi="Times New Roman" w:cs="Times New Roman"/>
          <w:b/>
          <w:bCs/>
          <w:lang w:val="pl-PL" w:eastAsia="pl-PL"/>
        </w:rPr>
        <w:t>, Sylvia Arce, Harold W Hunt, Diego A L Garcia</w:t>
      </w:r>
    </w:p>
    <w:p w14:paraId="7BB78FFB" w14:textId="77777777"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r w:rsidRPr="00E615FE">
        <w:rPr>
          <w:rFonts w:ascii="Times New Roman" w:eastAsiaTheme="majorEastAsia" w:hAnsi="Times New Roman" w:cs="Times New Roman"/>
          <w:sz w:val="20"/>
          <w:szCs w:val="20"/>
          <w:lang w:val="pl-PL" w:eastAsia="pl-PL"/>
        </w:rPr>
        <w:t xml:space="preserve">Department of Orthopaedic Surgery and Sports Medicine University of Florida, 345 Hull Road, Gainesville, FL, USA </w:t>
      </w:r>
    </w:p>
    <w:p w14:paraId="4C1B7C01" w14:textId="77777777"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p>
    <w:p w14:paraId="55711AE3" w14:textId="77777777"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r w:rsidRPr="00E615FE">
        <w:rPr>
          <w:rFonts w:ascii="Times New Roman" w:eastAsiaTheme="majorEastAsia" w:hAnsi="Times New Roman" w:cs="Times New Roman"/>
          <w:b/>
          <w:bCs/>
          <w:color w:val="0070C0"/>
          <w:lang w:val="pl-PL" w:eastAsia="pl-PL"/>
        </w:rPr>
        <w:t>*Corresponding Author:</w:t>
      </w:r>
      <w:r w:rsidRPr="00E615FE">
        <w:rPr>
          <w:rFonts w:ascii="Times New Roman" w:eastAsiaTheme="majorEastAsia" w:hAnsi="Times New Roman" w:cs="Times New Roman"/>
          <w:color w:val="0070C0"/>
          <w:lang w:val="pl-PL" w:eastAsia="pl-PL"/>
        </w:rPr>
        <w:t xml:space="preserve"> </w:t>
      </w:r>
      <w:r w:rsidRPr="00E615FE">
        <w:rPr>
          <w:rFonts w:ascii="Times New Roman" w:eastAsiaTheme="majorEastAsia" w:hAnsi="Times New Roman" w:cs="Times New Roman"/>
          <w:sz w:val="20"/>
          <w:szCs w:val="20"/>
          <w:lang w:val="pl-PL" w:eastAsia="pl-PL"/>
        </w:rPr>
        <w:t xml:space="preserve">Dr. Joseph N Salama, Department of Orthopaedic Surgery and Sports Medicine University of Florida, 345 Hull Road, Gainesville, FL, USA </w:t>
      </w:r>
    </w:p>
    <w:p w14:paraId="6F215F36" w14:textId="77777777"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p>
    <w:p w14:paraId="6E4E9845" w14:textId="44FD057A"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r w:rsidRPr="00E615FE">
        <w:rPr>
          <w:rFonts w:ascii="Times New Roman" w:eastAsiaTheme="majorEastAsia" w:hAnsi="Times New Roman" w:cs="Times New Roman"/>
          <w:b/>
          <w:bCs/>
          <w:color w:val="0070C0"/>
          <w:sz w:val="20"/>
          <w:szCs w:val="20"/>
          <w:lang w:val="pl-PL" w:eastAsia="pl-PL"/>
        </w:rPr>
        <w:t>Received:</w:t>
      </w:r>
      <w:r w:rsidRPr="00E615FE">
        <w:rPr>
          <w:rFonts w:ascii="Times New Roman" w:eastAsiaTheme="majorEastAsia" w:hAnsi="Times New Roman" w:cs="Times New Roman"/>
          <w:color w:val="0070C0"/>
          <w:sz w:val="20"/>
          <w:szCs w:val="20"/>
          <w:lang w:val="pl-PL" w:eastAsia="pl-PL"/>
        </w:rPr>
        <w:t xml:space="preserve"> </w:t>
      </w:r>
      <w:r w:rsidR="00585E35">
        <w:rPr>
          <w:rFonts w:ascii="Times New Roman" w:eastAsiaTheme="majorEastAsia" w:hAnsi="Times New Roman" w:cs="Times New Roman"/>
          <w:sz w:val="20"/>
          <w:szCs w:val="20"/>
          <w:lang w:val="pl-PL" w:eastAsia="pl-PL"/>
        </w:rPr>
        <w:t>05</w:t>
      </w:r>
      <w:r w:rsidRPr="00E615FE">
        <w:rPr>
          <w:rFonts w:ascii="Times New Roman" w:eastAsiaTheme="majorEastAsia" w:hAnsi="Times New Roman" w:cs="Times New Roman"/>
          <w:sz w:val="20"/>
          <w:szCs w:val="20"/>
          <w:lang w:val="pl-PL" w:eastAsia="pl-PL"/>
        </w:rPr>
        <w:t xml:space="preserve"> </w:t>
      </w:r>
      <w:r w:rsidR="00585E35">
        <w:rPr>
          <w:rFonts w:ascii="Times New Roman" w:eastAsiaTheme="majorEastAsia" w:hAnsi="Times New Roman" w:cs="Times New Roman"/>
          <w:sz w:val="20"/>
          <w:szCs w:val="20"/>
          <w:lang w:val="pl-PL" w:eastAsia="pl-PL"/>
        </w:rPr>
        <w:t>August</w:t>
      </w:r>
      <w:r w:rsidRPr="00E615FE">
        <w:rPr>
          <w:rFonts w:ascii="Times New Roman" w:eastAsiaTheme="majorEastAsia" w:hAnsi="Times New Roman" w:cs="Times New Roman"/>
          <w:sz w:val="20"/>
          <w:szCs w:val="20"/>
          <w:lang w:val="pl-PL" w:eastAsia="pl-PL"/>
        </w:rPr>
        <w:t xml:space="preserve"> 2026; </w:t>
      </w:r>
      <w:r w:rsidRPr="00E615FE">
        <w:rPr>
          <w:rFonts w:ascii="Times New Roman" w:eastAsiaTheme="majorEastAsia" w:hAnsi="Times New Roman" w:cs="Times New Roman"/>
          <w:b/>
          <w:bCs/>
          <w:color w:val="0070C0"/>
          <w:sz w:val="20"/>
          <w:szCs w:val="20"/>
          <w:lang w:val="pl-PL" w:eastAsia="pl-PL"/>
        </w:rPr>
        <w:t>Accepted:</w:t>
      </w:r>
      <w:r w:rsidRPr="00E615FE">
        <w:rPr>
          <w:rFonts w:ascii="Times New Roman" w:eastAsiaTheme="majorEastAsia" w:hAnsi="Times New Roman" w:cs="Times New Roman"/>
          <w:sz w:val="20"/>
          <w:szCs w:val="20"/>
          <w:lang w:val="pl-PL" w:eastAsia="pl-PL"/>
        </w:rPr>
        <w:t xml:space="preserve"> 1</w:t>
      </w:r>
      <w:r w:rsidR="00585E35">
        <w:rPr>
          <w:rFonts w:ascii="Times New Roman" w:eastAsiaTheme="majorEastAsia" w:hAnsi="Times New Roman" w:cs="Times New Roman"/>
          <w:sz w:val="20"/>
          <w:szCs w:val="20"/>
          <w:lang w:val="pl-PL" w:eastAsia="pl-PL"/>
        </w:rPr>
        <w:t>0</w:t>
      </w:r>
      <w:r w:rsidRPr="00E615FE">
        <w:rPr>
          <w:rFonts w:ascii="Times New Roman" w:eastAsiaTheme="majorEastAsia" w:hAnsi="Times New Roman" w:cs="Times New Roman"/>
          <w:sz w:val="20"/>
          <w:szCs w:val="20"/>
          <w:lang w:val="pl-PL" w:eastAsia="pl-PL"/>
        </w:rPr>
        <w:t xml:space="preserve"> </w:t>
      </w:r>
      <w:r w:rsidR="00585E35">
        <w:rPr>
          <w:rFonts w:ascii="Times New Roman" w:eastAsiaTheme="majorEastAsia" w:hAnsi="Times New Roman" w:cs="Times New Roman"/>
          <w:sz w:val="20"/>
          <w:szCs w:val="20"/>
          <w:lang w:val="pl-PL" w:eastAsia="pl-PL"/>
        </w:rPr>
        <w:t>August</w:t>
      </w:r>
      <w:r w:rsidR="00585E35" w:rsidRPr="00E615FE">
        <w:rPr>
          <w:rFonts w:ascii="Times New Roman" w:eastAsiaTheme="majorEastAsia" w:hAnsi="Times New Roman" w:cs="Times New Roman"/>
          <w:sz w:val="20"/>
          <w:szCs w:val="20"/>
          <w:lang w:val="pl-PL" w:eastAsia="pl-PL"/>
        </w:rPr>
        <w:t xml:space="preserve"> </w:t>
      </w:r>
      <w:r w:rsidRPr="00E615FE">
        <w:rPr>
          <w:rFonts w:ascii="Times New Roman" w:eastAsiaTheme="majorEastAsia" w:hAnsi="Times New Roman" w:cs="Times New Roman"/>
          <w:sz w:val="20"/>
          <w:szCs w:val="20"/>
          <w:lang w:val="pl-PL" w:eastAsia="pl-PL"/>
        </w:rPr>
        <w:t xml:space="preserve">2026; </w:t>
      </w:r>
      <w:r w:rsidRPr="00E615FE">
        <w:rPr>
          <w:rFonts w:ascii="Times New Roman" w:eastAsiaTheme="majorEastAsia" w:hAnsi="Times New Roman" w:cs="Times New Roman"/>
          <w:b/>
          <w:bCs/>
          <w:color w:val="0070C0"/>
          <w:sz w:val="20"/>
          <w:szCs w:val="20"/>
          <w:lang w:val="pl-PL" w:eastAsia="pl-PL"/>
        </w:rPr>
        <w:t>Published:</w:t>
      </w:r>
      <w:r w:rsidRPr="00E615FE">
        <w:rPr>
          <w:rFonts w:ascii="Times New Roman" w:eastAsiaTheme="majorEastAsia" w:hAnsi="Times New Roman" w:cs="Times New Roman"/>
          <w:sz w:val="20"/>
          <w:szCs w:val="20"/>
          <w:lang w:val="pl-PL" w:eastAsia="pl-PL"/>
        </w:rPr>
        <w:t xml:space="preserve"> </w:t>
      </w:r>
      <w:r w:rsidR="00417790">
        <w:rPr>
          <w:rFonts w:ascii="Times New Roman" w:eastAsiaTheme="majorEastAsia" w:hAnsi="Times New Roman" w:cs="Times New Roman"/>
          <w:sz w:val="20"/>
          <w:szCs w:val="20"/>
          <w:lang w:val="pl-PL" w:eastAsia="pl-PL"/>
        </w:rPr>
        <w:t>21</w:t>
      </w:r>
      <w:r w:rsidRPr="00E615FE">
        <w:rPr>
          <w:rFonts w:ascii="Times New Roman" w:eastAsiaTheme="majorEastAsia" w:hAnsi="Times New Roman" w:cs="Times New Roman"/>
          <w:sz w:val="20"/>
          <w:szCs w:val="20"/>
          <w:lang w:val="pl-PL" w:eastAsia="pl-PL"/>
        </w:rPr>
        <w:t xml:space="preserve"> </w:t>
      </w:r>
      <w:r w:rsidR="00585E35">
        <w:rPr>
          <w:rFonts w:ascii="Times New Roman" w:eastAsiaTheme="majorEastAsia" w:hAnsi="Times New Roman" w:cs="Times New Roman"/>
          <w:sz w:val="20"/>
          <w:szCs w:val="20"/>
          <w:lang w:val="pl-PL" w:eastAsia="pl-PL"/>
        </w:rPr>
        <w:t>August</w:t>
      </w:r>
      <w:r w:rsidR="00585E35" w:rsidRPr="00E615FE">
        <w:rPr>
          <w:rFonts w:ascii="Times New Roman" w:eastAsiaTheme="majorEastAsia" w:hAnsi="Times New Roman" w:cs="Times New Roman"/>
          <w:sz w:val="20"/>
          <w:szCs w:val="20"/>
          <w:lang w:val="pl-PL" w:eastAsia="pl-PL"/>
        </w:rPr>
        <w:t xml:space="preserve"> </w:t>
      </w:r>
      <w:r w:rsidRPr="00E615FE">
        <w:rPr>
          <w:rFonts w:ascii="Times New Roman" w:eastAsiaTheme="majorEastAsia" w:hAnsi="Times New Roman" w:cs="Times New Roman"/>
          <w:sz w:val="20"/>
          <w:szCs w:val="20"/>
          <w:lang w:val="pl-PL" w:eastAsia="pl-PL"/>
        </w:rPr>
        <w:t>2026</w:t>
      </w:r>
    </w:p>
    <w:p w14:paraId="5834806F" w14:textId="77777777"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p>
    <w:p w14:paraId="712FF56B" w14:textId="3647C177"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r w:rsidRPr="00E615FE">
        <w:rPr>
          <w:rFonts w:ascii="Times New Roman" w:eastAsiaTheme="majorEastAsia" w:hAnsi="Times New Roman" w:cs="Times New Roman"/>
          <w:b/>
          <w:bCs/>
          <w:color w:val="0070C0"/>
          <w:lang w:val="pl-PL" w:eastAsia="pl-PL"/>
        </w:rPr>
        <w:t>Citation:</w:t>
      </w:r>
      <w:r w:rsidRPr="00E615FE">
        <w:rPr>
          <w:rFonts w:ascii="Times New Roman" w:eastAsiaTheme="majorEastAsia" w:hAnsi="Times New Roman" w:cs="Times New Roman"/>
          <w:color w:val="0070C0"/>
          <w:lang w:val="pl-PL" w:eastAsia="pl-PL"/>
        </w:rPr>
        <w:t xml:space="preserve"> </w:t>
      </w:r>
      <w:r w:rsidRPr="00E615FE">
        <w:rPr>
          <w:rFonts w:ascii="Times New Roman" w:eastAsiaTheme="majorEastAsia" w:hAnsi="Times New Roman" w:cs="Times New Roman"/>
          <w:sz w:val="20"/>
          <w:szCs w:val="20"/>
          <w:lang w:val="pl-PL" w:eastAsia="pl-PL"/>
        </w:rPr>
        <w:t xml:space="preserve">Joseph N Salama, Sylvia Arce, Harold W Hunt, Diego A L Garcia. Acute Volar Wrist Pain in a Collegiate Baseball Athlete: Thrombosis of a Persistent Median Artery Associated with a Bifid Median Nerve. Journal of Radiology and Clinical Imaging 9 (2026): </w:t>
      </w:r>
      <w:r w:rsidR="00417790" w:rsidRPr="00417790">
        <w:rPr>
          <w:rFonts w:ascii="Times New Roman" w:eastAsiaTheme="majorEastAsia" w:hAnsi="Times New Roman" w:cs="Times New Roman"/>
          <w:sz w:val="20"/>
          <w:szCs w:val="20"/>
          <w:lang w:val="en-IN" w:eastAsia="pl-PL"/>
        </w:rPr>
        <w:t>92-95</w:t>
      </w:r>
      <w:r>
        <w:rPr>
          <w:rFonts w:ascii="Times New Roman" w:eastAsiaTheme="majorEastAsia" w:hAnsi="Times New Roman" w:cs="Times New Roman"/>
          <w:sz w:val="20"/>
          <w:szCs w:val="20"/>
          <w:lang w:val="pl-PL" w:eastAsia="pl-PL"/>
        </w:rPr>
        <w:t>.</w:t>
      </w:r>
    </w:p>
    <w:p w14:paraId="524151B1" w14:textId="77474094"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r w:rsidRPr="00E615FE">
        <w:rPr>
          <w:rFonts w:ascii="Times New Roman" w:eastAsiaTheme="majorEastAsia" w:hAnsi="Times New Roman" w:cs="Times New Roman"/>
          <w:sz w:val="20"/>
          <w:szCs w:val="20"/>
          <w:lang w:val="pl-PL" w:eastAsia="pl-PL"/>
        </w:rPr>
        <w:t xml:space="preserve"> </w:t>
      </w:r>
    </w:p>
    <w:p w14:paraId="2EE7C62C" w14:textId="77777777" w:rsidR="00E615FE" w:rsidRPr="00E615FE" w:rsidRDefault="00E615FE" w:rsidP="00917190">
      <w:pPr>
        <w:spacing w:after="0" w:line="360" w:lineRule="auto"/>
        <w:jc w:val="both"/>
        <w:rPr>
          <w:rFonts w:ascii="Times New Roman" w:eastAsiaTheme="majorEastAsia" w:hAnsi="Times New Roman" w:cs="Times New Roman"/>
          <w:b/>
          <w:bCs/>
          <w:color w:val="0070C0"/>
          <w:lang w:val="pl-PL" w:eastAsia="pl-PL"/>
        </w:rPr>
      </w:pPr>
      <w:r w:rsidRPr="00E615FE">
        <w:rPr>
          <w:rFonts w:ascii="Times New Roman" w:eastAsiaTheme="majorEastAsia" w:hAnsi="Times New Roman" w:cs="Times New Roman"/>
          <w:b/>
          <w:bCs/>
          <w:color w:val="0070C0"/>
          <w:lang w:val="pl-PL" w:eastAsia="pl-PL"/>
        </w:rPr>
        <w:t>Abstract</w:t>
      </w:r>
    </w:p>
    <w:p w14:paraId="7E8FBA4E" w14:textId="14681055"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r w:rsidRPr="00E615FE">
        <w:rPr>
          <w:rFonts w:ascii="Times New Roman" w:eastAsiaTheme="majorEastAsia" w:hAnsi="Times New Roman" w:cs="Times New Roman"/>
          <w:b/>
          <w:bCs/>
          <w:color w:val="0070C0"/>
          <w:sz w:val="20"/>
          <w:szCs w:val="20"/>
          <w:lang w:val="pl-PL" w:eastAsia="pl-PL"/>
        </w:rPr>
        <w:t>Background:</w:t>
      </w:r>
      <w:r w:rsidRPr="00E615FE">
        <w:rPr>
          <w:rFonts w:ascii="Times New Roman" w:eastAsiaTheme="majorEastAsia" w:hAnsi="Times New Roman" w:cs="Times New Roman"/>
          <w:color w:val="0070C0"/>
          <w:sz w:val="20"/>
          <w:szCs w:val="20"/>
          <w:lang w:val="pl-PL" w:eastAsia="pl-PL"/>
        </w:rPr>
        <w:t xml:space="preserve"> </w:t>
      </w:r>
      <w:r w:rsidRPr="00E615FE">
        <w:rPr>
          <w:rFonts w:ascii="Times New Roman" w:eastAsiaTheme="majorEastAsia" w:hAnsi="Times New Roman" w:cs="Times New Roman"/>
          <w:sz w:val="20"/>
          <w:szCs w:val="20"/>
          <w:lang w:val="pl-PL" w:eastAsia="pl-PL"/>
        </w:rPr>
        <w:t xml:space="preserve">Anatomic variants of the median nerve and its accompanying vasculature, specifically a bifid median nerve (BMN) and persistent median artery (PMA) are well-recognized predisposing factors for carpal tunnel syndrome (CTS). Acute thrombosis of a PMA is a rare but important cause of sudden-onset wrist pain and median neuropathy, particularly in young, otherwise healthy individuals. </w:t>
      </w:r>
    </w:p>
    <w:p w14:paraId="5D2E07D8" w14:textId="2F8B772F"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r w:rsidRPr="00E615FE">
        <w:rPr>
          <w:rFonts w:ascii="Times New Roman" w:eastAsiaTheme="majorEastAsia" w:hAnsi="Times New Roman" w:cs="Times New Roman"/>
          <w:b/>
          <w:bCs/>
          <w:color w:val="0070C0"/>
          <w:sz w:val="20"/>
          <w:szCs w:val="20"/>
          <w:lang w:val="pl-PL" w:eastAsia="pl-PL"/>
        </w:rPr>
        <w:t>Case Presentation:</w:t>
      </w:r>
      <w:r w:rsidRPr="00E615FE">
        <w:rPr>
          <w:rFonts w:ascii="Times New Roman" w:eastAsiaTheme="majorEastAsia" w:hAnsi="Times New Roman" w:cs="Times New Roman"/>
          <w:color w:val="0070C0"/>
          <w:sz w:val="20"/>
          <w:szCs w:val="20"/>
          <w:lang w:val="pl-PL" w:eastAsia="pl-PL"/>
        </w:rPr>
        <w:t xml:space="preserve"> </w:t>
      </w:r>
      <w:r w:rsidRPr="00E615FE">
        <w:rPr>
          <w:rFonts w:ascii="Times New Roman" w:eastAsiaTheme="majorEastAsia" w:hAnsi="Times New Roman" w:cs="Times New Roman"/>
          <w:sz w:val="20"/>
          <w:szCs w:val="20"/>
          <w:lang w:val="pl-PL" w:eastAsia="pl-PL"/>
        </w:rPr>
        <w:t xml:space="preserve">We present the case of a 21-year-old left-hand–dominant collegiate baseball player who presented with acute volar wrist pain and median-distribution hyperesthesia following a forceful throwing motion. Electromyography (EMG) was normal. Computed tomography demonstrated no osseous abnormality. Magnetic resonance imaging (MRI) revealed a bifid median nerve with an adjacent persistent median artery demonstrating intraluminal signal abnormality and surrounding edema, suspicious for acute thrombosis. </w:t>
      </w:r>
    </w:p>
    <w:p w14:paraId="1296CC29" w14:textId="6847DEFD" w:rsidR="00E615FE" w:rsidRPr="00E615FE" w:rsidRDefault="00E615FE" w:rsidP="00917190">
      <w:pPr>
        <w:spacing w:after="0" w:line="360" w:lineRule="auto"/>
        <w:jc w:val="both"/>
        <w:rPr>
          <w:rFonts w:ascii="Times New Roman" w:eastAsiaTheme="majorEastAsia" w:hAnsi="Times New Roman" w:cs="Times New Roman"/>
          <w:sz w:val="20"/>
          <w:szCs w:val="20"/>
          <w:lang w:val="pl-PL" w:eastAsia="pl-PL"/>
        </w:rPr>
      </w:pPr>
      <w:r w:rsidRPr="00E615FE">
        <w:rPr>
          <w:rFonts w:ascii="Times New Roman" w:eastAsiaTheme="majorEastAsia" w:hAnsi="Times New Roman" w:cs="Times New Roman"/>
          <w:b/>
          <w:bCs/>
          <w:color w:val="0070C0"/>
          <w:sz w:val="20"/>
          <w:szCs w:val="20"/>
          <w:lang w:val="pl-PL" w:eastAsia="pl-PL"/>
        </w:rPr>
        <w:t>Conclusion:</w:t>
      </w:r>
      <w:r w:rsidRPr="00E615FE">
        <w:rPr>
          <w:rFonts w:ascii="Times New Roman" w:eastAsiaTheme="majorEastAsia" w:hAnsi="Times New Roman" w:cs="Times New Roman"/>
          <w:color w:val="0070C0"/>
          <w:sz w:val="20"/>
          <w:szCs w:val="20"/>
          <w:lang w:val="pl-PL" w:eastAsia="pl-PL"/>
        </w:rPr>
        <w:t xml:space="preserve"> </w:t>
      </w:r>
      <w:r w:rsidRPr="00E615FE">
        <w:rPr>
          <w:rFonts w:ascii="Times New Roman" w:eastAsiaTheme="majorEastAsia" w:hAnsi="Times New Roman" w:cs="Times New Roman"/>
          <w:sz w:val="20"/>
          <w:szCs w:val="20"/>
          <w:lang w:val="pl-PL" w:eastAsia="pl-PL"/>
        </w:rPr>
        <w:t xml:space="preserve">This case underscores the importance of considering vascular anomalies such as PMA which is an uncommon yet clinically significant cause of acute median nerve symptoms in athletes. Recognition of this entity on MRI is critical to </w:t>
      </w:r>
      <w:r w:rsidRPr="00E615FE">
        <w:rPr>
          <w:rFonts w:ascii="Times New Roman" w:eastAsiaTheme="majorEastAsia" w:hAnsi="Times New Roman" w:cs="Times New Roman"/>
          <w:sz w:val="20"/>
          <w:szCs w:val="20"/>
          <w:lang w:val="pl-PL" w:eastAsia="pl-PL"/>
        </w:rPr>
        <w:lastRenderedPageBreak/>
        <w:t xml:space="preserve">avoid diagnostic delay and guide appropriate conservative or surgical management to prevent long-term neurological deficit. </w:t>
      </w:r>
    </w:p>
    <w:p w14:paraId="4B787C5D" w14:textId="77777777" w:rsidR="00E615FE" w:rsidRDefault="00E615FE" w:rsidP="00917190">
      <w:pPr>
        <w:spacing w:after="0" w:line="360" w:lineRule="auto"/>
        <w:jc w:val="both"/>
        <w:rPr>
          <w:rFonts w:ascii="Times New Roman" w:hAnsi="Times New Roman" w:cs="Times New Roman"/>
          <w:b/>
          <w:bCs/>
          <w:color w:val="0070C0"/>
          <w:lang w:val="en-IN" w:eastAsia="en-IN"/>
        </w:rPr>
      </w:pPr>
    </w:p>
    <w:p w14:paraId="2F2FA083" w14:textId="05F3A370" w:rsidR="00E615FE" w:rsidRPr="00E615FE" w:rsidRDefault="00C21B72" w:rsidP="00917190">
      <w:pPr>
        <w:spacing w:after="0" w:line="360" w:lineRule="auto"/>
        <w:jc w:val="both"/>
        <w:rPr>
          <w:rFonts w:ascii="Times New Roman" w:hAnsi="Times New Roman"/>
          <w:sz w:val="20"/>
          <w:szCs w:val="20"/>
          <w:lang w:eastAsia="zh-CN"/>
        </w:rPr>
      </w:pPr>
      <w:r w:rsidRPr="002F4A93">
        <w:rPr>
          <w:rFonts w:ascii="Times New Roman" w:hAnsi="Times New Roman" w:cs="Times New Roman"/>
          <w:b/>
          <w:bCs/>
          <w:color w:val="0070C0"/>
          <w:lang w:val="en-IN" w:eastAsia="en-IN"/>
        </w:rPr>
        <w:t>Keywords</w:t>
      </w:r>
      <w:r w:rsidR="003B4598" w:rsidRPr="002F4A93">
        <w:rPr>
          <w:rFonts w:ascii="Times New Roman" w:hAnsi="Times New Roman" w:cs="Times New Roman"/>
          <w:b/>
          <w:bCs/>
          <w:color w:val="0070C0"/>
          <w:sz w:val="20"/>
          <w:szCs w:val="20"/>
          <w:lang w:val="en-IN" w:eastAsia="en-IN"/>
        </w:rPr>
        <w:t>:</w:t>
      </w:r>
      <w:r w:rsidR="00720398" w:rsidRPr="002F4A93">
        <w:rPr>
          <w:rFonts w:ascii="Times New Roman" w:eastAsia="Times New Roman" w:hAnsi="Times New Roman" w:cs="Times New Roman"/>
          <w:sz w:val="20"/>
          <w:szCs w:val="20"/>
          <w:lang w:val="en-IN"/>
        </w:rPr>
        <w:t xml:space="preserve"> </w:t>
      </w:r>
      <w:r w:rsidR="00E615FE" w:rsidRPr="00E615FE">
        <w:rPr>
          <w:rFonts w:ascii="Times New Roman" w:hAnsi="Times New Roman"/>
          <w:sz w:val="20"/>
          <w:szCs w:val="20"/>
          <w:lang w:eastAsia="zh-CN"/>
        </w:rPr>
        <w:t xml:space="preserve">Median nerve; Bifid median nerve; </w:t>
      </w:r>
      <w:r w:rsidR="00E615FE">
        <w:rPr>
          <w:rFonts w:ascii="Times New Roman" w:hAnsi="Times New Roman"/>
          <w:sz w:val="20"/>
          <w:szCs w:val="20"/>
          <w:lang w:eastAsia="zh-CN"/>
        </w:rPr>
        <w:t>P</w:t>
      </w:r>
      <w:r w:rsidR="00E615FE" w:rsidRPr="00E615FE">
        <w:rPr>
          <w:rFonts w:ascii="Times New Roman" w:hAnsi="Times New Roman"/>
          <w:sz w:val="20"/>
          <w:szCs w:val="20"/>
          <w:lang w:eastAsia="zh-CN"/>
        </w:rPr>
        <w:t xml:space="preserve">ersistent median artery; </w:t>
      </w:r>
      <w:r w:rsidR="00E615FE">
        <w:rPr>
          <w:rFonts w:ascii="Times New Roman" w:hAnsi="Times New Roman"/>
          <w:sz w:val="20"/>
          <w:szCs w:val="20"/>
          <w:lang w:eastAsia="zh-CN"/>
        </w:rPr>
        <w:t>C</w:t>
      </w:r>
      <w:r w:rsidR="00E615FE" w:rsidRPr="00E615FE">
        <w:rPr>
          <w:rFonts w:ascii="Times New Roman" w:hAnsi="Times New Roman"/>
          <w:sz w:val="20"/>
          <w:szCs w:val="20"/>
          <w:lang w:eastAsia="zh-CN"/>
        </w:rPr>
        <w:t xml:space="preserve">arpal tunnel syndrome; </w:t>
      </w:r>
      <w:r w:rsidR="00E615FE">
        <w:rPr>
          <w:rFonts w:ascii="Times New Roman" w:hAnsi="Times New Roman"/>
          <w:sz w:val="20"/>
          <w:szCs w:val="20"/>
          <w:lang w:eastAsia="zh-CN"/>
        </w:rPr>
        <w:t>T</w:t>
      </w:r>
      <w:r w:rsidR="00E615FE" w:rsidRPr="00E615FE">
        <w:rPr>
          <w:rFonts w:ascii="Times New Roman" w:hAnsi="Times New Roman"/>
          <w:sz w:val="20"/>
          <w:szCs w:val="20"/>
          <w:lang w:eastAsia="zh-CN"/>
        </w:rPr>
        <w:t xml:space="preserve">hrombosis; </w:t>
      </w:r>
      <w:r w:rsidR="00E615FE">
        <w:rPr>
          <w:rFonts w:ascii="Times New Roman" w:hAnsi="Times New Roman"/>
          <w:sz w:val="20"/>
          <w:szCs w:val="20"/>
          <w:lang w:eastAsia="zh-CN"/>
        </w:rPr>
        <w:t>W</w:t>
      </w:r>
      <w:r w:rsidR="00E615FE" w:rsidRPr="00E615FE">
        <w:rPr>
          <w:rFonts w:ascii="Times New Roman" w:hAnsi="Times New Roman"/>
          <w:sz w:val="20"/>
          <w:szCs w:val="20"/>
          <w:lang w:eastAsia="zh-CN"/>
        </w:rPr>
        <w:t xml:space="preserve">rist MRI; </w:t>
      </w:r>
      <w:r w:rsidR="00E615FE">
        <w:rPr>
          <w:rFonts w:ascii="Times New Roman" w:hAnsi="Times New Roman"/>
          <w:sz w:val="20"/>
          <w:szCs w:val="20"/>
          <w:lang w:eastAsia="zh-CN"/>
        </w:rPr>
        <w:t>A</w:t>
      </w:r>
      <w:r w:rsidR="00E615FE" w:rsidRPr="00E615FE">
        <w:rPr>
          <w:rFonts w:ascii="Times New Roman" w:hAnsi="Times New Roman"/>
          <w:sz w:val="20"/>
          <w:szCs w:val="20"/>
          <w:lang w:eastAsia="zh-CN"/>
        </w:rPr>
        <w:t xml:space="preserve">thlete; </w:t>
      </w:r>
      <w:r w:rsidR="00E615FE">
        <w:rPr>
          <w:rFonts w:ascii="Times New Roman" w:hAnsi="Times New Roman"/>
          <w:sz w:val="20"/>
          <w:szCs w:val="20"/>
          <w:lang w:eastAsia="zh-CN"/>
        </w:rPr>
        <w:t>B</w:t>
      </w:r>
      <w:r w:rsidR="00E615FE" w:rsidRPr="00E615FE">
        <w:rPr>
          <w:rFonts w:ascii="Times New Roman" w:hAnsi="Times New Roman"/>
          <w:sz w:val="20"/>
          <w:szCs w:val="20"/>
          <w:lang w:eastAsia="zh-CN"/>
        </w:rPr>
        <w:t>aseball</w:t>
      </w:r>
      <w:r w:rsidR="004337AD">
        <w:rPr>
          <w:rFonts w:ascii="Times New Roman" w:hAnsi="Times New Roman"/>
          <w:sz w:val="20"/>
          <w:szCs w:val="20"/>
          <w:lang w:eastAsia="zh-CN"/>
        </w:rPr>
        <w:t>.</w:t>
      </w:r>
    </w:p>
    <w:p w14:paraId="08C12E6A" w14:textId="77777777" w:rsidR="00E615FE" w:rsidRDefault="00E615FE" w:rsidP="00917190">
      <w:pPr>
        <w:autoSpaceDE w:val="0"/>
        <w:autoSpaceDN w:val="0"/>
        <w:adjustRightInd w:val="0"/>
        <w:spacing w:after="0" w:line="360" w:lineRule="auto"/>
        <w:jc w:val="both"/>
        <w:rPr>
          <w:rFonts w:ascii="Times New Roman" w:hAnsi="Times New Roman"/>
          <w:b/>
          <w:bCs/>
          <w:color w:val="0070C0"/>
          <w:sz w:val="20"/>
          <w:szCs w:val="20"/>
          <w:lang w:eastAsia="zh-CN"/>
        </w:rPr>
      </w:pPr>
    </w:p>
    <w:p w14:paraId="5AFD18FC" w14:textId="7F1FF9DA" w:rsidR="002622A2" w:rsidRDefault="002622A2" w:rsidP="00917190">
      <w:pPr>
        <w:autoSpaceDE w:val="0"/>
        <w:autoSpaceDN w:val="0"/>
        <w:adjustRightInd w:val="0"/>
        <w:spacing w:after="0" w:line="360" w:lineRule="auto"/>
        <w:jc w:val="both"/>
        <w:rPr>
          <w:rFonts w:ascii="Times New Roman" w:hAnsi="Times New Roman" w:cs="Times New Roman"/>
          <w:b/>
          <w:bCs/>
          <w:color w:val="0070C0"/>
          <w:lang w:val="en-IN" w:eastAsia="en-IN"/>
        </w:rPr>
      </w:pPr>
      <w:r w:rsidRPr="00083CC5">
        <w:rPr>
          <w:rFonts w:ascii="Times New Roman" w:hAnsi="Times New Roman" w:cs="Times New Roman"/>
          <w:b/>
          <w:bCs/>
          <w:color w:val="0070C0"/>
          <w:lang w:val="en-IN" w:eastAsia="en-IN"/>
        </w:rPr>
        <w:t>Introduction</w:t>
      </w:r>
    </w:p>
    <w:p w14:paraId="6114ACD6" w14:textId="4210ED9B" w:rsidR="00E615FE" w:rsidRPr="00E615FE" w:rsidRDefault="00E615FE" w:rsidP="00917190">
      <w:pPr>
        <w:spacing w:after="0" w:line="360" w:lineRule="auto"/>
        <w:jc w:val="both"/>
        <w:rPr>
          <w:rFonts w:ascii="Times New Roman" w:hAnsi="Times New Roman" w:cs="Times New Roman"/>
          <w:sz w:val="20"/>
          <w:szCs w:val="20"/>
        </w:rPr>
      </w:pPr>
      <w:r w:rsidRPr="00E615FE">
        <w:rPr>
          <w:rFonts w:ascii="Times New Roman" w:hAnsi="Times New Roman" w:cs="Times New Roman"/>
          <w:sz w:val="20"/>
          <w:szCs w:val="20"/>
        </w:rPr>
        <w:t xml:space="preserve">Carpal tunnel syndrome (CTS) is the most common compressive neuropathy of the upper extremity, typically the result of chronic mechanical compression, repetitive stress or tenosynovitis. Acute CTS is uncommon and most often associated with direct trauma, hemorrhage or other space-occupying lesions. Congenital anatomic variants of the median nerve and its vascular supply represent uncommon but important causes of acute median neuropathy. </w:t>
      </w:r>
      <w:r>
        <w:rPr>
          <w:rFonts w:ascii="Times New Roman" w:hAnsi="Times New Roman" w:cs="Times New Roman"/>
          <w:sz w:val="20"/>
          <w:szCs w:val="20"/>
        </w:rPr>
        <w:t xml:space="preserve"> </w:t>
      </w:r>
      <w:r w:rsidRPr="00E615FE">
        <w:rPr>
          <w:rFonts w:ascii="Times New Roman" w:hAnsi="Times New Roman" w:cs="Times New Roman"/>
          <w:sz w:val="20"/>
          <w:szCs w:val="20"/>
        </w:rPr>
        <w:t xml:space="preserve">A bifid median nerve (BMN) is characterized by bifurcation of the median nerve into two discrete bundles </w:t>
      </w:r>
      <w:r w:rsidR="00E50D42" w:rsidRPr="00E615FE">
        <w:rPr>
          <w:rFonts w:ascii="Times New Roman" w:hAnsi="Times New Roman" w:cs="Times New Roman"/>
          <w:sz w:val="20"/>
          <w:szCs w:val="20"/>
        </w:rPr>
        <w:t>proximally</w:t>
      </w:r>
      <w:r w:rsidRPr="00E615FE">
        <w:rPr>
          <w:rFonts w:ascii="Times New Roman" w:hAnsi="Times New Roman" w:cs="Times New Roman"/>
          <w:sz w:val="20"/>
          <w:szCs w:val="20"/>
        </w:rPr>
        <w:t xml:space="preserve"> to or within the carpal tunnel. A persistent median artery (PMA) is an embryologic remnant that may course along or between these nerve bundles. The reported prevalence of BMN ranges from 2% to 26%, while PMA ranges between 0.6% and 30% [1,2]. </w:t>
      </w:r>
    </w:p>
    <w:p w14:paraId="71377690" w14:textId="77777777" w:rsidR="00E615FE" w:rsidRPr="00E615FE" w:rsidRDefault="00E615FE" w:rsidP="00917190">
      <w:pPr>
        <w:spacing w:after="0" w:line="360" w:lineRule="auto"/>
        <w:jc w:val="both"/>
        <w:rPr>
          <w:rFonts w:ascii="Times New Roman" w:hAnsi="Times New Roman" w:cs="Times New Roman"/>
          <w:sz w:val="20"/>
          <w:szCs w:val="20"/>
        </w:rPr>
      </w:pPr>
    </w:p>
    <w:p w14:paraId="77CC76EF" w14:textId="77777777" w:rsidR="00E615FE" w:rsidRPr="00E615FE" w:rsidRDefault="00E615FE" w:rsidP="00917190">
      <w:pPr>
        <w:spacing w:after="0" w:line="360" w:lineRule="auto"/>
        <w:jc w:val="both"/>
        <w:rPr>
          <w:rFonts w:ascii="Times New Roman" w:hAnsi="Times New Roman" w:cs="Times New Roman"/>
          <w:sz w:val="20"/>
          <w:szCs w:val="20"/>
        </w:rPr>
      </w:pPr>
      <w:r w:rsidRPr="00E615FE">
        <w:rPr>
          <w:rFonts w:ascii="Times New Roman" w:hAnsi="Times New Roman" w:cs="Times New Roman"/>
          <w:sz w:val="20"/>
          <w:szCs w:val="20"/>
        </w:rPr>
        <w:t xml:space="preserve">While PMA is typically asymptomatic, it may become clinically significant when enlarged, aneurysmal or thrombosed resulting in acute median nerve compression [3,5,6,8,9–13]. This is particularly relevant in athletes who are exposed to repetitive loading, forceful wrist flexion and repetitive microtrauma. </w:t>
      </w:r>
    </w:p>
    <w:p w14:paraId="79FB9C24" w14:textId="77777777" w:rsidR="00E615FE" w:rsidRPr="00E615FE" w:rsidRDefault="00E615FE" w:rsidP="00917190">
      <w:pPr>
        <w:spacing w:after="0" w:line="360" w:lineRule="auto"/>
        <w:jc w:val="both"/>
        <w:rPr>
          <w:rFonts w:ascii="Times New Roman" w:hAnsi="Times New Roman" w:cs="Times New Roman"/>
          <w:sz w:val="20"/>
          <w:szCs w:val="20"/>
        </w:rPr>
      </w:pPr>
      <w:r w:rsidRPr="00E615FE">
        <w:rPr>
          <w:rFonts w:ascii="Times New Roman" w:hAnsi="Times New Roman" w:cs="Times New Roman"/>
          <w:sz w:val="20"/>
          <w:szCs w:val="20"/>
        </w:rPr>
        <w:t xml:space="preserve"> </w:t>
      </w:r>
    </w:p>
    <w:p w14:paraId="44A211E1" w14:textId="5E8B7684" w:rsidR="00E615FE" w:rsidRPr="00E615FE" w:rsidRDefault="00E615FE" w:rsidP="00917190">
      <w:pPr>
        <w:spacing w:after="0" w:line="360" w:lineRule="auto"/>
        <w:jc w:val="both"/>
        <w:rPr>
          <w:rFonts w:ascii="Times New Roman" w:hAnsi="Times New Roman" w:cs="Times New Roman"/>
          <w:b/>
          <w:bCs/>
          <w:color w:val="0070C0"/>
        </w:rPr>
      </w:pPr>
      <w:r w:rsidRPr="00E615FE">
        <w:rPr>
          <w:rFonts w:ascii="Times New Roman" w:hAnsi="Times New Roman" w:cs="Times New Roman"/>
          <w:b/>
          <w:bCs/>
          <w:color w:val="0070C0"/>
        </w:rPr>
        <w:t>Case Presentation</w:t>
      </w:r>
    </w:p>
    <w:p w14:paraId="1894C7DF" w14:textId="77777777" w:rsidR="00E615FE" w:rsidRPr="00E615FE" w:rsidRDefault="00E615FE" w:rsidP="00917190">
      <w:pPr>
        <w:spacing w:after="0" w:line="360" w:lineRule="auto"/>
        <w:jc w:val="both"/>
        <w:rPr>
          <w:rFonts w:ascii="Times New Roman" w:hAnsi="Times New Roman" w:cs="Times New Roman"/>
          <w:sz w:val="20"/>
          <w:szCs w:val="20"/>
        </w:rPr>
      </w:pPr>
      <w:r w:rsidRPr="00E615FE">
        <w:rPr>
          <w:rFonts w:ascii="Times New Roman" w:hAnsi="Times New Roman" w:cs="Times New Roman"/>
          <w:sz w:val="20"/>
          <w:szCs w:val="20"/>
        </w:rPr>
        <w:t xml:space="preserve">A 21-year-old left-hand–dominant collegiate baseball pitcher presented to the sports medicine clinic with acute onset of severe pain in the volar aspect of the wrist. The pain began abruptly during a high-velocity throw followed by forced wrist flexion. He described sharp, stabbing pain accompanied by hyperesthesia in the thumb, index, and middle fingers. There was no history of prior wrist injury, inflammatory arthropathy, coagulopathy, or anticoagulant use. </w:t>
      </w:r>
    </w:p>
    <w:p w14:paraId="1EC47567" w14:textId="77777777" w:rsidR="00E615FE" w:rsidRPr="00E615FE" w:rsidRDefault="00E615FE" w:rsidP="00917190">
      <w:pPr>
        <w:spacing w:after="0" w:line="360" w:lineRule="auto"/>
        <w:jc w:val="both"/>
        <w:rPr>
          <w:rFonts w:ascii="Times New Roman" w:hAnsi="Times New Roman" w:cs="Times New Roman"/>
          <w:sz w:val="20"/>
          <w:szCs w:val="20"/>
        </w:rPr>
      </w:pPr>
      <w:r w:rsidRPr="00E615FE">
        <w:rPr>
          <w:rFonts w:ascii="Times New Roman" w:hAnsi="Times New Roman" w:cs="Times New Roman"/>
          <w:sz w:val="20"/>
          <w:szCs w:val="20"/>
        </w:rPr>
        <w:t xml:space="preserve"> </w:t>
      </w:r>
    </w:p>
    <w:p w14:paraId="71D8BD84" w14:textId="274E8903" w:rsidR="00E615FE" w:rsidRPr="00E615FE" w:rsidRDefault="00E615FE" w:rsidP="00917190">
      <w:pPr>
        <w:spacing w:after="0" w:line="360" w:lineRule="auto"/>
        <w:jc w:val="both"/>
        <w:rPr>
          <w:rFonts w:ascii="Times New Roman" w:hAnsi="Times New Roman" w:cs="Times New Roman"/>
          <w:b/>
          <w:bCs/>
          <w:color w:val="0070C0"/>
          <w:sz w:val="20"/>
          <w:szCs w:val="20"/>
        </w:rPr>
      </w:pPr>
      <w:r w:rsidRPr="00E615FE">
        <w:rPr>
          <w:rFonts w:ascii="Times New Roman" w:hAnsi="Times New Roman" w:cs="Times New Roman"/>
          <w:b/>
          <w:bCs/>
          <w:color w:val="0070C0"/>
          <w:sz w:val="20"/>
          <w:szCs w:val="20"/>
        </w:rPr>
        <w:t>Physical Examination</w:t>
      </w:r>
    </w:p>
    <w:p w14:paraId="22EB6DA3" w14:textId="77777777" w:rsidR="00E615FE" w:rsidRPr="00E615FE" w:rsidRDefault="00E615FE" w:rsidP="00917190">
      <w:pPr>
        <w:spacing w:after="0" w:line="360" w:lineRule="auto"/>
        <w:jc w:val="both"/>
        <w:rPr>
          <w:rFonts w:ascii="Times New Roman" w:hAnsi="Times New Roman" w:cs="Times New Roman"/>
          <w:sz w:val="20"/>
          <w:szCs w:val="20"/>
        </w:rPr>
      </w:pPr>
      <w:r w:rsidRPr="00E615FE">
        <w:rPr>
          <w:rFonts w:ascii="Times New Roman" w:hAnsi="Times New Roman" w:cs="Times New Roman"/>
          <w:sz w:val="20"/>
          <w:szCs w:val="20"/>
        </w:rPr>
        <w:t xml:space="preserve">Examination revealed mild swelling and tenderness over the volar wrist. Active wrist flexion exacerbated pain and paresthesia. Tinel and Phalen maneuvers reproduced symptoms. Sensation was mildly altered in the median nerve distribution, with preserved motor strength. Radial and ulnar pulses were palpable and symmetric and there were no signs of pallor or digital ischemia. </w:t>
      </w:r>
    </w:p>
    <w:p w14:paraId="3CD9C348" w14:textId="77777777" w:rsidR="00E615FE" w:rsidRPr="00E615FE" w:rsidRDefault="00E615FE" w:rsidP="00917190">
      <w:pPr>
        <w:spacing w:after="0" w:line="360" w:lineRule="auto"/>
        <w:jc w:val="both"/>
        <w:rPr>
          <w:rFonts w:ascii="Times New Roman" w:hAnsi="Times New Roman" w:cs="Times New Roman"/>
          <w:sz w:val="20"/>
          <w:szCs w:val="20"/>
        </w:rPr>
      </w:pPr>
      <w:r w:rsidRPr="00E615FE">
        <w:rPr>
          <w:rFonts w:ascii="Times New Roman" w:hAnsi="Times New Roman" w:cs="Times New Roman"/>
          <w:sz w:val="20"/>
          <w:szCs w:val="20"/>
        </w:rPr>
        <w:t xml:space="preserve"> </w:t>
      </w:r>
    </w:p>
    <w:p w14:paraId="09257C6C" w14:textId="0AEAF084" w:rsidR="00E615FE" w:rsidRPr="00E615FE" w:rsidRDefault="00E615FE" w:rsidP="00917190">
      <w:pPr>
        <w:spacing w:after="0" w:line="360" w:lineRule="auto"/>
        <w:jc w:val="both"/>
        <w:rPr>
          <w:rFonts w:ascii="Times New Roman" w:hAnsi="Times New Roman" w:cs="Times New Roman"/>
          <w:b/>
          <w:bCs/>
          <w:color w:val="0070C0"/>
          <w:sz w:val="20"/>
          <w:szCs w:val="20"/>
        </w:rPr>
      </w:pPr>
      <w:r w:rsidRPr="00E615FE">
        <w:rPr>
          <w:rFonts w:ascii="Times New Roman" w:hAnsi="Times New Roman" w:cs="Times New Roman"/>
          <w:b/>
          <w:bCs/>
          <w:color w:val="0070C0"/>
          <w:sz w:val="20"/>
          <w:szCs w:val="20"/>
        </w:rPr>
        <w:t>Electrodiagnostic Testing</w:t>
      </w:r>
    </w:p>
    <w:p w14:paraId="7E22F7D9" w14:textId="62FCCAE3" w:rsidR="00E615FE" w:rsidRPr="00E615FE" w:rsidRDefault="00E615FE" w:rsidP="00917190">
      <w:pPr>
        <w:spacing w:after="0" w:line="360" w:lineRule="auto"/>
        <w:jc w:val="both"/>
        <w:rPr>
          <w:rFonts w:ascii="Times New Roman" w:hAnsi="Times New Roman" w:cs="Times New Roman"/>
          <w:sz w:val="20"/>
          <w:szCs w:val="20"/>
        </w:rPr>
      </w:pPr>
      <w:r w:rsidRPr="00E615FE">
        <w:rPr>
          <w:rFonts w:ascii="Times New Roman" w:hAnsi="Times New Roman" w:cs="Times New Roman"/>
          <w:sz w:val="20"/>
          <w:szCs w:val="20"/>
        </w:rPr>
        <w:t xml:space="preserve">Electromyography and nerve conduction studies of the left upper extremity were normal, with no evidence of median or ulnar neuropathy. Specifically, there was no electrodiagnostic evidence of ulnar nerve entrapment at the hook of the hamate, wrist, cubital tunnel, medial epicondyle or retrocondylar groove. The ulnar nerve demonstrated normal anatomic curvature adjacent to the medial triceps. Normal electrodiagnostic findings do not exclude acute compressive median neuropathy. </w:t>
      </w:r>
      <w:r w:rsidRPr="00E615FE">
        <w:rPr>
          <w:rFonts w:ascii="Times New Roman" w:hAnsi="Times New Roman" w:cs="Times New Roman"/>
          <w:sz w:val="20"/>
          <w:szCs w:val="20"/>
        </w:rPr>
        <w:lastRenderedPageBreak/>
        <w:t>Electromyography and nerve conduction studies may remain normal during the early stages of acute nerve compression because detectable abnormalities generally reflect axonal degeneration or demyelination, which require time to develop. Consequently, imaging plays a particularly important role when acute vascular compression is suspected despite normal electrodiagnostic testing [9,10]</w:t>
      </w:r>
      <w:r>
        <w:rPr>
          <w:rFonts w:ascii="Times New Roman" w:hAnsi="Times New Roman" w:cs="Times New Roman"/>
          <w:sz w:val="20"/>
          <w:szCs w:val="20"/>
        </w:rPr>
        <w:t>.</w:t>
      </w:r>
    </w:p>
    <w:p w14:paraId="1E8B3E03" w14:textId="573E19D5" w:rsidR="00E615FE" w:rsidRPr="00E615FE" w:rsidRDefault="00E615FE" w:rsidP="00917190">
      <w:pPr>
        <w:spacing w:after="0" w:line="360" w:lineRule="auto"/>
        <w:jc w:val="both"/>
        <w:rPr>
          <w:rFonts w:ascii="Times New Roman" w:hAnsi="Times New Roman" w:cs="Times New Roman"/>
          <w:sz w:val="20"/>
          <w:szCs w:val="20"/>
        </w:rPr>
      </w:pPr>
    </w:p>
    <w:p w14:paraId="5ED6CE6E" w14:textId="0471DC65" w:rsidR="00E615FE" w:rsidRPr="00E615FE" w:rsidRDefault="00E615FE" w:rsidP="00917190">
      <w:pPr>
        <w:spacing w:after="0" w:line="360" w:lineRule="auto"/>
        <w:jc w:val="both"/>
        <w:rPr>
          <w:rFonts w:ascii="Times New Roman" w:hAnsi="Times New Roman" w:cs="Times New Roman"/>
          <w:b/>
          <w:bCs/>
          <w:color w:val="0070C0"/>
          <w:sz w:val="20"/>
          <w:szCs w:val="20"/>
        </w:rPr>
      </w:pPr>
      <w:r w:rsidRPr="00E615FE">
        <w:rPr>
          <w:rFonts w:ascii="Times New Roman" w:hAnsi="Times New Roman" w:cs="Times New Roman"/>
          <w:b/>
          <w:bCs/>
          <w:color w:val="0070C0"/>
          <w:sz w:val="20"/>
          <w:szCs w:val="20"/>
        </w:rPr>
        <w:t>Imaging</w:t>
      </w:r>
    </w:p>
    <w:p w14:paraId="41707E28" w14:textId="734C641D" w:rsidR="00E615FE" w:rsidRPr="000B1BF7" w:rsidRDefault="00E615FE" w:rsidP="00917190">
      <w:pPr>
        <w:spacing w:after="0" w:line="360" w:lineRule="auto"/>
        <w:jc w:val="both"/>
        <w:rPr>
          <w:rFonts w:ascii="Times New Roman" w:hAnsi="Times New Roman" w:cs="Times New Roman"/>
          <w:b/>
          <w:bCs/>
          <w:color w:val="0070C0"/>
          <w:sz w:val="20"/>
          <w:szCs w:val="20"/>
        </w:rPr>
      </w:pPr>
      <w:r w:rsidRPr="00E615FE">
        <w:rPr>
          <w:rFonts w:ascii="Times New Roman" w:hAnsi="Times New Roman" w:cs="Times New Roman"/>
          <w:b/>
          <w:bCs/>
          <w:color w:val="0070C0"/>
          <w:sz w:val="20"/>
          <w:szCs w:val="20"/>
        </w:rPr>
        <w:t xml:space="preserve">CT: </w:t>
      </w:r>
      <w:r w:rsidRPr="00E615FE">
        <w:rPr>
          <w:rFonts w:ascii="Times New Roman" w:hAnsi="Times New Roman" w:cs="Times New Roman"/>
          <w:sz w:val="20"/>
          <w:szCs w:val="20"/>
        </w:rPr>
        <w:t xml:space="preserve">Noncontrast CT of the left wrist demonstrated no acute fracture, malalignment, or other osseous abnormality to account for the patient's symptoms. </w:t>
      </w:r>
    </w:p>
    <w:p w14:paraId="13A4AABD" w14:textId="77777777" w:rsidR="00E615FE" w:rsidRPr="00E615FE" w:rsidRDefault="00E615FE" w:rsidP="00917190">
      <w:pPr>
        <w:spacing w:after="0" w:line="360" w:lineRule="auto"/>
        <w:jc w:val="both"/>
        <w:rPr>
          <w:rFonts w:ascii="Times New Roman" w:hAnsi="Times New Roman" w:cs="Times New Roman"/>
          <w:sz w:val="20"/>
          <w:szCs w:val="20"/>
        </w:rPr>
      </w:pPr>
    </w:p>
    <w:p w14:paraId="6244486C" w14:textId="3AAF5493" w:rsidR="00E615FE" w:rsidRPr="000B1BF7" w:rsidRDefault="00E615FE" w:rsidP="00917190">
      <w:pPr>
        <w:spacing w:after="0" w:line="360" w:lineRule="auto"/>
        <w:jc w:val="both"/>
        <w:rPr>
          <w:rFonts w:ascii="Times New Roman" w:hAnsi="Times New Roman" w:cs="Times New Roman"/>
          <w:b/>
          <w:bCs/>
          <w:color w:val="0070C0"/>
          <w:sz w:val="20"/>
          <w:szCs w:val="20"/>
        </w:rPr>
      </w:pPr>
      <w:r w:rsidRPr="00E615FE">
        <w:rPr>
          <w:rFonts w:ascii="Times New Roman" w:hAnsi="Times New Roman" w:cs="Times New Roman"/>
          <w:b/>
          <w:bCs/>
          <w:color w:val="0070C0"/>
          <w:sz w:val="20"/>
          <w:szCs w:val="20"/>
        </w:rPr>
        <w:t xml:space="preserve">MRI: </w:t>
      </w:r>
      <w:r w:rsidRPr="00E615FE">
        <w:rPr>
          <w:rFonts w:ascii="Times New Roman" w:hAnsi="Times New Roman" w:cs="Times New Roman"/>
          <w:sz w:val="20"/>
          <w:szCs w:val="20"/>
        </w:rPr>
        <w:t>MRI of the left wrist demonstrated a Type II/III bifid median nerve within the carpal tunnel. Interposed between the two branches of the bifid median nerve was a persistent median artery (Figures 1 and 2). The vessel demonstrated loss of the expected vascular flow void, mild fusiform enlargement, intermediate-to-high T1 signal intensity, and heterogeneous T2 signal, compatible with acute intraluminal thrombus. Prominent T2-hyperintense perivascular edema extended into the adjacent carpal tunnel soft tissues with mild reactive perineural edema involving the adjacent bifid median nerve (Figure 3). The degree of surrounding inflammatory change was disproportionate to that expected for an uncomplicated persistent median artery and favored acute vascular pathology. The radial and ulnar arteries maintained normal flow voids without surrounding inflammatory change, supporting pathology localized to the persistent median artery (Figure 4). Mild volar bowing of the flexor retinaculum reflected minimal mass effect from the thrombosed artery and associated inflammatory change (Figure 5). Collectively, these imaging findings are most compatible with acute thrombosis of the persistent median artery. Although Doppler ultrasound was not obtained for confirmation, the MRI findings together with the patient's abrupt symptom onset were considered highly suggestive of acute thrombosis [10].</w:t>
      </w:r>
    </w:p>
    <w:p w14:paraId="67A34040" w14:textId="77777777" w:rsidR="00A558F7" w:rsidRDefault="00A558F7" w:rsidP="00917190">
      <w:pPr>
        <w:spacing w:after="0" w:line="360" w:lineRule="auto"/>
        <w:jc w:val="both"/>
        <w:rPr>
          <w:rFonts w:ascii="Times New Roman" w:hAnsi="Times New Roman" w:cs="Times New Roman"/>
          <w:sz w:val="20"/>
          <w:szCs w:val="20"/>
        </w:rPr>
      </w:pPr>
    </w:p>
    <w:p w14:paraId="3BC34DA0" w14:textId="776321E1" w:rsidR="00A558F7" w:rsidRPr="00E615FE" w:rsidRDefault="00A558F7" w:rsidP="00A558F7">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3D585B2" wp14:editId="0FA8E747">
            <wp:extent cx="2273300" cy="2951212"/>
            <wp:effectExtent l="0" t="0" r="0" b="1905"/>
            <wp:docPr id="6545676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8783" cy="2958330"/>
                    </a:xfrm>
                    <a:prstGeom prst="rect">
                      <a:avLst/>
                    </a:prstGeom>
                    <a:noFill/>
                    <a:ln>
                      <a:noFill/>
                    </a:ln>
                  </pic:spPr>
                </pic:pic>
              </a:graphicData>
            </a:graphic>
          </wp:inline>
        </w:drawing>
      </w:r>
    </w:p>
    <w:p w14:paraId="6B2D20A4" w14:textId="68EE11AB" w:rsidR="00A558F7" w:rsidRPr="00A558F7" w:rsidRDefault="00A558F7" w:rsidP="00A558F7">
      <w:pPr>
        <w:pStyle w:val="paragraph"/>
        <w:spacing w:before="0" w:beforeAutospacing="0" w:after="0" w:afterAutospacing="0" w:line="360" w:lineRule="auto"/>
        <w:jc w:val="both"/>
        <w:textAlignment w:val="baseline"/>
        <w:rPr>
          <w:sz w:val="20"/>
          <w:szCs w:val="20"/>
        </w:rPr>
      </w:pPr>
      <w:bookmarkStart w:id="0" w:name="OLE_LINK3"/>
      <w:r w:rsidRPr="00A558F7">
        <w:rPr>
          <w:b/>
          <w:bCs/>
          <w:color w:val="0070C0"/>
          <w:sz w:val="20"/>
          <w:szCs w:val="20"/>
        </w:rPr>
        <w:lastRenderedPageBreak/>
        <w:t>Figure 1:</w:t>
      </w:r>
      <w:r w:rsidRPr="00A558F7">
        <w:rPr>
          <w:color w:val="0070C0"/>
          <w:sz w:val="20"/>
          <w:szCs w:val="20"/>
        </w:rPr>
        <w:t xml:space="preserve">  </w:t>
      </w:r>
      <w:r w:rsidRPr="00A558F7">
        <w:rPr>
          <w:sz w:val="20"/>
          <w:szCs w:val="20"/>
        </w:rPr>
        <w:t xml:space="preserve">Illustration of the major anatomic variants of the bifid median nerve and persistent median artery within the carpal tunnel. The current case demonstrates a Type </w:t>
      </w:r>
      <w:r>
        <w:rPr>
          <w:sz w:val="20"/>
          <w:szCs w:val="20"/>
        </w:rPr>
        <w:t xml:space="preserve"> </w:t>
      </w:r>
      <w:r w:rsidRPr="00A558F7">
        <w:rPr>
          <w:sz w:val="20"/>
          <w:szCs w:val="20"/>
        </w:rPr>
        <w:t>II/III configuration in which the persistent median artery courses interposed between the two branches of the bifid median nerve.</w:t>
      </w:r>
    </w:p>
    <w:p w14:paraId="3D4A118A" w14:textId="77777777" w:rsidR="00A558F7" w:rsidRPr="001C546B" w:rsidRDefault="00A558F7" w:rsidP="00A558F7">
      <w:pPr>
        <w:rPr>
          <w:rFonts w:ascii="Aptos" w:hAnsi="Aptos" w:cs="Segoe UI"/>
        </w:rPr>
      </w:pPr>
    </w:p>
    <w:p w14:paraId="07F6B520" w14:textId="75F84083" w:rsidR="00A558F7" w:rsidRDefault="00A558F7" w:rsidP="00A558F7">
      <w:pPr>
        <w:spacing w:after="0" w:line="360" w:lineRule="auto"/>
        <w:jc w:val="center"/>
        <w:rPr>
          <w:rFonts w:ascii="Times New Roman" w:hAnsi="Times New Roman" w:cs="Times New Roman"/>
          <w:b/>
          <w:bCs/>
          <w:color w:val="0070C0"/>
          <w:sz w:val="20"/>
          <w:szCs w:val="20"/>
          <w:lang w:eastAsia="zh-CN"/>
        </w:rPr>
      </w:pPr>
      <w:r>
        <w:rPr>
          <w:rFonts w:ascii="Times New Roman" w:hAnsi="Times New Roman" w:cs="Times New Roman"/>
          <w:b/>
          <w:bCs/>
          <w:noProof/>
          <w:color w:val="0070C0"/>
          <w:sz w:val="20"/>
          <w:szCs w:val="20"/>
          <w:lang w:eastAsia="zh-CN"/>
        </w:rPr>
        <w:drawing>
          <wp:inline distT="0" distB="0" distL="0" distR="0" wp14:anchorId="3CC5C88B" wp14:editId="2C679D22">
            <wp:extent cx="3086100" cy="2313337"/>
            <wp:effectExtent l="0" t="0" r="0" b="0"/>
            <wp:docPr id="932945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9104" cy="2323085"/>
                    </a:xfrm>
                    <a:prstGeom prst="rect">
                      <a:avLst/>
                    </a:prstGeom>
                    <a:noFill/>
                    <a:ln>
                      <a:noFill/>
                    </a:ln>
                  </pic:spPr>
                </pic:pic>
              </a:graphicData>
            </a:graphic>
          </wp:inline>
        </w:drawing>
      </w:r>
    </w:p>
    <w:p w14:paraId="25F29A7A" w14:textId="77777777" w:rsidR="00917190" w:rsidRDefault="00917190" w:rsidP="00A558F7">
      <w:pPr>
        <w:pStyle w:val="paragraph"/>
        <w:spacing w:before="0" w:beforeAutospacing="0" w:after="0" w:afterAutospacing="0" w:line="360" w:lineRule="auto"/>
        <w:jc w:val="both"/>
        <w:textAlignment w:val="baseline"/>
        <w:rPr>
          <w:b/>
          <w:bCs/>
          <w:color w:val="0070C0"/>
          <w:sz w:val="20"/>
          <w:szCs w:val="20"/>
        </w:rPr>
      </w:pPr>
    </w:p>
    <w:p w14:paraId="4FD1B07D" w14:textId="2C3A64E9" w:rsidR="00A558F7" w:rsidRDefault="000B1BF7" w:rsidP="00A558F7">
      <w:pPr>
        <w:pStyle w:val="paragraph"/>
        <w:spacing w:before="0" w:beforeAutospacing="0" w:after="0" w:afterAutospacing="0" w:line="360" w:lineRule="auto"/>
        <w:jc w:val="both"/>
        <w:textAlignment w:val="baseline"/>
        <w:rPr>
          <w:sz w:val="20"/>
          <w:szCs w:val="20"/>
        </w:rPr>
      </w:pPr>
      <w:r w:rsidRPr="00A558F7">
        <w:rPr>
          <w:b/>
          <w:bCs/>
          <w:color w:val="0070C0"/>
          <w:sz w:val="20"/>
          <w:szCs w:val="20"/>
        </w:rPr>
        <w:t>Figure 2:</w:t>
      </w:r>
      <w:r w:rsidRPr="00A558F7">
        <w:rPr>
          <w:color w:val="0070C0"/>
          <w:sz w:val="20"/>
          <w:szCs w:val="20"/>
        </w:rPr>
        <w:t xml:space="preserve">  </w:t>
      </w:r>
      <w:r w:rsidR="00A558F7" w:rsidRPr="00A558F7">
        <w:rPr>
          <w:sz w:val="20"/>
          <w:szCs w:val="20"/>
        </w:rPr>
        <w:t>Axial proton-density fat-suppressed MR image demonstrating a Type II/III bifid median nerve (asterisks) with a centrally positioned persistent median artery (arrow), an uncommon congenital anatomic variant that predisposes to median nerve compression when thrombosed.</w:t>
      </w:r>
    </w:p>
    <w:p w14:paraId="7DF162B2" w14:textId="4C9D12A1" w:rsidR="00A558F7" w:rsidRPr="00A558F7" w:rsidRDefault="00A558F7" w:rsidP="00A558F7">
      <w:pPr>
        <w:pStyle w:val="paragraph"/>
        <w:spacing w:before="0" w:beforeAutospacing="0" w:after="0" w:afterAutospacing="0" w:line="360" w:lineRule="auto"/>
        <w:jc w:val="center"/>
        <w:textAlignment w:val="baseline"/>
        <w:rPr>
          <w:sz w:val="20"/>
          <w:szCs w:val="20"/>
        </w:rPr>
      </w:pPr>
      <w:r>
        <w:rPr>
          <w:noProof/>
          <w:sz w:val="20"/>
          <w:szCs w:val="20"/>
        </w:rPr>
        <w:drawing>
          <wp:inline distT="0" distB="0" distL="0" distR="0" wp14:anchorId="4E098DFA" wp14:editId="2EE47632">
            <wp:extent cx="3067050" cy="2580646"/>
            <wp:effectExtent l="0" t="0" r="0" b="0"/>
            <wp:docPr id="11120716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9263" cy="2582508"/>
                    </a:xfrm>
                    <a:prstGeom prst="rect">
                      <a:avLst/>
                    </a:prstGeom>
                    <a:noFill/>
                    <a:ln>
                      <a:noFill/>
                    </a:ln>
                  </pic:spPr>
                </pic:pic>
              </a:graphicData>
            </a:graphic>
          </wp:inline>
        </w:drawing>
      </w:r>
    </w:p>
    <w:p w14:paraId="7881C9C3" w14:textId="77777777" w:rsidR="00917190" w:rsidRDefault="00917190" w:rsidP="00A558F7">
      <w:pPr>
        <w:pStyle w:val="paragraph"/>
        <w:spacing w:before="0" w:beforeAutospacing="0" w:after="0" w:afterAutospacing="0" w:line="360" w:lineRule="auto"/>
        <w:jc w:val="both"/>
        <w:textAlignment w:val="baseline"/>
        <w:rPr>
          <w:b/>
          <w:bCs/>
          <w:color w:val="0070C0"/>
          <w:sz w:val="20"/>
          <w:szCs w:val="20"/>
        </w:rPr>
      </w:pPr>
    </w:p>
    <w:p w14:paraId="37E7615A" w14:textId="0D971809" w:rsidR="00A558F7" w:rsidRPr="00A558F7" w:rsidRDefault="00A558F7" w:rsidP="00A558F7">
      <w:pPr>
        <w:pStyle w:val="paragraph"/>
        <w:spacing w:before="0" w:beforeAutospacing="0" w:after="0" w:afterAutospacing="0" w:line="360" w:lineRule="auto"/>
        <w:jc w:val="both"/>
        <w:textAlignment w:val="baseline"/>
        <w:rPr>
          <w:sz w:val="20"/>
          <w:szCs w:val="20"/>
        </w:rPr>
      </w:pPr>
      <w:r w:rsidRPr="00A558F7">
        <w:rPr>
          <w:b/>
          <w:bCs/>
          <w:color w:val="0070C0"/>
          <w:sz w:val="20"/>
          <w:szCs w:val="20"/>
        </w:rPr>
        <w:t>Figure 3:</w:t>
      </w:r>
      <w:r w:rsidRPr="00A558F7">
        <w:rPr>
          <w:color w:val="0070C0"/>
          <w:sz w:val="20"/>
          <w:szCs w:val="20"/>
        </w:rPr>
        <w:t xml:space="preserve">  </w:t>
      </w:r>
      <w:r w:rsidRPr="00A558F7">
        <w:rPr>
          <w:sz w:val="20"/>
          <w:szCs w:val="20"/>
        </w:rPr>
        <w:t>Axial and coronal T2-weighted fat-suppressed MR images demonstrate the thrombosed persistent median artery (arrow) with loss of the normal flow void, mild fusiform enlargement, and surrounding T2 hyperintense perivascular edema. Mild reactive signal alteration of the adjacent bifid median nerve (asterisks) is present, compatible with reactive neuritis.</w:t>
      </w:r>
    </w:p>
    <w:p w14:paraId="428E9C00" w14:textId="77777777" w:rsidR="00A558F7" w:rsidRDefault="00A558F7" w:rsidP="00A558F7">
      <w:pPr>
        <w:pStyle w:val="paragraph"/>
        <w:spacing w:before="0" w:beforeAutospacing="0" w:after="0" w:afterAutospacing="0" w:line="360" w:lineRule="auto"/>
        <w:jc w:val="both"/>
        <w:textAlignment w:val="baseline"/>
        <w:rPr>
          <w:sz w:val="20"/>
          <w:szCs w:val="20"/>
        </w:rPr>
      </w:pPr>
    </w:p>
    <w:p w14:paraId="0499A0C6" w14:textId="00FDDEDE" w:rsidR="00A558F7" w:rsidRPr="00A558F7" w:rsidRDefault="00A558F7" w:rsidP="00A558F7">
      <w:pPr>
        <w:pStyle w:val="paragraph"/>
        <w:spacing w:before="0" w:beforeAutospacing="0" w:after="0" w:afterAutospacing="0" w:line="360" w:lineRule="auto"/>
        <w:jc w:val="center"/>
        <w:textAlignment w:val="baseline"/>
        <w:rPr>
          <w:sz w:val="20"/>
          <w:szCs w:val="20"/>
        </w:rPr>
      </w:pPr>
      <w:r>
        <w:rPr>
          <w:noProof/>
          <w:sz w:val="20"/>
          <w:szCs w:val="20"/>
        </w:rPr>
        <w:lastRenderedPageBreak/>
        <w:drawing>
          <wp:inline distT="0" distB="0" distL="0" distR="0" wp14:anchorId="35FC61F5" wp14:editId="12263B61">
            <wp:extent cx="4332490" cy="1581150"/>
            <wp:effectExtent l="0" t="0" r="0" b="0"/>
            <wp:docPr id="20919318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33550" cy="1581537"/>
                    </a:xfrm>
                    <a:prstGeom prst="rect">
                      <a:avLst/>
                    </a:prstGeom>
                    <a:noFill/>
                    <a:ln>
                      <a:noFill/>
                    </a:ln>
                  </pic:spPr>
                </pic:pic>
              </a:graphicData>
            </a:graphic>
          </wp:inline>
        </w:drawing>
      </w:r>
    </w:p>
    <w:p w14:paraId="3A6C9AAE" w14:textId="77777777" w:rsidR="00A558F7" w:rsidRPr="00A558F7" w:rsidRDefault="00A558F7" w:rsidP="00A558F7">
      <w:pPr>
        <w:pStyle w:val="paragraph"/>
        <w:spacing w:before="0" w:beforeAutospacing="0" w:after="0" w:afterAutospacing="0" w:line="360" w:lineRule="auto"/>
        <w:jc w:val="both"/>
        <w:textAlignment w:val="baseline"/>
        <w:rPr>
          <w:rStyle w:val="normaltextrun"/>
          <w:rFonts w:eastAsiaTheme="majorEastAsia"/>
          <w:b/>
          <w:bCs/>
          <w:sz w:val="20"/>
          <w:szCs w:val="20"/>
        </w:rPr>
      </w:pPr>
    </w:p>
    <w:p w14:paraId="62630261" w14:textId="3F5934F8" w:rsidR="00A558F7" w:rsidRDefault="00A558F7" w:rsidP="00A558F7">
      <w:pPr>
        <w:pStyle w:val="paragraph"/>
        <w:spacing w:before="0" w:beforeAutospacing="0" w:after="0" w:afterAutospacing="0" w:line="360" w:lineRule="auto"/>
        <w:jc w:val="both"/>
        <w:textAlignment w:val="baseline"/>
        <w:rPr>
          <w:sz w:val="20"/>
          <w:szCs w:val="20"/>
        </w:rPr>
      </w:pPr>
      <w:r w:rsidRPr="00A558F7">
        <w:rPr>
          <w:b/>
          <w:bCs/>
          <w:color w:val="0070C0"/>
          <w:sz w:val="20"/>
          <w:szCs w:val="20"/>
        </w:rPr>
        <w:t>Figure 4:</w:t>
      </w:r>
      <w:r w:rsidRPr="00A558F7">
        <w:rPr>
          <w:color w:val="0070C0"/>
          <w:sz w:val="20"/>
          <w:szCs w:val="20"/>
        </w:rPr>
        <w:t xml:space="preserve">  </w:t>
      </w:r>
      <w:r w:rsidRPr="00A558F7">
        <w:rPr>
          <w:sz w:val="20"/>
          <w:szCs w:val="20"/>
        </w:rPr>
        <w:t>Axial T2-weighted fat-suppressed MR image demonstrates loss of the normal flow void within the persistent median artery (arrow), while the radial (RA) and ulnar (UA) arteries maintain normal flow voids, supporting focal thrombosis of the persistent median artery.</w:t>
      </w:r>
    </w:p>
    <w:p w14:paraId="1CA54B48" w14:textId="77777777" w:rsidR="00A558F7" w:rsidRDefault="00A558F7" w:rsidP="00A558F7">
      <w:pPr>
        <w:pStyle w:val="paragraph"/>
        <w:spacing w:before="0" w:beforeAutospacing="0" w:after="0" w:afterAutospacing="0" w:line="360" w:lineRule="auto"/>
        <w:jc w:val="both"/>
        <w:textAlignment w:val="baseline"/>
        <w:rPr>
          <w:sz w:val="20"/>
          <w:szCs w:val="20"/>
        </w:rPr>
      </w:pPr>
    </w:p>
    <w:p w14:paraId="6DFA3B23" w14:textId="0A8A8E43" w:rsidR="00A558F7" w:rsidRPr="00A558F7" w:rsidRDefault="00A558F7" w:rsidP="00A558F7">
      <w:pPr>
        <w:pStyle w:val="paragraph"/>
        <w:spacing w:before="0" w:beforeAutospacing="0" w:after="0" w:afterAutospacing="0" w:line="360" w:lineRule="auto"/>
        <w:jc w:val="center"/>
        <w:textAlignment w:val="baseline"/>
        <w:rPr>
          <w:sz w:val="20"/>
          <w:szCs w:val="20"/>
        </w:rPr>
      </w:pPr>
      <w:r>
        <w:rPr>
          <w:noProof/>
          <w:sz w:val="20"/>
          <w:szCs w:val="20"/>
        </w:rPr>
        <w:drawing>
          <wp:inline distT="0" distB="0" distL="0" distR="0" wp14:anchorId="6311BB42" wp14:editId="4E5E2DFE">
            <wp:extent cx="3448050" cy="2322722"/>
            <wp:effectExtent l="0" t="0" r="0" b="1905"/>
            <wp:docPr id="15644710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58304" cy="2329630"/>
                    </a:xfrm>
                    <a:prstGeom prst="rect">
                      <a:avLst/>
                    </a:prstGeom>
                    <a:noFill/>
                    <a:ln>
                      <a:noFill/>
                    </a:ln>
                  </pic:spPr>
                </pic:pic>
              </a:graphicData>
            </a:graphic>
          </wp:inline>
        </w:drawing>
      </w:r>
    </w:p>
    <w:p w14:paraId="7A94E05A" w14:textId="77777777" w:rsidR="00A558F7" w:rsidRPr="00A558F7" w:rsidRDefault="00A558F7" w:rsidP="00A558F7">
      <w:pPr>
        <w:spacing w:after="0" w:line="360" w:lineRule="auto"/>
        <w:jc w:val="both"/>
        <w:rPr>
          <w:rFonts w:ascii="Times New Roman" w:hAnsi="Times New Roman" w:cs="Times New Roman"/>
          <w:b/>
          <w:bCs/>
          <w:color w:val="0070C0"/>
          <w:sz w:val="12"/>
          <w:szCs w:val="12"/>
          <w:lang w:eastAsia="zh-CN"/>
        </w:rPr>
      </w:pPr>
    </w:p>
    <w:p w14:paraId="2AF2EFDF" w14:textId="77777777" w:rsidR="00A558F7" w:rsidRPr="00A558F7" w:rsidRDefault="00A558F7" w:rsidP="00A558F7">
      <w:pPr>
        <w:spacing w:after="0" w:line="360" w:lineRule="auto"/>
        <w:jc w:val="both"/>
        <w:rPr>
          <w:rFonts w:ascii="Times New Roman" w:hAnsi="Times New Roman" w:cs="Times New Roman"/>
          <w:b/>
          <w:bCs/>
          <w:color w:val="0070C0"/>
          <w:sz w:val="12"/>
          <w:szCs w:val="12"/>
          <w:lang w:eastAsia="zh-CN"/>
        </w:rPr>
      </w:pPr>
    </w:p>
    <w:p w14:paraId="0E4D09C8" w14:textId="2CF07E8B" w:rsidR="00A558F7" w:rsidRDefault="00A558F7" w:rsidP="00A558F7">
      <w:pPr>
        <w:pStyle w:val="paragraph"/>
        <w:spacing w:before="0" w:beforeAutospacing="0" w:after="0" w:afterAutospacing="0" w:line="360" w:lineRule="auto"/>
        <w:jc w:val="both"/>
        <w:textAlignment w:val="baseline"/>
        <w:rPr>
          <w:sz w:val="20"/>
          <w:szCs w:val="20"/>
        </w:rPr>
      </w:pPr>
      <w:r w:rsidRPr="00A558F7">
        <w:rPr>
          <w:b/>
          <w:bCs/>
          <w:color w:val="0070C0"/>
          <w:sz w:val="20"/>
          <w:szCs w:val="20"/>
        </w:rPr>
        <w:t>Figure 5:</w:t>
      </w:r>
      <w:r w:rsidRPr="00A558F7">
        <w:rPr>
          <w:color w:val="0070C0"/>
          <w:sz w:val="20"/>
          <w:szCs w:val="20"/>
        </w:rPr>
        <w:t xml:space="preserve">  </w:t>
      </w:r>
      <w:r w:rsidRPr="00A558F7">
        <w:rPr>
          <w:sz w:val="20"/>
          <w:szCs w:val="20"/>
        </w:rPr>
        <w:t>Axial non-fat-suppressed T1-weighted image demonstrates mild volar bowing of the flexor retinaculum (arrowheads) secondary to minimal mass effect from the thrombosed persistent median artery and adjacent inflammatory change. The bifid median nerve is indicated by asterisks.</w:t>
      </w:r>
    </w:p>
    <w:p w14:paraId="4B6DB6A9" w14:textId="77777777" w:rsidR="00A558F7" w:rsidRDefault="00A558F7" w:rsidP="00A558F7">
      <w:pPr>
        <w:pStyle w:val="paragraph"/>
        <w:spacing w:before="0" w:beforeAutospacing="0" w:after="0" w:afterAutospacing="0" w:line="360" w:lineRule="auto"/>
        <w:jc w:val="both"/>
        <w:textAlignment w:val="baseline"/>
        <w:rPr>
          <w:sz w:val="20"/>
          <w:szCs w:val="20"/>
        </w:rPr>
      </w:pPr>
    </w:p>
    <w:p w14:paraId="6F0C3479" w14:textId="276ABEEE" w:rsidR="00A558F7" w:rsidRPr="00A558F7" w:rsidRDefault="00A558F7" w:rsidP="00A558F7">
      <w:pPr>
        <w:pStyle w:val="paragraph"/>
        <w:spacing w:before="0" w:beforeAutospacing="0" w:after="0" w:afterAutospacing="0" w:line="360" w:lineRule="auto"/>
        <w:jc w:val="both"/>
        <w:textAlignment w:val="baseline"/>
        <w:rPr>
          <w:sz w:val="14"/>
          <w:szCs w:val="14"/>
        </w:rPr>
      </w:pPr>
      <w:r w:rsidRPr="00A558F7">
        <w:rPr>
          <w:rStyle w:val="normaltextrun"/>
          <w:rFonts w:eastAsiaTheme="majorEastAsia"/>
          <w:b/>
          <w:bCs/>
          <w:color w:val="0070C0"/>
          <w:sz w:val="20"/>
          <w:szCs w:val="20"/>
        </w:rPr>
        <w:t>Ultrasound</w:t>
      </w:r>
      <w:r w:rsidRPr="00A558F7">
        <w:rPr>
          <w:sz w:val="20"/>
          <w:szCs w:val="20"/>
        </w:rPr>
        <w:br/>
      </w:r>
      <w:r w:rsidRPr="00A558F7">
        <w:rPr>
          <w:rStyle w:val="normaltextrun"/>
          <w:rFonts w:eastAsiaTheme="majorEastAsia"/>
          <w:sz w:val="20"/>
          <w:szCs w:val="20"/>
        </w:rPr>
        <w:t>Color Doppler ultrasound was recommended for confirmation of arterial occlusion but was not obtained because the patient's symptoms improved with conservative management.</w:t>
      </w:r>
      <w:r w:rsidRPr="00A558F7">
        <w:rPr>
          <w:rStyle w:val="eop"/>
          <w:rFonts w:eastAsiaTheme="majorEastAsia"/>
          <w:sz w:val="20"/>
          <w:szCs w:val="20"/>
        </w:rPr>
        <w:t> </w:t>
      </w:r>
    </w:p>
    <w:p w14:paraId="4245F5AD" w14:textId="77777777" w:rsidR="00A558F7" w:rsidRPr="00A558F7" w:rsidRDefault="00A558F7" w:rsidP="00A558F7">
      <w:pPr>
        <w:pStyle w:val="paragraph"/>
        <w:spacing w:before="0" w:beforeAutospacing="0" w:after="0" w:afterAutospacing="0" w:line="360" w:lineRule="auto"/>
        <w:jc w:val="both"/>
        <w:textAlignment w:val="baseline"/>
        <w:rPr>
          <w:sz w:val="14"/>
          <w:szCs w:val="14"/>
        </w:rPr>
      </w:pPr>
      <w:r w:rsidRPr="00A558F7">
        <w:rPr>
          <w:rStyle w:val="eop"/>
          <w:rFonts w:eastAsiaTheme="majorEastAsia"/>
          <w:sz w:val="20"/>
          <w:szCs w:val="20"/>
        </w:rPr>
        <w:t> </w:t>
      </w:r>
    </w:p>
    <w:p w14:paraId="10EEC119" w14:textId="26C7FE8F" w:rsidR="00A558F7" w:rsidRPr="00A558F7" w:rsidRDefault="00A558F7" w:rsidP="00A558F7">
      <w:pPr>
        <w:pStyle w:val="paragraph"/>
        <w:spacing w:before="0" w:beforeAutospacing="0" w:after="0" w:afterAutospacing="0" w:line="360" w:lineRule="auto"/>
        <w:jc w:val="both"/>
        <w:textAlignment w:val="baseline"/>
        <w:rPr>
          <w:color w:val="0070C0"/>
          <w:sz w:val="14"/>
          <w:szCs w:val="14"/>
        </w:rPr>
      </w:pPr>
      <w:r w:rsidRPr="00A558F7">
        <w:rPr>
          <w:rStyle w:val="normaltextrun"/>
          <w:rFonts w:eastAsiaTheme="majorEastAsia"/>
          <w:b/>
          <w:bCs/>
          <w:color w:val="0070C0"/>
          <w:sz w:val="20"/>
          <w:szCs w:val="20"/>
        </w:rPr>
        <w:t>Management and Clinical Course</w:t>
      </w:r>
    </w:p>
    <w:p w14:paraId="327287FE" w14:textId="77777777" w:rsidR="00A558F7" w:rsidRPr="00A558F7" w:rsidRDefault="00A558F7" w:rsidP="00A558F7">
      <w:pPr>
        <w:pStyle w:val="paragraph"/>
        <w:spacing w:before="0" w:beforeAutospacing="0" w:after="0" w:afterAutospacing="0" w:line="360" w:lineRule="auto"/>
        <w:jc w:val="both"/>
        <w:textAlignment w:val="baseline"/>
        <w:rPr>
          <w:sz w:val="14"/>
          <w:szCs w:val="14"/>
        </w:rPr>
      </w:pPr>
      <w:r w:rsidRPr="00A558F7">
        <w:rPr>
          <w:rStyle w:val="normaltextrun"/>
          <w:rFonts w:eastAsiaTheme="majorEastAsia"/>
          <w:sz w:val="20"/>
          <w:szCs w:val="20"/>
        </w:rPr>
        <w:t xml:space="preserve">Orthopedic hand surgery consultation discussed both conservative and surgical options with the patient, including Guyon canal and carpal tunnel release. Given the acute nature of the injury and mild symptoms without significant neurological </w:t>
      </w:r>
      <w:r w:rsidRPr="00A558F7">
        <w:rPr>
          <w:rStyle w:val="normaltextrun"/>
          <w:rFonts w:eastAsiaTheme="majorEastAsia"/>
          <w:sz w:val="20"/>
          <w:szCs w:val="20"/>
        </w:rPr>
        <w:lastRenderedPageBreak/>
        <w:t>deficit, conservative management was recommended. The patient was treated with wrist bracing, rest and nonsteroidal anti-inflammatory medication. Surgical intervention was deferred if symptoms persisted beyond four weeks. The patient has since not had further follow up.</w:t>
      </w:r>
      <w:r w:rsidRPr="00A558F7">
        <w:rPr>
          <w:rStyle w:val="eop"/>
          <w:rFonts w:eastAsiaTheme="majorEastAsia"/>
          <w:sz w:val="20"/>
          <w:szCs w:val="20"/>
        </w:rPr>
        <w:t> </w:t>
      </w:r>
    </w:p>
    <w:p w14:paraId="6ED7DFAE" w14:textId="77777777" w:rsidR="00A558F7" w:rsidRPr="00A558F7" w:rsidRDefault="00A558F7" w:rsidP="00A558F7">
      <w:pPr>
        <w:pStyle w:val="paragraph"/>
        <w:spacing w:before="0" w:beforeAutospacing="0" w:after="0" w:afterAutospacing="0" w:line="360" w:lineRule="auto"/>
        <w:jc w:val="both"/>
        <w:textAlignment w:val="baseline"/>
        <w:rPr>
          <w:sz w:val="14"/>
          <w:szCs w:val="14"/>
        </w:rPr>
      </w:pPr>
      <w:r w:rsidRPr="00A558F7">
        <w:rPr>
          <w:rStyle w:val="eop"/>
          <w:rFonts w:eastAsiaTheme="majorEastAsia"/>
          <w:sz w:val="20"/>
          <w:szCs w:val="20"/>
        </w:rPr>
        <w:t> </w:t>
      </w:r>
    </w:p>
    <w:p w14:paraId="6AAD1031" w14:textId="00B29E87" w:rsidR="00A558F7" w:rsidRPr="00A558F7" w:rsidRDefault="00A558F7" w:rsidP="00A558F7">
      <w:pPr>
        <w:pStyle w:val="paragraph"/>
        <w:spacing w:before="0" w:beforeAutospacing="0" w:after="0" w:afterAutospacing="0" w:line="360" w:lineRule="auto"/>
        <w:jc w:val="both"/>
        <w:textAlignment w:val="baseline"/>
        <w:rPr>
          <w:color w:val="0070C0"/>
          <w:sz w:val="16"/>
          <w:szCs w:val="16"/>
        </w:rPr>
      </w:pPr>
      <w:r w:rsidRPr="00A558F7">
        <w:rPr>
          <w:rStyle w:val="normaltextrun"/>
          <w:rFonts w:eastAsiaTheme="majorEastAsia"/>
          <w:b/>
          <w:bCs/>
          <w:color w:val="0070C0"/>
          <w:sz w:val="22"/>
          <w:szCs w:val="22"/>
        </w:rPr>
        <w:t>Discussion</w:t>
      </w:r>
    </w:p>
    <w:p w14:paraId="0C531CEB" w14:textId="77777777" w:rsidR="00A558F7" w:rsidRPr="00A558F7" w:rsidRDefault="00A558F7" w:rsidP="00A558F7">
      <w:pPr>
        <w:pStyle w:val="paragraph"/>
        <w:spacing w:before="0" w:beforeAutospacing="0" w:after="0" w:afterAutospacing="0" w:line="360" w:lineRule="auto"/>
        <w:jc w:val="both"/>
        <w:textAlignment w:val="baseline"/>
        <w:rPr>
          <w:rStyle w:val="eop"/>
          <w:rFonts w:eastAsiaTheme="majorEastAsia"/>
          <w:sz w:val="20"/>
          <w:szCs w:val="20"/>
        </w:rPr>
      </w:pPr>
      <w:r w:rsidRPr="00A558F7">
        <w:rPr>
          <w:rStyle w:val="normaltextrun"/>
          <w:rFonts w:eastAsiaTheme="majorEastAsia"/>
          <w:sz w:val="20"/>
          <w:szCs w:val="20"/>
        </w:rPr>
        <w:t>This case highlights an uncommon cause of acute median nerve symptoms in a young athlete with suspected thrombosis of a persistent median artery in association with a bifid median nerve.</w:t>
      </w:r>
    </w:p>
    <w:p w14:paraId="6B89132C" w14:textId="77777777" w:rsidR="00A558F7" w:rsidRPr="00A558F7" w:rsidRDefault="00A558F7" w:rsidP="00A558F7">
      <w:pPr>
        <w:pStyle w:val="paragraph"/>
        <w:spacing w:before="0" w:beforeAutospacing="0" w:after="0" w:afterAutospacing="0" w:line="360" w:lineRule="auto"/>
        <w:jc w:val="both"/>
        <w:textAlignment w:val="baseline"/>
        <w:rPr>
          <w:sz w:val="14"/>
          <w:szCs w:val="14"/>
        </w:rPr>
      </w:pPr>
    </w:p>
    <w:p w14:paraId="04B17AD8" w14:textId="14B33B73" w:rsidR="00A558F7" w:rsidRPr="00A558F7" w:rsidRDefault="00A558F7" w:rsidP="00A558F7">
      <w:pPr>
        <w:pStyle w:val="paragraph"/>
        <w:spacing w:before="0" w:beforeAutospacing="0" w:after="0" w:afterAutospacing="0" w:line="360" w:lineRule="auto"/>
        <w:jc w:val="both"/>
        <w:textAlignment w:val="baseline"/>
        <w:rPr>
          <w:b/>
          <w:bCs/>
          <w:color w:val="0070C0"/>
          <w:sz w:val="14"/>
          <w:szCs w:val="14"/>
        </w:rPr>
      </w:pPr>
      <w:r w:rsidRPr="00A558F7">
        <w:rPr>
          <w:rStyle w:val="normaltextrun"/>
          <w:rFonts w:eastAsiaTheme="majorEastAsia"/>
          <w:b/>
          <w:bCs/>
          <w:color w:val="0070C0"/>
          <w:sz w:val="20"/>
          <w:szCs w:val="20"/>
        </w:rPr>
        <w:t>Pathophysiology</w:t>
      </w:r>
      <w:r w:rsidRPr="00A558F7">
        <w:rPr>
          <w:rStyle w:val="eop"/>
          <w:rFonts w:eastAsiaTheme="majorEastAsia"/>
          <w:b/>
          <w:bCs/>
          <w:color w:val="0070C0"/>
          <w:sz w:val="20"/>
          <w:szCs w:val="20"/>
        </w:rPr>
        <w:t> </w:t>
      </w:r>
    </w:p>
    <w:p w14:paraId="68F6BBC5" w14:textId="5102122C" w:rsidR="00A558F7" w:rsidRPr="008E73F2" w:rsidRDefault="00A558F7" w:rsidP="00A558F7">
      <w:pPr>
        <w:pStyle w:val="paragraph"/>
        <w:spacing w:before="0" w:beforeAutospacing="0" w:after="0" w:afterAutospacing="0" w:line="360" w:lineRule="auto"/>
        <w:jc w:val="both"/>
        <w:textAlignment w:val="baseline"/>
        <w:rPr>
          <w:rStyle w:val="eop"/>
          <w:sz w:val="14"/>
          <w:szCs w:val="14"/>
        </w:rPr>
      </w:pPr>
      <w:r w:rsidRPr="00A558F7">
        <w:rPr>
          <w:rStyle w:val="normaltextrun"/>
          <w:rFonts w:eastAsiaTheme="majorEastAsia"/>
          <w:sz w:val="20"/>
          <w:szCs w:val="20"/>
        </w:rPr>
        <w:t>During embryogenesis, the median artery serves as the primary arterial supply to the hand before regressing as the radial and ulnar arteries mature. Persistence into adulthood can occur and in some cases the PMA accompanies a bifid median nerve as it courses within the carpal tunnel [2]. Acute thrombosis may occur due to repetitive microtrauma, mechanical compression, or abrupt wrist motion such as high-velocity throwing in our case, leading to rapid increases in tunnel pressure, ischemia, edema and nerve compression [3,5,6,8,9].</w:t>
      </w:r>
      <w:r w:rsidRPr="00A558F7">
        <w:rPr>
          <w:rStyle w:val="eop"/>
          <w:rFonts w:eastAsiaTheme="majorEastAsia"/>
          <w:sz w:val="20"/>
          <w:szCs w:val="20"/>
        </w:rPr>
        <w:t> </w:t>
      </w:r>
      <w:r w:rsidR="008E73F2">
        <w:rPr>
          <w:sz w:val="14"/>
          <w:szCs w:val="14"/>
        </w:rPr>
        <w:t xml:space="preserve"> </w:t>
      </w:r>
      <w:r w:rsidRPr="00A558F7">
        <w:rPr>
          <w:rStyle w:val="normaltextrun"/>
          <w:rFonts w:eastAsiaTheme="majorEastAsia"/>
          <w:sz w:val="20"/>
          <w:szCs w:val="20"/>
        </w:rPr>
        <w:t>Recent surgical case reports have further demonstrated that PMA thrombosis can directly distort or compress the bifid median nerve, producing clinical CTS and necessitating operative decompression with persistent or progressively worsening symptoms [8].</w:t>
      </w:r>
      <w:r w:rsidRPr="00A558F7">
        <w:rPr>
          <w:rStyle w:val="eop"/>
          <w:rFonts w:eastAsiaTheme="majorEastAsia"/>
          <w:sz w:val="20"/>
          <w:szCs w:val="20"/>
        </w:rPr>
        <w:t> </w:t>
      </w:r>
    </w:p>
    <w:p w14:paraId="5C8E75AB" w14:textId="77777777" w:rsidR="00A558F7" w:rsidRPr="00A558F7" w:rsidRDefault="00A558F7" w:rsidP="00A558F7">
      <w:pPr>
        <w:pStyle w:val="paragraph"/>
        <w:spacing w:before="0" w:beforeAutospacing="0" w:after="0" w:afterAutospacing="0" w:line="360" w:lineRule="auto"/>
        <w:jc w:val="both"/>
        <w:textAlignment w:val="baseline"/>
        <w:rPr>
          <w:rStyle w:val="eop"/>
          <w:rFonts w:eastAsiaTheme="majorEastAsia"/>
          <w:sz w:val="20"/>
          <w:szCs w:val="20"/>
        </w:rPr>
      </w:pPr>
    </w:p>
    <w:p w14:paraId="6044F9AF" w14:textId="77777777" w:rsidR="00A558F7" w:rsidRPr="00A558F7" w:rsidRDefault="00A558F7" w:rsidP="00A558F7">
      <w:pPr>
        <w:pStyle w:val="paragraph"/>
        <w:spacing w:before="0" w:beforeAutospacing="0" w:after="0" w:afterAutospacing="0" w:line="360" w:lineRule="auto"/>
        <w:jc w:val="both"/>
        <w:textAlignment w:val="baseline"/>
        <w:rPr>
          <w:rStyle w:val="eop"/>
          <w:rFonts w:eastAsiaTheme="majorEastAsia"/>
          <w:sz w:val="20"/>
          <w:szCs w:val="20"/>
        </w:rPr>
      </w:pPr>
      <w:r w:rsidRPr="00A558F7">
        <w:rPr>
          <w:rStyle w:val="eop"/>
          <w:rFonts w:eastAsiaTheme="majorEastAsia"/>
          <w:sz w:val="20"/>
          <w:szCs w:val="20"/>
        </w:rPr>
        <w:t>Athletes participating in overhead throwing sports may represent a unique population at risk for symptomatic thrombosis of a persistent median artery. Repetitive high-velocity throwing subjects the volar wrist to substantial tensile, compressive, and torsional forces during the late cocking, acceleration, and follow-through phases of the throwing motion. Abrupt wrist hyperflexion and repetitive traction may produce transient compression of the persistent median artery within the confined carpal tunnel, resulting in endothelial injury, intimal disruption, and activation of the coagulation cascade. Recurrent microtrauma may further promote localized inflammation and edema, increasing intracarpal tunnel pressure and exacerbating compression of the adjacent median nerve. Although direct evidence remains limited because of the rarity of this condition, the biomechanical demands placed upon overhead athletes provide a plausible mechanism for the acute onset of symptoms observed in this patient and suggest that vascular etiologies should remain in the differential diagnosis of sudden volar wrist pain in competitive throwers.</w:t>
      </w:r>
    </w:p>
    <w:p w14:paraId="512BA33D" w14:textId="77777777" w:rsidR="00A558F7" w:rsidRPr="00A558F7" w:rsidRDefault="00A558F7" w:rsidP="00A558F7">
      <w:pPr>
        <w:pStyle w:val="paragraph"/>
        <w:spacing w:before="0" w:beforeAutospacing="0" w:after="0" w:afterAutospacing="0" w:line="360" w:lineRule="auto"/>
        <w:jc w:val="both"/>
        <w:textAlignment w:val="baseline"/>
        <w:rPr>
          <w:rStyle w:val="normaltextrun"/>
          <w:rFonts w:eastAsiaTheme="majorEastAsia"/>
          <w:b/>
          <w:bCs/>
          <w:sz w:val="20"/>
          <w:szCs w:val="20"/>
        </w:rPr>
      </w:pPr>
    </w:p>
    <w:p w14:paraId="12222DE2" w14:textId="131E83CE" w:rsidR="00A558F7" w:rsidRPr="00A558F7" w:rsidRDefault="00A558F7" w:rsidP="00A558F7">
      <w:pPr>
        <w:pStyle w:val="paragraph"/>
        <w:spacing w:before="0" w:beforeAutospacing="0" w:after="0" w:afterAutospacing="0" w:line="360" w:lineRule="auto"/>
        <w:jc w:val="both"/>
        <w:textAlignment w:val="baseline"/>
        <w:rPr>
          <w:color w:val="0070C0"/>
          <w:sz w:val="14"/>
          <w:szCs w:val="14"/>
        </w:rPr>
      </w:pPr>
      <w:r w:rsidRPr="00A558F7">
        <w:rPr>
          <w:rStyle w:val="normaltextrun"/>
          <w:rFonts w:eastAsiaTheme="majorEastAsia"/>
          <w:b/>
          <w:bCs/>
          <w:color w:val="0070C0"/>
          <w:sz w:val="20"/>
          <w:szCs w:val="20"/>
        </w:rPr>
        <w:t>Imaging Considerations</w:t>
      </w:r>
    </w:p>
    <w:p w14:paraId="4446FEF5" w14:textId="77777777" w:rsidR="00A558F7" w:rsidRPr="00A558F7" w:rsidRDefault="00A558F7" w:rsidP="00A558F7">
      <w:pPr>
        <w:pStyle w:val="paragraph"/>
        <w:spacing w:before="0" w:beforeAutospacing="0" w:after="0" w:afterAutospacing="0" w:line="360" w:lineRule="auto"/>
        <w:jc w:val="both"/>
        <w:textAlignment w:val="baseline"/>
        <w:rPr>
          <w:rStyle w:val="eop"/>
          <w:rFonts w:eastAsiaTheme="majorEastAsia"/>
          <w:sz w:val="20"/>
          <w:szCs w:val="20"/>
        </w:rPr>
      </w:pPr>
      <w:r w:rsidRPr="00A558F7">
        <w:rPr>
          <w:rStyle w:val="normaltextrun"/>
          <w:rFonts w:eastAsiaTheme="majorEastAsia"/>
          <w:sz w:val="20"/>
          <w:szCs w:val="20"/>
        </w:rPr>
        <w:t>High-resolution ultrasound with color Doppler is considered the first-line modality for identifying PMA and BMN variants and evaluating arterial patency in real-time [4,13]. </w:t>
      </w:r>
      <w:r w:rsidRPr="00A558F7">
        <w:rPr>
          <w:rStyle w:val="normaltextrun"/>
          <w:rFonts w:eastAsiaTheme="majorEastAsia"/>
          <w:color w:val="000000"/>
          <w:sz w:val="20"/>
          <w:szCs w:val="20"/>
        </w:rPr>
        <w:t>Absence of flow and intraluminal echogenicity suggests thrombosis. CT angiography or </w:t>
      </w:r>
      <w:r w:rsidRPr="00A558F7">
        <w:rPr>
          <w:rStyle w:val="normaltextrun"/>
          <w:rFonts w:eastAsiaTheme="majorEastAsia"/>
          <w:sz w:val="20"/>
          <w:szCs w:val="20"/>
        </w:rPr>
        <w:t>MRI can further delineate vascular anatomy and nerve morphology in addition to further evaluation of surrounding soft tissue to excluding alternative diagnoses such as other space-occupying processes. The combination of loss of the expected vascular flow void, abnormal intraluminal signal intensity, mild arterial enlargement, and disproportionate perivascular edema should prompt consideration of acute persistent median artery thrombosis rather than a normal vascular variant.</w:t>
      </w:r>
      <w:r w:rsidRPr="00A558F7">
        <w:rPr>
          <w:rStyle w:val="eop"/>
          <w:rFonts w:eastAsiaTheme="majorEastAsia"/>
          <w:sz w:val="20"/>
          <w:szCs w:val="20"/>
        </w:rPr>
        <w:t> </w:t>
      </w:r>
    </w:p>
    <w:p w14:paraId="72AFDE42" w14:textId="77777777" w:rsidR="00A558F7" w:rsidRPr="00A558F7" w:rsidRDefault="00A558F7" w:rsidP="00A558F7">
      <w:pPr>
        <w:pStyle w:val="paragraph"/>
        <w:spacing w:before="0" w:beforeAutospacing="0" w:after="0" w:afterAutospacing="0" w:line="360" w:lineRule="auto"/>
        <w:jc w:val="both"/>
        <w:textAlignment w:val="baseline"/>
        <w:rPr>
          <w:sz w:val="14"/>
          <w:szCs w:val="14"/>
        </w:rPr>
      </w:pPr>
    </w:p>
    <w:p w14:paraId="5FEE8156" w14:textId="490C9261" w:rsidR="00A558F7" w:rsidRPr="00A558F7" w:rsidRDefault="00A558F7" w:rsidP="00A558F7">
      <w:pPr>
        <w:pStyle w:val="paragraph"/>
        <w:spacing w:before="0" w:beforeAutospacing="0" w:after="0" w:afterAutospacing="0" w:line="360" w:lineRule="auto"/>
        <w:jc w:val="both"/>
        <w:textAlignment w:val="baseline"/>
        <w:rPr>
          <w:color w:val="0070C0"/>
          <w:sz w:val="14"/>
          <w:szCs w:val="14"/>
        </w:rPr>
      </w:pPr>
      <w:r w:rsidRPr="00A558F7">
        <w:rPr>
          <w:rStyle w:val="normaltextrun"/>
          <w:rFonts w:eastAsiaTheme="majorEastAsia"/>
          <w:b/>
          <w:bCs/>
          <w:color w:val="0070C0"/>
          <w:sz w:val="20"/>
          <w:szCs w:val="20"/>
        </w:rPr>
        <w:lastRenderedPageBreak/>
        <w:t>Management and Comparison with Literature</w:t>
      </w:r>
    </w:p>
    <w:p w14:paraId="5BE4A7B7" w14:textId="77777777" w:rsidR="00A558F7" w:rsidRPr="00A558F7" w:rsidRDefault="00A558F7" w:rsidP="00A558F7">
      <w:pPr>
        <w:pStyle w:val="paragraph"/>
        <w:spacing w:before="0" w:beforeAutospacing="0" w:after="0" w:afterAutospacing="0" w:line="360" w:lineRule="auto"/>
        <w:jc w:val="both"/>
        <w:textAlignment w:val="baseline"/>
        <w:rPr>
          <w:rStyle w:val="normaltextrun"/>
          <w:rFonts w:eastAsiaTheme="majorEastAsia"/>
          <w:sz w:val="20"/>
          <w:szCs w:val="20"/>
        </w:rPr>
      </w:pPr>
      <w:r w:rsidRPr="00A558F7">
        <w:rPr>
          <w:rStyle w:val="normaltextrun"/>
          <w:rFonts w:eastAsiaTheme="majorEastAsia"/>
          <w:sz w:val="20"/>
          <w:szCs w:val="20"/>
        </w:rPr>
        <w:t>Management is largely dependent on symptom severity and neurologic findings. Mild cases may respond to conservative therapy. Progressive or severe cases where neurological deficits are evident, surgical decompression and possible excision of the thrombosed segment of the artery provide rapid relief and prevents nerve ischemia [5,7,8,10,12]. Early diagnosis is essential to prevent permanent nerve injury and facilitate timely return to sport.</w:t>
      </w:r>
    </w:p>
    <w:p w14:paraId="6E0311C3" w14:textId="77777777" w:rsidR="00A558F7" w:rsidRPr="00A558F7" w:rsidRDefault="00A558F7" w:rsidP="00A558F7">
      <w:pPr>
        <w:pStyle w:val="paragraph"/>
        <w:spacing w:before="0" w:beforeAutospacing="0" w:after="0" w:afterAutospacing="0" w:line="360" w:lineRule="auto"/>
        <w:jc w:val="both"/>
        <w:textAlignment w:val="baseline"/>
        <w:rPr>
          <w:rStyle w:val="normaltextrun"/>
          <w:rFonts w:eastAsiaTheme="majorEastAsia"/>
          <w:sz w:val="20"/>
          <w:szCs w:val="20"/>
        </w:rPr>
      </w:pPr>
    </w:p>
    <w:p w14:paraId="639C9564" w14:textId="77777777" w:rsidR="008E73F2" w:rsidRDefault="00A558F7" w:rsidP="00A558F7">
      <w:pPr>
        <w:pStyle w:val="paragraph"/>
        <w:spacing w:before="0" w:beforeAutospacing="0" w:after="0" w:afterAutospacing="0" w:line="360" w:lineRule="auto"/>
        <w:jc w:val="both"/>
        <w:textAlignment w:val="baseline"/>
        <w:rPr>
          <w:rFonts w:eastAsiaTheme="majorEastAsia"/>
          <w:sz w:val="20"/>
          <w:szCs w:val="20"/>
        </w:rPr>
      </w:pPr>
      <w:r w:rsidRPr="00A558F7">
        <w:rPr>
          <w:sz w:val="20"/>
          <w:szCs w:val="20"/>
        </w:rPr>
        <w:t>A limited number of cases of symptomatic persistent median artery thrombosis have been reported, with most occurring in middle-aged adults presenting with acute carpal tunnel syndrome. Reports in competitive athletes remain exceptionally rare. Similar to previously published cases, MRI demonstrated loss of the normal arterial flow void with surrounding inflammatory change, while electrodiagnostic testing remained normal during the acute phase [8-13]. Unlike many reported patients who ultimately underwent surgical decompression because of persistent or progressive neurologic symptoms, our patient improved with conservative management, although long-term follow-up was unavailable.</w:t>
      </w:r>
    </w:p>
    <w:p w14:paraId="0CB09C46" w14:textId="77777777" w:rsidR="000B1BF7" w:rsidRDefault="000B1BF7" w:rsidP="00A558F7">
      <w:pPr>
        <w:pStyle w:val="paragraph"/>
        <w:spacing w:before="0" w:beforeAutospacing="0" w:after="0" w:afterAutospacing="0" w:line="360" w:lineRule="auto"/>
        <w:jc w:val="both"/>
        <w:textAlignment w:val="baseline"/>
        <w:rPr>
          <w:rStyle w:val="normaltextrun"/>
          <w:rFonts w:eastAsiaTheme="majorEastAsia"/>
          <w:b/>
          <w:bCs/>
          <w:color w:val="0070C0"/>
          <w:sz w:val="22"/>
          <w:szCs w:val="22"/>
        </w:rPr>
      </w:pPr>
    </w:p>
    <w:p w14:paraId="1B7089DF" w14:textId="54A9AF22" w:rsidR="00A558F7" w:rsidRPr="008E73F2" w:rsidRDefault="00A558F7" w:rsidP="00A558F7">
      <w:pPr>
        <w:pStyle w:val="paragraph"/>
        <w:spacing w:before="0" w:beforeAutospacing="0" w:after="0" w:afterAutospacing="0" w:line="360" w:lineRule="auto"/>
        <w:jc w:val="both"/>
        <w:textAlignment w:val="baseline"/>
        <w:rPr>
          <w:rFonts w:eastAsiaTheme="majorEastAsia"/>
          <w:sz w:val="20"/>
          <w:szCs w:val="20"/>
        </w:rPr>
      </w:pPr>
      <w:r w:rsidRPr="00A558F7">
        <w:rPr>
          <w:rStyle w:val="normaltextrun"/>
          <w:rFonts w:eastAsiaTheme="majorEastAsia"/>
          <w:b/>
          <w:bCs/>
          <w:color w:val="0070C0"/>
          <w:sz w:val="22"/>
          <w:szCs w:val="22"/>
        </w:rPr>
        <w:t>Conclusion</w:t>
      </w:r>
    </w:p>
    <w:p w14:paraId="4766014F" w14:textId="77777777" w:rsidR="00A558F7" w:rsidRPr="00A558F7" w:rsidRDefault="00A558F7" w:rsidP="00A558F7">
      <w:pPr>
        <w:pStyle w:val="paragraph"/>
        <w:spacing w:before="0" w:beforeAutospacing="0" w:after="0" w:afterAutospacing="0" w:line="360" w:lineRule="auto"/>
        <w:jc w:val="both"/>
        <w:textAlignment w:val="baseline"/>
        <w:rPr>
          <w:sz w:val="14"/>
          <w:szCs w:val="14"/>
        </w:rPr>
      </w:pPr>
      <w:r w:rsidRPr="00A558F7">
        <w:rPr>
          <w:rStyle w:val="normaltextrun"/>
          <w:rFonts w:eastAsiaTheme="majorEastAsia"/>
          <w:sz w:val="20"/>
          <w:szCs w:val="20"/>
        </w:rPr>
        <w:t>Acute volar wrist pain in athletes should not be attributed solely to overuse or tendinous injury. Persistent median artery thrombosis should be considered in the differential diagnosis. Radiologist and clinicians should recognize the imaging manifestations of vascular anomalies within the carpal tunnel. Prompt recognition with early use of high-resolution imaging ensures timely diagnosis and appropriate management, potentially preventing long-term neurological sequelae and ensuring optimal functional recovery. Recognition of this uncommon vascular variant is particularly important for musculoskeletal radiologists interpreting MRI examinations performed for acute athletic wrist injuries.</w:t>
      </w:r>
    </w:p>
    <w:p w14:paraId="68E02F5F" w14:textId="77777777" w:rsidR="00A558F7" w:rsidRPr="00FF3583" w:rsidRDefault="00A558F7" w:rsidP="00A558F7">
      <w:pPr>
        <w:spacing w:after="0" w:line="360" w:lineRule="auto"/>
        <w:jc w:val="both"/>
        <w:rPr>
          <w:rFonts w:ascii="Times New Roman" w:hAnsi="Times New Roman" w:cs="Times New Roman"/>
          <w:b/>
          <w:bCs/>
          <w:color w:val="0070C0"/>
          <w:sz w:val="20"/>
          <w:szCs w:val="20"/>
          <w:lang w:eastAsia="zh-CN"/>
        </w:rPr>
      </w:pPr>
    </w:p>
    <w:bookmarkEnd w:id="0"/>
    <w:p w14:paraId="2B0DECFC" w14:textId="3EFE6798" w:rsidR="00E31EDB" w:rsidRDefault="00AF40DB" w:rsidP="009C682A">
      <w:pPr>
        <w:spacing w:after="0" w:line="360" w:lineRule="auto"/>
        <w:jc w:val="both"/>
        <w:rPr>
          <w:rFonts w:ascii="Times New Roman" w:hAnsi="Times New Roman" w:cs="Times New Roman"/>
          <w:b/>
          <w:bCs/>
          <w:color w:val="0070C0"/>
        </w:rPr>
      </w:pPr>
      <w:r w:rsidRPr="002F4A93">
        <w:rPr>
          <w:rFonts w:ascii="Times New Roman" w:hAnsi="Times New Roman" w:cs="Times New Roman"/>
          <w:b/>
          <w:bCs/>
          <w:color w:val="0070C0"/>
        </w:rPr>
        <w:t>Reference</w:t>
      </w:r>
    </w:p>
    <w:p w14:paraId="23814837" w14:textId="0CC4E2EC"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eop"/>
          <w:sz w:val="20"/>
          <w:szCs w:val="20"/>
        </w:rPr>
      </w:pPr>
      <w:r w:rsidRPr="008E73F2">
        <w:rPr>
          <w:rStyle w:val="normaltextrun"/>
          <w:rFonts w:eastAsiaTheme="majorEastAsia"/>
          <w:sz w:val="20"/>
          <w:szCs w:val="20"/>
        </w:rPr>
        <w:t>Walker FO, Cartwright MS. Sonographic representation of bifid median nerve and persistent median artery. J Diagn Med Sonogr</w:t>
      </w:r>
      <w:r w:rsidR="00FF3583">
        <w:rPr>
          <w:rStyle w:val="normaltextrun"/>
          <w:rFonts w:eastAsiaTheme="majorEastAsia"/>
          <w:sz w:val="20"/>
          <w:szCs w:val="20"/>
        </w:rPr>
        <w:t xml:space="preserve"> </w:t>
      </w:r>
      <w:r w:rsidRPr="008E73F2">
        <w:rPr>
          <w:rStyle w:val="normaltextrun"/>
          <w:rFonts w:eastAsiaTheme="majorEastAsia"/>
          <w:sz w:val="20"/>
          <w:szCs w:val="20"/>
        </w:rPr>
        <w:t>27</w:t>
      </w:r>
      <w:r w:rsidR="00FF3583">
        <w:rPr>
          <w:rStyle w:val="normaltextrun"/>
          <w:rFonts w:eastAsiaTheme="majorEastAsia"/>
          <w:sz w:val="20"/>
          <w:szCs w:val="20"/>
        </w:rPr>
        <w:t xml:space="preserve"> </w:t>
      </w:r>
      <w:r w:rsidRPr="008E73F2">
        <w:rPr>
          <w:rStyle w:val="normaltextrun"/>
          <w:rFonts w:eastAsiaTheme="majorEastAsia"/>
          <w:sz w:val="20"/>
          <w:szCs w:val="20"/>
        </w:rPr>
        <w:t>(2</w:t>
      </w:r>
      <w:r w:rsidR="00FF3583">
        <w:rPr>
          <w:rStyle w:val="normaltextrun"/>
          <w:rFonts w:eastAsiaTheme="majorEastAsia"/>
          <w:sz w:val="20"/>
          <w:szCs w:val="20"/>
        </w:rPr>
        <w:t>011</w:t>
      </w:r>
      <w:r w:rsidRPr="008E73F2">
        <w:rPr>
          <w:rStyle w:val="normaltextrun"/>
          <w:rFonts w:eastAsiaTheme="majorEastAsia"/>
          <w:sz w:val="20"/>
          <w:szCs w:val="20"/>
        </w:rPr>
        <w:t>):</w:t>
      </w:r>
      <w:r w:rsidR="00FF3583">
        <w:rPr>
          <w:rStyle w:val="normaltextrun"/>
          <w:rFonts w:eastAsiaTheme="majorEastAsia"/>
          <w:sz w:val="20"/>
          <w:szCs w:val="20"/>
        </w:rPr>
        <w:t xml:space="preserve"> </w:t>
      </w:r>
      <w:r w:rsidRPr="008E73F2">
        <w:rPr>
          <w:rStyle w:val="normaltextrun"/>
          <w:rFonts w:eastAsiaTheme="majorEastAsia"/>
          <w:sz w:val="20"/>
          <w:szCs w:val="20"/>
        </w:rPr>
        <w:t>89-94.</w:t>
      </w:r>
      <w:r w:rsidRPr="008E73F2">
        <w:rPr>
          <w:rStyle w:val="eop"/>
          <w:rFonts w:eastAsiaTheme="majorEastAsia"/>
          <w:sz w:val="20"/>
          <w:szCs w:val="20"/>
        </w:rPr>
        <w:t> </w:t>
      </w:r>
    </w:p>
    <w:p w14:paraId="18D5E76B" w14:textId="2F228BFE"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rFonts w:eastAsiaTheme="majorEastAsia"/>
          <w:sz w:val="20"/>
          <w:szCs w:val="20"/>
        </w:rPr>
        <w:t xml:space="preserve">Rodríguez-Niedenführ M, Vázquez T, Nearn L, </w:t>
      </w:r>
      <w:r w:rsidR="00FF3583">
        <w:rPr>
          <w:rStyle w:val="normaltextrun"/>
          <w:rFonts w:eastAsiaTheme="majorEastAsia"/>
          <w:sz w:val="20"/>
          <w:szCs w:val="20"/>
        </w:rPr>
        <w:t>et al</w:t>
      </w:r>
      <w:r w:rsidRPr="008E73F2">
        <w:rPr>
          <w:rStyle w:val="normaltextrun"/>
          <w:rFonts w:eastAsiaTheme="majorEastAsia"/>
          <w:sz w:val="20"/>
          <w:szCs w:val="20"/>
        </w:rPr>
        <w:t>. Median artery revisited. J Anat</w:t>
      </w:r>
      <w:r w:rsidR="00FF3583">
        <w:rPr>
          <w:rStyle w:val="normaltextrun"/>
          <w:rFonts w:eastAsiaTheme="majorEastAsia"/>
          <w:sz w:val="20"/>
          <w:szCs w:val="20"/>
        </w:rPr>
        <w:t xml:space="preserve"> </w:t>
      </w:r>
      <w:r w:rsidRPr="008E73F2">
        <w:rPr>
          <w:rStyle w:val="normaltextrun"/>
          <w:rFonts w:eastAsiaTheme="majorEastAsia"/>
          <w:sz w:val="20"/>
          <w:szCs w:val="20"/>
        </w:rPr>
        <w:t>195</w:t>
      </w:r>
      <w:r w:rsidR="00FF3583">
        <w:rPr>
          <w:rStyle w:val="normaltextrun"/>
          <w:rFonts w:eastAsiaTheme="majorEastAsia"/>
          <w:sz w:val="20"/>
          <w:szCs w:val="20"/>
        </w:rPr>
        <w:t xml:space="preserve"> </w:t>
      </w:r>
      <w:r w:rsidRPr="008E73F2">
        <w:rPr>
          <w:rStyle w:val="normaltextrun"/>
          <w:rFonts w:eastAsiaTheme="majorEastAsia"/>
          <w:sz w:val="20"/>
          <w:szCs w:val="20"/>
        </w:rPr>
        <w:t>(1</w:t>
      </w:r>
      <w:r w:rsidR="00FF3583">
        <w:rPr>
          <w:rStyle w:val="normaltextrun"/>
          <w:rFonts w:eastAsiaTheme="majorEastAsia"/>
          <w:sz w:val="20"/>
          <w:szCs w:val="20"/>
        </w:rPr>
        <w:t>99</w:t>
      </w:r>
      <w:r w:rsidRPr="008E73F2">
        <w:rPr>
          <w:rStyle w:val="normaltextrun"/>
          <w:rFonts w:eastAsiaTheme="majorEastAsia"/>
          <w:sz w:val="20"/>
          <w:szCs w:val="20"/>
        </w:rPr>
        <w:t>):</w:t>
      </w:r>
      <w:r w:rsidR="00FF3583">
        <w:rPr>
          <w:rStyle w:val="normaltextrun"/>
          <w:rFonts w:eastAsiaTheme="majorEastAsia"/>
          <w:sz w:val="20"/>
          <w:szCs w:val="20"/>
        </w:rPr>
        <w:t xml:space="preserve"> </w:t>
      </w:r>
      <w:r w:rsidRPr="008E73F2">
        <w:rPr>
          <w:rStyle w:val="normaltextrun"/>
          <w:rFonts w:eastAsiaTheme="majorEastAsia"/>
          <w:sz w:val="20"/>
          <w:szCs w:val="20"/>
        </w:rPr>
        <w:t>57-63.</w:t>
      </w:r>
      <w:r w:rsidRPr="008E73F2">
        <w:rPr>
          <w:rStyle w:val="eop"/>
          <w:rFonts w:eastAsiaTheme="majorEastAsia"/>
          <w:sz w:val="20"/>
          <w:szCs w:val="20"/>
        </w:rPr>
        <w:t> </w:t>
      </w:r>
    </w:p>
    <w:p w14:paraId="000EEF0E" w14:textId="4045FD52"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rFonts w:eastAsiaTheme="majorEastAsia"/>
          <w:sz w:val="20"/>
          <w:szCs w:val="20"/>
        </w:rPr>
        <w:t>Akgun AS, Ertan G, Ulus S. Acute carpal tunnel syndrome caused by thrombosed persistent median artery associated with bifid median nerve. BMJ Case Rep 2017</w:t>
      </w:r>
      <w:r w:rsidR="00FF3583">
        <w:rPr>
          <w:rStyle w:val="normaltextrun"/>
          <w:rFonts w:eastAsiaTheme="majorEastAsia"/>
          <w:sz w:val="20"/>
          <w:szCs w:val="20"/>
        </w:rPr>
        <w:t xml:space="preserve"> (</w:t>
      </w:r>
      <w:r w:rsidRPr="008E73F2">
        <w:rPr>
          <w:rStyle w:val="normaltextrun"/>
          <w:rFonts w:eastAsiaTheme="majorEastAsia"/>
          <w:sz w:val="20"/>
          <w:szCs w:val="20"/>
        </w:rPr>
        <w:t>2017</w:t>
      </w:r>
      <w:r w:rsidR="00FF3583">
        <w:rPr>
          <w:rStyle w:val="normaltextrun"/>
          <w:rFonts w:eastAsiaTheme="majorEastAsia"/>
          <w:sz w:val="20"/>
          <w:szCs w:val="20"/>
        </w:rPr>
        <w:t>)</w:t>
      </w:r>
      <w:r w:rsidRPr="008E73F2">
        <w:rPr>
          <w:rStyle w:val="normaltextrun"/>
          <w:rFonts w:eastAsiaTheme="majorEastAsia"/>
          <w:sz w:val="20"/>
          <w:szCs w:val="20"/>
        </w:rPr>
        <w:t>:</w:t>
      </w:r>
      <w:r w:rsidR="00FF3583">
        <w:rPr>
          <w:rStyle w:val="normaltextrun"/>
          <w:rFonts w:eastAsiaTheme="majorEastAsia"/>
          <w:sz w:val="20"/>
          <w:szCs w:val="20"/>
        </w:rPr>
        <w:t xml:space="preserve"> </w:t>
      </w:r>
      <w:r w:rsidRPr="008E73F2">
        <w:rPr>
          <w:rStyle w:val="normaltextrun"/>
          <w:rFonts w:eastAsiaTheme="majorEastAsia"/>
          <w:sz w:val="20"/>
          <w:szCs w:val="20"/>
        </w:rPr>
        <w:t>bcr2017221446.</w:t>
      </w:r>
    </w:p>
    <w:p w14:paraId="05AF20B6" w14:textId="1C7199E5"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rFonts w:eastAsiaTheme="majorEastAsia"/>
          <w:sz w:val="20"/>
          <w:szCs w:val="20"/>
        </w:rPr>
        <w:t>Cartwright MS, Hobson-Webb LD, Boon AJ, et al. Evidence-based guideline: neuromuscular ultrasound for the diagnosis of carpal tunnel syndrome. Muscle Nerve</w:t>
      </w:r>
      <w:r w:rsidR="00FF3583">
        <w:rPr>
          <w:rStyle w:val="normaltextrun"/>
          <w:rFonts w:eastAsiaTheme="majorEastAsia"/>
          <w:sz w:val="20"/>
          <w:szCs w:val="20"/>
        </w:rPr>
        <w:t xml:space="preserve"> </w:t>
      </w:r>
      <w:r w:rsidRPr="008E73F2">
        <w:rPr>
          <w:rStyle w:val="normaltextrun"/>
          <w:rFonts w:eastAsiaTheme="majorEastAsia"/>
          <w:sz w:val="20"/>
          <w:szCs w:val="20"/>
        </w:rPr>
        <w:t>46</w:t>
      </w:r>
      <w:r w:rsidR="00FF3583">
        <w:rPr>
          <w:rStyle w:val="normaltextrun"/>
          <w:rFonts w:eastAsiaTheme="majorEastAsia"/>
          <w:sz w:val="20"/>
          <w:szCs w:val="20"/>
        </w:rPr>
        <w:t xml:space="preserve"> </w:t>
      </w:r>
      <w:r w:rsidRPr="008E73F2">
        <w:rPr>
          <w:rStyle w:val="normaltextrun"/>
          <w:rFonts w:eastAsiaTheme="majorEastAsia"/>
          <w:sz w:val="20"/>
          <w:szCs w:val="20"/>
        </w:rPr>
        <w:t>(2</w:t>
      </w:r>
      <w:r w:rsidR="00FF3583">
        <w:rPr>
          <w:rStyle w:val="normaltextrun"/>
          <w:rFonts w:eastAsiaTheme="majorEastAsia"/>
          <w:sz w:val="20"/>
          <w:szCs w:val="20"/>
        </w:rPr>
        <w:t>012</w:t>
      </w:r>
      <w:r w:rsidRPr="008E73F2">
        <w:rPr>
          <w:rStyle w:val="normaltextrun"/>
          <w:rFonts w:eastAsiaTheme="majorEastAsia"/>
          <w:sz w:val="20"/>
          <w:szCs w:val="20"/>
        </w:rPr>
        <w:t>):</w:t>
      </w:r>
      <w:r w:rsidR="00FF3583">
        <w:rPr>
          <w:rStyle w:val="normaltextrun"/>
          <w:rFonts w:eastAsiaTheme="majorEastAsia"/>
          <w:sz w:val="20"/>
          <w:szCs w:val="20"/>
        </w:rPr>
        <w:t xml:space="preserve"> </w:t>
      </w:r>
      <w:r w:rsidRPr="008E73F2">
        <w:rPr>
          <w:rStyle w:val="normaltextrun"/>
          <w:rFonts w:eastAsiaTheme="majorEastAsia"/>
          <w:sz w:val="20"/>
          <w:szCs w:val="20"/>
        </w:rPr>
        <w:t>287-293.</w:t>
      </w:r>
    </w:p>
    <w:p w14:paraId="0B710EDB" w14:textId="38CF55EF"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rFonts w:eastAsiaTheme="majorEastAsia"/>
          <w:sz w:val="20"/>
          <w:szCs w:val="20"/>
        </w:rPr>
        <w:t>Bartels DW, Shin AY. Surgical excision of a thrombosed persistent median artery causing carpal tunnel–like symptoms. JBJS Case Connect</w:t>
      </w:r>
      <w:r w:rsidR="00FF3583">
        <w:rPr>
          <w:rStyle w:val="normaltextrun"/>
          <w:rFonts w:eastAsiaTheme="majorEastAsia"/>
          <w:sz w:val="20"/>
          <w:szCs w:val="20"/>
        </w:rPr>
        <w:t xml:space="preserve"> </w:t>
      </w:r>
      <w:r w:rsidRPr="008E73F2">
        <w:rPr>
          <w:rStyle w:val="normaltextrun"/>
          <w:rFonts w:eastAsiaTheme="majorEastAsia"/>
          <w:sz w:val="20"/>
          <w:szCs w:val="20"/>
        </w:rPr>
        <w:t>10</w:t>
      </w:r>
      <w:r w:rsidR="00FF3583">
        <w:rPr>
          <w:rStyle w:val="normaltextrun"/>
          <w:rFonts w:eastAsiaTheme="majorEastAsia"/>
          <w:sz w:val="20"/>
          <w:szCs w:val="20"/>
        </w:rPr>
        <w:t xml:space="preserve"> </w:t>
      </w:r>
      <w:r w:rsidRPr="008E73F2">
        <w:rPr>
          <w:rStyle w:val="normaltextrun"/>
          <w:rFonts w:eastAsiaTheme="majorEastAsia"/>
          <w:sz w:val="20"/>
          <w:szCs w:val="20"/>
        </w:rPr>
        <w:t>(</w:t>
      </w:r>
      <w:r w:rsidR="00FF3583">
        <w:rPr>
          <w:rStyle w:val="normaltextrun"/>
          <w:rFonts w:eastAsiaTheme="majorEastAsia"/>
          <w:sz w:val="20"/>
          <w:szCs w:val="20"/>
        </w:rPr>
        <w:t>2020</w:t>
      </w:r>
      <w:r w:rsidRPr="008E73F2">
        <w:rPr>
          <w:rStyle w:val="normaltextrun"/>
          <w:rFonts w:eastAsiaTheme="majorEastAsia"/>
          <w:sz w:val="20"/>
          <w:szCs w:val="20"/>
        </w:rPr>
        <w:t>):</w:t>
      </w:r>
      <w:r w:rsidR="00FF3583">
        <w:rPr>
          <w:rStyle w:val="normaltextrun"/>
          <w:rFonts w:eastAsiaTheme="majorEastAsia"/>
          <w:sz w:val="20"/>
          <w:szCs w:val="20"/>
        </w:rPr>
        <w:t xml:space="preserve"> </w:t>
      </w:r>
      <w:r w:rsidRPr="008E73F2">
        <w:rPr>
          <w:rStyle w:val="normaltextrun"/>
          <w:rFonts w:eastAsiaTheme="majorEastAsia"/>
          <w:sz w:val="20"/>
          <w:szCs w:val="20"/>
        </w:rPr>
        <w:t>e20.00139.</w:t>
      </w:r>
      <w:r w:rsidRPr="008E73F2">
        <w:rPr>
          <w:rStyle w:val="eop"/>
          <w:rFonts w:eastAsiaTheme="majorEastAsia"/>
          <w:sz w:val="20"/>
          <w:szCs w:val="20"/>
        </w:rPr>
        <w:t> </w:t>
      </w:r>
    </w:p>
    <w:p w14:paraId="22A02C3C" w14:textId="4E1F599C"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rFonts w:eastAsiaTheme="majorEastAsia"/>
          <w:sz w:val="20"/>
          <w:szCs w:val="20"/>
        </w:rPr>
        <w:t>Lessard A, Lorange E, Lee J. Carpal tunnel syndrome secondary to acute thrombosis of persistent median artery. McGill J Med</w:t>
      </w:r>
      <w:r w:rsidR="00FF3583">
        <w:rPr>
          <w:rStyle w:val="normaltextrun"/>
          <w:rFonts w:eastAsiaTheme="majorEastAsia"/>
          <w:sz w:val="20"/>
          <w:szCs w:val="20"/>
        </w:rPr>
        <w:t xml:space="preserve"> </w:t>
      </w:r>
      <w:r w:rsidRPr="008E73F2">
        <w:rPr>
          <w:rStyle w:val="normaltextrun"/>
          <w:rFonts w:eastAsiaTheme="majorEastAsia"/>
          <w:sz w:val="20"/>
          <w:szCs w:val="20"/>
        </w:rPr>
        <w:t>17</w:t>
      </w:r>
      <w:r w:rsidR="00FF3583">
        <w:rPr>
          <w:rStyle w:val="normaltextrun"/>
          <w:rFonts w:eastAsiaTheme="majorEastAsia"/>
          <w:sz w:val="20"/>
          <w:szCs w:val="20"/>
        </w:rPr>
        <w:t xml:space="preserve"> </w:t>
      </w:r>
      <w:r w:rsidRPr="008E73F2">
        <w:rPr>
          <w:rStyle w:val="normaltextrun"/>
          <w:rFonts w:eastAsiaTheme="majorEastAsia"/>
          <w:sz w:val="20"/>
          <w:szCs w:val="20"/>
        </w:rPr>
        <w:t>(</w:t>
      </w:r>
      <w:r w:rsidR="00FF3583">
        <w:rPr>
          <w:rStyle w:val="normaltextrun"/>
          <w:rFonts w:eastAsiaTheme="majorEastAsia"/>
          <w:sz w:val="20"/>
          <w:szCs w:val="20"/>
        </w:rPr>
        <w:t>20</w:t>
      </w:r>
      <w:r w:rsidRPr="008E73F2">
        <w:rPr>
          <w:rStyle w:val="normaltextrun"/>
          <w:rFonts w:eastAsiaTheme="majorEastAsia"/>
          <w:sz w:val="20"/>
          <w:szCs w:val="20"/>
        </w:rPr>
        <w:t>1</w:t>
      </w:r>
      <w:r w:rsidR="00FF3583">
        <w:rPr>
          <w:rStyle w:val="normaltextrun"/>
          <w:rFonts w:eastAsiaTheme="majorEastAsia"/>
          <w:sz w:val="20"/>
          <w:szCs w:val="20"/>
        </w:rPr>
        <w:t>9</w:t>
      </w:r>
      <w:r w:rsidRPr="008E73F2">
        <w:rPr>
          <w:rStyle w:val="normaltextrun"/>
          <w:rFonts w:eastAsiaTheme="majorEastAsia"/>
          <w:sz w:val="20"/>
          <w:szCs w:val="20"/>
        </w:rPr>
        <w:t>):</w:t>
      </w:r>
      <w:r w:rsidR="00FF3583">
        <w:rPr>
          <w:rStyle w:val="normaltextrun"/>
          <w:rFonts w:eastAsiaTheme="majorEastAsia"/>
          <w:sz w:val="20"/>
          <w:szCs w:val="20"/>
        </w:rPr>
        <w:t xml:space="preserve"> </w:t>
      </w:r>
      <w:r w:rsidRPr="008E73F2">
        <w:rPr>
          <w:rStyle w:val="normaltextrun"/>
          <w:rFonts w:eastAsiaTheme="majorEastAsia"/>
          <w:sz w:val="20"/>
          <w:szCs w:val="20"/>
        </w:rPr>
        <w:t>1-6.</w:t>
      </w:r>
      <w:r w:rsidRPr="008E73F2">
        <w:rPr>
          <w:rStyle w:val="eop"/>
          <w:rFonts w:eastAsiaTheme="majorEastAsia"/>
          <w:sz w:val="20"/>
          <w:szCs w:val="20"/>
        </w:rPr>
        <w:t> </w:t>
      </w:r>
    </w:p>
    <w:p w14:paraId="71F28044" w14:textId="5F5CD50A"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rFonts w:eastAsiaTheme="majorEastAsia"/>
          <w:sz w:val="20"/>
          <w:szCs w:val="20"/>
        </w:rPr>
        <w:t>Vashistha A, Upadhyay A, Shanker V, et al. Persistent median artery and bifid median nerve: implications for carpal tunnel surgery. J Hand Surg Am</w:t>
      </w:r>
      <w:r w:rsidR="00FF3583">
        <w:rPr>
          <w:rStyle w:val="normaltextrun"/>
          <w:rFonts w:eastAsiaTheme="majorEastAsia"/>
          <w:sz w:val="20"/>
          <w:szCs w:val="20"/>
        </w:rPr>
        <w:t xml:space="preserve"> </w:t>
      </w:r>
      <w:r w:rsidRPr="008E73F2">
        <w:rPr>
          <w:rStyle w:val="normaltextrun"/>
          <w:rFonts w:eastAsiaTheme="majorEastAsia"/>
          <w:sz w:val="20"/>
          <w:szCs w:val="20"/>
        </w:rPr>
        <w:t>48</w:t>
      </w:r>
      <w:r w:rsidR="00FF3583">
        <w:rPr>
          <w:rStyle w:val="normaltextrun"/>
          <w:rFonts w:eastAsiaTheme="majorEastAsia"/>
          <w:sz w:val="20"/>
          <w:szCs w:val="20"/>
        </w:rPr>
        <w:t xml:space="preserve"> </w:t>
      </w:r>
      <w:r w:rsidRPr="008E73F2">
        <w:rPr>
          <w:rStyle w:val="normaltextrun"/>
          <w:rFonts w:eastAsiaTheme="majorEastAsia"/>
          <w:sz w:val="20"/>
          <w:szCs w:val="20"/>
        </w:rPr>
        <w:t>(</w:t>
      </w:r>
      <w:r w:rsidR="00FF3583">
        <w:rPr>
          <w:rStyle w:val="normaltextrun"/>
          <w:rFonts w:eastAsiaTheme="majorEastAsia"/>
          <w:sz w:val="20"/>
          <w:szCs w:val="20"/>
        </w:rPr>
        <w:t>2023</w:t>
      </w:r>
      <w:r w:rsidRPr="008E73F2">
        <w:rPr>
          <w:rStyle w:val="normaltextrun"/>
          <w:rFonts w:eastAsiaTheme="majorEastAsia"/>
          <w:sz w:val="20"/>
          <w:szCs w:val="20"/>
        </w:rPr>
        <w:t>):</w:t>
      </w:r>
      <w:r w:rsidR="00FF3583">
        <w:rPr>
          <w:rStyle w:val="normaltextrun"/>
          <w:rFonts w:eastAsiaTheme="majorEastAsia"/>
          <w:sz w:val="20"/>
          <w:szCs w:val="20"/>
        </w:rPr>
        <w:t xml:space="preserve"> </w:t>
      </w:r>
      <w:r w:rsidRPr="008E73F2">
        <w:rPr>
          <w:rStyle w:val="normaltextrun"/>
          <w:rFonts w:eastAsiaTheme="majorEastAsia"/>
          <w:sz w:val="20"/>
          <w:szCs w:val="20"/>
        </w:rPr>
        <w:t>45-52.</w:t>
      </w:r>
      <w:r w:rsidRPr="008E73F2">
        <w:rPr>
          <w:rStyle w:val="eop"/>
          <w:rFonts w:eastAsiaTheme="majorEastAsia"/>
          <w:sz w:val="20"/>
          <w:szCs w:val="20"/>
        </w:rPr>
        <w:t> </w:t>
      </w:r>
    </w:p>
    <w:p w14:paraId="63188C3C" w14:textId="7F10D7D3"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rFonts w:eastAsiaTheme="majorEastAsia"/>
          <w:sz w:val="20"/>
          <w:szCs w:val="20"/>
        </w:rPr>
        <w:lastRenderedPageBreak/>
        <w:t xml:space="preserve">Barr ML, Jain NS, Ghareeb PA, </w:t>
      </w:r>
      <w:r w:rsidR="00FF3583">
        <w:rPr>
          <w:rStyle w:val="normaltextrun"/>
          <w:rFonts w:eastAsiaTheme="majorEastAsia"/>
          <w:sz w:val="20"/>
          <w:szCs w:val="20"/>
        </w:rPr>
        <w:t>et al</w:t>
      </w:r>
      <w:r w:rsidRPr="008E73F2">
        <w:rPr>
          <w:rStyle w:val="normaltextrun"/>
          <w:rFonts w:eastAsiaTheme="majorEastAsia"/>
          <w:sz w:val="20"/>
          <w:szCs w:val="20"/>
        </w:rPr>
        <w:t>. Persistent median artery thrombosis causing a bifid median nerve and carpal tunnel syndrome: a case report. JBJS Case Connect</w:t>
      </w:r>
      <w:r w:rsidR="00FF3583">
        <w:rPr>
          <w:rStyle w:val="normaltextrun"/>
          <w:rFonts w:eastAsiaTheme="majorEastAsia"/>
          <w:sz w:val="20"/>
          <w:szCs w:val="20"/>
        </w:rPr>
        <w:t xml:space="preserve"> </w:t>
      </w:r>
      <w:r w:rsidRPr="008E73F2">
        <w:rPr>
          <w:rStyle w:val="normaltextrun"/>
          <w:rFonts w:eastAsiaTheme="majorEastAsia"/>
          <w:sz w:val="20"/>
          <w:szCs w:val="20"/>
        </w:rPr>
        <w:t>12</w:t>
      </w:r>
      <w:r w:rsidR="00FF3583">
        <w:rPr>
          <w:rStyle w:val="normaltextrun"/>
          <w:rFonts w:eastAsiaTheme="majorEastAsia"/>
          <w:sz w:val="20"/>
          <w:szCs w:val="20"/>
        </w:rPr>
        <w:t xml:space="preserve"> </w:t>
      </w:r>
      <w:r w:rsidRPr="008E73F2">
        <w:rPr>
          <w:rStyle w:val="normaltextrun"/>
          <w:rFonts w:eastAsiaTheme="majorEastAsia"/>
          <w:sz w:val="20"/>
          <w:szCs w:val="20"/>
        </w:rPr>
        <w:t>(</w:t>
      </w:r>
      <w:r w:rsidR="00FF3583">
        <w:rPr>
          <w:rStyle w:val="normaltextrun"/>
          <w:rFonts w:eastAsiaTheme="majorEastAsia"/>
          <w:sz w:val="20"/>
          <w:szCs w:val="20"/>
        </w:rPr>
        <w:t>2022</w:t>
      </w:r>
      <w:r w:rsidRPr="008E73F2">
        <w:rPr>
          <w:rStyle w:val="normaltextrun"/>
          <w:rFonts w:eastAsiaTheme="majorEastAsia"/>
          <w:sz w:val="20"/>
          <w:szCs w:val="20"/>
        </w:rPr>
        <w:t>):</w:t>
      </w:r>
      <w:r w:rsidR="00FF3583">
        <w:rPr>
          <w:rStyle w:val="normaltextrun"/>
          <w:rFonts w:eastAsiaTheme="majorEastAsia"/>
          <w:sz w:val="20"/>
          <w:szCs w:val="20"/>
        </w:rPr>
        <w:t xml:space="preserve"> </w:t>
      </w:r>
      <w:r w:rsidRPr="008E73F2">
        <w:rPr>
          <w:rStyle w:val="normaltextrun"/>
          <w:rFonts w:eastAsiaTheme="majorEastAsia"/>
          <w:sz w:val="20"/>
          <w:szCs w:val="20"/>
        </w:rPr>
        <w:t>e22.00424.</w:t>
      </w:r>
    </w:p>
    <w:p w14:paraId="1383302A" w14:textId="4665E7B1"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sz w:val="20"/>
          <w:szCs w:val="20"/>
        </w:rPr>
        <w:t>Abdouni YA, Brunelli JPF, Munia MAS. Acute carpal tunnel syndrome due to persistent median artery thrombosis: case report. Rev Bras Ortop (Sao Paulo)</w:t>
      </w:r>
      <w:r w:rsidR="00FF3583">
        <w:rPr>
          <w:rStyle w:val="normaltextrun"/>
          <w:sz w:val="20"/>
          <w:szCs w:val="20"/>
        </w:rPr>
        <w:t xml:space="preserve"> </w:t>
      </w:r>
      <w:r w:rsidRPr="008E73F2">
        <w:rPr>
          <w:rStyle w:val="normaltextrun"/>
          <w:sz w:val="20"/>
          <w:szCs w:val="20"/>
        </w:rPr>
        <w:t>58</w:t>
      </w:r>
      <w:r w:rsidR="00FF3583">
        <w:rPr>
          <w:rStyle w:val="normaltextrun"/>
          <w:sz w:val="20"/>
          <w:szCs w:val="20"/>
        </w:rPr>
        <w:t xml:space="preserve"> </w:t>
      </w:r>
      <w:r w:rsidRPr="008E73F2">
        <w:rPr>
          <w:rStyle w:val="normaltextrun"/>
          <w:sz w:val="20"/>
          <w:szCs w:val="20"/>
        </w:rPr>
        <w:t>(2</w:t>
      </w:r>
      <w:r w:rsidR="00FF3583">
        <w:rPr>
          <w:rStyle w:val="normaltextrun"/>
          <w:sz w:val="20"/>
          <w:szCs w:val="20"/>
        </w:rPr>
        <w:t>023</w:t>
      </w:r>
      <w:r w:rsidRPr="008E73F2">
        <w:rPr>
          <w:rStyle w:val="normaltextrun"/>
          <w:sz w:val="20"/>
          <w:szCs w:val="20"/>
        </w:rPr>
        <w:t>):</w:t>
      </w:r>
      <w:r w:rsidR="00FF3583">
        <w:rPr>
          <w:rStyle w:val="normaltextrun"/>
          <w:sz w:val="20"/>
          <w:szCs w:val="20"/>
        </w:rPr>
        <w:t xml:space="preserve"> </w:t>
      </w:r>
      <w:r w:rsidRPr="008E73F2">
        <w:rPr>
          <w:rStyle w:val="normaltextrun"/>
          <w:sz w:val="20"/>
          <w:szCs w:val="20"/>
        </w:rPr>
        <w:t>347-350.</w:t>
      </w:r>
    </w:p>
    <w:p w14:paraId="3EDDB7D9" w14:textId="1B019FE5" w:rsidR="008E73F2" w:rsidRPr="008E73F2" w:rsidRDefault="008E73F2" w:rsidP="008E73F2">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sz w:val="20"/>
          <w:szCs w:val="20"/>
        </w:rPr>
        <w:t xml:space="preserve">Miyashima Y, Gotani H, Okamoto K, </w:t>
      </w:r>
      <w:r w:rsidR="00FF3583">
        <w:rPr>
          <w:rStyle w:val="normaltextrun"/>
          <w:sz w:val="20"/>
          <w:szCs w:val="20"/>
        </w:rPr>
        <w:t>et al</w:t>
      </w:r>
      <w:r w:rsidRPr="008E73F2">
        <w:rPr>
          <w:rStyle w:val="normaltextrun"/>
          <w:sz w:val="20"/>
          <w:szCs w:val="20"/>
        </w:rPr>
        <w:t>. Median nerve neuropathy caused by persistent median artery thrombosis. Plast Reconstr Surg Glob Open</w:t>
      </w:r>
      <w:r w:rsidR="00FF3583">
        <w:rPr>
          <w:rStyle w:val="normaltextrun"/>
          <w:sz w:val="20"/>
          <w:szCs w:val="20"/>
        </w:rPr>
        <w:t xml:space="preserve"> </w:t>
      </w:r>
      <w:r w:rsidRPr="008E73F2">
        <w:rPr>
          <w:rStyle w:val="normaltextrun"/>
          <w:sz w:val="20"/>
          <w:szCs w:val="20"/>
        </w:rPr>
        <w:t>11</w:t>
      </w:r>
      <w:r w:rsidR="00FF3583">
        <w:rPr>
          <w:rStyle w:val="normaltextrun"/>
          <w:sz w:val="20"/>
          <w:szCs w:val="20"/>
        </w:rPr>
        <w:t xml:space="preserve"> </w:t>
      </w:r>
      <w:r w:rsidRPr="008E73F2">
        <w:rPr>
          <w:rStyle w:val="normaltextrun"/>
          <w:sz w:val="20"/>
          <w:szCs w:val="20"/>
        </w:rPr>
        <w:t>(</w:t>
      </w:r>
      <w:r w:rsidR="00FF3583">
        <w:rPr>
          <w:rStyle w:val="normaltextrun"/>
          <w:sz w:val="20"/>
          <w:szCs w:val="20"/>
        </w:rPr>
        <w:t>2023</w:t>
      </w:r>
      <w:r w:rsidRPr="008E73F2">
        <w:rPr>
          <w:rStyle w:val="normaltextrun"/>
          <w:sz w:val="20"/>
          <w:szCs w:val="20"/>
        </w:rPr>
        <w:t>):</w:t>
      </w:r>
      <w:r w:rsidR="00FF3583">
        <w:rPr>
          <w:rStyle w:val="normaltextrun"/>
          <w:sz w:val="20"/>
          <w:szCs w:val="20"/>
        </w:rPr>
        <w:t xml:space="preserve"> </w:t>
      </w:r>
      <w:r w:rsidRPr="008E73F2">
        <w:rPr>
          <w:rStyle w:val="normaltextrun"/>
          <w:sz w:val="20"/>
          <w:szCs w:val="20"/>
        </w:rPr>
        <w:t>e4916.</w:t>
      </w:r>
    </w:p>
    <w:p w14:paraId="4CFBDF30" w14:textId="0F751A8E" w:rsidR="008E73F2" w:rsidRPr="00FF3583" w:rsidRDefault="008E73F2" w:rsidP="00FF3583">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sz w:val="20"/>
          <w:szCs w:val="20"/>
        </w:rPr>
        <w:t xml:space="preserve">Qin J, Tan XX, Xue MQ, </w:t>
      </w:r>
      <w:r w:rsidR="00FF3583">
        <w:rPr>
          <w:sz w:val="20"/>
          <w:szCs w:val="20"/>
        </w:rPr>
        <w:t>et al</w:t>
      </w:r>
      <w:r w:rsidRPr="008E73F2">
        <w:rPr>
          <w:sz w:val="20"/>
          <w:szCs w:val="20"/>
        </w:rPr>
        <w:t>. Coexistence of anomalous muscle, persistent median artery, bifid median nerve causing carpal tunnel syndrome: a case report and literature review. Front Pediatr</w:t>
      </w:r>
      <w:r w:rsidR="00FF3583">
        <w:rPr>
          <w:sz w:val="20"/>
          <w:szCs w:val="20"/>
        </w:rPr>
        <w:t xml:space="preserve"> </w:t>
      </w:r>
      <w:r w:rsidRPr="008E73F2">
        <w:rPr>
          <w:sz w:val="20"/>
          <w:szCs w:val="20"/>
        </w:rPr>
        <w:t>11</w:t>
      </w:r>
      <w:r w:rsidR="00FF3583">
        <w:rPr>
          <w:sz w:val="20"/>
          <w:szCs w:val="20"/>
        </w:rPr>
        <w:t xml:space="preserve"> (2023)</w:t>
      </w:r>
      <w:r w:rsidRPr="008E73F2">
        <w:rPr>
          <w:sz w:val="20"/>
          <w:szCs w:val="20"/>
        </w:rPr>
        <w:t>:</w:t>
      </w:r>
      <w:r w:rsidR="00FF3583">
        <w:rPr>
          <w:sz w:val="20"/>
          <w:szCs w:val="20"/>
        </w:rPr>
        <w:t xml:space="preserve"> </w:t>
      </w:r>
      <w:r w:rsidRPr="008E73F2">
        <w:rPr>
          <w:sz w:val="20"/>
          <w:szCs w:val="20"/>
        </w:rPr>
        <w:t>1043442.</w:t>
      </w:r>
    </w:p>
    <w:p w14:paraId="3F6E753B" w14:textId="77777777" w:rsidR="00FF3583" w:rsidRDefault="008E73F2" w:rsidP="00FF3583">
      <w:pPr>
        <w:pStyle w:val="paragraph"/>
        <w:numPr>
          <w:ilvl w:val="0"/>
          <w:numId w:val="12"/>
        </w:numPr>
        <w:spacing w:before="0" w:beforeAutospacing="0" w:after="0" w:afterAutospacing="0" w:line="360" w:lineRule="auto"/>
        <w:jc w:val="both"/>
        <w:textAlignment w:val="baseline"/>
        <w:rPr>
          <w:rStyle w:val="normaltextrun"/>
          <w:sz w:val="20"/>
          <w:szCs w:val="20"/>
        </w:rPr>
      </w:pPr>
      <w:r w:rsidRPr="008E73F2">
        <w:rPr>
          <w:rStyle w:val="normaltextrun"/>
          <w:sz w:val="20"/>
          <w:szCs w:val="20"/>
        </w:rPr>
        <w:t>Hines EM, Roberts CJ, Frahm-Jensen G. Acute carpal tunnel syndrome from thrombosed persistent median artery in a patient with congenitally absent radial artery. Hand (N Y). 2024;32(4):896-899. doi:10.1177/17085381231164472.</w:t>
      </w:r>
    </w:p>
    <w:p w14:paraId="63F4F5F4" w14:textId="604A7734" w:rsidR="00FF3583" w:rsidRPr="00FF3583" w:rsidRDefault="008E73F2" w:rsidP="00FF3583">
      <w:pPr>
        <w:pStyle w:val="paragraph"/>
        <w:numPr>
          <w:ilvl w:val="0"/>
          <w:numId w:val="12"/>
        </w:numPr>
        <w:spacing w:before="0" w:beforeAutospacing="0" w:after="0" w:afterAutospacing="0" w:line="360" w:lineRule="auto"/>
        <w:jc w:val="both"/>
        <w:textAlignment w:val="baseline"/>
        <w:rPr>
          <w:rStyle w:val="normaltextrun"/>
          <w:sz w:val="20"/>
          <w:szCs w:val="20"/>
        </w:rPr>
      </w:pPr>
      <w:r w:rsidRPr="00FF3583">
        <w:rPr>
          <w:rStyle w:val="normaltextrun"/>
          <w:sz w:val="20"/>
          <w:szCs w:val="20"/>
        </w:rPr>
        <w:t>Yildizgoren MT, Ucar C. Carpal tunnel syndrome resulting from persistent median artery and bifid median nerve: the critical role of ultrasonography. Cureus</w:t>
      </w:r>
      <w:r w:rsidR="00FF3583">
        <w:rPr>
          <w:rStyle w:val="normaltextrun"/>
          <w:sz w:val="20"/>
          <w:szCs w:val="20"/>
        </w:rPr>
        <w:t xml:space="preserve"> </w:t>
      </w:r>
      <w:r w:rsidRPr="00FF3583">
        <w:rPr>
          <w:rStyle w:val="normaltextrun"/>
          <w:sz w:val="20"/>
          <w:szCs w:val="20"/>
        </w:rPr>
        <w:t>16</w:t>
      </w:r>
      <w:r w:rsidR="00FF3583" w:rsidRPr="00FF3583">
        <w:rPr>
          <w:rStyle w:val="normaltextrun"/>
          <w:sz w:val="20"/>
          <w:szCs w:val="20"/>
        </w:rPr>
        <w:t xml:space="preserve"> </w:t>
      </w:r>
      <w:r w:rsidRPr="00FF3583">
        <w:rPr>
          <w:rStyle w:val="normaltextrun"/>
          <w:sz w:val="20"/>
          <w:szCs w:val="20"/>
        </w:rPr>
        <w:t>(2</w:t>
      </w:r>
      <w:r w:rsidR="00FF3583" w:rsidRPr="00FF3583">
        <w:rPr>
          <w:rStyle w:val="normaltextrun"/>
          <w:sz w:val="20"/>
          <w:szCs w:val="20"/>
        </w:rPr>
        <w:t>024</w:t>
      </w:r>
      <w:r w:rsidRPr="00FF3583">
        <w:rPr>
          <w:rStyle w:val="normaltextrun"/>
          <w:sz w:val="20"/>
          <w:szCs w:val="20"/>
        </w:rPr>
        <w:t>):</w:t>
      </w:r>
      <w:r w:rsidR="00FF3583" w:rsidRPr="00FF3583">
        <w:rPr>
          <w:rStyle w:val="normaltextrun"/>
          <w:sz w:val="20"/>
          <w:szCs w:val="20"/>
        </w:rPr>
        <w:t xml:space="preserve"> </w:t>
      </w:r>
      <w:r w:rsidRPr="00FF3583">
        <w:rPr>
          <w:rStyle w:val="normaltextrun"/>
          <w:sz w:val="20"/>
          <w:szCs w:val="20"/>
        </w:rPr>
        <w:t>e54551.</w:t>
      </w:r>
    </w:p>
    <w:p w14:paraId="698B63EC" w14:textId="77777777" w:rsidR="00FF3583" w:rsidRDefault="00FF3583" w:rsidP="00FF3583">
      <w:pPr>
        <w:pStyle w:val="paragraph"/>
        <w:spacing w:before="0" w:beforeAutospacing="0" w:after="0" w:afterAutospacing="0" w:line="360" w:lineRule="auto"/>
        <w:jc w:val="both"/>
        <w:textAlignment w:val="baseline"/>
        <w:rPr>
          <w:rStyle w:val="normaltextrun"/>
          <w:b/>
          <w:bCs/>
          <w:color w:val="0070C0"/>
        </w:rPr>
      </w:pPr>
    </w:p>
    <w:p w14:paraId="4A552CAC" w14:textId="77777777" w:rsidR="00FF3583" w:rsidRPr="00FF3583" w:rsidRDefault="00FF3583" w:rsidP="00FF3583">
      <w:pPr>
        <w:pStyle w:val="paragraph"/>
        <w:spacing w:before="0" w:beforeAutospacing="0" w:after="0" w:afterAutospacing="0" w:line="360" w:lineRule="auto"/>
        <w:jc w:val="both"/>
        <w:textAlignment w:val="baseline"/>
        <w:rPr>
          <w:b/>
          <w:bCs/>
          <w:color w:val="0070C0"/>
        </w:rPr>
      </w:pPr>
    </w:p>
    <w:p w14:paraId="12BC78DA" w14:textId="72CF056B" w:rsidR="005C1694" w:rsidRPr="002F4A93" w:rsidRDefault="0002471B" w:rsidP="001C2618">
      <w:pPr>
        <w:widowControl w:val="0"/>
        <w:shd w:val="clear" w:color="auto" w:fill="FFFFFF"/>
        <w:spacing w:after="0" w:line="360" w:lineRule="auto"/>
        <w:rPr>
          <w:rFonts w:ascii="Times New Roman" w:hAnsi="Times New Roman" w:cs="Times New Roman"/>
          <w:sz w:val="20"/>
          <w:szCs w:val="20"/>
        </w:rPr>
      </w:pPr>
      <w:r w:rsidRPr="002F4A93">
        <w:rPr>
          <w:rFonts w:ascii="Times New Roman" w:hAnsi="Times New Roman" w:cs="Times New Roman"/>
          <w:noProof/>
        </w:rPr>
        <w:drawing>
          <wp:anchor distT="0" distB="0" distL="0" distR="0" simplePos="0" relativeHeight="251657216" behindDoc="0" locked="0" layoutInCell="1" allowOverlap="1" wp14:anchorId="4289DF6F" wp14:editId="192B7DAF">
            <wp:simplePos x="0" y="0"/>
            <wp:positionH relativeFrom="page">
              <wp:posOffset>964272</wp:posOffset>
            </wp:positionH>
            <wp:positionV relativeFrom="paragraph">
              <wp:posOffset>5617</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2F4A93">
        <w:rPr>
          <w:rFonts w:ascii="Times New Roman" w:hAnsi="Times New Roman" w:cs="Times New Roman"/>
          <w:sz w:val="18"/>
          <w:szCs w:val="18"/>
        </w:rPr>
        <w:tab/>
      </w:r>
      <w:r w:rsidR="005C1694" w:rsidRPr="002F4A93">
        <w:rPr>
          <w:rFonts w:ascii="Times New Roman" w:hAnsi="Times New Roman" w:cs="Times New Roman"/>
          <w:sz w:val="18"/>
          <w:szCs w:val="18"/>
        </w:rPr>
        <w:tab/>
      </w:r>
      <w:r w:rsidR="009D0FB8" w:rsidRPr="002F4A93">
        <w:rPr>
          <w:rFonts w:ascii="Times New Roman" w:hAnsi="Times New Roman" w:cs="Times New Roman"/>
          <w:sz w:val="18"/>
          <w:szCs w:val="18"/>
        </w:rPr>
        <w:tab/>
      </w:r>
      <w:r w:rsidR="005C1694" w:rsidRPr="002F4A93">
        <w:rPr>
          <w:rFonts w:ascii="Times New Roman" w:hAnsi="Times New Roman" w:cs="Times New Roman"/>
          <w:sz w:val="20"/>
          <w:szCs w:val="20"/>
        </w:rPr>
        <w:t>This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article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is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an</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open</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access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article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distributed</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under</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the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terms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and</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conditions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of</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the</w:t>
      </w:r>
      <w:r w:rsidR="00E42D95" w:rsidRPr="002F4A93">
        <w:rPr>
          <w:rFonts w:ascii="Times New Roman" w:hAnsi="Times New Roman" w:cs="Times New Roman"/>
          <w:sz w:val="20"/>
          <w:szCs w:val="20"/>
        </w:rPr>
        <w:t xml:space="preserve"> </w:t>
      </w:r>
    </w:p>
    <w:p w14:paraId="6374EBA8" w14:textId="77777777" w:rsidR="00E17338" w:rsidRPr="002F4A93" w:rsidRDefault="00E42D95" w:rsidP="0049085F">
      <w:pPr>
        <w:spacing w:after="0" w:line="360" w:lineRule="auto"/>
        <w:rPr>
          <w:rFonts w:ascii="Times New Roman" w:hAnsi="Times New Roman" w:cs="Times New Roman"/>
          <w:sz w:val="20"/>
          <w:szCs w:val="20"/>
          <w:u w:val="single"/>
        </w:rPr>
      </w:pPr>
      <w:r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b/>
      </w:r>
      <w:r w:rsidR="005C1694" w:rsidRPr="002F4A93">
        <w:rPr>
          <w:rFonts w:ascii="Times New Roman" w:hAnsi="Times New Roman" w:cs="Times New Roman"/>
          <w:sz w:val="20"/>
          <w:szCs w:val="20"/>
        </w:rPr>
        <w:tab/>
      </w:r>
      <w:r w:rsidRPr="002F4A93">
        <w:rPr>
          <w:rFonts w:ascii="Times New Roman" w:hAnsi="Times New Roman" w:cs="Times New Roman"/>
          <w:sz w:val="20"/>
          <w:szCs w:val="20"/>
        </w:rPr>
        <w:t xml:space="preserve"> </w:t>
      </w:r>
      <w:r w:rsidR="00DE7C2B" w:rsidRPr="002F4A93">
        <w:rPr>
          <w:rFonts w:ascii="Times New Roman" w:hAnsi="Times New Roman" w:cs="Times New Roman"/>
          <w:sz w:val="20"/>
          <w:szCs w:val="20"/>
        </w:rPr>
        <w:tab/>
      </w:r>
      <w:hyperlink r:id="rId16" w:history="1">
        <w:r w:rsidR="005C1694" w:rsidRPr="002F4A93">
          <w:rPr>
            <w:rStyle w:val="Hyperlink"/>
            <w:rFonts w:ascii="Times New Roman" w:hAnsi="Times New Roman" w:cs="Times New Roman"/>
            <w:sz w:val="20"/>
            <w:szCs w:val="20"/>
          </w:rPr>
          <w:t>Creative</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Commons</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Attribution</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(CC-BY)</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license</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4.0</w:t>
        </w:r>
        <w:r w:rsidR="0002471B" w:rsidRPr="002F4A93">
          <w:rPr>
            <w:rFonts w:ascii="Times New Roman" w:hAnsi="Times New Roman" w:cs="Times New Roman"/>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sidRPr="002F4A93">
        <w:rPr>
          <w:rFonts w:ascii="Times New Roman" w:hAnsi="Times New Roman" w:cs="Times New Roman"/>
          <w:sz w:val="20"/>
          <w:szCs w:val="20"/>
          <w:u w:val="single"/>
        </w:rPr>
        <w:t xml:space="preserve"> </w:t>
      </w:r>
    </w:p>
    <w:p w14:paraId="1781692B" w14:textId="77777777" w:rsidR="00FE346A" w:rsidRPr="002F4A93" w:rsidRDefault="00FE346A" w:rsidP="0049085F">
      <w:pPr>
        <w:spacing w:after="0" w:line="360" w:lineRule="auto"/>
        <w:rPr>
          <w:rFonts w:ascii="Times New Roman" w:hAnsi="Times New Roman" w:cs="Times New Roman"/>
          <w:sz w:val="20"/>
          <w:szCs w:val="20"/>
          <w:u w:val="single"/>
        </w:rPr>
      </w:pPr>
    </w:p>
    <w:p w14:paraId="5AAC67FE" w14:textId="77777777" w:rsidR="00D32DB9" w:rsidRPr="002F4A93" w:rsidRDefault="00D32DB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6A3F4448" w14:textId="77777777" w:rsidR="0040564A" w:rsidRPr="002F4A93" w:rsidRDefault="0040564A" w:rsidP="0004145F">
      <w:pPr>
        <w:autoSpaceDE w:val="0"/>
        <w:autoSpaceDN w:val="0"/>
        <w:adjustRightInd w:val="0"/>
        <w:spacing w:after="0" w:line="360" w:lineRule="auto"/>
        <w:jc w:val="both"/>
        <w:rPr>
          <w:rFonts w:ascii="Times New Roman" w:hAnsi="Times New Roman" w:cs="Times New Roman"/>
          <w:sz w:val="18"/>
          <w:szCs w:val="18"/>
          <w:lang w:eastAsia="en-IN"/>
        </w:rPr>
      </w:pPr>
    </w:p>
    <w:p w14:paraId="5F3539E0" w14:textId="77777777" w:rsidR="003D3858" w:rsidRPr="002F4A93"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Pr="002F4A93"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751C8856" w14:textId="77777777" w:rsidR="00C77748" w:rsidRPr="002F4A93" w:rsidRDefault="00C77748" w:rsidP="00BC2DF6">
      <w:pPr>
        <w:autoSpaceDE w:val="0"/>
        <w:autoSpaceDN w:val="0"/>
        <w:adjustRightInd w:val="0"/>
        <w:spacing w:after="0" w:line="360" w:lineRule="auto"/>
        <w:jc w:val="both"/>
        <w:rPr>
          <w:rFonts w:ascii="Times New Roman" w:hAnsi="Times New Roman" w:cs="Times New Roman"/>
          <w:bCs/>
          <w:sz w:val="20"/>
          <w:lang w:val="en-IN" w:eastAsia="en-IN"/>
        </w:rPr>
      </w:pPr>
    </w:p>
    <w:p w14:paraId="62A731D1" w14:textId="77777777" w:rsidR="00BC2DF6" w:rsidRPr="002F4A93" w:rsidRDefault="00BC2DF6" w:rsidP="0049085F">
      <w:pPr>
        <w:spacing w:after="0" w:line="360" w:lineRule="auto"/>
        <w:rPr>
          <w:rFonts w:ascii="Times New Roman" w:hAnsi="Times New Roman" w:cs="Times New Roman"/>
          <w:sz w:val="20"/>
          <w:szCs w:val="20"/>
          <w:u w:val="single"/>
        </w:rPr>
      </w:pPr>
    </w:p>
    <w:p w14:paraId="432F1264" w14:textId="77777777" w:rsidR="00BC2DF6" w:rsidRPr="002F4A93" w:rsidRDefault="00BC2DF6" w:rsidP="0049085F">
      <w:pPr>
        <w:spacing w:after="0" w:line="360" w:lineRule="auto"/>
        <w:rPr>
          <w:rFonts w:ascii="Times New Roman" w:hAnsi="Times New Roman" w:cs="Times New Roman"/>
          <w:sz w:val="20"/>
          <w:szCs w:val="20"/>
          <w:u w:val="single"/>
        </w:rPr>
      </w:pPr>
      <w:r w:rsidRPr="002F4A93">
        <w:rPr>
          <w:rFonts w:ascii="Times New Roman" w:hAnsi="Times New Roman" w:cs="Times New Roman"/>
          <w:sz w:val="20"/>
          <w:szCs w:val="20"/>
          <w:u w:val="single"/>
        </w:rPr>
        <w:t xml:space="preserve"> </w:t>
      </w:r>
    </w:p>
    <w:p w14:paraId="7FE15CA4" w14:textId="77777777" w:rsidR="0014424E" w:rsidRPr="002F4A93" w:rsidRDefault="0014424E" w:rsidP="00FE346A">
      <w:pPr>
        <w:autoSpaceDE w:val="0"/>
        <w:autoSpaceDN w:val="0"/>
        <w:adjustRightInd w:val="0"/>
        <w:spacing w:after="0" w:line="360" w:lineRule="auto"/>
        <w:jc w:val="both"/>
        <w:rPr>
          <w:rFonts w:ascii="Times New Roman" w:hAnsi="Times New Roman" w:cs="Times New Roman"/>
          <w:bCs/>
          <w:sz w:val="20"/>
          <w:lang w:val="en-IN" w:eastAsia="en-IN"/>
        </w:rPr>
      </w:pPr>
    </w:p>
    <w:p w14:paraId="03AC0960" w14:textId="77777777" w:rsidR="00363751" w:rsidRDefault="00363751"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p w14:paraId="144C79F8" w14:textId="77777777" w:rsidR="00895C95" w:rsidRDefault="00895C95"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p w14:paraId="137E8DE6" w14:textId="77777777" w:rsidR="00895C95" w:rsidRDefault="00895C95"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p w14:paraId="6B9DD1DA" w14:textId="77777777" w:rsidR="00895C95" w:rsidRDefault="00895C95"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p w14:paraId="2FE17A1E" w14:textId="77777777" w:rsidR="00895C95" w:rsidRDefault="00895C95"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p w14:paraId="17A111D8" w14:textId="77777777" w:rsidR="00895C95" w:rsidRDefault="00895C95"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p w14:paraId="423EAA37" w14:textId="3A493FCC" w:rsidR="00895C95" w:rsidRPr="00895C95" w:rsidRDefault="00895C95" w:rsidP="00895C95">
      <w:pPr>
        <w:spacing w:after="0" w:line="360" w:lineRule="auto"/>
        <w:jc w:val="center"/>
        <w:rPr>
          <w:rFonts w:ascii="Times New Roman" w:hAnsi="Times New Roman" w:cs="Times New Roman"/>
          <w:b/>
          <w:bCs/>
          <w:color w:val="0070C0"/>
          <w:sz w:val="20"/>
          <w:szCs w:val="18"/>
        </w:rPr>
      </w:pPr>
      <w:r w:rsidRPr="00895C95">
        <w:rPr>
          <w:rFonts w:ascii="Times New Roman" w:hAnsi="Times New Roman" w:cs="Times New Roman"/>
          <w:b/>
          <w:bCs/>
          <w:color w:val="0070C0"/>
          <w:sz w:val="20"/>
          <w:szCs w:val="18"/>
        </w:rPr>
        <w:t>Section 1 Genotyping Methods</w:t>
      </w:r>
    </w:p>
    <w:p w14:paraId="7914CCEE" w14:textId="77777777" w:rsidR="00895C95" w:rsidRPr="00895C95" w:rsidRDefault="00895C95" w:rsidP="00895C95">
      <w:pPr>
        <w:spacing w:after="0" w:line="360" w:lineRule="auto"/>
        <w:jc w:val="both"/>
        <w:rPr>
          <w:rFonts w:ascii="Times New Roman" w:hAnsi="Times New Roman" w:cs="Times New Roman"/>
          <w:b/>
          <w:bCs/>
          <w:sz w:val="20"/>
          <w:szCs w:val="18"/>
        </w:rPr>
      </w:pPr>
    </w:p>
    <w:p w14:paraId="2E06B535" w14:textId="77777777" w:rsidR="00895C95" w:rsidRPr="00895C95" w:rsidRDefault="00895C95" w:rsidP="00895C95">
      <w:pPr>
        <w:spacing w:after="0" w:line="360" w:lineRule="auto"/>
        <w:jc w:val="both"/>
        <w:rPr>
          <w:rFonts w:ascii="Times New Roman" w:hAnsi="Times New Roman" w:cs="Times New Roman"/>
          <w:b/>
          <w:bCs/>
          <w:color w:val="0070C0"/>
          <w:sz w:val="20"/>
          <w:szCs w:val="18"/>
        </w:rPr>
      </w:pPr>
      <w:r w:rsidRPr="00895C95">
        <w:rPr>
          <w:rFonts w:ascii="Times New Roman" w:hAnsi="Times New Roman" w:cs="Times New Roman"/>
          <w:b/>
          <w:bCs/>
          <w:color w:val="0070C0"/>
          <w:sz w:val="20"/>
          <w:szCs w:val="18"/>
        </w:rPr>
        <w:t>Mouse Tail Genomic DNA Extraction</w:t>
      </w:r>
    </w:p>
    <w:p w14:paraId="530EE01E" w14:textId="77777777" w:rsidR="00895C95" w:rsidRDefault="00895C95" w:rsidP="00895C95">
      <w:pPr>
        <w:spacing w:after="0" w:line="360" w:lineRule="auto"/>
        <w:jc w:val="both"/>
        <w:rPr>
          <w:rFonts w:ascii="Times New Roman" w:hAnsi="Times New Roman" w:cs="Times New Roman"/>
          <w:sz w:val="20"/>
          <w:szCs w:val="18"/>
        </w:rPr>
      </w:pPr>
      <w:r w:rsidRPr="00895C95">
        <w:rPr>
          <w:rFonts w:ascii="Times New Roman" w:hAnsi="Times New Roman" w:cs="Times New Roman"/>
          <w:sz w:val="20"/>
          <w:szCs w:val="18"/>
        </w:rPr>
        <w:lastRenderedPageBreak/>
        <w:t>Genomic DNA was extracted from mouse tail biopsies using a proteinase K digestion–ethanol precipitation method. Approximately 0.3–0.5 cm of tail tissue was collected from mice older than 2 weeks of age (adjusted according to tail size to ensure comparable tissue volume) and transferred into labeled 1.5 mL microcentrifuge tubes.</w:t>
      </w:r>
    </w:p>
    <w:p w14:paraId="5737A973" w14:textId="77777777" w:rsidR="00895C95" w:rsidRDefault="00895C95" w:rsidP="00895C95">
      <w:pPr>
        <w:spacing w:after="0" w:line="360" w:lineRule="auto"/>
        <w:jc w:val="both"/>
        <w:rPr>
          <w:rFonts w:ascii="Times New Roman" w:hAnsi="Times New Roman" w:cs="Times New Roman"/>
          <w:sz w:val="20"/>
          <w:szCs w:val="18"/>
        </w:rPr>
      </w:pPr>
    </w:p>
    <w:p w14:paraId="26976992" w14:textId="7CB8C3AC" w:rsidR="00895C95" w:rsidRPr="00895C95" w:rsidRDefault="00895C95" w:rsidP="00895C95">
      <w:pPr>
        <w:spacing w:after="0" w:line="360" w:lineRule="auto"/>
        <w:jc w:val="both"/>
        <w:rPr>
          <w:rFonts w:ascii="Times New Roman" w:hAnsi="Times New Roman" w:cs="Times New Roman"/>
          <w:sz w:val="20"/>
          <w:szCs w:val="18"/>
        </w:rPr>
      </w:pPr>
      <w:r w:rsidRPr="00895C95">
        <w:rPr>
          <w:rFonts w:ascii="Times New Roman" w:hAnsi="Times New Roman" w:cs="Times New Roman"/>
          <w:sz w:val="20"/>
          <w:szCs w:val="18"/>
        </w:rPr>
        <w:t>Samples were incubated in 0.5 mL mouse tail lysis buffer (GenePool, Cat# GPQ19388) supplemented with 50 μL proteinase K and digested at 56 °C overnight with gentle agitation to ensure complete lysis. The lysates were centrifuged at 12,000 rpm for 10 min at room temperature.</w:t>
      </w:r>
    </w:p>
    <w:p w14:paraId="44D8B516" w14:textId="77777777" w:rsidR="00895C95" w:rsidRDefault="00895C95" w:rsidP="00895C95">
      <w:pPr>
        <w:spacing w:after="0" w:line="360" w:lineRule="auto"/>
        <w:jc w:val="both"/>
        <w:rPr>
          <w:rFonts w:ascii="Times New Roman" w:hAnsi="Times New Roman" w:cs="Times New Roman"/>
          <w:sz w:val="20"/>
          <w:szCs w:val="18"/>
        </w:rPr>
      </w:pPr>
    </w:p>
    <w:p w14:paraId="19B9C176" w14:textId="27215578" w:rsidR="00895C95" w:rsidRPr="00895C95" w:rsidRDefault="00895C95" w:rsidP="00895C95">
      <w:pPr>
        <w:spacing w:after="0" w:line="360" w:lineRule="auto"/>
        <w:jc w:val="both"/>
        <w:rPr>
          <w:rFonts w:ascii="Times New Roman" w:hAnsi="Times New Roman" w:cs="Times New Roman"/>
          <w:sz w:val="20"/>
          <w:szCs w:val="18"/>
        </w:rPr>
      </w:pPr>
      <w:r w:rsidRPr="00895C95">
        <w:rPr>
          <w:rFonts w:ascii="Times New Roman" w:hAnsi="Times New Roman" w:cs="Times New Roman"/>
          <w:sz w:val="20"/>
          <w:szCs w:val="18"/>
        </w:rPr>
        <w:t>The supernatant was transferred to a fresh tube, followed by the addition of 1 mL absolute ethanol. After inversion to precipitate DNA, samples were centrifuged at 13,000 rpm for 15 min at 4 °C, and the supernatant was discarded.</w:t>
      </w:r>
    </w:p>
    <w:p w14:paraId="063F80EC" w14:textId="77777777" w:rsidR="00895C95" w:rsidRPr="00895C95" w:rsidRDefault="00895C95" w:rsidP="00895C95">
      <w:pPr>
        <w:spacing w:after="0" w:line="360" w:lineRule="auto"/>
        <w:jc w:val="both"/>
        <w:rPr>
          <w:rFonts w:ascii="Times New Roman" w:hAnsi="Times New Roman" w:cs="Times New Roman"/>
          <w:sz w:val="20"/>
          <w:szCs w:val="18"/>
        </w:rPr>
      </w:pPr>
      <w:r w:rsidRPr="00895C95">
        <w:rPr>
          <w:rFonts w:ascii="Times New Roman" w:hAnsi="Times New Roman" w:cs="Times New Roman"/>
          <w:sz w:val="20"/>
          <w:szCs w:val="18"/>
        </w:rPr>
        <w:t>The DNA pellet was washed with 75% ethanol, centrifuged, briefly air-dried, and dissolved in 80–100 μL TE buffer (pH 8.0) or nuclease-free water.</w:t>
      </w:r>
    </w:p>
    <w:p w14:paraId="4D4181ED" w14:textId="77777777" w:rsidR="00895C95" w:rsidRPr="00895C95" w:rsidRDefault="00895C95" w:rsidP="00895C95">
      <w:pPr>
        <w:spacing w:after="0" w:line="360" w:lineRule="auto"/>
        <w:jc w:val="both"/>
        <w:rPr>
          <w:rFonts w:ascii="Times New Roman" w:hAnsi="Times New Roman" w:cs="Times New Roman"/>
          <w:sz w:val="20"/>
          <w:szCs w:val="18"/>
        </w:rPr>
      </w:pPr>
    </w:p>
    <w:p w14:paraId="652230AB" w14:textId="77777777" w:rsidR="00895C95" w:rsidRPr="00895C95" w:rsidRDefault="00895C95" w:rsidP="00895C95">
      <w:pPr>
        <w:spacing w:after="0" w:line="360" w:lineRule="auto"/>
        <w:jc w:val="both"/>
        <w:rPr>
          <w:rFonts w:ascii="Times New Roman" w:hAnsi="Times New Roman" w:cs="Times New Roman"/>
          <w:b/>
          <w:bCs/>
          <w:color w:val="0070C0"/>
          <w:sz w:val="20"/>
          <w:szCs w:val="18"/>
        </w:rPr>
      </w:pPr>
      <w:r w:rsidRPr="00895C95">
        <w:rPr>
          <w:rFonts w:ascii="Times New Roman" w:hAnsi="Times New Roman" w:cs="Times New Roman"/>
          <w:b/>
          <w:bCs/>
          <w:color w:val="0070C0"/>
          <w:sz w:val="20"/>
          <w:szCs w:val="18"/>
        </w:rPr>
        <w:t>PCR Amplification for Genotyping</w:t>
      </w:r>
    </w:p>
    <w:p w14:paraId="6BB20C93" w14:textId="77777777" w:rsidR="00895C95" w:rsidRPr="00895C95" w:rsidRDefault="00895C95" w:rsidP="00895C95">
      <w:pPr>
        <w:spacing w:after="0" w:line="360" w:lineRule="auto"/>
        <w:jc w:val="both"/>
        <w:rPr>
          <w:rFonts w:ascii="Times New Roman" w:hAnsi="Times New Roman" w:cs="Times New Roman"/>
          <w:sz w:val="20"/>
          <w:szCs w:val="18"/>
        </w:rPr>
      </w:pPr>
      <w:r w:rsidRPr="00895C95">
        <w:rPr>
          <w:rFonts w:ascii="Times New Roman" w:hAnsi="Times New Roman" w:cs="Times New Roman"/>
          <w:sz w:val="20"/>
          <w:szCs w:val="18"/>
        </w:rPr>
        <w:t>PCR amplification was performed using a 2× Taq Master Mix (CWBIO, Cat# CW0682). Primer sequences, reaction components, and cycling conditions are summarized in Table S1.</w:t>
      </w:r>
    </w:p>
    <w:p w14:paraId="17693CE6" w14:textId="77777777" w:rsidR="00895C95" w:rsidRDefault="00895C95" w:rsidP="00895C95">
      <w:pPr>
        <w:spacing w:after="0" w:line="360" w:lineRule="auto"/>
        <w:jc w:val="both"/>
        <w:rPr>
          <w:rFonts w:ascii="Times New Roman" w:hAnsi="Times New Roman" w:cs="Times New Roman"/>
          <w:sz w:val="20"/>
          <w:szCs w:val="18"/>
        </w:rPr>
      </w:pPr>
    </w:p>
    <w:p w14:paraId="2899584B" w14:textId="0D6C864F" w:rsidR="00895C95" w:rsidRPr="00895C95" w:rsidRDefault="00895C95" w:rsidP="00895C95">
      <w:pPr>
        <w:spacing w:after="0" w:line="360" w:lineRule="auto"/>
        <w:jc w:val="both"/>
        <w:rPr>
          <w:rFonts w:ascii="Times New Roman" w:hAnsi="Times New Roman" w:cs="Times New Roman"/>
          <w:sz w:val="20"/>
          <w:szCs w:val="18"/>
        </w:rPr>
      </w:pPr>
      <w:r w:rsidRPr="00895C95">
        <w:rPr>
          <w:rFonts w:ascii="Times New Roman" w:hAnsi="Times New Roman" w:cs="Times New Roman"/>
          <w:sz w:val="20"/>
          <w:szCs w:val="18"/>
        </w:rPr>
        <w:t>PCR products were analyzed by agarose gel electrophoresis using a DNA ladder (DM2000, CWBIO) as a molecular weight reference.</w:t>
      </w:r>
    </w:p>
    <w:p w14:paraId="1DDCF683" w14:textId="77777777" w:rsidR="00895C95" w:rsidRDefault="00895C95" w:rsidP="00895C95">
      <w:pPr>
        <w:spacing w:after="0" w:line="360" w:lineRule="auto"/>
        <w:rPr>
          <w:rFonts w:ascii="Times New Roman" w:eastAsia="思源黑体" w:hAnsi="Times New Roman" w:cs="Times New Roman"/>
          <w:b/>
          <w:sz w:val="24"/>
        </w:rPr>
      </w:pPr>
    </w:p>
    <w:p w14:paraId="5C3BB5DD" w14:textId="663E9D4D" w:rsidR="00895C95" w:rsidRPr="00895C95" w:rsidRDefault="00895C95" w:rsidP="00F278B1">
      <w:pPr>
        <w:spacing w:after="0" w:line="360" w:lineRule="auto"/>
        <w:jc w:val="center"/>
        <w:rPr>
          <w:rFonts w:ascii="Times New Roman" w:eastAsia="思源黑体" w:hAnsi="Times New Roman" w:cs="Times New Roman"/>
          <w:bCs/>
          <w:sz w:val="20"/>
          <w:szCs w:val="18"/>
        </w:rPr>
      </w:pPr>
      <w:r w:rsidRPr="00895C95">
        <w:rPr>
          <w:rFonts w:ascii="Times New Roman" w:eastAsia="思源黑体" w:hAnsi="Times New Roman" w:cs="Times New Roman"/>
          <w:b/>
          <w:color w:val="0070C0"/>
          <w:sz w:val="20"/>
          <w:szCs w:val="18"/>
        </w:rPr>
        <w:t xml:space="preserve">Table S1: </w:t>
      </w:r>
      <w:r w:rsidRPr="00895C95">
        <w:rPr>
          <w:rFonts w:ascii="Times New Roman" w:eastAsia="思源黑体" w:hAnsi="Times New Roman" w:cs="Times New Roman"/>
          <w:bCs/>
          <w:sz w:val="20"/>
          <w:szCs w:val="18"/>
        </w:rPr>
        <w:t>PCR Primers, Reaction System, and Cycling Conditions.</w:t>
      </w:r>
    </w:p>
    <w:p w14:paraId="752C5A8E" w14:textId="75E2D14D" w:rsidR="00F278B1" w:rsidRPr="00F278B1" w:rsidRDefault="00F278B1" w:rsidP="00F278B1">
      <w:pPr>
        <w:spacing w:after="0" w:line="360" w:lineRule="auto"/>
        <w:rPr>
          <w:rFonts w:ascii="Times New Roman" w:eastAsia="思源黑体" w:hAnsi="Times New Roman" w:cs="Times New Roman"/>
          <w:b/>
          <w:color w:val="0070C0"/>
          <w:sz w:val="20"/>
          <w:szCs w:val="18"/>
        </w:rPr>
      </w:pPr>
      <w:r w:rsidRPr="00F278B1">
        <w:rPr>
          <w:rFonts w:ascii="Times New Roman" w:eastAsia="思源黑体" w:hAnsi="Times New Roman" w:cs="Times New Roman"/>
          <w:b/>
          <w:color w:val="0070C0"/>
          <w:sz w:val="20"/>
          <w:szCs w:val="18"/>
        </w:rPr>
        <w:t>Primer Sequences</w:t>
      </w:r>
    </w:p>
    <w:tbl>
      <w:tblPr>
        <w:tblW w:w="3189" w:type="pct"/>
        <w:jc w:val="center"/>
        <w:tblLook w:val="04A0" w:firstRow="1" w:lastRow="0" w:firstColumn="1" w:lastColumn="0" w:noHBand="0" w:noVBand="1"/>
      </w:tblPr>
      <w:tblGrid>
        <w:gridCol w:w="922"/>
        <w:gridCol w:w="3467"/>
        <w:gridCol w:w="1843"/>
      </w:tblGrid>
      <w:tr w:rsidR="00F278B1" w:rsidRPr="00F278B1" w14:paraId="5B9FD10B" w14:textId="77777777" w:rsidTr="00F278B1">
        <w:trPr>
          <w:trHeight w:val="530"/>
          <w:jc w:val="center"/>
        </w:trPr>
        <w:tc>
          <w:tcPr>
            <w:tcW w:w="739" w:type="pct"/>
            <w:tcBorders>
              <w:top w:val="single" w:sz="4" w:space="0" w:color="auto"/>
              <w:left w:val="single" w:sz="4" w:space="0" w:color="auto"/>
              <w:bottom w:val="single" w:sz="4" w:space="0" w:color="auto"/>
              <w:right w:val="single" w:sz="4" w:space="0" w:color="auto"/>
            </w:tcBorders>
            <w:vAlign w:val="center"/>
            <w:hideMark/>
          </w:tcPr>
          <w:p w14:paraId="009E8FB5" w14:textId="77777777" w:rsidR="00F278B1" w:rsidRPr="00F278B1" w:rsidRDefault="00F278B1" w:rsidP="00F278B1">
            <w:pPr>
              <w:spacing w:after="0" w:line="240" w:lineRule="auto"/>
              <w:jc w:val="center"/>
              <w:rPr>
                <w:rFonts w:ascii="Times New Roman" w:eastAsia="Times New Roman" w:hAnsi="Times New Roman" w:cs="Times New Roman"/>
                <w:b/>
                <w:bCs/>
                <w:color w:val="000000"/>
                <w:sz w:val="20"/>
                <w:szCs w:val="20"/>
                <w:lang w:val="en-IN" w:eastAsia="en-IN"/>
              </w:rPr>
            </w:pPr>
            <w:r w:rsidRPr="00F278B1">
              <w:rPr>
                <w:rFonts w:ascii="Times New Roman" w:eastAsia="Times New Roman" w:hAnsi="Times New Roman" w:cs="Times New Roman"/>
                <w:b/>
                <w:bCs/>
                <w:color w:val="000000"/>
                <w:sz w:val="20"/>
                <w:szCs w:val="20"/>
                <w:lang w:eastAsia="en-IN"/>
              </w:rPr>
              <w:t>Primer</w:t>
            </w:r>
          </w:p>
        </w:tc>
        <w:tc>
          <w:tcPr>
            <w:tcW w:w="2782" w:type="pct"/>
            <w:tcBorders>
              <w:top w:val="single" w:sz="4" w:space="0" w:color="auto"/>
              <w:left w:val="nil"/>
              <w:bottom w:val="single" w:sz="4" w:space="0" w:color="auto"/>
              <w:right w:val="single" w:sz="4" w:space="0" w:color="auto"/>
            </w:tcBorders>
            <w:vAlign w:val="center"/>
            <w:hideMark/>
          </w:tcPr>
          <w:p w14:paraId="5DFBC88B" w14:textId="77777777" w:rsidR="00F278B1" w:rsidRPr="00F278B1" w:rsidRDefault="00F278B1" w:rsidP="00F278B1">
            <w:pPr>
              <w:spacing w:after="0" w:line="240" w:lineRule="auto"/>
              <w:jc w:val="center"/>
              <w:rPr>
                <w:rFonts w:ascii="Times New Roman" w:eastAsia="Times New Roman" w:hAnsi="Times New Roman" w:cs="Times New Roman"/>
                <w:b/>
                <w:bCs/>
                <w:color w:val="000000"/>
                <w:sz w:val="20"/>
                <w:szCs w:val="20"/>
                <w:lang w:val="en-IN" w:eastAsia="en-IN"/>
              </w:rPr>
            </w:pPr>
            <w:r w:rsidRPr="00F278B1">
              <w:rPr>
                <w:rFonts w:ascii="Times New Roman" w:eastAsia="Times New Roman" w:hAnsi="Times New Roman" w:cs="Times New Roman"/>
                <w:b/>
                <w:bCs/>
                <w:color w:val="000000"/>
                <w:sz w:val="20"/>
                <w:szCs w:val="20"/>
                <w:lang w:eastAsia="en-IN"/>
              </w:rPr>
              <w:t>Sequence (5’→3’)</w:t>
            </w:r>
          </w:p>
        </w:tc>
        <w:tc>
          <w:tcPr>
            <w:tcW w:w="1479" w:type="pct"/>
            <w:tcBorders>
              <w:top w:val="single" w:sz="4" w:space="0" w:color="auto"/>
              <w:left w:val="nil"/>
              <w:bottom w:val="single" w:sz="4" w:space="0" w:color="auto"/>
              <w:right w:val="single" w:sz="4" w:space="0" w:color="auto"/>
            </w:tcBorders>
            <w:vAlign w:val="center"/>
            <w:hideMark/>
          </w:tcPr>
          <w:p w14:paraId="1F49571E" w14:textId="77777777" w:rsidR="00F278B1" w:rsidRPr="00F278B1" w:rsidRDefault="00F278B1" w:rsidP="00F278B1">
            <w:pPr>
              <w:spacing w:after="0" w:line="240" w:lineRule="auto"/>
              <w:jc w:val="center"/>
              <w:rPr>
                <w:rFonts w:ascii="Times New Roman" w:eastAsia="Times New Roman" w:hAnsi="Times New Roman" w:cs="Times New Roman"/>
                <w:b/>
                <w:bCs/>
                <w:color w:val="000000"/>
                <w:sz w:val="20"/>
                <w:szCs w:val="20"/>
                <w:lang w:val="en-IN" w:eastAsia="en-IN"/>
              </w:rPr>
            </w:pPr>
            <w:r w:rsidRPr="00F278B1">
              <w:rPr>
                <w:rFonts w:ascii="Times New Roman" w:eastAsia="Times New Roman" w:hAnsi="Times New Roman" w:cs="Times New Roman"/>
                <w:b/>
                <w:bCs/>
                <w:color w:val="000000"/>
                <w:sz w:val="20"/>
                <w:szCs w:val="20"/>
                <w:lang w:eastAsia="en-IN"/>
              </w:rPr>
              <w:t>Type</w:t>
            </w:r>
          </w:p>
        </w:tc>
      </w:tr>
      <w:tr w:rsidR="00F278B1" w:rsidRPr="00F278B1" w14:paraId="5A35D33A" w14:textId="77777777" w:rsidTr="00F278B1">
        <w:trPr>
          <w:trHeight w:val="540"/>
          <w:jc w:val="center"/>
        </w:trPr>
        <w:tc>
          <w:tcPr>
            <w:tcW w:w="739" w:type="pct"/>
            <w:tcBorders>
              <w:top w:val="nil"/>
              <w:left w:val="single" w:sz="4" w:space="0" w:color="auto"/>
              <w:bottom w:val="single" w:sz="4" w:space="0" w:color="auto"/>
              <w:right w:val="single" w:sz="4" w:space="0" w:color="auto"/>
            </w:tcBorders>
            <w:vAlign w:val="center"/>
            <w:hideMark/>
          </w:tcPr>
          <w:p w14:paraId="1D238736"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P1</w:t>
            </w:r>
          </w:p>
        </w:tc>
        <w:tc>
          <w:tcPr>
            <w:tcW w:w="2782" w:type="pct"/>
            <w:tcBorders>
              <w:top w:val="nil"/>
              <w:left w:val="nil"/>
              <w:bottom w:val="single" w:sz="4" w:space="0" w:color="auto"/>
              <w:right w:val="single" w:sz="4" w:space="0" w:color="auto"/>
            </w:tcBorders>
            <w:vAlign w:val="center"/>
            <w:hideMark/>
          </w:tcPr>
          <w:p w14:paraId="7706F1E3"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ACTCCCCTAAGTCTGAACCA</w:t>
            </w:r>
          </w:p>
        </w:tc>
        <w:tc>
          <w:tcPr>
            <w:tcW w:w="1479" w:type="pct"/>
            <w:tcBorders>
              <w:top w:val="nil"/>
              <w:left w:val="nil"/>
              <w:bottom w:val="single" w:sz="4" w:space="0" w:color="auto"/>
              <w:right w:val="single" w:sz="4" w:space="0" w:color="auto"/>
            </w:tcBorders>
            <w:vAlign w:val="center"/>
            <w:hideMark/>
          </w:tcPr>
          <w:p w14:paraId="607A9869"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Forward</w:t>
            </w:r>
          </w:p>
        </w:tc>
      </w:tr>
      <w:tr w:rsidR="00F278B1" w:rsidRPr="00F278B1" w14:paraId="199CC144" w14:textId="77777777" w:rsidTr="00F278B1">
        <w:trPr>
          <w:trHeight w:val="470"/>
          <w:jc w:val="center"/>
        </w:trPr>
        <w:tc>
          <w:tcPr>
            <w:tcW w:w="739" w:type="pct"/>
            <w:tcBorders>
              <w:top w:val="nil"/>
              <w:left w:val="single" w:sz="4" w:space="0" w:color="auto"/>
              <w:bottom w:val="single" w:sz="4" w:space="0" w:color="auto"/>
              <w:right w:val="single" w:sz="4" w:space="0" w:color="auto"/>
            </w:tcBorders>
            <w:vAlign w:val="center"/>
            <w:hideMark/>
          </w:tcPr>
          <w:p w14:paraId="5DF5452A"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P2</w:t>
            </w:r>
          </w:p>
        </w:tc>
        <w:tc>
          <w:tcPr>
            <w:tcW w:w="2782" w:type="pct"/>
            <w:tcBorders>
              <w:top w:val="nil"/>
              <w:left w:val="nil"/>
              <w:bottom w:val="single" w:sz="4" w:space="0" w:color="auto"/>
              <w:right w:val="single" w:sz="4" w:space="0" w:color="auto"/>
            </w:tcBorders>
            <w:vAlign w:val="center"/>
            <w:hideMark/>
          </w:tcPr>
          <w:p w14:paraId="256B4815"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AACTGTGGGTCACTACCCTT</w:t>
            </w:r>
          </w:p>
        </w:tc>
        <w:tc>
          <w:tcPr>
            <w:tcW w:w="1479" w:type="pct"/>
            <w:tcBorders>
              <w:top w:val="nil"/>
              <w:left w:val="nil"/>
              <w:bottom w:val="single" w:sz="4" w:space="0" w:color="auto"/>
              <w:right w:val="single" w:sz="4" w:space="0" w:color="auto"/>
            </w:tcBorders>
            <w:vAlign w:val="center"/>
            <w:hideMark/>
          </w:tcPr>
          <w:p w14:paraId="1FB90FB8"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Reverse</w:t>
            </w:r>
          </w:p>
        </w:tc>
      </w:tr>
      <w:tr w:rsidR="00F278B1" w:rsidRPr="00F278B1" w14:paraId="59B0C5C1" w14:textId="77777777" w:rsidTr="00F278B1">
        <w:trPr>
          <w:trHeight w:val="440"/>
          <w:jc w:val="center"/>
        </w:trPr>
        <w:tc>
          <w:tcPr>
            <w:tcW w:w="739" w:type="pct"/>
            <w:tcBorders>
              <w:top w:val="nil"/>
              <w:left w:val="single" w:sz="4" w:space="0" w:color="auto"/>
              <w:bottom w:val="single" w:sz="4" w:space="0" w:color="auto"/>
              <w:right w:val="single" w:sz="4" w:space="0" w:color="auto"/>
            </w:tcBorders>
            <w:vAlign w:val="center"/>
            <w:hideMark/>
          </w:tcPr>
          <w:p w14:paraId="2DAF02C1"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P3</w:t>
            </w:r>
          </w:p>
        </w:tc>
        <w:tc>
          <w:tcPr>
            <w:tcW w:w="2782" w:type="pct"/>
            <w:tcBorders>
              <w:top w:val="nil"/>
              <w:left w:val="nil"/>
              <w:bottom w:val="single" w:sz="4" w:space="0" w:color="auto"/>
              <w:right w:val="single" w:sz="4" w:space="0" w:color="auto"/>
            </w:tcBorders>
            <w:vAlign w:val="center"/>
            <w:hideMark/>
          </w:tcPr>
          <w:p w14:paraId="2E0970AB"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TGTTTGAGGGACGCTACAGA</w:t>
            </w:r>
          </w:p>
        </w:tc>
        <w:tc>
          <w:tcPr>
            <w:tcW w:w="1479" w:type="pct"/>
            <w:tcBorders>
              <w:top w:val="nil"/>
              <w:left w:val="nil"/>
              <w:bottom w:val="single" w:sz="4" w:space="0" w:color="auto"/>
              <w:right w:val="single" w:sz="4" w:space="0" w:color="auto"/>
            </w:tcBorders>
            <w:vAlign w:val="center"/>
            <w:hideMark/>
          </w:tcPr>
          <w:p w14:paraId="3B341FB2"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Reverse</w:t>
            </w:r>
          </w:p>
        </w:tc>
      </w:tr>
    </w:tbl>
    <w:p w14:paraId="44C58E46" w14:textId="77777777" w:rsidR="00F278B1" w:rsidRDefault="00F278B1" w:rsidP="00F278B1">
      <w:pPr>
        <w:spacing w:after="0" w:line="360" w:lineRule="auto"/>
        <w:rPr>
          <w:rFonts w:ascii="Times New Roman" w:eastAsia="思源黑体" w:hAnsi="Times New Roman" w:cs="Times New Roman"/>
          <w:b/>
          <w:color w:val="0070C0"/>
          <w:sz w:val="20"/>
          <w:szCs w:val="18"/>
        </w:rPr>
      </w:pPr>
    </w:p>
    <w:p w14:paraId="5590416A" w14:textId="0202E987" w:rsidR="00F278B1" w:rsidRDefault="00F278B1" w:rsidP="00F278B1">
      <w:pPr>
        <w:spacing w:after="0" w:line="360" w:lineRule="auto"/>
        <w:rPr>
          <w:rFonts w:ascii="Times New Roman" w:eastAsia="思源黑体" w:hAnsi="Times New Roman" w:cs="Times New Roman"/>
          <w:b/>
          <w:color w:val="0070C0"/>
          <w:sz w:val="20"/>
          <w:szCs w:val="18"/>
        </w:rPr>
      </w:pPr>
      <w:r w:rsidRPr="00F278B1">
        <w:rPr>
          <w:rFonts w:ascii="Times New Roman" w:eastAsia="思源黑体" w:hAnsi="Times New Roman" w:cs="Times New Roman"/>
          <w:b/>
          <w:color w:val="0070C0"/>
          <w:sz w:val="20"/>
          <w:szCs w:val="18"/>
        </w:rPr>
        <w:t>PCR Reaction Mixture</w:t>
      </w:r>
    </w:p>
    <w:p w14:paraId="28196C5B" w14:textId="77777777" w:rsidR="00F278B1" w:rsidRDefault="00F278B1" w:rsidP="00F278B1">
      <w:pPr>
        <w:spacing w:after="0" w:line="360" w:lineRule="auto"/>
        <w:rPr>
          <w:rFonts w:ascii="Times New Roman" w:eastAsia="思源黑体" w:hAnsi="Times New Roman" w:cs="Times New Roman"/>
          <w:b/>
          <w:color w:val="0070C0"/>
          <w:sz w:val="20"/>
          <w:szCs w:val="18"/>
        </w:rPr>
      </w:pPr>
    </w:p>
    <w:tbl>
      <w:tblPr>
        <w:tblW w:w="2684" w:type="pct"/>
        <w:tblInd w:w="1696" w:type="dxa"/>
        <w:tblLook w:val="04A0" w:firstRow="1" w:lastRow="0" w:firstColumn="1" w:lastColumn="0" w:noHBand="0" w:noVBand="1"/>
      </w:tblPr>
      <w:tblGrid>
        <w:gridCol w:w="2586"/>
        <w:gridCol w:w="2659"/>
      </w:tblGrid>
      <w:tr w:rsidR="00F278B1" w:rsidRPr="00F278B1" w14:paraId="4B32B389" w14:textId="77777777" w:rsidTr="00F278B1">
        <w:trPr>
          <w:trHeight w:val="306"/>
        </w:trPr>
        <w:tc>
          <w:tcPr>
            <w:tcW w:w="2465" w:type="pct"/>
            <w:tcBorders>
              <w:top w:val="single" w:sz="4" w:space="0" w:color="auto"/>
              <w:left w:val="single" w:sz="4" w:space="0" w:color="auto"/>
              <w:bottom w:val="single" w:sz="4" w:space="0" w:color="auto"/>
              <w:right w:val="single" w:sz="4" w:space="0" w:color="auto"/>
            </w:tcBorders>
            <w:vAlign w:val="center"/>
            <w:hideMark/>
          </w:tcPr>
          <w:p w14:paraId="25CD3DBD" w14:textId="77777777" w:rsidR="00F278B1" w:rsidRPr="00F278B1" w:rsidRDefault="00F278B1" w:rsidP="00F278B1">
            <w:pPr>
              <w:spacing w:after="0" w:line="240" w:lineRule="auto"/>
              <w:jc w:val="center"/>
              <w:rPr>
                <w:rFonts w:ascii="Times New Roman" w:eastAsia="Times New Roman" w:hAnsi="Times New Roman" w:cs="Times New Roman"/>
                <w:b/>
                <w:bCs/>
                <w:color w:val="000000"/>
                <w:sz w:val="20"/>
                <w:szCs w:val="20"/>
                <w:lang w:val="en-IN" w:eastAsia="en-IN"/>
              </w:rPr>
            </w:pPr>
            <w:r w:rsidRPr="00F278B1">
              <w:rPr>
                <w:rFonts w:ascii="Times New Roman" w:eastAsia="Times New Roman" w:hAnsi="Times New Roman" w:cs="Times New Roman"/>
                <w:b/>
                <w:bCs/>
                <w:color w:val="000000"/>
                <w:sz w:val="20"/>
                <w:szCs w:val="20"/>
                <w:lang w:eastAsia="en-IN"/>
              </w:rPr>
              <w:t>Component</w:t>
            </w:r>
          </w:p>
        </w:tc>
        <w:tc>
          <w:tcPr>
            <w:tcW w:w="2535" w:type="pct"/>
            <w:tcBorders>
              <w:top w:val="single" w:sz="4" w:space="0" w:color="auto"/>
              <w:left w:val="nil"/>
              <w:bottom w:val="single" w:sz="4" w:space="0" w:color="auto"/>
              <w:right w:val="single" w:sz="4" w:space="0" w:color="auto"/>
            </w:tcBorders>
            <w:vAlign w:val="center"/>
            <w:hideMark/>
          </w:tcPr>
          <w:p w14:paraId="4DC64ADC" w14:textId="77777777" w:rsidR="00F278B1" w:rsidRPr="00F278B1" w:rsidRDefault="00F278B1" w:rsidP="00F278B1">
            <w:pPr>
              <w:spacing w:after="0" w:line="240" w:lineRule="auto"/>
              <w:jc w:val="center"/>
              <w:rPr>
                <w:rFonts w:ascii="Times New Roman" w:eastAsia="Times New Roman" w:hAnsi="Times New Roman" w:cs="Times New Roman"/>
                <w:b/>
                <w:bCs/>
                <w:color w:val="000000"/>
                <w:sz w:val="20"/>
                <w:szCs w:val="20"/>
                <w:lang w:val="en-IN" w:eastAsia="en-IN"/>
              </w:rPr>
            </w:pPr>
            <w:r w:rsidRPr="00F278B1">
              <w:rPr>
                <w:rFonts w:ascii="Times New Roman" w:eastAsia="Times New Roman" w:hAnsi="Times New Roman" w:cs="Times New Roman"/>
                <w:b/>
                <w:bCs/>
                <w:color w:val="000000"/>
                <w:sz w:val="20"/>
                <w:szCs w:val="20"/>
                <w:lang w:eastAsia="en-IN"/>
              </w:rPr>
              <w:t>Volume (µL)</w:t>
            </w:r>
          </w:p>
        </w:tc>
      </w:tr>
      <w:tr w:rsidR="00F278B1" w:rsidRPr="00F278B1" w14:paraId="2E6F25F4" w14:textId="77777777" w:rsidTr="00F278B1">
        <w:trPr>
          <w:trHeight w:val="290"/>
        </w:trPr>
        <w:tc>
          <w:tcPr>
            <w:tcW w:w="2465" w:type="pct"/>
            <w:tcBorders>
              <w:top w:val="nil"/>
              <w:left w:val="single" w:sz="4" w:space="0" w:color="auto"/>
              <w:bottom w:val="single" w:sz="4" w:space="0" w:color="auto"/>
              <w:right w:val="single" w:sz="4" w:space="0" w:color="auto"/>
            </w:tcBorders>
            <w:vAlign w:val="center"/>
            <w:hideMark/>
          </w:tcPr>
          <w:p w14:paraId="731E71E6"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ddH₂O</w:t>
            </w:r>
          </w:p>
        </w:tc>
        <w:tc>
          <w:tcPr>
            <w:tcW w:w="2535" w:type="pct"/>
            <w:tcBorders>
              <w:top w:val="nil"/>
              <w:left w:val="nil"/>
              <w:bottom w:val="single" w:sz="4" w:space="0" w:color="auto"/>
              <w:right w:val="single" w:sz="4" w:space="0" w:color="auto"/>
            </w:tcBorders>
            <w:vAlign w:val="center"/>
            <w:hideMark/>
          </w:tcPr>
          <w:p w14:paraId="72046A4E"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7.8</w:t>
            </w:r>
          </w:p>
        </w:tc>
      </w:tr>
      <w:tr w:rsidR="00F278B1" w:rsidRPr="00F278B1" w14:paraId="01C4D046" w14:textId="77777777" w:rsidTr="00F278B1">
        <w:trPr>
          <w:trHeight w:val="333"/>
        </w:trPr>
        <w:tc>
          <w:tcPr>
            <w:tcW w:w="2465" w:type="pct"/>
            <w:tcBorders>
              <w:top w:val="nil"/>
              <w:left w:val="single" w:sz="4" w:space="0" w:color="auto"/>
              <w:bottom w:val="single" w:sz="4" w:space="0" w:color="auto"/>
              <w:right w:val="single" w:sz="4" w:space="0" w:color="auto"/>
            </w:tcBorders>
            <w:vAlign w:val="center"/>
            <w:hideMark/>
          </w:tcPr>
          <w:p w14:paraId="790FBF9A"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2× Taq Master Mix</w:t>
            </w:r>
          </w:p>
        </w:tc>
        <w:tc>
          <w:tcPr>
            <w:tcW w:w="2535" w:type="pct"/>
            <w:tcBorders>
              <w:top w:val="nil"/>
              <w:left w:val="nil"/>
              <w:bottom w:val="single" w:sz="4" w:space="0" w:color="auto"/>
              <w:right w:val="single" w:sz="4" w:space="0" w:color="auto"/>
            </w:tcBorders>
            <w:vAlign w:val="center"/>
            <w:hideMark/>
          </w:tcPr>
          <w:p w14:paraId="6C367F76"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10</w:t>
            </w:r>
          </w:p>
        </w:tc>
      </w:tr>
      <w:tr w:rsidR="00F278B1" w:rsidRPr="00F278B1" w14:paraId="3F18620E" w14:textId="77777777" w:rsidTr="00F278B1">
        <w:trPr>
          <w:trHeight w:val="290"/>
        </w:trPr>
        <w:tc>
          <w:tcPr>
            <w:tcW w:w="2465" w:type="pct"/>
            <w:tcBorders>
              <w:top w:val="nil"/>
              <w:left w:val="single" w:sz="4" w:space="0" w:color="auto"/>
              <w:bottom w:val="single" w:sz="4" w:space="0" w:color="auto"/>
              <w:right w:val="single" w:sz="4" w:space="0" w:color="auto"/>
            </w:tcBorders>
            <w:vAlign w:val="center"/>
            <w:hideMark/>
          </w:tcPr>
          <w:p w14:paraId="7676D163"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Primer I</w:t>
            </w:r>
          </w:p>
        </w:tc>
        <w:tc>
          <w:tcPr>
            <w:tcW w:w="2535" w:type="pct"/>
            <w:tcBorders>
              <w:top w:val="nil"/>
              <w:left w:val="nil"/>
              <w:bottom w:val="single" w:sz="4" w:space="0" w:color="auto"/>
              <w:right w:val="single" w:sz="4" w:space="0" w:color="auto"/>
            </w:tcBorders>
            <w:vAlign w:val="center"/>
            <w:hideMark/>
          </w:tcPr>
          <w:p w14:paraId="474BB981"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0.4</w:t>
            </w:r>
          </w:p>
        </w:tc>
      </w:tr>
      <w:tr w:rsidR="00F278B1" w:rsidRPr="00F278B1" w14:paraId="7458E9A7" w14:textId="77777777" w:rsidTr="00F278B1">
        <w:trPr>
          <w:trHeight w:val="290"/>
        </w:trPr>
        <w:tc>
          <w:tcPr>
            <w:tcW w:w="2465" w:type="pct"/>
            <w:tcBorders>
              <w:top w:val="nil"/>
              <w:left w:val="single" w:sz="4" w:space="0" w:color="auto"/>
              <w:bottom w:val="single" w:sz="4" w:space="0" w:color="auto"/>
              <w:right w:val="single" w:sz="4" w:space="0" w:color="auto"/>
            </w:tcBorders>
            <w:vAlign w:val="center"/>
            <w:hideMark/>
          </w:tcPr>
          <w:p w14:paraId="257684E9"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Primer II</w:t>
            </w:r>
          </w:p>
        </w:tc>
        <w:tc>
          <w:tcPr>
            <w:tcW w:w="2535" w:type="pct"/>
            <w:tcBorders>
              <w:top w:val="nil"/>
              <w:left w:val="nil"/>
              <w:bottom w:val="single" w:sz="4" w:space="0" w:color="auto"/>
              <w:right w:val="single" w:sz="4" w:space="0" w:color="auto"/>
            </w:tcBorders>
            <w:vAlign w:val="center"/>
            <w:hideMark/>
          </w:tcPr>
          <w:p w14:paraId="4ED59F9B"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0.4</w:t>
            </w:r>
          </w:p>
        </w:tc>
      </w:tr>
      <w:tr w:rsidR="00F278B1" w:rsidRPr="00F278B1" w14:paraId="4EF5614C" w14:textId="77777777" w:rsidTr="00F278B1">
        <w:trPr>
          <w:trHeight w:val="290"/>
        </w:trPr>
        <w:tc>
          <w:tcPr>
            <w:tcW w:w="2465" w:type="pct"/>
            <w:tcBorders>
              <w:top w:val="nil"/>
              <w:left w:val="single" w:sz="4" w:space="0" w:color="auto"/>
              <w:bottom w:val="single" w:sz="4" w:space="0" w:color="auto"/>
              <w:right w:val="single" w:sz="4" w:space="0" w:color="auto"/>
            </w:tcBorders>
            <w:vAlign w:val="center"/>
            <w:hideMark/>
          </w:tcPr>
          <w:p w14:paraId="12089E89"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lastRenderedPageBreak/>
              <w:t>Primer III</w:t>
            </w:r>
          </w:p>
        </w:tc>
        <w:tc>
          <w:tcPr>
            <w:tcW w:w="2535" w:type="pct"/>
            <w:tcBorders>
              <w:top w:val="nil"/>
              <w:left w:val="nil"/>
              <w:bottom w:val="single" w:sz="4" w:space="0" w:color="auto"/>
              <w:right w:val="single" w:sz="4" w:space="0" w:color="auto"/>
            </w:tcBorders>
            <w:vAlign w:val="center"/>
            <w:hideMark/>
          </w:tcPr>
          <w:p w14:paraId="6FB6B2C7"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0.4</w:t>
            </w:r>
          </w:p>
        </w:tc>
      </w:tr>
      <w:tr w:rsidR="00F278B1" w:rsidRPr="00F278B1" w14:paraId="0DB3287B" w14:textId="77777777" w:rsidTr="00F278B1">
        <w:trPr>
          <w:trHeight w:val="364"/>
        </w:trPr>
        <w:tc>
          <w:tcPr>
            <w:tcW w:w="2465" w:type="pct"/>
            <w:tcBorders>
              <w:top w:val="nil"/>
              <w:left w:val="single" w:sz="4" w:space="0" w:color="auto"/>
              <w:bottom w:val="single" w:sz="4" w:space="0" w:color="auto"/>
              <w:right w:val="single" w:sz="4" w:space="0" w:color="auto"/>
            </w:tcBorders>
            <w:vAlign w:val="center"/>
            <w:hideMark/>
          </w:tcPr>
          <w:p w14:paraId="36A274C1"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Genomic DNA</w:t>
            </w:r>
          </w:p>
        </w:tc>
        <w:tc>
          <w:tcPr>
            <w:tcW w:w="2535" w:type="pct"/>
            <w:tcBorders>
              <w:top w:val="nil"/>
              <w:left w:val="nil"/>
              <w:bottom w:val="single" w:sz="4" w:space="0" w:color="auto"/>
              <w:right w:val="single" w:sz="4" w:space="0" w:color="auto"/>
            </w:tcBorders>
            <w:vAlign w:val="center"/>
            <w:hideMark/>
          </w:tcPr>
          <w:p w14:paraId="1165E948" w14:textId="77777777" w:rsidR="00F278B1" w:rsidRPr="00F278B1" w:rsidRDefault="00F278B1" w:rsidP="00F278B1">
            <w:pPr>
              <w:spacing w:after="0" w:line="240" w:lineRule="auto"/>
              <w:jc w:val="center"/>
              <w:rPr>
                <w:rFonts w:ascii="Times New Roman" w:eastAsia="Times New Roman" w:hAnsi="Times New Roman" w:cs="Times New Roman"/>
                <w:color w:val="000000"/>
                <w:sz w:val="20"/>
                <w:szCs w:val="20"/>
                <w:lang w:val="en-IN" w:eastAsia="en-IN"/>
              </w:rPr>
            </w:pPr>
            <w:r w:rsidRPr="00F278B1">
              <w:rPr>
                <w:rFonts w:ascii="Times New Roman" w:eastAsia="Times New Roman" w:hAnsi="Times New Roman" w:cs="Times New Roman"/>
                <w:color w:val="000000"/>
                <w:sz w:val="20"/>
                <w:szCs w:val="20"/>
                <w:lang w:eastAsia="en-IN"/>
              </w:rPr>
              <w:t>1</w:t>
            </w:r>
          </w:p>
        </w:tc>
      </w:tr>
      <w:tr w:rsidR="00F278B1" w:rsidRPr="00F278B1" w14:paraId="3281E895" w14:textId="77777777" w:rsidTr="00F278B1">
        <w:trPr>
          <w:trHeight w:val="290"/>
        </w:trPr>
        <w:tc>
          <w:tcPr>
            <w:tcW w:w="2465" w:type="pct"/>
            <w:tcBorders>
              <w:top w:val="nil"/>
              <w:left w:val="single" w:sz="4" w:space="0" w:color="auto"/>
              <w:bottom w:val="single" w:sz="4" w:space="0" w:color="auto"/>
              <w:right w:val="single" w:sz="4" w:space="0" w:color="auto"/>
            </w:tcBorders>
            <w:vAlign w:val="center"/>
            <w:hideMark/>
          </w:tcPr>
          <w:p w14:paraId="2D24A870" w14:textId="77777777" w:rsidR="00F278B1" w:rsidRPr="00F278B1" w:rsidRDefault="00F278B1" w:rsidP="00F278B1">
            <w:pPr>
              <w:spacing w:after="0" w:line="240" w:lineRule="auto"/>
              <w:jc w:val="center"/>
              <w:rPr>
                <w:rFonts w:ascii="Times New Roman" w:eastAsia="Times New Roman" w:hAnsi="Times New Roman" w:cs="Times New Roman"/>
                <w:b/>
                <w:bCs/>
                <w:color w:val="000000"/>
                <w:sz w:val="20"/>
                <w:szCs w:val="20"/>
                <w:lang w:val="en-IN" w:eastAsia="en-IN"/>
              </w:rPr>
            </w:pPr>
            <w:r w:rsidRPr="00F278B1">
              <w:rPr>
                <w:rFonts w:ascii="Times New Roman" w:eastAsia="Times New Roman" w:hAnsi="Times New Roman" w:cs="Times New Roman"/>
                <w:b/>
                <w:bCs/>
                <w:color w:val="000000"/>
                <w:sz w:val="20"/>
                <w:szCs w:val="20"/>
                <w:lang w:eastAsia="en-IN"/>
              </w:rPr>
              <w:t>Total</w:t>
            </w:r>
          </w:p>
        </w:tc>
        <w:tc>
          <w:tcPr>
            <w:tcW w:w="2535" w:type="pct"/>
            <w:tcBorders>
              <w:top w:val="nil"/>
              <w:left w:val="nil"/>
              <w:bottom w:val="single" w:sz="4" w:space="0" w:color="auto"/>
              <w:right w:val="single" w:sz="4" w:space="0" w:color="auto"/>
            </w:tcBorders>
            <w:vAlign w:val="center"/>
            <w:hideMark/>
          </w:tcPr>
          <w:p w14:paraId="725E9B8A" w14:textId="77777777" w:rsidR="00F278B1" w:rsidRPr="00F278B1" w:rsidRDefault="00F278B1" w:rsidP="00F278B1">
            <w:pPr>
              <w:spacing w:after="0" w:line="240" w:lineRule="auto"/>
              <w:jc w:val="center"/>
              <w:rPr>
                <w:rFonts w:ascii="Times New Roman" w:eastAsia="Times New Roman" w:hAnsi="Times New Roman" w:cs="Times New Roman"/>
                <w:b/>
                <w:bCs/>
                <w:color w:val="000000"/>
                <w:sz w:val="20"/>
                <w:szCs w:val="20"/>
                <w:lang w:val="en-IN" w:eastAsia="en-IN"/>
              </w:rPr>
            </w:pPr>
            <w:r w:rsidRPr="00F278B1">
              <w:rPr>
                <w:rFonts w:ascii="Times New Roman" w:eastAsia="Times New Roman" w:hAnsi="Times New Roman" w:cs="Times New Roman"/>
                <w:b/>
                <w:bCs/>
                <w:color w:val="000000"/>
                <w:sz w:val="20"/>
                <w:szCs w:val="20"/>
                <w:lang w:eastAsia="en-IN"/>
              </w:rPr>
              <w:t>20</w:t>
            </w:r>
          </w:p>
        </w:tc>
      </w:tr>
    </w:tbl>
    <w:p w14:paraId="1FDA3FF4" w14:textId="77777777" w:rsidR="00F278B1" w:rsidRPr="00F278B1" w:rsidRDefault="00F278B1" w:rsidP="00F278B1">
      <w:pPr>
        <w:spacing w:after="0" w:line="360" w:lineRule="auto"/>
        <w:jc w:val="center"/>
        <w:rPr>
          <w:rFonts w:ascii="Times New Roman" w:eastAsia="思源黑体" w:hAnsi="Times New Roman" w:cs="Times New Roman"/>
          <w:b/>
          <w:color w:val="0070C0"/>
          <w:sz w:val="20"/>
          <w:szCs w:val="18"/>
        </w:rPr>
      </w:pPr>
    </w:p>
    <w:p w14:paraId="74912912" w14:textId="77777777" w:rsidR="000C010B" w:rsidRDefault="000C010B" w:rsidP="000C010B">
      <w:pPr>
        <w:spacing w:after="0" w:line="360" w:lineRule="auto"/>
        <w:rPr>
          <w:rFonts w:ascii="Times New Roman" w:eastAsia="思源黑体" w:hAnsi="Times New Roman" w:cs="Times New Roman"/>
          <w:b/>
          <w:color w:val="0070C0"/>
          <w:sz w:val="20"/>
          <w:szCs w:val="18"/>
        </w:rPr>
      </w:pPr>
      <w:r w:rsidRPr="000C010B">
        <w:rPr>
          <w:rFonts w:ascii="Times New Roman" w:eastAsia="思源黑体" w:hAnsi="Times New Roman" w:cs="Times New Roman"/>
          <w:b/>
          <w:color w:val="0070C0"/>
          <w:sz w:val="20"/>
          <w:szCs w:val="18"/>
        </w:rPr>
        <w:t>Cycling Conditions</w:t>
      </w:r>
    </w:p>
    <w:p w14:paraId="5CB3A72C" w14:textId="77777777" w:rsidR="000C010B" w:rsidRDefault="000C010B" w:rsidP="000C010B">
      <w:pPr>
        <w:spacing w:after="0" w:line="360" w:lineRule="auto"/>
        <w:rPr>
          <w:rFonts w:ascii="Times New Roman" w:eastAsia="思源黑体" w:hAnsi="Times New Roman" w:cs="Times New Roman"/>
          <w:b/>
          <w:color w:val="0070C0"/>
          <w:sz w:val="20"/>
          <w:szCs w:val="18"/>
        </w:rPr>
      </w:pPr>
    </w:p>
    <w:tbl>
      <w:tblPr>
        <w:tblW w:w="3772" w:type="pct"/>
        <w:tblInd w:w="704" w:type="dxa"/>
        <w:tblLook w:val="04A0" w:firstRow="1" w:lastRow="0" w:firstColumn="1" w:lastColumn="0" w:noHBand="0" w:noVBand="1"/>
      </w:tblPr>
      <w:tblGrid>
        <w:gridCol w:w="2038"/>
        <w:gridCol w:w="1930"/>
        <w:gridCol w:w="1703"/>
        <w:gridCol w:w="1700"/>
      </w:tblGrid>
      <w:tr w:rsidR="000C010B" w:rsidRPr="000C010B" w14:paraId="4194CC25" w14:textId="77777777" w:rsidTr="000C010B">
        <w:trPr>
          <w:trHeight w:val="300"/>
        </w:trPr>
        <w:tc>
          <w:tcPr>
            <w:tcW w:w="1383" w:type="pct"/>
            <w:tcBorders>
              <w:top w:val="single" w:sz="4" w:space="0" w:color="auto"/>
              <w:left w:val="single" w:sz="4" w:space="0" w:color="auto"/>
              <w:bottom w:val="single" w:sz="4" w:space="0" w:color="auto"/>
              <w:right w:val="single" w:sz="4" w:space="0" w:color="auto"/>
            </w:tcBorders>
            <w:vAlign w:val="center"/>
            <w:hideMark/>
          </w:tcPr>
          <w:p w14:paraId="17879982" w14:textId="77777777"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r w:rsidRPr="000C010B">
              <w:rPr>
                <w:rFonts w:ascii="Times New Roman" w:eastAsia="Times New Roman" w:hAnsi="Times New Roman" w:cs="Times New Roman"/>
                <w:b/>
                <w:bCs/>
                <w:color w:val="000000"/>
                <w:sz w:val="20"/>
                <w:szCs w:val="20"/>
                <w:lang w:eastAsia="en-IN"/>
              </w:rPr>
              <w:t>Step</w:t>
            </w:r>
          </w:p>
        </w:tc>
        <w:tc>
          <w:tcPr>
            <w:tcW w:w="1309" w:type="pct"/>
            <w:tcBorders>
              <w:top w:val="single" w:sz="4" w:space="0" w:color="auto"/>
              <w:left w:val="nil"/>
              <w:bottom w:val="single" w:sz="4" w:space="0" w:color="auto"/>
              <w:right w:val="single" w:sz="4" w:space="0" w:color="auto"/>
            </w:tcBorders>
            <w:vAlign w:val="center"/>
            <w:hideMark/>
          </w:tcPr>
          <w:p w14:paraId="4818D4B6" w14:textId="77777777"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r w:rsidRPr="000C010B">
              <w:rPr>
                <w:rFonts w:ascii="Times New Roman" w:eastAsia="Times New Roman" w:hAnsi="Times New Roman" w:cs="Times New Roman"/>
                <w:b/>
                <w:bCs/>
                <w:color w:val="000000"/>
                <w:sz w:val="20"/>
                <w:szCs w:val="20"/>
                <w:lang w:eastAsia="en-IN"/>
              </w:rPr>
              <w:t>Temp (°C)</w:t>
            </w:r>
          </w:p>
        </w:tc>
        <w:tc>
          <w:tcPr>
            <w:tcW w:w="1155" w:type="pct"/>
            <w:tcBorders>
              <w:top w:val="single" w:sz="4" w:space="0" w:color="auto"/>
              <w:left w:val="nil"/>
              <w:bottom w:val="single" w:sz="4" w:space="0" w:color="auto"/>
              <w:right w:val="single" w:sz="4" w:space="0" w:color="auto"/>
            </w:tcBorders>
            <w:vAlign w:val="center"/>
            <w:hideMark/>
          </w:tcPr>
          <w:p w14:paraId="7BA524B4" w14:textId="77777777"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r w:rsidRPr="000C010B">
              <w:rPr>
                <w:rFonts w:ascii="Times New Roman" w:eastAsia="Times New Roman" w:hAnsi="Times New Roman" w:cs="Times New Roman"/>
                <w:b/>
                <w:bCs/>
                <w:color w:val="000000"/>
                <w:sz w:val="20"/>
                <w:szCs w:val="20"/>
                <w:lang w:eastAsia="en-IN"/>
              </w:rPr>
              <w:t>Time</w:t>
            </w:r>
          </w:p>
        </w:tc>
        <w:tc>
          <w:tcPr>
            <w:tcW w:w="1153" w:type="pct"/>
            <w:tcBorders>
              <w:top w:val="single" w:sz="4" w:space="0" w:color="auto"/>
              <w:left w:val="nil"/>
              <w:bottom w:val="single" w:sz="4" w:space="0" w:color="auto"/>
              <w:right w:val="single" w:sz="4" w:space="0" w:color="auto"/>
            </w:tcBorders>
            <w:vAlign w:val="center"/>
            <w:hideMark/>
          </w:tcPr>
          <w:p w14:paraId="097DFE63" w14:textId="77777777"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r w:rsidRPr="000C010B">
              <w:rPr>
                <w:rFonts w:ascii="Times New Roman" w:eastAsia="Times New Roman" w:hAnsi="Times New Roman" w:cs="Times New Roman"/>
                <w:b/>
                <w:bCs/>
                <w:color w:val="000000"/>
                <w:sz w:val="20"/>
                <w:szCs w:val="20"/>
                <w:lang w:eastAsia="en-IN"/>
              </w:rPr>
              <w:t>Note</w:t>
            </w:r>
          </w:p>
        </w:tc>
      </w:tr>
      <w:tr w:rsidR="000C010B" w:rsidRPr="000C010B" w14:paraId="1AB17CBD" w14:textId="77777777" w:rsidTr="000C010B">
        <w:trPr>
          <w:trHeight w:val="310"/>
        </w:trPr>
        <w:tc>
          <w:tcPr>
            <w:tcW w:w="1383" w:type="pct"/>
            <w:tcBorders>
              <w:top w:val="nil"/>
              <w:left w:val="single" w:sz="4" w:space="0" w:color="auto"/>
              <w:bottom w:val="single" w:sz="4" w:space="0" w:color="auto"/>
              <w:right w:val="single" w:sz="4" w:space="0" w:color="auto"/>
            </w:tcBorders>
            <w:vAlign w:val="center"/>
            <w:hideMark/>
          </w:tcPr>
          <w:p w14:paraId="0468796B"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Initial denaturation</w:t>
            </w:r>
          </w:p>
        </w:tc>
        <w:tc>
          <w:tcPr>
            <w:tcW w:w="1309" w:type="pct"/>
            <w:tcBorders>
              <w:top w:val="nil"/>
              <w:left w:val="nil"/>
              <w:bottom w:val="single" w:sz="4" w:space="0" w:color="auto"/>
              <w:right w:val="single" w:sz="4" w:space="0" w:color="auto"/>
            </w:tcBorders>
            <w:vAlign w:val="center"/>
            <w:hideMark/>
          </w:tcPr>
          <w:p w14:paraId="3706A668"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98</w:t>
            </w:r>
          </w:p>
        </w:tc>
        <w:tc>
          <w:tcPr>
            <w:tcW w:w="1155" w:type="pct"/>
            <w:tcBorders>
              <w:top w:val="nil"/>
              <w:left w:val="nil"/>
              <w:bottom w:val="single" w:sz="4" w:space="0" w:color="auto"/>
              <w:right w:val="single" w:sz="4" w:space="0" w:color="auto"/>
            </w:tcBorders>
            <w:vAlign w:val="center"/>
            <w:hideMark/>
          </w:tcPr>
          <w:p w14:paraId="152AC7E3"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2 min</w:t>
            </w:r>
          </w:p>
        </w:tc>
        <w:tc>
          <w:tcPr>
            <w:tcW w:w="1153" w:type="pct"/>
            <w:tcBorders>
              <w:top w:val="nil"/>
              <w:left w:val="nil"/>
              <w:bottom w:val="single" w:sz="4" w:space="0" w:color="auto"/>
              <w:right w:val="single" w:sz="4" w:space="0" w:color="auto"/>
            </w:tcBorders>
            <w:vAlign w:val="center"/>
            <w:hideMark/>
          </w:tcPr>
          <w:p w14:paraId="25431CB8" w14:textId="73213C37"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p>
        </w:tc>
      </w:tr>
      <w:tr w:rsidR="000C010B" w:rsidRPr="000C010B" w14:paraId="38D956EA" w14:textId="77777777" w:rsidTr="000C010B">
        <w:trPr>
          <w:trHeight w:val="310"/>
        </w:trPr>
        <w:tc>
          <w:tcPr>
            <w:tcW w:w="1383" w:type="pct"/>
            <w:tcBorders>
              <w:top w:val="nil"/>
              <w:left w:val="single" w:sz="4" w:space="0" w:color="auto"/>
              <w:bottom w:val="single" w:sz="4" w:space="0" w:color="auto"/>
              <w:right w:val="single" w:sz="4" w:space="0" w:color="auto"/>
            </w:tcBorders>
            <w:vAlign w:val="center"/>
            <w:hideMark/>
          </w:tcPr>
          <w:p w14:paraId="260B137D"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Denaturation</w:t>
            </w:r>
          </w:p>
        </w:tc>
        <w:tc>
          <w:tcPr>
            <w:tcW w:w="1309" w:type="pct"/>
            <w:tcBorders>
              <w:top w:val="nil"/>
              <w:left w:val="nil"/>
              <w:bottom w:val="single" w:sz="4" w:space="0" w:color="auto"/>
              <w:right w:val="single" w:sz="4" w:space="0" w:color="auto"/>
            </w:tcBorders>
            <w:vAlign w:val="center"/>
            <w:hideMark/>
          </w:tcPr>
          <w:p w14:paraId="11F75810"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98</w:t>
            </w:r>
          </w:p>
        </w:tc>
        <w:tc>
          <w:tcPr>
            <w:tcW w:w="1155" w:type="pct"/>
            <w:tcBorders>
              <w:top w:val="nil"/>
              <w:left w:val="nil"/>
              <w:bottom w:val="single" w:sz="4" w:space="0" w:color="auto"/>
              <w:right w:val="single" w:sz="4" w:space="0" w:color="auto"/>
            </w:tcBorders>
            <w:vAlign w:val="center"/>
            <w:hideMark/>
          </w:tcPr>
          <w:p w14:paraId="58FA1363"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20 s</w:t>
            </w:r>
          </w:p>
        </w:tc>
        <w:tc>
          <w:tcPr>
            <w:tcW w:w="1153" w:type="pct"/>
            <w:tcBorders>
              <w:top w:val="nil"/>
              <w:left w:val="nil"/>
              <w:bottom w:val="single" w:sz="4" w:space="0" w:color="auto"/>
              <w:right w:val="single" w:sz="4" w:space="0" w:color="auto"/>
            </w:tcBorders>
            <w:vAlign w:val="center"/>
            <w:hideMark/>
          </w:tcPr>
          <w:p w14:paraId="0CC691F0" w14:textId="5D100623"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p>
        </w:tc>
      </w:tr>
      <w:tr w:rsidR="000C010B" w:rsidRPr="000C010B" w14:paraId="06805854" w14:textId="77777777" w:rsidTr="000C010B">
        <w:trPr>
          <w:trHeight w:val="310"/>
        </w:trPr>
        <w:tc>
          <w:tcPr>
            <w:tcW w:w="1383" w:type="pct"/>
            <w:tcBorders>
              <w:top w:val="nil"/>
              <w:left w:val="single" w:sz="4" w:space="0" w:color="auto"/>
              <w:bottom w:val="single" w:sz="4" w:space="0" w:color="auto"/>
              <w:right w:val="single" w:sz="4" w:space="0" w:color="auto"/>
            </w:tcBorders>
            <w:vAlign w:val="center"/>
            <w:hideMark/>
          </w:tcPr>
          <w:p w14:paraId="04E827BA"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Annealing</w:t>
            </w:r>
          </w:p>
        </w:tc>
        <w:tc>
          <w:tcPr>
            <w:tcW w:w="1309" w:type="pct"/>
            <w:tcBorders>
              <w:top w:val="nil"/>
              <w:left w:val="nil"/>
              <w:bottom w:val="single" w:sz="4" w:space="0" w:color="auto"/>
              <w:right w:val="single" w:sz="4" w:space="0" w:color="auto"/>
            </w:tcBorders>
            <w:vAlign w:val="center"/>
            <w:hideMark/>
          </w:tcPr>
          <w:p w14:paraId="5948C071"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63</w:t>
            </w:r>
          </w:p>
        </w:tc>
        <w:tc>
          <w:tcPr>
            <w:tcW w:w="1155" w:type="pct"/>
            <w:tcBorders>
              <w:top w:val="nil"/>
              <w:left w:val="nil"/>
              <w:bottom w:val="single" w:sz="4" w:space="0" w:color="auto"/>
              <w:right w:val="single" w:sz="4" w:space="0" w:color="auto"/>
            </w:tcBorders>
            <w:vAlign w:val="center"/>
            <w:hideMark/>
          </w:tcPr>
          <w:p w14:paraId="570B9FE4"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20 s</w:t>
            </w:r>
          </w:p>
        </w:tc>
        <w:tc>
          <w:tcPr>
            <w:tcW w:w="1153" w:type="pct"/>
            <w:tcBorders>
              <w:top w:val="nil"/>
              <w:left w:val="nil"/>
              <w:bottom w:val="single" w:sz="4" w:space="0" w:color="auto"/>
              <w:right w:val="single" w:sz="4" w:space="0" w:color="auto"/>
            </w:tcBorders>
            <w:vAlign w:val="center"/>
            <w:hideMark/>
          </w:tcPr>
          <w:p w14:paraId="7401DCCB" w14:textId="4AC845CE"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p>
        </w:tc>
      </w:tr>
      <w:tr w:rsidR="000C010B" w:rsidRPr="000C010B" w14:paraId="06ED2381" w14:textId="77777777" w:rsidTr="000C010B">
        <w:trPr>
          <w:trHeight w:val="330"/>
        </w:trPr>
        <w:tc>
          <w:tcPr>
            <w:tcW w:w="1383" w:type="pct"/>
            <w:tcBorders>
              <w:top w:val="nil"/>
              <w:left w:val="single" w:sz="4" w:space="0" w:color="auto"/>
              <w:bottom w:val="single" w:sz="4" w:space="0" w:color="auto"/>
              <w:right w:val="single" w:sz="4" w:space="0" w:color="auto"/>
            </w:tcBorders>
            <w:vAlign w:val="center"/>
            <w:hideMark/>
          </w:tcPr>
          <w:p w14:paraId="04C9364E"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Extension</w:t>
            </w:r>
          </w:p>
        </w:tc>
        <w:tc>
          <w:tcPr>
            <w:tcW w:w="1309" w:type="pct"/>
            <w:tcBorders>
              <w:top w:val="nil"/>
              <w:left w:val="nil"/>
              <w:bottom w:val="single" w:sz="4" w:space="0" w:color="auto"/>
              <w:right w:val="single" w:sz="4" w:space="0" w:color="auto"/>
            </w:tcBorders>
            <w:vAlign w:val="center"/>
            <w:hideMark/>
          </w:tcPr>
          <w:p w14:paraId="3635131F"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72</w:t>
            </w:r>
          </w:p>
        </w:tc>
        <w:tc>
          <w:tcPr>
            <w:tcW w:w="1155" w:type="pct"/>
            <w:tcBorders>
              <w:top w:val="nil"/>
              <w:left w:val="nil"/>
              <w:bottom w:val="single" w:sz="4" w:space="0" w:color="auto"/>
              <w:right w:val="single" w:sz="4" w:space="0" w:color="auto"/>
            </w:tcBorders>
            <w:vAlign w:val="center"/>
            <w:hideMark/>
          </w:tcPr>
          <w:p w14:paraId="2D2B5C5D"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1 min</w:t>
            </w:r>
          </w:p>
        </w:tc>
        <w:tc>
          <w:tcPr>
            <w:tcW w:w="1153" w:type="pct"/>
            <w:tcBorders>
              <w:top w:val="nil"/>
              <w:left w:val="nil"/>
              <w:bottom w:val="single" w:sz="4" w:space="0" w:color="auto"/>
              <w:right w:val="single" w:sz="4" w:space="0" w:color="auto"/>
            </w:tcBorders>
            <w:vAlign w:val="center"/>
            <w:hideMark/>
          </w:tcPr>
          <w:p w14:paraId="738315ED"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35 cycles</w:t>
            </w:r>
          </w:p>
        </w:tc>
      </w:tr>
      <w:tr w:rsidR="000C010B" w:rsidRPr="000C010B" w14:paraId="12AC9AE8" w14:textId="77777777" w:rsidTr="000C010B">
        <w:trPr>
          <w:trHeight w:val="310"/>
        </w:trPr>
        <w:tc>
          <w:tcPr>
            <w:tcW w:w="1383" w:type="pct"/>
            <w:tcBorders>
              <w:top w:val="nil"/>
              <w:left w:val="single" w:sz="4" w:space="0" w:color="auto"/>
              <w:bottom w:val="single" w:sz="4" w:space="0" w:color="auto"/>
              <w:right w:val="single" w:sz="4" w:space="0" w:color="auto"/>
            </w:tcBorders>
            <w:vAlign w:val="center"/>
            <w:hideMark/>
          </w:tcPr>
          <w:p w14:paraId="5277CFD3"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Final extension</w:t>
            </w:r>
          </w:p>
        </w:tc>
        <w:tc>
          <w:tcPr>
            <w:tcW w:w="1309" w:type="pct"/>
            <w:tcBorders>
              <w:top w:val="nil"/>
              <w:left w:val="nil"/>
              <w:bottom w:val="single" w:sz="4" w:space="0" w:color="auto"/>
              <w:right w:val="single" w:sz="4" w:space="0" w:color="auto"/>
            </w:tcBorders>
            <w:vAlign w:val="center"/>
            <w:hideMark/>
          </w:tcPr>
          <w:p w14:paraId="596CA1D3"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72</w:t>
            </w:r>
          </w:p>
        </w:tc>
        <w:tc>
          <w:tcPr>
            <w:tcW w:w="1155" w:type="pct"/>
            <w:tcBorders>
              <w:top w:val="nil"/>
              <w:left w:val="nil"/>
              <w:bottom w:val="single" w:sz="4" w:space="0" w:color="auto"/>
              <w:right w:val="single" w:sz="4" w:space="0" w:color="auto"/>
            </w:tcBorders>
            <w:vAlign w:val="center"/>
            <w:hideMark/>
          </w:tcPr>
          <w:p w14:paraId="37890321"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5 min</w:t>
            </w:r>
          </w:p>
        </w:tc>
        <w:tc>
          <w:tcPr>
            <w:tcW w:w="1153" w:type="pct"/>
            <w:tcBorders>
              <w:top w:val="nil"/>
              <w:left w:val="nil"/>
              <w:bottom w:val="single" w:sz="4" w:space="0" w:color="auto"/>
              <w:right w:val="single" w:sz="4" w:space="0" w:color="auto"/>
            </w:tcBorders>
            <w:vAlign w:val="center"/>
            <w:hideMark/>
          </w:tcPr>
          <w:p w14:paraId="1E49DCE9" w14:textId="002AC88E"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p>
        </w:tc>
      </w:tr>
      <w:tr w:rsidR="000C010B" w:rsidRPr="000C010B" w14:paraId="79853F11" w14:textId="77777777" w:rsidTr="000C010B">
        <w:trPr>
          <w:trHeight w:val="310"/>
        </w:trPr>
        <w:tc>
          <w:tcPr>
            <w:tcW w:w="1383" w:type="pct"/>
            <w:tcBorders>
              <w:top w:val="nil"/>
              <w:left w:val="single" w:sz="4" w:space="0" w:color="auto"/>
              <w:bottom w:val="single" w:sz="4" w:space="0" w:color="auto"/>
              <w:right w:val="single" w:sz="4" w:space="0" w:color="auto"/>
            </w:tcBorders>
            <w:vAlign w:val="center"/>
            <w:hideMark/>
          </w:tcPr>
          <w:p w14:paraId="02BF7BF8"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Hold</w:t>
            </w:r>
          </w:p>
        </w:tc>
        <w:tc>
          <w:tcPr>
            <w:tcW w:w="1309" w:type="pct"/>
            <w:tcBorders>
              <w:top w:val="nil"/>
              <w:left w:val="nil"/>
              <w:bottom w:val="single" w:sz="4" w:space="0" w:color="auto"/>
              <w:right w:val="single" w:sz="4" w:space="0" w:color="auto"/>
            </w:tcBorders>
            <w:vAlign w:val="center"/>
            <w:hideMark/>
          </w:tcPr>
          <w:p w14:paraId="070389BA"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12</w:t>
            </w:r>
          </w:p>
        </w:tc>
        <w:tc>
          <w:tcPr>
            <w:tcW w:w="1155" w:type="pct"/>
            <w:tcBorders>
              <w:top w:val="nil"/>
              <w:left w:val="nil"/>
              <w:bottom w:val="single" w:sz="4" w:space="0" w:color="auto"/>
              <w:right w:val="single" w:sz="4" w:space="0" w:color="auto"/>
            </w:tcBorders>
            <w:vAlign w:val="center"/>
            <w:hideMark/>
          </w:tcPr>
          <w:p w14:paraId="2DC753A1" w14:textId="77777777" w:rsidR="000C010B" w:rsidRPr="000C010B" w:rsidRDefault="000C010B" w:rsidP="000C010B">
            <w:pPr>
              <w:spacing w:after="0" w:line="240" w:lineRule="auto"/>
              <w:jc w:val="center"/>
              <w:rPr>
                <w:rFonts w:ascii="Times New Roman" w:eastAsia="Times New Roman" w:hAnsi="Times New Roman" w:cs="Times New Roman"/>
                <w:color w:val="000000"/>
                <w:sz w:val="20"/>
                <w:szCs w:val="20"/>
                <w:lang w:val="en-IN" w:eastAsia="en-IN"/>
              </w:rPr>
            </w:pPr>
            <w:r w:rsidRPr="000C010B">
              <w:rPr>
                <w:rFonts w:ascii="Times New Roman" w:eastAsia="Times New Roman" w:hAnsi="Times New Roman" w:cs="Times New Roman"/>
                <w:color w:val="000000"/>
                <w:sz w:val="20"/>
                <w:szCs w:val="20"/>
                <w:lang w:eastAsia="en-IN"/>
              </w:rPr>
              <w:t>—</w:t>
            </w:r>
          </w:p>
        </w:tc>
        <w:tc>
          <w:tcPr>
            <w:tcW w:w="1153" w:type="pct"/>
            <w:tcBorders>
              <w:top w:val="nil"/>
              <w:left w:val="nil"/>
              <w:bottom w:val="single" w:sz="4" w:space="0" w:color="auto"/>
              <w:right w:val="single" w:sz="4" w:space="0" w:color="auto"/>
            </w:tcBorders>
            <w:vAlign w:val="center"/>
            <w:hideMark/>
          </w:tcPr>
          <w:p w14:paraId="52E014A7" w14:textId="045CA577" w:rsidR="000C010B" w:rsidRPr="000C010B" w:rsidRDefault="000C010B" w:rsidP="000C010B">
            <w:pPr>
              <w:spacing w:after="0" w:line="240" w:lineRule="auto"/>
              <w:jc w:val="center"/>
              <w:rPr>
                <w:rFonts w:ascii="Times New Roman" w:eastAsia="Times New Roman" w:hAnsi="Times New Roman" w:cs="Times New Roman"/>
                <w:b/>
                <w:bCs/>
                <w:color w:val="000000"/>
                <w:sz w:val="20"/>
                <w:szCs w:val="20"/>
                <w:lang w:val="en-IN" w:eastAsia="en-IN"/>
              </w:rPr>
            </w:pPr>
          </w:p>
        </w:tc>
      </w:tr>
    </w:tbl>
    <w:p w14:paraId="09EFD8DA" w14:textId="77777777" w:rsidR="000C010B" w:rsidRPr="000C010B" w:rsidRDefault="000C010B" w:rsidP="000C010B">
      <w:pPr>
        <w:spacing w:after="0" w:line="360" w:lineRule="auto"/>
        <w:rPr>
          <w:rFonts w:ascii="Times New Roman" w:eastAsia="思源黑体" w:hAnsi="Times New Roman" w:cs="Times New Roman"/>
          <w:b/>
          <w:color w:val="0070C0"/>
          <w:sz w:val="20"/>
          <w:szCs w:val="18"/>
        </w:rPr>
      </w:pPr>
    </w:p>
    <w:p w14:paraId="1EB65342" w14:textId="77777777" w:rsidR="000C010B" w:rsidRPr="000C010B" w:rsidRDefault="000C010B" w:rsidP="000C010B">
      <w:pPr>
        <w:spacing w:after="0" w:line="360" w:lineRule="auto"/>
        <w:rPr>
          <w:rFonts w:ascii="Times New Roman" w:eastAsia="思源黑体" w:hAnsi="Times New Roman" w:cs="Times New Roman"/>
          <w:b/>
          <w:color w:val="0070C0"/>
          <w:sz w:val="20"/>
          <w:szCs w:val="18"/>
        </w:rPr>
      </w:pPr>
      <w:r w:rsidRPr="000C010B">
        <w:rPr>
          <w:rFonts w:ascii="Times New Roman" w:eastAsia="思源黑体" w:hAnsi="Times New Roman" w:cs="Times New Roman"/>
          <w:b/>
          <w:color w:val="0070C0"/>
          <w:sz w:val="20"/>
          <w:szCs w:val="18"/>
        </w:rPr>
        <w:t>Genotype Interpretation</w:t>
      </w:r>
    </w:p>
    <w:p w14:paraId="53A4DEE5" w14:textId="77777777" w:rsidR="000C010B" w:rsidRPr="000C010B" w:rsidRDefault="000C010B" w:rsidP="000C010B">
      <w:pPr>
        <w:pStyle w:val="ListParagraph"/>
        <w:widowControl w:val="0"/>
        <w:numPr>
          <w:ilvl w:val="0"/>
          <w:numId w:val="9"/>
        </w:numPr>
        <w:spacing w:after="0" w:line="360" w:lineRule="auto"/>
        <w:contextualSpacing w:val="0"/>
        <w:rPr>
          <w:rFonts w:ascii="Times New Roman" w:eastAsia="思源黑体" w:hAnsi="Times New Roman" w:cs="Times New Roman"/>
          <w:bCs/>
          <w:sz w:val="20"/>
          <w:szCs w:val="18"/>
        </w:rPr>
      </w:pPr>
      <w:r w:rsidRPr="000C010B">
        <w:rPr>
          <w:rFonts w:ascii="Times New Roman" w:eastAsia="思源黑体" w:hAnsi="Times New Roman" w:cs="Times New Roman"/>
          <w:bCs/>
          <w:sz w:val="20"/>
          <w:szCs w:val="18"/>
        </w:rPr>
        <w:t>Wild type: 598 bp</w:t>
      </w:r>
    </w:p>
    <w:p w14:paraId="7707E1D0" w14:textId="77777777" w:rsidR="000C010B" w:rsidRPr="000C010B" w:rsidRDefault="000C010B" w:rsidP="000C010B">
      <w:pPr>
        <w:pStyle w:val="ListParagraph"/>
        <w:widowControl w:val="0"/>
        <w:numPr>
          <w:ilvl w:val="0"/>
          <w:numId w:val="9"/>
        </w:numPr>
        <w:spacing w:after="0" w:line="360" w:lineRule="auto"/>
        <w:contextualSpacing w:val="0"/>
        <w:rPr>
          <w:rFonts w:ascii="Times New Roman" w:eastAsia="思源黑体" w:hAnsi="Times New Roman" w:cs="Times New Roman"/>
          <w:bCs/>
          <w:sz w:val="20"/>
          <w:szCs w:val="18"/>
        </w:rPr>
      </w:pPr>
      <w:r w:rsidRPr="000C010B">
        <w:rPr>
          <w:rFonts w:ascii="Times New Roman" w:eastAsia="思源黑体" w:hAnsi="Times New Roman" w:cs="Times New Roman"/>
          <w:bCs/>
          <w:sz w:val="20"/>
          <w:szCs w:val="18"/>
        </w:rPr>
        <w:t>Heterozygote: 598 + 812 bp</w:t>
      </w:r>
    </w:p>
    <w:p w14:paraId="319B2ED5" w14:textId="4CE9D1C8" w:rsidR="00C2365E" w:rsidRPr="00C2365E" w:rsidRDefault="000C010B" w:rsidP="00C2365E">
      <w:pPr>
        <w:pStyle w:val="ListParagraph"/>
        <w:widowControl w:val="0"/>
        <w:numPr>
          <w:ilvl w:val="0"/>
          <w:numId w:val="9"/>
        </w:numPr>
        <w:spacing w:after="0" w:line="360" w:lineRule="auto"/>
        <w:contextualSpacing w:val="0"/>
        <w:rPr>
          <w:rFonts w:ascii="Times New Roman" w:eastAsia="思源黑体" w:hAnsi="Times New Roman" w:cs="Times New Roman"/>
          <w:bCs/>
          <w:sz w:val="20"/>
          <w:szCs w:val="18"/>
        </w:rPr>
      </w:pPr>
      <w:r w:rsidRPr="000C010B">
        <w:rPr>
          <w:rFonts w:ascii="Times New Roman" w:eastAsia="思源黑体" w:hAnsi="Times New Roman" w:cs="Times New Roman"/>
          <w:bCs/>
          <w:sz w:val="20"/>
          <w:szCs w:val="18"/>
        </w:rPr>
        <w:t>Homozygote: 812 bp</w:t>
      </w:r>
    </w:p>
    <w:p w14:paraId="2ADF3BD1" w14:textId="18D1BD63" w:rsidR="000C010B" w:rsidRPr="00035BF3" w:rsidRDefault="00C2365E" w:rsidP="00C2365E">
      <w:pPr>
        <w:spacing w:after="0" w:line="360" w:lineRule="auto"/>
        <w:jc w:val="center"/>
        <w:rPr>
          <w:rFonts w:ascii="Times New Roman" w:eastAsia="思源黑体" w:hAnsi="Times New Roman" w:cs="Times New Roman"/>
          <w:b/>
          <w:sz w:val="24"/>
        </w:rPr>
      </w:pPr>
      <w:r w:rsidRPr="00C2365E">
        <w:rPr>
          <w:rFonts w:ascii="Times New Roman" w:eastAsia="思源黑体" w:hAnsi="Times New Roman" w:cs="Times New Roman"/>
          <w:b/>
          <w:noProof/>
          <w:sz w:val="20"/>
          <w:szCs w:val="18"/>
        </w:rPr>
        <w:drawing>
          <wp:inline distT="0" distB="0" distL="0" distR="0" wp14:anchorId="30B197BB" wp14:editId="351D04CB">
            <wp:extent cx="2255931" cy="1193800"/>
            <wp:effectExtent l="0" t="0" r="0" b="6350"/>
            <wp:docPr id="1429135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59702" cy="1195795"/>
                    </a:xfrm>
                    <a:prstGeom prst="rect">
                      <a:avLst/>
                    </a:prstGeom>
                    <a:noFill/>
                    <a:ln>
                      <a:noFill/>
                    </a:ln>
                  </pic:spPr>
                </pic:pic>
              </a:graphicData>
            </a:graphic>
          </wp:inline>
        </w:drawing>
      </w:r>
    </w:p>
    <w:p w14:paraId="018649FD" w14:textId="29971A74" w:rsidR="00C2365E" w:rsidRDefault="00C2365E" w:rsidP="00C2365E">
      <w:pPr>
        <w:spacing w:after="0" w:line="360" w:lineRule="auto"/>
        <w:jc w:val="center"/>
        <w:rPr>
          <w:rFonts w:ascii="Times New Roman" w:hAnsi="Times New Roman" w:cs="Times New Roman"/>
          <w:sz w:val="20"/>
          <w:szCs w:val="18"/>
        </w:rPr>
      </w:pPr>
      <w:r w:rsidRPr="00C2365E">
        <w:rPr>
          <w:rFonts w:ascii="Times New Roman" w:hAnsi="Times New Roman" w:cs="Times New Roman"/>
          <w:b/>
          <w:bCs/>
          <w:color w:val="0070C0"/>
          <w:sz w:val="20"/>
          <w:szCs w:val="18"/>
        </w:rPr>
        <w:t xml:space="preserve">Figure S1: </w:t>
      </w:r>
      <w:r w:rsidRPr="00C2365E">
        <w:rPr>
          <w:rFonts w:ascii="Times New Roman" w:hAnsi="Times New Roman" w:cs="Times New Roman"/>
          <w:sz w:val="20"/>
          <w:szCs w:val="18"/>
        </w:rPr>
        <w:t>PCR Genotyping of Knockout Mice.</w:t>
      </w:r>
    </w:p>
    <w:p w14:paraId="475BFC19" w14:textId="77777777" w:rsidR="00C2365E" w:rsidRPr="00C2365E" w:rsidRDefault="00C2365E" w:rsidP="00C2365E">
      <w:pPr>
        <w:spacing w:after="0" w:line="360" w:lineRule="auto"/>
        <w:jc w:val="center"/>
        <w:rPr>
          <w:rFonts w:ascii="Times New Roman" w:hAnsi="Times New Roman" w:cs="Times New Roman"/>
          <w:sz w:val="20"/>
          <w:szCs w:val="18"/>
        </w:rPr>
      </w:pPr>
    </w:p>
    <w:p w14:paraId="17D11DE5" w14:textId="77777777" w:rsidR="00C2365E" w:rsidRPr="00C2365E" w:rsidRDefault="00C2365E" w:rsidP="00C2365E">
      <w:pPr>
        <w:spacing w:after="0" w:line="360" w:lineRule="auto"/>
        <w:jc w:val="both"/>
        <w:rPr>
          <w:rFonts w:ascii="Times New Roman" w:hAnsi="Times New Roman" w:cs="Times New Roman"/>
          <w:sz w:val="20"/>
          <w:szCs w:val="18"/>
        </w:rPr>
      </w:pPr>
      <w:r w:rsidRPr="00C2365E">
        <w:rPr>
          <w:rFonts w:ascii="Times New Roman" w:hAnsi="Times New Roman" w:cs="Times New Roman"/>
          <w:sz w:val="20"/>
          <w:szCs w:val="18"/>
        </w:rPr>
        <w:t>PCR products were generated using a three-primer strategy and analyzed by 1% agarose gel electrophoresis.</w:t>
      </w:r>
    </w:p>
    <w:p w14:paraId="4C748966" w14:textId="77777777" w:rsidR="00C2365E" w:rsidRPr="00C2365E" w:rsidRDefault="00C2365E" w:rsidP="00C2365E">
      <w:pPr>
        <w:pStyle w:val="ListParagraph"/>
        <w:widowControl w:val="0"/>
        <w:numPr>
          <w:ilvl w:val="0"/>
          <w:numId w:val="10"/>
        </w:numPr>
        <w:spacing w:after="0" w:line="360" w:lineRule="auto"/>
        <w:jc w:val="both"/>
        <w:rPr>
          <w:rFonts w:ascii="Times New Roman" w:hAnsi="Times New Roman" w:cs="Times New Roman"/>
          <w:sz w:val="20"/>
          <w:szCs w:val="18"/>
        </w:rPr>
      </w:pPr>
      <w:r w:rsidRPr="00C2365E">
        <w:rPr>
          <w:rFonts w:ascii="Times New Roman" w:hAnsi="Times New Roman" w:cs="Times New Roman"/>
          <w:sz w:val="20"/>
          <w:szCs w:val="18"/>
        </w:rPr>
        <w:t>Lane M: DNA marker</w:t>
      </w:r>
    </w:p>
    <w:p w14:paraId="2DC7DDAB" w14:textId="77777777" w:rsidR="00C2365E" w:rsidRPr="00C2365E" w:rsidRDefault="00C2365E" w:rsidP="00C2365E">
      <w:pPr>
        <w:pStyle w:val="ListParagraph"/>
        <w:widowControl w:val="0"/>
        <w:numPr>
          <w:ilvl w:val="0"/>
          <w:numId w:val="10"/>
        </w:numPr>
        <w:spacing w:after="0" w:line="360" w:lineRule="auto"/>
        <w:jc w:val="both"/>
        <w:rPr>
          <w:rFonts w:ascii="Times New Roman" w:hAnsi="Times New Roman" w:cs="Times New Roman"/>
          <w:sz w:val="20"/>
          <w:szCs w:val="18"/>
        </w:rPr>
      </w:pPr>
      <w:r w:rsidRPr="00C2365E">
        <w:rPr>
          <w:rFonts w:ascii="Times New Roman" w:hAnsi="Times New Roman" w:cs="Times New Roman"/>
          <w:sz w:val="20"/>
          <w:szCs w:val="18"/>
        </w:rPr>
        <w:t>Lanes 1–6: representative samples showing a single 812 bp band (homozygous knockout)</w:t>
      </w:r>
    </w:p>
    <w:p w14:paraId="678FAF8D" w14:textId="77777777" w:rsidR="00C2365E" w:rsidRPr="00C2365E" w:rsidRDefault="00C2365E" w:rsidP="00C2365E">
      <w:pPr>
        <w:pStyle w:val="ListParagraph"/>
        <w:widowControl w:val="0"/>
        <w:numPr>
          <w:ilvl w:val="0"/>
          <w:numId w:val="10"/>
        </w:numPr>
        <w:spacing w:after="0" w:line="360" w:lineRule="auto"/>
        <w:jc w:val="both"/>
        <w:rPr>
          <w:rFonts w:ascii="Times New Roman" w:hAnsi="Times New Roman" w:cs="Times New Roman"/>
          <w:sz w:val="20"/>
          <w:szCs w:val="18"/>
        </w:rPr>
      </w:pPr>
      <w:r w:rsidRPr="00C2365E">
        <w:rPr>
          <w:rFonts w:ascii="Times New Roman" w:hAnsi="Times New Roman" w:cs="Times New Roman"/>
          <w:sz w:val="20"/>
          <w:szCs w:val="18"/>
        </w:rPr>
        <w:t>Lane 7: negative control</w:t>
      </w:r>
    </w:p>
    <w:p w14:paraId="0E4EAA8A" w14:textId="77777777" w:rsidR="00C2365E" w:rsidRPr="00C2365E" w:rsidRDefault="00C2365E" w:rsidP="00C2365E">
      <w:pPr>
        <w:spacing w:after="0" w:line="360" w:lineRule="auto"/>
        <w:jc w:val="both"/>
        <w:rPr>
          <w:rFonts w:ascii="Times New Roman" w:hAnsi="Times New Roman" w:cs="Times New Roman"/>
          <w:sz w:val="20"/>
          <w:szCs w:val="18"/>
        </w:rPr>
      </w:pPr>
      <w:r w:rsidRPr="00C2365E">
        <w:rPr>
          <w:rFonts w:ascii="Times New Roman" w:hAnsi="Times New Roman" w:cs="Times New Roman"/>
          <w:sz w:val="20"/>
          <w:szCs w:val="18"/>
        </w:rPr>
        <w:t>The absence of the 598 bp band confirms successful disruption of the wild-type allele.</w:t>
      </w:r>
    </w:p>
    <w:p w14:paraId="5444371D" w14:textId="77777777" w:rsidR="00895C95" w:rsidRDefault="00895C95"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44EA91C2" w14:textId="77777777" w:rsidR="00C2365E" w:rsidRDefault="00C2365E"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2CD3703C" w14:textId="77777777" w:rsidR="00C2365E" w:rsidRDefault="00C2365E"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08DCEA7B" w14:textId="77777777" w:rsidR="00C2365E" w:rsidRDefault="00C2365E"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38FA46B0" w14:textId="77777777" w:rsidR="00C2365E" w:rsidRDefault="00C2365E"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05B65E7D" w14:textId="77777777" w:rsidR="00C2365E" w:rsidRDefault="00C2365E"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60D721E5" w14:textId="77777777" w:rsidR="00C2365E" w:rsidRDefault="00C2365E"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6DA9546D" w14:textId="19B5DC85" w:rsidR="00C2365E" w:rsidRDefault="00C2365E" w:rsidP="00C2365E">
      <w:pPr>
        <w:spacing w:line="360" w:lineRule="auto"/>
        <w:jc w:val="center"/>
        <w:rPr>
          <w:rFonts w:ascii="Times New Roman" w:hAnsi="Times New Roman" w:cs="Times New Roman"/>
          <w:b/>
          <w:bCs/>
          <w:color w:val="0070C0"/>
          <w:sz w:val="20"/>
          <w:szCs w:val="18"/>
        </w:rPr>
      </w:pPr>
      <w:r w:rsidRPr="00C2365E">
        <w:rPr>
          <w:rFonts w:ascii="Times New Roman" w:hAnsi="Times New Roman" w:cs="Times New Roman"/>
          <w:b/>
          <w:bCs/>
          <w:color w:val="0070C0"/>
          <w:sz w:val="20"/>
          <w:szCs w:val="18"/>
        </w:rPr>
        <w:lastRenderedPageBreak/>
        <w:t>Section 2: MRI Methodological Details.</w:t>
      </w:r>
    </w:p>
    <w:p w14:paraId="1D0C89A6" w14:textId="5D5736EC" w:rsidR="00C2365E" w:rsidRPr="00035BF3" w:rsidRDefault="00C2365E" w:rsidP="00C2365E">
      <w:pPr>
        <w:spacing w:line="360" w:lineRule="auto"/>
        <w:jc w:val="center"/>
        <w:rPr>
          <w:rFonts w:ascii="Times New Roman" w:hAnsi="Times New Roman" w:cs="Times New Roman"/>
          <w:b/>
          <w:bCs/>
          <w:sz w:val="24"/>
        </w:rPr>
      </w:pPr>
      <w:r w:rsidRPr="00C2365E">
        <w:rPr>
          <w:rFonts w:ascii="Times New Roman" w:hAnsi="Times New Roman" w:cs="Times New Roman"/>
          <w:b/>
          <w:bCs/>
          <w:color w:val="0070C0"/>
          <w:sz w:val="20"/>
          <w:szCs w:val="18"/>
        </w:rPr>
        <w:t xml:space="preserve">Table S2: </w:t>
      </w:r>
      <w:r w:rsidRPr="00C2365E">
        <w:rPr>
          <w:rFonts w:ascii="Times New Roman" w:hAnsi="Times New Roman" w:cs="Times New Roman"/>
          <w:sz w:val="20"/>
          <w:szCs w:val="18"/>
        </w:rPr>
        <w:t>MRI Acquisition Parameters for Quantitative T1 Mapping</w:t>
      </w:r>
      <w:r>
        <w:rPr>
          <w:rFonts w:ascii="Times New Roman" w:hAnsi="Times New Roman" w:cs="Times New Roman"/>
          <w:sz w:val="20"/>
          <w:szCs w:val="18"/>
        </w:rPr>
        <w:t>.</w:t>
      </w:r>
    </w:p>
    <w:tbl>
      <w:tblPr>
        <w:tblW w:w="4207" w:type="pct"/>
        <w:tblInd w:w="421" w:type="dxa"/>
        <w:tblLook w:val="04A0" w:firstRow="1" w:lastRow="0" w:firstColumn="1" w:lastColumn="0" w:noHBand="0" w:noVBand="1"/>
      </w:tblPr>
      <w:tblGrid>
        <w:gridCol w:w="3402"/>
        <w:gridCol w:w="4819"/>
      </w:tblGrid>
      <w:tr w:rsidR="00C2365E" w:rsidRPr="00C2365E" w14:paraId="3E04AF9D" w14:textId="77777777" w:rsidTr="00C2365E">
        <w:trPr>
          <w:trHeight w:val="290"/>
        </w:trPr>
        <w:tc>
          <w:tcPr>
            <w:tcW w:w="2069" w:type="pct"/>
            <w:tcBorders>
              <w:top w:val="single" w:sz="4" w:space="0" w:color="auto"/>
              <w:left w:val="single" w:sz="4" w:space="0" w:color="auto"/>
              <w:bottom w:val="single" w:sz="4" w:space="0" w:color="auto"/>
              <w:right w:val="single" w:sz="4" w:space="0" w:color="auto"/>
            </w:tcBorders>
            <w:vAlign w:val="center"/>
            <w:hideMark/>
          </w:tcPr>
          <w:p w14:paraId="61312C9A" w14:textId="77777777" w:rsidR="00C2365E" w:rsidRPr="00C2365E" w:rsidRDefault="00C2365E" w:rsidP="00C2365E">
            <w:pPr>
              <w:spacing w:after="0" w:line="240" w:lineRule="auto"/>
              <w:jc w:val="center"/>
              <w:rPr>
                <w:rFonts w:ascii="Times New Roman" w:eastAsia="Times New Roman" w:hAnsi="Times New Roman" w:cs="Times New Roman"/>
                <w:b/>
                <w:bCs/>
                <w:color w:val="000000"/>
                <w:sz w:val="20"/>
                <w:szCs w:val="20"/>
                <w:lang w:val="en-IN" w:eastAsia="en-IN"/>
              </w:rPr>
            </w:pPr>
            <w:r w:rsidRPr="00C2365E">
              <w:rPr>
                <w:rFonts w:ascii="Times New Roman" w:eastAsia="Times New Roman" w:hAnsi="Times New Roman" w:cs="Times New Roman"/>
                <w:b/>
                <w:bCs/>
                <w:color w:val="000000"/>
                <w:sz w:val="20"/>
                <w:szCs w:val="20"/>
                <w:lang w:eastAsia="en-IN"/>
              </w:rPr>
              <w:t>Parameter</w:t>
            </w:r>
          </w:p>
        </w:tc>
        <w:tc>
          <w:tcPr>
            <w:tcW w:w="2931" w:type="pct"/>
            <w:tcBorders>
              <w:top w:val="single" w:sz="4" w:space="0" w:color="auto"/>
              <w:left w:val="nil"/>
              <w:bottom w:val="single" w:sz="4" w:space="0" w:color="auto"/>
              <w:right w:val="single" w:sz="4" w:space="0" w:color="auto"/>
            </w:tcBorders>
            <w:vAlign w:val="center"/>
            <w:hideMark/>
          </w:tcPr>
          <w:p w14:paraId="3688ED4F" w14:textId="77777777" w:rsidR="00C2365E" w:rsidRPr="00C2365E" w:rsidRDefault="00C2365E" w:rsidP="00C2365E">
            <w:pPr>
              <w:spacing w:after="0" w:line="240" w:lineRule="auto"/>
              <w:jc w:val="center"/>
              <w:rPr>
                <w:rFonts w:ascii="Times New Roman" w:eastAsia="Times New Roman" w:hAnsi="Times New Roman" w:cs="Times New Roman"/>
                <w:b/>
                <w:bCs/>
                <w:color w:val="000000"/>
                <w:sz w:val="20"/>
                <w:szCs w:val="20"/>
                <w:lang w:val="en-IN" w:eastAsia="en-IN"/>
              </w:rPr>
            </w:pPr>
            <w:r w:rsidRPr="00C2365E">
              <w:rPr>
                <w:rFonts w:ascii="Times New Roman" w:eastAsia="Times New Roman" w:hAnsi="Times New Roman" w:cs="Times New Roman"/>
                <w:b/>
                <w:bCs/>
                <w:color w:val="000000"/>
                <w:sz w:val="20"/>
                <w:szCs w:val="20"/>
                <w:lang w:eastAsia="en-IN"/>
              </w:rPr>
              <w:t>Value</w:t>
            </w:r>
          </w:p>
        </w:tc>
      </w:tr>
      <w:tr w:rsidR="00C2365E" w:rsidRPr="00C2365E" w14:paraId="69529523" w14:textId="77777777" w:rsidTr="00C2365E">
        <w:trPr>
          <w:trHeight w:val="400"/>
        </w:trPr>
        <w:tc>
          <w:tcPr>
            <w:tcW w:w="2069" w:type="pct"/>
            <w:tcBorders>
              <w:top w:val="nil"/>
              <w:left w:val="single" w:sz="4" w:space="0" w:color="auto"/>
              <w:bottom w:val="single" w:sz="4" w:space="0" w:color="auto"/>
              <w:right w:val="single" w:sz="4" w:space="0" w:color="auto"/>
            </w:tcBorders>
            <w:vAlign w:val="center"/>
            <w:hideMark/>
          </w:tcPr>
          <w:p w14:paraId="54D1F18D"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Scanner</w:t>
            </w:r>
          </w:p>
        </w:tc>
        <w:tc>
          <w:tcPr>
            <w:tcW w:w="2931" w:type="pct"/>
            <w:tcBorders>
              <w:top w:val="nil"/>
              <w:left w:val="nil"/>
              <w:bottom w:val="single" w:sz="4" w:space="0" w:color="auto"/>
              <w:right w:val="single" w:sz="4" w:space="0" w:color="auto"/>
            </w:tcBorders>
            <w:vAlign w:val="center"/>
            <w:hideMark/>
          </w:tcPr>
          <w:p w14:paraId="152C8E0F"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9.4 T Bruker BioSpec (Bruker, Ettlingen, Germany)</w:t>
            </w:r>
          </w:p>
        </w:tc>
      </w:tr>
      <w:tr w:rsidR="00C2365E" w:rsidRPr="00C2365E" w14:paraId="70B12147"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203048B1"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RF coil</w:t>
            </w:r>
          </w:p>
        </w:tc>
        <w:tc>
          <w:tcPr>
            <w:tcW w:w="2931" w:type="pct"/>
            <w:tcBorders>
              <w:top w:val="nil"/>
              <w:left w:val="nil"/>
              <w:bottom w:val="single" w:sz="4" w:space="0" w:color="auto"/>
              <w:right w:val="single" w:sz="4" w:space="0" w:color="auto"/>
            </w:tcBorders>
            <w:vAlign w:val="center"/>
            <w:hideMark/>
          </w:tcPr>
          <w:p w14:paraId="77617422"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26 mm mouse body volume coil</w:t>
            </w:r>
          </w:p>
        </w:tc>
      </w:tr>
      <w:tr w:rsidR="00C2365E" w:rsidRPr="00C2365E" w14:paraId="4FC39A54"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56569468"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Sequence</w:t>
            </w:r>
          </w:p>
        </w:tc>
        <w:tc>
          <w:tcPr>
            <w:tcW w:w="2931" w:type="pct"/>
            <w:tcBorders>
              <w:top w:val="nil"/>
              <w:left w:val="nil"/>
              <w:bottom w:val="single" w:sz="4" w:space="0" w:color="auto"/>
              <w:right w:val="single" w:sz="4" w:space="0" w:color="auto"/>
            </w:tcBorders>
            <w:vAlign w:val="center"/>
            <w:hideMark/>
          </w:tcPr>
          <w:p w14:paraId="52883E1C"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Respiratory-gated VTR-FLASH</w:t>
            </w:r>
          </w:p>
        </w:tc>
      </w:tr>
      <w:tr w:rsidR="00C2365E" w:rsidRPr="00C2365E" w14:paraId="19A1342B" w14:textId="77777777" w:rsidTr="00C2365E">
        <w:trPr>
          <w:trHeight w:val="402"/>
        </w:trPr>
        <w:tc>
          <w:tcPr>
            <w:tcW w:w="2069" w:type="pct"/>
            <w:tcBorders>
              <w:top w:val="nil"/>
              <w:left w:val="single" w:sz="4" w:space="0" w:color="auto"/>
              <w:bottom w:val="single" w:sz="4" w:space="0" w:color="auto"/>
              <w:right w:val="single" w:sz="4" w:space="0" w:color="auto"/>
            </w:tcBorders>
            <w:vAlign w:val="center"/>
            <w:hideMark/>
          </w:tcPr>
          <w:p w14:paraId="1E046069"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T1 mapping strategy</w:t>
            </w:r>
          </w:p>
        </w:tc>
        <w:tc>
          <w:tcPr>
            <w:tcW w:w="2931" w:type="pct"/>
            <w:tcBorders>
              <w:top w:val="nil"/>
              <w:left w:val="nil"/>
              <w:bottom w:val="single" w:sz="4" w:space="0" w:color="auto"/>
              <w:right w:val="single" w:sz="4" w:space="0" w:color="auto"/>
            </w:tcBorders>
            <w:vAlign w:val="center"/>
            <w:hideMark/>
          </w:tcPr>
          <w:p w14:paraId="28F35218"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Variable repetition time (VTR) method</w:t>
            </w:r>
          </w:p>
        </w:tc>
      </w:tr>
      <w:tr w:rsidR="00C2365E" w:rsidRPr="00C2365E" w14:paraId="7A1D0BAE"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585B1A1B"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Excitation flip angle</w:t>
            </w:r>
          </w:p>
        </w:tc>
        <w:tc>
          <w:tcPr>
            <w:tcW w:w="2931" w:type="pct"/>
            <w:tcBorders>
              <w:top w:val="nil"/>
              <w:left w:val="nil"/>
              <w:bottom w:val="single" w:sz="4" w:space="0" w:color="auto"/>
              <w:right w:val="single" w:sz="4" w:space="0" w:color="auto"/>
            </w:tcBorders>
            <w:vAlign w:val="center"/>
            <w:hideMark/>
          </w:tcPr>
          <w:p w14:paraId="3A055866"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15°</w:t>
            </w:r>
          </w:p>
        </w:tc>
      </w:tr>
      <w:tr w:rsidR="00C2365E" w:rsidRPr="00C2365E" w14:paraId="3EFFF0C8" w14:textId="77777777" w:rsidTr="00C2365E">
        <w:trPr>
          <w:trHeight w:val="399"/>
        </w:trPr>
        <w:tc>
          <w:tcPr>
            <w:tcW w:w="2069" w:type="pct"/>
            <w:tcBorders>
              <w:top w:val="nil"/>
              <w:left w:val="single" w:sz="4" w:space="0" w:color="auto"/>
              <w:bottom w:val="single" w:sz="4" w:space="0" w:color="auto"/>
              <w:right w:val="single" w:sz="4" w:space="0" w:color="auto"/>
            </w:tcBorders>
            <w:vAlign w:val="center"/>
            <w:hideMark/>
          </w:tcPr>
          <w:p w14:paraId="47560F1E"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Repetition times (TRs)</w:t>
            </w:r>
          </w:p>
        </w:tc>
        <w:tc>
          <w:tcPr>
            <w:tcW w:w="2931" w:type="pct"/>
            <w:tcBorders>
              <w:top w:val="nil"/>
              <w:left w:val="nil"/>
              <w:bottom w:val="single" w:sz="4" w:space="0" w:color="auto"/>
              <w:right w:val="single" w:sz="4" w:space="0" w:color="auto"/>
            </w:tcBorders>
            <w:vAlign w:val="center"/>
            <w:hideMark/>
          </w:tcPr>
          <w:p w14:paraId="4B8EC3F2"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Multiple TRs acquired under identical imaging geometry</w:t>
            </w:r>
          </w:p>
        </w:tc>
      </w:tr>
      <w:tr w:rsidR="00C2365E" w:rsidRPr="00C2365E" w14:paraId="20AA30A0"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7BC508A3"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Echo time (TE)</w:t>
            </w:r>
          </w:p>
        </w:tc>
        <w:tc>
          <w:tcPr>
            <w:tcW w:w="2931" w:type="pct"/>
            <w:tcBorders>
              <w:top w:val="nil"/>
              <w:left w:val="nil"/>
              <w:bottom w:val="single" w:sz="4" w:space="0" w:color="auto"/>
              <w:right w:val="single" w:sz="4" w:space="0" w:color="auto"/>
            </w:tcBorders>
            <w:vAlign w:val="center"/>
            <w:hideMark/>
          </w:tcPr>
          <w:p w14:paraId="50E94934"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2.0 ms</w:t>
            </w:r>
          </w:p>
        </w:tc>
      </w:tr>
      <w:tr w:rsidR="00C2365E" w:rsidRPr="00C2365E" w14:paraId="42A7F6E8"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3C1830B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Field of view (FOV)</w:t>
            </w:r>
          </w:p>
        </w:tc>
        <w:tc>
          <w:tcPr>
            <w:tcW w:w="2931" w:type="pct"/>
            <w:tcBorders>
              <w:top w:val="nil"/>
              <w:left w:val="nil"/>
              <w:bottom w:val="single" w:sz="4" w:space="0" w:color="auto"/>
              <w:right w:val="single" w:sz="4" w:space="0" w:color="auto"/>
            </w:tcBorders>
            <w:vAlign w:val="center"/>
            <w:hideMark/>
          </w:tcPr>
          <w:p w14:paraId="07116DA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30 × 30 mm²</w:t>
            </w:r>
          </w:p>
        </w:tc>
      </w:tr>
      <w:tr w:rsidR="00C2365E" w:rsidRPr="00C2365E" w14:paraId="0BF519B9"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40B80350"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Matrix size</w:t>
            </w:r>
          </w:p>
        </w:tc>
        <w:tc>
          <w:tcPr>
            <w:tcW w:w="2931" w:type="pct"/>
            <w:tcBorders>
              <w:top w:val="nil"/>
              <w:left w:val="nil"/>
              <w:bottom w:val="single" w:sz="4" w:space="0" w:color="auto"/>
              <w:right w:val="single" w:sz="4" w:space="0" w:color="auto"/>
            </w:tcBorders>
            <w:vAlign w:val="center"/>
            <w:hideMark/>
          </w:tcPr>
          <w:p w14:paraId="6E63F684"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256 × 256</w:t>
            </w:r>
          </w:p>
        </w:tc>
      </w:tr>
      <w:tr w:rsidR="00C2365E" w:rsidRPr="00C2365E" w14:paraId="3588A29D"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54E873BF"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Slice thickness</w:t>
            </w:r>
          </w:p>
        </w:tc>
        <w:tc>
          <w:tcPr>
            <w:tcW w:w="2931" w:type="pct"/>
            <w:tcBorders>
              <w:top w:val="nil"/>
              <w:left w:val="nil"/>
              <w:bottom w:val="single" w:sz="4" w:space="0" w:color="auto"/>
              <w:right w:val="single" w:sz="4" w:space="0" w:color="auto"/>
            </w:tcBorders>
            <w:vAlign w:val="center"/>
            <w:hideMark/>
          </w:tcPr>
          <w:p w14:paraId="74AD404C"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0.5 mm</w:t>
            </w:r>
          </w:p>
        </w:tc>
      </w:tr>
      <w:tr w:rsidR="00C2365E" w:rsidRPr="00C2365E" w14:paraId="1FC45550"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55D33661"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In-plane spatial resolution</w:t>
            </w:r>
          </w:p>
        </w:tc>
        <w:tc>
          <w:tcPr>
            <w:tcW w:w="2931" w:type="pct"/>
            <w:tcBorders>
              <w:top w:val="nil"/>
              <w:left w:val="nil"/>
              <w:bottom w:val="single" w:sz="4" w:space="0" w:color="auto"/>
              <w:right w:val="single" w:sz="4" w:space="0" w:color="auto"/>
            </w:tcBorders>
            <w:vAlign w:val="center"/>
            <w:hideMark/>
          </w:tcPr>
          <w:p w14:paraId="22D9FCCF"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0.15 × 0.15 mm²</w:t>
            </w:r>
          </w:p>
        </w:tc>
      </w:tr>
      <w:tr w:rsidR="00C2365E" w:rsidRPr="00C2365E" w14:paraId="5D6E47FE"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4A0995CF"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Respiratory gating</w:t>
            </w:r>
          </w:p>
        </w:tc>
        <w:tc>
          <w:tcPr>
            <w:tcW w:w="2931" w:type="pct"/>
            <w:tcBorders>
              <w:top w:val="nil"/>
              <w:left w:val="nil"/>
              <w:bottom w:val="single" w:sz="4" w:space="0" w:color="auto"/>
              <w:right w:val="single" w:sz="4" w:space="0" w:color="auto"/>
            </w:tcBorders>
            <w:vAlign w:val="center"/>
            <w:hideMark/>
          </w:tcPr>
          <w:p w14:paraId="6CC5056E"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Enabled throughout acquisition</w:t>
            </w:r>
          </w:p>
        </w:tc>
      </w:tr>
      <w:tr w:rsidR="00C2365E" w:rsidRPr="00C2365E" w14:paraId="6036C35C" w14:textId="77777777" w:rsidTr="00C2365E">
        <w:trPr>
          <w:trHeight w:val="300"/>
        </w:trPr>
        <w:tc>
          <w:tcPr>
            <w:tcW w:w="2069" w:type="pct"/>
            <w:tcBorders>
              <w:top w:val="nil"/>
              <w:left w:val="single" w:sz="4" w:space="0" w:color="auto"/>
              <w:bottom w:val="single" w:sz="4" w:space="0" w:color="auto"/>
              <w:right w:val="single" w:sz="4" w:space="0" w:color="auto"/>
            </w:tcBorders>
            <w:vAlign w:val="center"/>
            <w:hideMark/>
          </w:tcPr>
          <w:p w14:paraId="6ACCBF00"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Contrast agent</w:t>
            </w:r>
          </w:p>
        </w:tc>
        <w:tc>
          <w:tcPr>
            <w:tcW w:w="2931" w:type="pct"/>
            <w:tcBorders>
              <w:top w:val="nil"/>
              <w:left w:val="nil"/>
              <w:bottom w:val="single" w:sz="4" w:space="0" w:color="auto"/>
              <w:right w:val="single" w:sz="4" w:space="0" w:color="auto"/>
            </w:tcBorders>
            <w:vAlign w:val="center"/>
            <w:hideMark/>
          </w:tcPr>
          <w:p w14:paraId="4BC85A23"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Gd-EOB-DTPA (Primovist®, Bayer Healthcare)</w:t>
            </w:r>
          </w:p>
        </w:tc>
      </w:tr>
      <w:tr w:rsidR="00C2365E" w:rsidRPr="00C2365E" w14:paraId="63EA0CE8" w14:textId="77777777" w:rsidTr="00C2365E">
        <w:trPr>
          <w:trHeight w:val="290"/>
        </w:trPr>
        <w:tc>
          <w:tcPr>
            <w:tcW w:w="2069" w:type="pct"/>
            <w:tcBorders>
              <w:top w:val="nil"/>
              <w:left w:val="single" w:sz="4" w:space="0" w:color="auto"/>
              <w:bottom w:val="single" w:sz="4" w:space="0" w:color="auto"/>
              <w:right w:val="single" w:sz="4" w:space="0" w:color="auto"/>
            </w:tcBorders>
            <w:vAlign w:val="center"/>
            <w:hideMark/>
          </w:tcPr>
          <w:p w14:paraId="2FF187AD"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Contrast dose</w:t>
            </w:r>
          </w:p>
        </w:tc>
        <w:tc>
          <w:tcPr>
            <w:tcW w:w="2931" w:type="pct"/>
            <w:tcBorders>
              <w:top w:val="nil"/>
              <w:left w:val="nil"/>
              <w:bottom w:val="single" w:sz="4" w:space="0" w:color="auto"/>
              <w:right w:val="single" w:sz="4" w:space="0" w:color="auto"/>
            </w:tcBorders>
            <w:vAlign w:val="center"/>
            <w:hideMark/>
          </w:tcPr>
          <w:p w14:paraId="5FEEB6DC"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0.025 mmol/kg</w:t>
            </w:r>
          </w:p>
        </w:tc>
      </w:tr>
      <w:tr w:rsidR="00C2365E" w:rsidRPr="00C2365E" w14:paraId="51BE2149" w14:textId="77777777" w:rsidTr="00C2365E">
        <w:trPr>
          <w:trHeight w:val="394"/>
        </w:trPr>
        <w:tc>
          <w:tcPr>
            <w:tcW w:w="2069" w:type="pct"/>
            <w:tcBorders>
              <w:top w:val="nil"/>
              <w:left w:val="single" w:sz="4" w:space="0" w:color="auto"/>
              <w:bottom w:val="single" w:sz="4" w:space="0" w:color="auto"/>
              <w:right w:val="single" w:sz="4" w:space="0" w:color="auto"/>
            </w:tcBorders>
            <w:vAlign w:val="center"/>
            <w:hideMark/>
          </w:tcPr>
          <w:p w14:paraId="24FE0B3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Post-contrast acquisition time points</w:t>
            </w:r>
          </w:p>
        </w:tc>
        <w:tc>
          <w:tcPr>
            <w:tcW w:w="2931" w:type="pct"/>
            <w:tcBorders>
              <w:top w:val="nil"/>
              <w:left w:val="nil"/>
              <w:bottom w:val="single" w:sz="4" w:space="0" w:color="auto"/>
              <w:right w:val="single" w:sz="4" w:space="0" w:color="auto"/>
            </w:tcBorders>
            <w:vAlign w:val="center"/>
            <w:hideMark/>
          </w:tcPr>
          <w:p w14:paraId="4100AB73"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10, 20, 30, and 40 min</w:t>
            </w:r>
          </w:p>
        </w:tc>
      </w:tr>
      <w:tr w:rsidR="00C2365E" w:rsidRPr="00C2365E" w14:paraId="7B50DE5E" w14:textId="77777777" w:rsidTr="00C2365E">
        <w:trPr>
          <w:trHeight w:val="414"/>
        </w:trPr>
        <w:tc>
          <w:tcPr>
            <w:tcW w:w="2069" w:type="pct"/>
            <w:tcBorders>
              <w:top w:val="nil"/>
              <w:left w:val="single" w:sz="4" w:space="0" w:color="auto"/>
              <w:bottom w:val="single" w:sz="4" w:space="0" w:color="auto"/>
              <w:right w:val="single" w:sz="4" w:space="0" w:color="auto"/>
            </w:tcBorders>
            <w:vAlign w:val="center"/>
            <w:hideMark/>
          </w:tcPr>
          <w:p w14:paraId="060FC471"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Acquisition time per T1 map</w:t>
            </w:r>
          </w:p>
        </w:tc>
        <w:tc>
          <w:tcPr>
            <w:tcW w:w="2931" w:type="pct"/>
            <w:tcBorders>
              <w:top w:val="nil"/>
              <w:left w:val="nil"/>
              <w:bottom w:val="single" w:sz="4" w:space="0" w:color="auto"/>
              <w:right w:val="single" w:sz="4" w:space="0" w:color="auto"/>
            </w:tcBorders>
            <w:vAlign w:val="center"/>
            <w:hideMark/>
          </w:tcPr>
          <w:p w14:paraId="25EFCB24"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Approximately 4–6 min</w:t>
            </w:r>
          </w:p>
        </w:tc>
      </w:tr>
    </w:tbl>
    <w:p w14:paraId="1523E4C8" w14:textId="77777777" w:rsidR="00C2365E" w:rsidRPr="00C2365E" w:rsidRDefault="00C2365E" w:rsidP="00C2365E">
      <w:pPr>
        <w:spacing w:line="360" w:lineRule="auto"/>
        <w:jc w:val="center"/>
        <w:rPr>
          <w:rFonts w:ascii="Times New Roman" w:hAnsi="Times New Roman" w:cs="Times New Roman"/>
          <w:b/>
          <w:bCs/>
          <w:color w:val="0070C0"/>
          <w:sz w:val="20"/>
          <w:szCs w:val="18"/>
        </w:rPr>
      </w:pPr>
    </w:p>
    <w:p w14:paraId="3751BD11" w14:textId="77777777" w:rsidR="00C2365E" w:rsidRPr="00C2365E" w:rsidRDefault="00C2365E" w:rsidP="00C2365E">
      <w:pPr>
        <w:spacing w:after="0" w:line="360" w:lineRule="auto"/>
        <w:jc w:val="both"/>
        <w:rPr>
          <w:rFonts w:ascii="Times New Roman" w:hAnsi="Times New Roman" w:cs="Times New Roman"/>
          <w:b/>
          <w:bCs/>
          <w:color w:val="0070C0"/>
          <w:sz w:val="20"/>
          <w:szCs w:val="18"/>
        </w:rPr>
      </w:pPr>
      <w:r w:rsidRPr="00C2365E">
        <w:rPr>
          <w:rFonts w:ascii="Times New Roman" w:hAnsi="Times New Roman" w:cs="Times New Roman" w:hint="eastAsia"/>
          <w:b/>
          <w:bCs/>
          <w:color w:val="0070C0"/>
          <w:sz w:val="20"/>
          <w:szCs w:val="18"/>
        </w:rPr>
        <w:t>Footnote</w:t>
      </w:r>
    </w:p>
    <w:p w14:paraId="55CEFA69" w14:textId="77777777" w:rsidR="00C2365E" w:rsidRPr="00C2365E" w:rsidRDefault="00C2365E" w:rsidP="00C2365E">
      <w:pPr>
        <w:spacing w:after="0" w:line="360" w:lineRule="auto"/>
        <w:jc w:val="both"/>
        <w:rPr>
          <w:rFonts w:ascii="Times New Roman" w:hAnsi="Times New Roman" w:cs="Times New Roman"/>
          <w:sz w:val="20"/>
          <w:szCs w:val="18"/>
        </w:rPr>
      </w:pPr>
      <w:r w:rsidRPr="00C2365E">
        <w:rPr>
          <w:rFonts w:ascii="Times New Roman" w:hAnsi="Times New Roman" w:cs="Times New Roman" w:hint="eastAsia"/>
          <w:sz w:val="20"/>
          <w:szCs w:val="18"/>
        </w:rPr>
        <w:t>The acquisition duration varied slightly depending on respiratory gating efficiency and animal respiratory stability during imaging.</w:t>
      </w:r>
    </w:p>
    <w:p w14:paraId="2007C663" w14:textId="77777777" w:rsidR="00C2365E" w:rsidRDefault="00C2365E" w:rsidP="00C2365E">
      <w:pPr>
        <w:spacing w:after="0" w:line="360" w:lineRule="auto"/>
        <w:jc w:val="center"/>
        <w:rPr>
          <w:rFonts w:ascii="Times New Roman" w:hAnsi="Times New Roman" w:cs="Times New Roman"/>
          <w:b/>
          <w:bCs/>
          <w:color w:val="0070C0"/>
          <w:sz w:val="20"/>
          <w:szCs w:val="18"/>
        </w:rPr>
      </w:pPr>
    </w:p>
    <w:p w14:paraId="65D58B15" w14:textId="56413E81" w:rsidR="00C2365E" w:rsidRDefault="00C2365E" w:rsidP="00C2365E">
      <w:pPr>
        <w:spacing w:after="0" w:line="360" w:lineRule="auto"/>
        <w:jc w:val="center"/>
        <w:rPr>
          <w:rFonts w:ascii="Times New Roman" w:hAnsi="Times New Roman" w:cs="Times New Roman"/>
          <w:b/>
          <w:bCs/>
          <w:color w:val="0070C0"/>
          <w:sz w:val="20"/>
          <w:szCs w:val="18"/>
        </w:rPr>
      </w:pPr>
      <w:r w:rsidRPr="00C2365E">
        <w:rPr>
          <w:rFonts w:ascii="Times New Roman" w:hAnsi="Times New Roman" w:cs="Times New Roman"/>
          <w:b/>
          <w:bCs/>
          <w:color w:val="0070C0"/>
          <w:sz w:val="20"/>
          <w:szCs w:val="18"/>
        </w:rPr>
        <w:t>Section 3. Additional Quantitative Data</w:t>
      </w:r>
    </w:p>
    <w:p w14:paraId="5EFACAC1" w14:textId="77777777" w:rsidR="00C2365E" w:rsidRPr="00C2365E" w:rsidRDefault="00C2365E" w:rsidP="00C2365E">
      <w:pPr>
        <w:spacing w:after="0" w:line="360" w:lineRule="auto"/>
        <w:jc w:val="center"/>
        <w:rPr>
          <w:rFonts w:ascii="Times New Roman" w:hAnsi="Times New Roman" w:cs="Times New Roman"/>
          <w:b/>
          <w:bCs/>
          <w:color w:val="0070C0"/>
          <w:sz w:val="20"/>
          <w:szCs w:val="18"/>
        </w:rPr>
      </w:pPr>
    </w:p>
    <w:p w14:paraId="3CDE4D8C" w14:textId="4BFBB3AA" w:rsidR="00C2365E" w:rsidRDefault="00C2365E" w:rsidP="00C2365E">
      <w:pPr>
        <w:spacing w:after="0" w:line="360" w:lineRule="auto"/>
        <w:jc w:val="center"/>
        <w:rPr>
          <w:rFonts w:ascii="Times New Roman" w:hAnsi="Times New Roman" w:cs="Times New Roman"/>
          <w:b/>
          <w:bCs/>
          <w:color w:val="0070C0"/>
          <w:sz w:val="20"/>
          <w:szCs w:val="18"/>
        </w:rPr>
      </w:pPr>
      <w:r w:rsidRPr="00C2365E">
        <w:rPr>
          <w:rFonts w:ascii="Times New Roman" w:hAnsi="Times New Roman" w:cs="Times New Roman"/>
          <w:b/>
          <w:bCs/>
          <w:color w:val="0070C0"/>
          <w:sz w:val="20"/>
          <w:szCs w:val="18"/>
        </w:rPr>
        <w:t>Table S3</w:t>
      </w:r>
      <w:r>
        <w:rPr>
          <w:rFonts w:ascii="Times New Roman" w:hAnsi="Times New Roman" w:cs="Times New Roman"/>
          <w:b/>
          <w:bCs/>
          <w:color w:val="0070C0"/>
          <w:sz w:val="20"/>
          <w:szCs w:val="18"/>
        </w:rPr>
        <w:t>:</w:t>
      </w:r>
      <w:r w:rsidRPr="00C2365E">
        <w:rPr>
          <w:rFonts w:ascii="Times New Roman" w:hAnsi="Times New Roman" w:cs="Times New Roman"/>
          <w:b/>
          <w:bCs/>
          <w:color w:val="0070C0"/>
          <w:sz w:val="20"/>
          <w:szCs w:val="18"/>
        </w:rPr>
        <w:t xml:space="preserve"> </w:t>
      </w:r>
      <w:r w:rsidRPr="00C2365E">
        <w:rPr>
          <w:rFonts w:ascii="Times New Roman" w:hAnsi="Times New Roman" w:cs="Times New Roman"/>
          <w:color w:val="000000" w:themeColor="text1"/>
          <w:sz w:val="20"/>
          <w:szCs w:val="18"/>
        </w:rPr>
        <w:t>Baseline and Post-Contrast Hepatic T1 Values</w:t>
      </w:r>
      <w:r>
        <w:rPr>
          <w:rFonts w:ascii="Times New Roman" w:hAnsi="Times New Roman" w:cs="Times New Roman"/>
          <w:color w:val="000000" w:themeColor="text1"/>
          <w:sz w:val="20"/>
          <w:szCs w:val="18"/>
        </w:rPr>
        <w:t>.</w:t>
      </w:r>
    </w:p>
    <w:p w14:paraId="2EF7EA79" w14:textId="77777777" w:rsidR="00C2365E" w:rsidRPr="00C2365E" w:rsidRDefault="00C2365E" w:rsidP="00C2365E">
      <w:pPr>
        <w:spacing w:after="0" w:line="360" w:lineRule="auto"/>
        <w:jc w:val="center"/>
        <w:rPr>
          <w:rFonts w:ascii="Times New Roman" w:hAnsi="Times New Roman" w:cs="Times New Roman"/>
          <w:b/>
          <w:bCs/>
          <w:color w:val="0070C0"/>
          <w:sz w:val="20"/>
          <w:szCs w:val="18"/>
        </w:rPr>
      </w:pPr>
    </w:p>
    <w:tbl>
      <w:tblPr>
        <w:tblW w:w="4570" w:type="pct"/>
        <w:tblInd w:w="279" w:type="dxa"/>
        <w:tblLook w:val="04A0" w:firstRow="1" w:lastRow="0" w:firstColumn="1" w:lastColumn="0" w:noHBand="0" w:noVBand="1"/>
      </w:tblPr>
      <w:tblGrid>
        <w:gridCol w:w="966"/>
        <w:gridCol w:w="1870"/>
        <w:gridCol w:w="1418"/>
        <w:gridCol w:w="1418"/>
        <w:gridCol w:w="1559"/>
        <w:gridCol w:w="1700"/>
      </w:tblGrid>
      <w:tr w:rsidR="00C2365E" w:rsidRPr="00C2365E" w14:paraId="1C6BF0E7" w14:textId="77777777" w:rsidTr="00C2365E">
        <w:trPr>
          <w:trHeight w:val="520"/>
        </w:trPr>
        <w:tc>
          <w:tcPr>
            <w:tcW w:w="540" w:type="pct"/>
            <w:tcBorders>
              <w:top w:val="single" w:sz="4" w:space="0" w:color="auto"/>
              <w:left w:val="single" w:sz="4" w:space="0" w:color="auto"/>
              <w:bottom w:val="single" w:sz="4" w:space="0" w:color="auto"/>
              <w:right w:val="single" w:sz="4" w:space="0" w:color="auto"/>
            </w:tcBorders>
            <w:vAlign w:val="center"/>
            <w:hideMark/>
          </w:tcPr>
          <w:p w14:paraId="095A7306" w14:textId="77777777" w:rsidR="00C2365E" w:rsidRPr="00C2365E" w:rsidRDefault="00C2365E" w:rsidP="00C2365E">
            <w:pPr>
              <w:spacing w:after="0" w:line="240" w:lineRule="auto"/>
              <w:jc w:val="center"/>
              <w:rPr>
                <w:rFonts w:ascii="Times New Roman" w:eastAsia="Times New Roman" w:hAnsi="Times New Roman" w:cs="Times New Roman"/>
                <w:b/>
                <w:bCs/>
                <w:color w:val="000000"/>
                <w:sz w:val="20"/>
                <w:szCs w:val="20"/>
                <w:lang w:val="en-IN" w:eastAsia="en-IN"/>
              </w:rPr>
            </w:pPr>
            <w:r w:rsidRPr="00C2365E">
              <w:rPr>
                <w:rFonts w:ascii="Times New Roman" w:eastAsia="Times New Roman" w:hAnsi="Times New Roman" w:cs="Times New Roman"/>
                <w:b/>
                <w:bCs/>
                <w:color w:val="000000"/>
                <w:sz w:val="20"/>
                <w:szCs w:val="20"/>
                <w:lang w:eastAsia="en-IN"/>
              </w:rPr>
              <w:t>Group</w:t>
            </w:r>
          </w:p>
        </w:tc>
        <w:tc>
          <w:tcPr>
            <w:tcW w:w="1047" w:type="pct"/>
            <w:tcBorders>
              <w:top w:val="single" w:sz="4" w:space="0" w:color="auto"/>
              <w:left w:val="nil"/>
              <w:bottom w:val="single" w:sz="4" w:space="0" w:color="auto"/>
              <w:right w:val="single" w:sz="4" w:space="0" w:color="auto"/>
            </w:tcBorders>
            <w:vAlign w:val="center"/>
            <w:hideMark/>
          </w:tcPr>
          <w:p w14:paraId="6DFB63F3" w14:textId="77777777" w:rsidR="00C2365E" w:rsidRPr="00C2365E" w:rsidRDefault="00C2365E" w:rsidP="00C2365E">
            <w:pPr>
              <w:spacing w:after="0" w:line="240" w:lineRule="auto"/>
              <w:jc w:val="center"/>
              <w:rPr>
                <w:rFonts w:ascii="Times New Roman" w:eastAsia="Times New Roman" w:hAnsi="Times New Roman" w:cs="Times New Roman"/>
                <w:b/>
                <w:bCs/>
                <w:color w:val="000000"/>
                <w:sz w:val="20"/>
                <w:szCs w:val="20"/>
                <w:lang w:val="en-IN" w:eastAsia="en-IN"/>
              </w:rPr>
            </w:pPr>
            <w:r w:rsidRPr="00C2365E">
              <w:rPr>
                <w:rFonts w:ascii="Times New Roman" w:eastAsia="Times New Roman" w:hAnsi="Times New Roman" w:cs="Times New Roman"/>
                <w:b/>
                <w:bCs/>
                <w:color w:val="000000"/>
                <w:sz w:val="20"/>
                <w:szCs w:val="20"/>
                <w:lang w:eastAsia="en-IN"/>
              </w:rPr>
              <w:t>Baseline T1 (ms)</w:t>
            </w:r>
          </w:p>
        </w:tc>
        <w:tc>
          <w:tcPr>
            <w:tcW w:w="794" w:type="pct"/>
            <w:tcBorders>
              <w:top w:val="single" w:sz="4" w:space="0" w:color="auto"/>
              <w:left w:val="nil"/>
              <w:bottom w:val="single" w:sz="4" w:space="0" w:color="auto"/>
              <w:right w:val="single" w:sz="4" w:space="0" w:color="auto"/>
            </w:tcBorders>
            <w:vAlign w:val="center"/>
            <w:hideMark/>
          </w:tcPr>
          <w:p w14:paraId="60365903" w14:textId="77777777" w:rsidR="00C2365E" w:rsidRPr="00C2365E" w:rsidRDefault="00C2365E" w:rsidP="00C2365E">
            <w:pPr>
              <w:spacing w:after="0" w:line="240" w:lineRule="auto"/>
              <w:jc w:val="center"/>
              <w:rPr>
                <w:rFonts w:ascii="Times New Roman" w:eastAsia="Times New Roman" w:hAnsi="Times New Roman" w:cs="Times New Roman"/>
                <w:b/>
                <w:bCs/>
                <w:color w:val="000000"/>
                <w:sz w:val="20"/>
                <w:szCs w:val="20"/>
                <w:lang w:val="en-IN" w:eastAsia="en-IN"/>
              </w:rPr>
            </w:pPr>
            <w:r w:rsidRPr="00C2365E">
              <w:rPr>
                <w:rFonts w:ascii="Times New Roman" w:eastAsia="Times New Roman" w:hAnsi="Times New Roman" w:cs="Times New Roman"/>
                <w:b/>
                <w:bCs/>
                <w:color w:val="000000"/>
                <w:sz w:val="20"/>
                <w:szCs w:val="20"/>
                <w:lang w:eastAsia="en-IN"/>
              </w:rPr>
              <w:t>10 min</w:t>
            </w:r>
          </w:p>
        </w:tc>
        <w:tc>
          <w:tcPr>
            <w:tcW w:w="794" w:type="pct"/>
            <w:tcBorders>
              <w:top w:val="single" w:sz="4" w:space="0" w:color="auto"/>
              <w:left w:val="nil"/>
              <w:bottom w:val="single" w:sz="4" w:space="0" w:color="auto"/>
              <w:right w:val="single" w:sz="4" w:space="0" w:color="auto"/>
            </w:tcBorders>
            <w:vAlign w:val="center"/>
            <w:hideMark/>
          </w:tcPr>
          <w:p w14:paraId="2001AC1F" w14:textId="77777777" w:rsidR="00C2365E" w:rsidRPr="00C2365E" w:rsidRDefault="00C2365E" w:rsidP="00C2365E">
            <w:pPr>
              <w:spacing w:after="0" w:line="240" w:lineRule="auto"/>
              <w:jc w:val="center"/>
              <w:rPr>
                <w:rFonts w:ascii="Times New Roman" w:eastAsia="Times New Roman" w:hAnsi="Times New Roman" w:cs="Times New Roman"/>
                <w:b/>
                <w:bCs/>
                <w:color w:val="000000"/>
                <w:sz w:val="20"/>
                <w:szCs w:val="20"/>
                <w:lang w:val="en-IN" w:eastAsia="en-IN"/>
              </w:rPr>
            </w:pPr>
            <w:r w:rsidRPr="00C2365E">
              <w:rPr>
                <w:rFonts w:ascii="Times New Roman" w:eastAsia="Times New Roman" w:hAnsi="Times New Roman" w:cs="Times New Roman"/>
                <w:b/>
                <w:bCs/>
                <w:color w:val="000000"/>
                <w:sz w:val="20"/>
                <w:szCs w:val="20"/>
                <w:lang w:eastAsia="en-IN"/>
              </w:rPr>
              <w:t>20 min</w:t>
            </w:r>
          </w:p>
        </w:tc>
        <w:tc>
          <w:tcPr>
            <w:tcW w:w="873" w:type="pct"/>
            <w:tcBorders>
              <w:top w:val="single" w:sz="4" w:space="0" w:color="auto"/>
              <w:left w:val="nil"/>
              <w:bottom w:val="single" w:sz="4" w:space="0" w:color="auto"/>
              <w:right w:val="single" w:sz="4" w:space="0" w:color="auto"/>
            </w:tcBorders>
            <w:vAlign w:val="center"/>
            <w:hideMark/>
          </w:tcPr>
          <w:p w14:paraId="7B34E78B" w14:textId="77777777" w:rsidR="00C2365E" w:rsidRPr="00C2365E" w:rsidRDefault="00C2365E" w:rsidP="00C2365E">
            <w:pPr>
              <w:spacing w:after="0" w:line="240" w:lineRule="auto"/>
              <w:jc w:val="center"/>
              <w:rPr>
                <w:rFonts w:ascii="Times New Roman" w:eastAsia="Times New Roman" w:hAnsi="Times New Roman" w:cs="Times New Roman"/>
                <w:b/>
                <w:bCs/>
                <w:color w:val="000000"/>
                <w:sz w:val="20"/>
                <w:szCs w:val="20"/>
                <w:lang w:val="en-IN" w:eastAsia="en-IN"/>
              </w:rPr>
            </w:pPr>
            <w:r w:rsidRPr="00C2365E">
              <w:rPr>
                <w:rFonts w:ascii="Times New Roman" w:eastAsia="Times New Roman" w:hAnsi="Times New Roman" w:cs="Times New Roman"/>
                <w:b/>
                <w:bCs/>
                <w:color w:val="000000"/>
                <w:sz w:val="20"/>
                <w:szCs w:val="20"/>
                <w:lang w:eastAsia="en-IN"/>
              </w:rPr>
              <w:t>30 min</w:t>
            </w:r>
          </w:p>
        </w:tc>
        <w:tc>
          <w:tcPr>
            <w:tcW w:w="952" w:type="pct"/>
            <w:tcBorders>
              <w:top w:val="single" w:sz="4" w:space="0" w:color="auto"/>
              <w:left w:val="nil"/>
              <w:bottom w:val="single" w:sz="4" w:space="0" w:color="auto"/>
              <w:right w:val="single" w:sz="4" w:space="0" w:color="auto"/>
            </w:tcBorders>
            <w:vAlign w:val="center"/>
            <w:hideMark/>
          </w:tcPr>
          <w:p w14:paraId="37A3A7DF" w14:textId="77777777" w:rsidR="00C2365E" w:rsidRPr="00C2365E" w:rsidRDefault="00C2365E" w:rsidP="00C2365E">
            <w:pPr>
              <w:spacing w:after="0" w:line="240" w:lineRule="auto"/>
              <w:jc w:val="center"/>
              <w:rPr>
                <w:rFonts w:ascii="Times New Roman" w:eastAsia="Times New Roman" w:hAnsi="Times New Roman" w:cs="Times New Roman"/>
                <w:b/>
                <w:bCs/>
                <w:color w:val="000000"/>
                <w:sz w:val="20"/>
                <w:szCs w:val="20"/>
                <w:lang w:val="en-IN" w:eastAsia="en-IN"/>
              </w:rPr>
            </w:pPr>
            <w:r w:rsidRPr="00C2365E">
              <w:rPr>
                <w:rFonts w:ascii="Times New Roman" w:eastAsia="Times New Roman" w:hAnsi="Times New Roman" w:cs="Times New Roman"/>
                <w:b/>
                <w:bCs/>
                <w:color w:val="000000"/>
                <w:sz w:val="20"/>
                <w:szCs w:val="20"/>
                <w:lang w:eastAsia="en-IN"/>
              </w:rPr>
              <w:t>40 min</w:t>
            </w:r>
          </w:p>
        </w:tc>
      </w:tr>
      <w:tr w:rsidR="00C2365E" w:rsidRPr="00C2365E" w14:paraId="764E4C73" w14:textId="77777777" w:rsidTr="00C2365E">
        <w:trPr>
          <w:trHeight w:val="520"/>
        </w:trPr>
        <w:tc>
          <w:tcPr>
            <w:tcW w:w="540" w:type="pct"/>
            <w:tcBorders>
              <w:top w:val="nil"/>
              <w:left w:val="single" w:sz="4" w:space="0" w:color="auto"/>
              <w:bottom w:val="single" w:sz="4" w:space="0" w:color="auto"/>
              <w:right w:val="single" w:sz="4" w:space="0" w:color="auto"/>
            </w:tcBorders>
            <w:vAlign w:val="center"/>
            <w:hideMark/>
          </w:tcPr>
          <w:p w14:paraId="74058E0E"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Control</w:t>
            </w:r>
          </w:p>
        </w:tc>
        <w:tc>
          <w:tcPr>
            <w:tcW w:w="1047" w:type="pct"/>
            <w:tcBorders>
              <w:top w:val="nil"/>
              <w:left w:val="nil"/>
              <w:bottom w:val="single" w:sz="4" w:space="0" w:color="auto"/>
              <w:right w:val="single" w:sz="4" w:space="0" w:color="auto"/>
            </w:tcBorders>
            <w:vAlign w:val="center"/>
            <w:hideMark/>
          </w:tcPr>
          <w:p w14:paraId="14279B83"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732.25±37.66</w:t>
            </w:r>
          </w:p>
        </w:tc>
        <w:tc>
          <w:tcPr>
            <w:tcW w:w="794" w:type="pct"/>
            <w:tcBorders>
              <w:top w:val="nil"/>
              <w:left w:val="nil"/>
              <w:bottom w:val="single" w:sz="4" w:space="0" w:color="auto"/>
              <w:right w:val="single" w:sz="4" w:space="0" w:color="auto"/>
            </w:tcBorders>
            <w:vAlign w:val="center"/>
            <w:hideMark/>
          </w:tcPr>
          <w:p w14:paraId="4E859DC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195.4±17.81</w:t>
            </w:r>
          </w:p>
        </w:tc>
        <w:tc>
          <w:tcPr>
            <w:tcW w:w="794" w:type="pct"/>
            <w:tcBorders>
              <w:top w:val="nil"/>
              <w:left w:val="nil"/>
              <w:bottom w:val="single" w:sz="4" w:space="0" w:color="auto"/>
              <w:right w:val="single" w:sz="4" w:space="0" w:color="auto"/>
            </w:tcBorders>
            <w:vAlign w:val="center"/>
            <w:hideMark/>
          </w:tcPr>
          <w:p w14:paraId="77027CB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235.7±20.62</w:t>
            </w:r>
          </w:p>
        </w:tc>
        <w:tc>
          <w:tcPr>
            <w:tcW w:w="873" w:type="pct"/>
            <w:tcBorders>
              <w:top w:val="nil"/>
              <w:left w:val="nil"/>
              <w:bottom w:val="single" w:sz="4" w:space="0" w:color="auto"/>
              <w:right w:val="single" w:sz="4" w:space="0" w:color="auto"/>
            </w:tcBorders>
            <w:vAlign w:val="center"/>
            <w:hideMark/>
          </w:tcPr>
          <w:p w14:paraId="35772C68"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615.53±34.43</w:t>
            </w:r>
          </w:p>
        </w:tc>
        <w:tc>
          <w:tcPr>
            <w:tcW w:w="952" w:type="pct"/>
            <w:tcBorders>
              <w:top w:val="nil"/>
              <w:left w:val="nil"/>
              <w:bottom w:val="single" w:sz="4" w:space="0" w:color="auto"/>
              <w:right w:val="single" w:sz="4" w:space="0" w:color="auto"/>
            </w:tcBorders>
            <w:vAlign w:val="center"/>
            <w:hideMark/>
          </w:tcPr>
          <w:p w14:paraId="37EF66FA"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712.43 ± 36.62</w:t>
            </w:r>
          </w:p>
        </w:tc>
      </w:tr>
      <w:tr w:rsidR="00C2365E" w:rsidRPr="00C2365E" w14:paraId="2B9936F0" w14:textId="77777777" w:rsidTr="00C2365E">
        <w:trPr>
          <w:trHeight w:val="520"/>
        </w:trPr>
        <w:tc>
          <w:tcPr>
            <w:tcW w:w="540" w:type="pct"/>
            <w:tcBorders>
              <w:top w:val="nil"/>
              <w:left w:val="single" w:sz="4" w:space="0" w:color="auto"/>
              <w:bottom w:val="single" w:sz="4" w:space="0" w:color="auto"/>
              <w:right w:val="single" w:sz="4" w:space="0" w:color="auto"/>
            </w:tcBorders>
            <w:vAlign w:val="center"/>
            <w:hideMark/>
          </w:tcPr>
          <w:p w14:paraId="34D7CA7E"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KO</w:t>
            </w:r>
          </w:p>
        </w:tc>
        <w:tc>
          <w:tcPr>
            <w:tcW w:w="1047" w:type="pct"/>
            <w:tcBorders>
              <w:top w:val="nil"/>
              <w:left w:val="nil"/>
              <w:bottom w:val="single" w:sz="4" w:space="0" w:color="auto"/>
              <w:right w:val="single" w:sz="4" w:space="0" w:color="auto"/>
            </w:tcBorders>
            <w:vAlign w:val="center"/>
            <w:hideMark/>
          </w:tcPr>
          <w:p w14:paraId="5580213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752.45±33.02</w:t>
            </w:r>
          </w:p>
        </w:tc>
        <w:tc>
          <w:tcPr>
            <w:tcW w:w="794" w:type="pct"/>
            <w:tcBorders>
              <w:top w:val="nil"/>
              <w:left w:val="nil"/>
              <w:bottom w:val="single" w:sz="4" w:space="0" w:color="auto"/>
              <w:right w:val="single" w:sz="4" w:space="0" w:color="auto"/>
            </w:tcBorders>
            <w:vAlign w:val="center"/>
            <w:hideMark/>
          </w:tcPr>
          <w:p w14:paraId="2F86DB80"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676.25±38.1</w:t>
            </w:r>
          </w:p>
        </w:tc>
        <w:tc>
          <w:tcPr>
            <w:tcW w:w="794" w:type="pct"/>
            <w:tcBorders>
              <w:top w:val="nil"/>
              <w:left w:val="nil"/>
              <w:bottom w:val="single" w:sz="4" w:space="0" w:color="auto"/>
              <w:right w:val="single" w:sz="4" w:space="0" w:color="auto"/>
            </w:tcBorders>
            <w:vAlign w:val="center"/>
            <w:hideMark/>
          </w:tcPr>
          <w:p w14:paraId="639F90E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696.98±31.33</w:t>
            </w:r>
          </w:p>
        </w:tc>
        <w:tc>
          <w:tcPr>
            <w:tcW w:w="873" w:type="pct"/>
            <w:tcBorders>
              <w:top w:val="nil"/>
              <w:left w:val="nil"/>
              <w:bottom w:val="single" w:sz="4" w:space="0" w:color="auto"/>
              <w:right w:val="single" w:sz="4" w:space="0" w:color="auto"/>
            </w:tcBorders>
            <w:vAlign w:val="center"/>
            <w:hideMark/>
          </w:tcPr>
          <w:p w14:paraId="7B86816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726.27±44.35</w:t>
            </w:r>
          </w:p>
        </w:tc>
        <w:tc>
          <w:tcPr>
            <w:tcW w:w="952" w:type="pct"/>
            <w:tcBorders>
              <w:top w:val="nil"/>
              <w:left w:val="nil"/>
              <w:bottom w:val="single" w:sz="4" w:space="0" w:color="auto"/>
              <w:right w:val="single" w:sz="4" w:space="0" w:color="auto"/>
            </w:tcBorders>
            <w:vAlign w:val="center"/>
            <w:hideMark/>
          </w:tcPr>
          <w:p w14:paraId="721F089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741.7 ± 23.02</w:t>
            </w:r>
          </w:p>
        </w:tc>
      </w:tr>
      <w:tr w:rsidR="00C2365E" w:rsidRPr="00C2365E" w14:paraId="5D4C7912" w14:textId="77777777" w:rsidTr="00C2365E">
        <w:trPr>
          <w:trHeight w:val="520"/>
        </w:trPr>
        <w:tc>
          <w:tcPr>
            <w:tcW w:w="540" w:type="pct"/>
            <w:tcBorders>
              <w:top w:val="nil"/>
              <w:left w:val="single" w:sz="4" w:space="0" w:color="auto"/>
              <w:bottom w:val="single" w:sz="4" w:space="0" w:color="auto"/>
              <w:right w:val="single" w:sz="4" w:space="0" w:color="auto"/>
            </w:tcBorders>
            <w:vAlign w:val="center"/>
            <w:hideMark/>
          </w:tcPr>
          <w:p w14:paraId="2FDD63F0"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CCl₄</w:t>
            </w:r>
          </w:p>
        </w:tc>
        <w:tc>
          <w:tcPr>
            <w:tcW w:w="1047" w:type="pct"/>
            <w:tcBorders>
              <w:top w:val="nil"/>
              <w:left w:val="nil"/>
              <w:bottom w:val="single" w:sz="4" w:space="0" w:color="auto"/>
              <w:right w:val="single" w:sz="4" w:space="0" w:color="auto"/>
            </w:tcBorders>
            <w:vAlign w:val="center"/>
            <w:hideMark/>
          </w:tcPr>
          <w:p w14:paraId="5B4FC45B"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834.38±13.3</w:t>
            </w:r>
          </w:p>
        </w:tc>
        <w:tc>
          <w:tcPr>
            <w:tcW w:w="794" w:type="pct"/>
            <w:tcBorders>
              <w:top w:val="nil"/>
              <w:left w:val="nil"/>
              <w:bottom w:val="single" w:sz="4" w:space="0" w:color="auto"/>
              <w:right w:val="single" w:sz="4" w:space="0" w:color="auto"/>
            </w:tcBorders>
            <w:vAlign w:val="center"/>
            <w:hideMark/>
          </w:tcPr>
          <w:p w14:paraId="1E2CAC8E"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424.02±33.24</w:t>
            </w:r>
          </w:p>
        </w:tc>
        <w:tc>
          <w:tcPr>
            <w:tcW w:w="794" w:type="pct"/>
            <w:tcBorders>
              <w:top w:val="nil"/>
              <w:left w:val="nil"/>
              <w:bottom w:val="single" w:sz="4" w:space="0" w:color="auto"/>
              <w:right w:val="single" w:sz="4" w:space="0" w:color="auto"/>
            </w:tcBorders>
            <w:vAlign w:val="center"/>
            <w:hideMark/>
          </w:tcPr>
          <w:p w14:paraId="32E480BB"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565.3±49.95</w:t>
            </w:r>
          </w:p>
        </w:tc>
        <w:tc>
          <w:tcPr>
            <w:tcW w:w="873" w:type="pct"/>
            <w:tcBorders>
              <w:top w:val="nil"/>
              <w:left w:val="nil"/>
              <w:bottom w:val="single" w:sz="4" w:space="0" w:color="auto"/>
              <w:right w:val="single" w:sz="4" w:space="0" w:color="auto"/>
            </w:tcBorders>
            <w:vAlign w:val="center"/>
            <w:hideMark/>
          </w:tcPr>
          <w:p w14:paraId="032B41CE"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685.05±14.06</w:t>
            </w:r>
          </w:p>
        </w:tc>
        <w:tc>
          <w:tcPr>
            <w:tcW w:w="952" w:type="pct"/>
            <w:tcBorders>
              <w:top w:val="nil"/>
              <w:left w:val="nil"/>
              <w:bottom w:val="single" w:sz="4" w:space="0" w:color="auto"/>
              <w:right w:val="single" w:sz="4" w:space="0" w:color="auto"/>
            </w:tcBorders>
            <w:vAlign w:val="center"/>
            <w:hideMark/>
          </w:tcPr>
          <w:p w14:paraId="2D883455"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772.58 ± 17.82</w:t>
            </w:r>
          </w:p>
        </w:tc>
      </w:tr>
      <w:tr w:rsidR="00C2365E" w:rsidRPr="00C2365E" w14:paraId="159E999D" w14:textId="77777777" w:rsidTr="00C2365E">
        <w:trPr>
          <w:trHeight w:val="520"/>
        </w:trPr>
        <w:tc>
          <w:tcPr>
            <w:tcW w:w="540" w:type="pct"/>
            <w:tcBorders>
              <w:top w:val="nil"/>
              <w:left w:val="single" w:sz="4" w:space="0" w:color="auto"/>
              <w:bottom w:val="single" w:sz="4" w:space="0" w:color="auto"/>
              <w:right w:val="single" w:sz="4" w:space="0" w:color="auto"/>
            </w:tcBorders>
            <w:vAlign w:val="center"/>
            <w:hideMark/>
          </w:tcPr>
          <w:p w14:paraId="59CD905D"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lastRenderedPageBreak/>
              <w:t>MCD</w:t>
            </w:r>
          </w:p>
        </w:tc>
        <w:tc>
          <w:tcPr>
            <w:tcW w:w="1047" w:type="pct"/>
            <w:tcBorders>
              <w:top w:val="nil"/>
              <w:left w:val="nil"/>
              <w:bottom w:val="single" w:sz="4" w:space="0" w:color="auto"/>
              <w:right w:val="single" w:sz="4" w:space="0" w:color="auto"/>
            </w:tcBorders>
            <w:vAlign w:val="center"/>
            <w:hideMark/>
          </w:tcPr>
          <w:p w14:paraId="3E281E0C"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841.4±26.92</w:t>
            </w:r>
          </w:p>
        </w:tc>
        <w:tc>
          <w:tcPr>
            <w:tcW w:w="794" w:type="pct"/>
            <w:tcBorders>
              <w:top w:val="nil"/>
              <w:left w:val="nil"/>
              <w:bottom w:val="single" w:sz="4" w:space="0" w:color="auto"/>
              <w:right w:val="single" w:sz="4" w:space="0" w:color="auto"/>
            </w:tcBorders>
            <w:vAlign w:val="center"/>
            <w:hideMark/>
          </w:tcPr>
          <w:p w14:paraId="2415792B"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365.03±44.32</w:t>
            </w:r>
          </w:p>
        </w:tc>
        <w:tc>
          <w:tcPr>
            <w:tcW w:w="794" w:type="pct"/>
            <w:tcBorders>
              <w:top w:val="nil"/>
              <w:left w:val="nil"/>
              <w:bottom w:val="single" w:sz="4" w:space="0" w:color="auto"/>
              <w:right w:val="single" w:sz="4" w:space="0" w:color="auto"/>
            </w:tcBorders>
            <w:vAlign w:val="center"/>
            <w:hideMark/>
          </w:tcPr>
          <w:p w14:paraId="66D6330C"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454.53±54.09</w:t>
            </w:r>
          </w:p>
        </w:tc>
        <w:tc>
          <w:tcPr>
            <w:tcW w:w="873" w:type="pct"/>
            <w:tcBorders>
              <w:top w:val="nil"/>
              <w:left w:val="nil"/>
              <w:bottom w:val="single" w:sz="4" w:space="0" w:color="auto"/>
              <w:right w:val="single" w:sz="4" w:space="0" w:color="auto"/>
            </w:tcBorders>
            <w:vAlign w:val="center"/>
            <w:hideMark/>
          </w:tcPr>
          <w:p w14:paraId="427137B0"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657.55±24.35</w:t>
            </w:r>
          </w:p>
        </w:tc>
        <w:tc>
          <w:tcPr>
            <w:tcW w:w="952" w:type="pct"/>
            <w:tcBorders>
              <w:top w:val="nil"/>
              <w:left w:val="nil"/>
              <w:bottom w:val="single" w:sz="4" w:space="0" w:color="auto"/>
              <w:right w:val="single" w:sz="4" w:space="0" w:color="auto"/>
            </w:tcBorders>
            <w:vAlign w:val="center"/>
            <w:hideMark/>
          </w:tcPr>
          <w:p w14:paraId="0C723D19" w14:textId="77777777" w:rsidR="00C2365E" w:rsidRPr="00C2365E" w:rsidRDefault="00C2365E" w:rsidP="00C2365E">
            <w:pPr>
              <w:spacing w:after="0" w:line="240" w:lineRule="auto"/>
              <w:jc w:val="center"/>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752.28 ± 20.52</w:t>
            </w:r>
          </w:p>
        </w:tc>
      </w:tr>
      <w:tr w:rsidR="00C2365E" w:rsidRPr="00C2365E" w14:paraId="1241CD35" w14:textId="77777777" w:rsidTr="00C2365E">
        <w:trPr>
          <w:trHeight w:val="520"/>
        </w:trPr>
        <w:tc>
          <w:tcPr>
            <w:tcW w:w="540" w:type="pct"/>
            <w:tcBorders>
              <w:top w:val="nil"/>
              <w:left w:val="single" w:sz="4" w:space="0" w:color="auto"/>
              <w:bottom w:val="single" w:sz="4" w:space="0" w:color="auto"/>
              <w:right w:val="single" w:sz="4" w:space="0" w:color="auto"/>
            </w:tcBorders>
            <w:vAlign w:val="center"/>
            <w:hideMark/>
          </w:tcPr>
          <w:p w14:paraId="0077D1FD" w14:textId="77777777" w:rsidR="00C2365E" w:rsidRPr="00C2365E" w:rsidRDefault="00C2365E" w:rsidP="00C2365E">
            <w:pPr>
              <w:spacing w:after="0" w:line="240" w:lineRule="auto"/>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AFLD</w:t>
            </w:r>
          </w:p>
        </w:tc>
        <w:tc>
          <w:tcPr>
            <w:tcW w:w="1047" w:type="pct"/>
            <w:tcBorders>
              <w:top w:val="nil"/>
              <w:left w:val="nil"/>
              <w:bottom w:val="single" w:sz="4" w:space="0" w:color="auto"/>
              <w:right w:val="single" w:sz="4" w:space="0" w:color="auto"/>
            </w:tcBorders>
            <w:vAlign w:val="center"/>
            <w:hideMark/>
          </w:tcPr>
          <w:p w14:paraId="0FBF81FF" w14:textId="77777777" w:rsidR="00C2365E" w:rsidRPr="00C2365E" w:rsidRDefault="00C2365E" w:rsidP="00C2365E">
            <w:pPr>
              <w:spacing w:after="0" w:line="240" w:lineRule="auto"/>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865.43±16.63</w:t>
            </w:r>
          </w:p>
        </w:tc>
        <w:tc>
          <w:tcPr>
            <w:tcW w:w="794" w:type="pct"/>
            <w:tcBorders>
              <w:top w:val="nil"/>
              <w:left w:val="nil"/>
              <w:bottom w:val="single" w:sz="4" w:space="0" w:color="auto"/>
              <w:right w:val="single" w:sz="4" w:space="0" w:color="auto"/>
            </w:tcBorders>
            <w:vAlign w:val="center"/>
            <w:hideMark/>
          </w:tcPr>
          <w:p w14:paraId="40EAD81F" w14:textId="77777777" w:rsidR="00C2365E" w:rsidRPr="00C2365E" w:rsidRDefault="00C2365E" w:rsidP="00C2365E">
            <w:pPr>
              <w:spacing w:after="0" w:line="240" w:lineRule="auto"/>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493.52±69.65</w:t>
            </w:r>
          </w:p>
        </w:tc>
        <w:tc>
          <w:tcPr>
            <w:tcW w:w="794" w:type="pct"/>
            <w:tcBorders>
              <w:top w:val="nil"/>
              <w:left w:val="nil"/>
              <w:bottom w:val="single" w:sz="4" w:space="0" w:color="auto"/>
              <w:right w:val="single" w:sz="4" w:space="0" w:color="auto"/>
            </w:tcBorders>
            <w:vAlign w:val="center"/>
            <w:hideMark/>
          </w:tcPr>
          <w:p w14:paraId="0C72035B" w14:textId="77777777" w:rsidR="00C2365E" w:rsidRPr="00C2365E" w:rsidRDefault="00C2365E" w:rsidP="00C2365E">
            <w:pPr>
              <w:spacing w:after="0" w:line="240" w:lineRule="auto"/>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598.65±50.79</w:t>
            </w:r>
          </w:p>
        </w:tc>
        <w:tc>
          <w:tcPr>
            <w:tcW w:w="873" w:type="pct"/>
            <w:tcBorders>
              <w:top w:val="nil"/>
              <w:left w:val="nil"/>
              <w:bottom w:val="single" w:sz="4" w:space="0" w:color="auto"/>
              <w:right w:val="single" w:sz="4" w:space="0" w:color="auto"/>
            </w:tcBorders>
            <w:vAlign w:val="center"/>
            <w:hideMark/>
          </w:tcPr>
          <w:p w14:paraId="0CF76D03" w14:textId="77777777" w:rsidR="00C2365E" w:rsidRPr="00C2365E" w:rsidRDefault="00C2365E" w:rsidP="00C2365E">
            <w:pPr>
              <w:spacing w:after="0" w:line="240" w:lineRule="auto"/>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668.1±38.88</w:t>
            </w:r>
          </w:p>
        </w:tc>
        <w:tc>
          <w:tcPr>
            <w:tcW w:w="952" w:type="pct"/>
            <w:tcBorders>
              <w:top w:val="nil"/>
              <w:left w:val="nil"/>
              <w:bottom w:val="single" w:sz="4" w:space="0" w:color="auto"/>
              <w:right w:val="single" w:sz="4" w:space="0" w:color="auto"/>
            </w:tcBorders>
            <w:vAlign w:val="center"/>
            <w:hideMark/>
          </w:tcPr>
          <w:p w14:paraId="0B1DD35A" w14:textId="77777777" w:rsidR="00C2365E" w:rsidRPr="00C2365E" w:rsidRDefault="00C2365E" w:rsidP="00C2365E">
            <w:pPr>
              <w:spacing w:after="0" w:line="240" w:lineRule="auto"/>
              <w:rPr>
                <w:rFonts w:ascii="Times New Roman" w:eastAsia="Times New Roman" w:hAnsi="Times New Roman" w:cs="Times New Roman"/>
                <w:color w:val="000000"/>
                <w:sz w:val="20"/>
                <w:szCs w:val="20"/>
                <w:lang w:val="en-IN" w:eastAsia="en-IN"/>
              </w:rPr>
            </w:pPr>
            <w:r w:rsidRPr="00C2365E">
              <w:rPr>
                <w:rFonts w:ascii="Times New Roman" w:eastAsia="Times New Roman" w:hAnsi="Times New Roman" w:cs="Times New Roman"/>
                <w:color w:val="000000"/>
                <w:sz w:val="20"/>
                <w:szCs w:val="20"/>
                <w:lang w:eastAsia="en-IN"/>
              </w:rPr>
              <w:t>767.7 ± 16.32</w:t>
            </w:r>
          </w:p>
        </w:tc>
      </w:tr>
    </w:tbl>
    <w:p w14:paraId="0082C62D" w14:textId="77777777" w:rsidR="00C2365E" w:rsidRDefault="00C2365E"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3107F78F" w14:textId="77777777" w:rsidR="00C2365E" w:rsidRDefault="00C2365E" w:rsidP="00C2365E">
      <w:pPr>
        <w:autoSpaceDE w:val="0"/>
        <w:autoSpaceDN w:val="0"/>
        <w:adjustRightInd w:val="0"/>
        <w:spacing w:after="0" w:line="360" w:lineRule="auto"/>
        <w:jc w:val="both"/>
        <w:rPr>
          <w:rFonts w:ascii="Times New Roman" w:hAnsi="Times New Roman" w:cs="Times New Roman"/>
          <w:b/>
          <w:bCs/>
          <w:color w:val="0070C0"/>
          <w:sz w:val="16"/>
          <w:szCs w:val="18"/>
          <w:lang w:val="en-IN" w:eastAsia="en-IN"/>
        </w:rPr>
      </w:pPr>
    </w:p>
    <w:p w14:paraId="5D035D5C" w14:textId="77777777" w:rsidR="00C2365E" w:rsidRPr="00C2365E" w:rsidRDefault="00C2365E" w:rsidP="00C2365E">
      <w:pPr>
        <w:spacing w:after="0" w:line="360" w:lineRule="auto"/>
        <w:jc w:val="both"/>
        <w:rPr>
          <w:rFonts w:ascii="Times New Roman" w:hAnsi="Times New Roman" w:cs="Times New Roman"/>
          <w:sz w:val="20"/>
          <w:szCs w:val="18"/>
        </w:rPr>
      </w:pPr>
      <w:r w:rsidRPr="00C2365E">
        <w:rPr>
          <w:rFonts w:ascii="Times New Roman" w:hAnsi="Times New Roman" w:cs="Times New Roman"/>
          <w:sz w:val="20"/>
          <w:szCs w:val="18"/>
        </w:rPr>
        <w:t>Values are presented as mean ± SD. Post-contrast T1 values were measured at multiple time points (10–40 min) following Gd-EOB-DTPA administration.</w:t>
      </w:r>
    </w:p>
    <w:p w14:paraId="65217879" w14:textId="77777777" w:rsidR="00C2365E" w:rsidRPr="00C2365E" w:rsidRDefault="00C2365E" w:rsidP="00C2365E">
      <w:pPr>
        <w:spacing w:after="0" w:line="360" w:lineRule="auto"/>
        <w:jc w:val="both"/>
        <w:rPr>
          <w:rFonts w:ascii="Times New Roman" w:hAnsi="Times New Roman" w:cs="Times New Roman"/>
          <w:sz w:val="20"/>
          <w:szCs w:val="18"/>
        </w:rPr>
      </w:pPr>
      <w:r w:rsidRPr="00C2365E">
        <w:rPr>
          <w:rFonts w:ascii="Times New Roman" w:hAnsi="Times New Roman" w:cs="Times New Roman"/>
          <w:sz w:val="20"/>
          <w:szCs w:val="18"/>
        </w:rPr>
        <w:t>ΔR1 (%) was calculated as:</w:t>
      </w:r>
    </w:p>
    <w:p w14:paraId="5017A2EE" w14:textId="77777777" w:rsidR="00C2365E" w:rsidRPr="00C2365E" w:rsidRDefault="00C2365E" w:rsidP="00C2365E">
      <w:pPr>
        <w:spacing w:after="0" w:line="360" w:lineRule="auto"/>
        <w:jc w:val="center"/>
        <w:rPr>
          <w:rFonts w:ascii="Times New Roman" w:hAnsi="Times New Roman" w:cs="Times New Roman"/>
          <w:sz w:val="20"/>
          <w:szCs w:val="18"/>
        </w:rPr>
      </w:pPr>
      <w:r w:rsidRPr="00C2365E">
        <w:rPr>
          <w:rFonts w:ascii="Times New Roman" w:hAnsi="Times New Roman" w:cs="Times New Roman"/>
          <w:sz w:val="20"/>
          <w:szCs w:val="18"/>
        </w:rPr>
        <w:t>ΔR1%=</w:t>
      </w:r>
      <m:oMath>
        <m:f>
          <m:fPr>
            <m:ctrlPr>
              <w:rPr>
                <w:rFonts w:ascii="Cambria Math" w:hAnsi="Cambria Math" w:cs="Times New Roman"/>
                <w:i/>
                <w:sz w:val="20"/>
                <w:szCs w:val="18"/>
              </w:rPr>
            </m:ctrlPr>
          </m:fPr>
          <m:num>
            <m:r>
              <w:rPr>
                <w:rFonts w:ascii="Cambria Math" w:hAnsi="Cambria Math" w:cs="Times New Roman"/>
                <w:sz w:val="20"/>
                <w:szCs w:val="18"/>
              </w:rPr>
              <m:t>R</m:t>
            </m:r>
            <m:sSub>
              <m:sSubPr>
                <m:ctrlPr>
                  <w:rPr>
                    <w:rFonts w:ascii="Cambria Math" w:hAnsi="Cambria Math" w:cs="Times New Roman"/>
                    <w:i/>
                    <w:sz w:val="20"/>
                    <w:szCs w:val="18"/>
                  </w:rPr>
                </m:ctrlPr>
              </m:sSubPr>
              <m:e>
                <m:r>
                  <w:rPr>
                    <w:rFonts w:ascii="Cambria Math" w:hAnsi="Cambria Math" w:cs="Times New Roman"/>
                    <w:sz w:val="20"/>
                    <w:szCs w:val="18"/>
                  </w:rPr>
                  <m:t>1</m:t>
                </m:r>
              </m:e>
              <m:sub>
                <m:r>
                  <w:rPr>
                    <w:rFonts w:ascii="Cambria Math" w:hAnsi="Cambria Math" w:cs="Times New Roman"/>
                    <w:sz w:val="20"/>
                    <w:szCs w:val="18"/>
                  </w:rPr>
                  <m:t>post</m:t>
                </m:r>
              </m:sub>
            </m:sSub>
            <m:r>
              <w:rPr>
                <w:rFonts w:ascii="Cambria Math" w:hAnsi="Cambria Math" w:cs="Times New Roman"/>
                <w:sz w:val="20"/>
                <w:szCs w:val="18"/>
              </w:rPr>
              <m:t>-R</m:t>
            </m:r>
            <m:sSub>
              <m:sSubPr>
                <m:ctrlPr>
                  <w:rPr>
                    <w:rFonts w:ascii="Cambria Math" w:hAnsi="Cambria Math" w:cs="Times New Roman"/>
                    <w:i/>
                    <w:sz w:val="20"/>
                    <w:szCs w:val="18"/>
                  </w:rPr>
                </m:ctrlPr>
              </m:sSubPr>
              <m:e>
                <m:r>
                  <w:rPr>
                    <w:rFonts w:ascii="Cambria Math" w:hAnsi="Cambria Math" w:cs="Times New Roman"/>
                    <w:sz w:val="20"/>
                    <w:szCs w:val="18"/>
                  </w:rPr>
                  <m:t>1</m:t>
                </m:r>
              </m:e>
              <m:sub>
                <m:r>
                  <w:rPr>
                    <w:rFonts w:ascii="Cambria Math" w:hAnsi="Cambria Math" w:cs="Times New Roman"/>
                    <w:sz w:val="20"/>
                    <w:szCs w:val="18"/>
                  </w:rPr>
                  <m:t>pre</m:t>
                </m:r>
              </m:sub>
            </m:sSub>
          </m:num>
          <m:den>
            <m:r>
              <w:rPr>
                <w:rFonts w:ascii="Cambria Math" w:hAnsi="Cambria Math" w:cs="Times New Roman"/>
                <w:sz w:val="20"/>
                <w:szCs w:val="18"/>
              </w:rPr>
              <m:t>R</m:t>
            </m:r>
            <m:sSub>
              <m:sSubPr>
                <m:ctrlPr>
                  <w:rPr>
                    <w:rFonts w:ascii="Cambria Math" w:hAnsi="Cambria Math" w:cs="Times New Roman"/>
                    <w:i/>
                    <w:sz w:val="20"/>
                    <w:szCs w:val="18"/>
                  </w:rPr>
                </m:ctrlPr>
              </m:sSubPr>
              <m:e>
                <m:r>
                  <w:rPr>
                    <w:rFonts w:ascii="Cambria Math" w:hAnsi="Cambria Math" w:cs="Times New Roman"/>
                    <w:sz w:val="20"/>
                    <w:szCs w:val="18"/>
                  </w:rPr>
                  <m:t>1</m:t>
                </m:r>
              </m:e>
              <m:sub>
                <m:r>
                  <w:rPr>
                    <w:rFonts w:ascii="Cambria Math" w:hAnsi="Cambria Math" w:cs="Times New Roman"/>
                    <w:sz w:val="20"/>
                    <w:szCs w:val="18"/>
                  </w:rPr>
                  <m:t>pre</m:t>
                </m:r>
              </m:sub>
            </m:sSub>
          </m:den>
        </m:f>
      </m:oMath>
      <w:r w:rsidRPr="00C2365E">
        <w:rPr>
          <w:rFonts w:ascii="Times New Roman" w:hAnsi="Times New Roman" w:cs="Times New Roman"/>
          <w:sz w:val="20"/>
          <w:szCs w:val="18"/>
        </w:rPr>
        <w:t>×100</w:t>
      </w:r>
    </w:p>
    <w:p w14:paraId="35D270A9" w14:textId="77777777" w:rsidR="00C2365E" w:rsidRPr="00C2365E" w:rsidRDefault="00C2365E" w:rsidP="00C2365E">
      <w:pPr>
        <w:spacing w:after="0" w:line="360" w:lineRule="auto"/>
        <w:jc w:val="both"/>
        <w:rPr>
          <w:rFonts w:ascii="Times New Roman" w:hAnsi="Times New Roman" w:cs="Times New Roman"/>
          <w:sz w:val="20"/>
          <w:szCs w:val="18"/>
        </w:rPr>
      </w:pPr>
    </w:p>
    <w:p w14:paraId="6538C1F5" w14:textId="77777777" w:rsidR="00C2365E" w:rsidRPr="00C2365E" w:rsidRDefault="00C2365E" w:rsidP="00C2365E">
      <w:pPr>
        <w:spacing w:after="0" w:line="360" w:lineRule="auto"/>
        <w:jc w:val="center"/>
        <w:rPr>
          <w:rFonts w:ascii="Times New Roman" w:hAnsi="Times New Roman" w:cs="Times New Roman"/>
          <w:sz w:val="20"/>
          <w:szCs w:val="18"/>
        </w:rPr>
      </w:pPr>
      <w:r w:rsidRPr="00C2365E">
        <w:rPr>
          <w:rFonts w:ascii="Times New Roman" w:hAnsi="Times New Roman" w:cs="Times New Roman"/>
          <w:sz w:val="20"/>
          <w:szCs w:val="18"/>
        </w:rPr>
        <w:t>Where R1=1/T1</w:t>
      </w:r>
    </w:p>
    <w:p w14:paraId="03EAAD34" w14:textId="77777777" w:rsidR="00C2365E" w:rsidRPr="00C2365E" w:rsidRDefault="00C2365E" w:rsidP="00C2365E">
      <w:pPr>
        <w:autoSpaceDE w:val="0"/>
        <w:autoSpaceDN w:val="0"/>
        <w:adjustRightInd w:val="0"/>
        <w:spacing w:after="0" w:line="360" w:lineRule="auto"/>
        <w:jc w:val="both"/>
        <w:rPr>
          <w:rFonts w:ascii="Times New Roman" w:hAnsi="Times New Roman" w:cs="Times New Roman"/>
          <w:b/>
          <w:bCs/>
          <w:color w:val="0070C0"/>
          <w:sz w:val="12"/>
          <w:szCs w:val="14"/>
          <w:lang w:val="en-IN" w:eastAsia="en-IN"/>
        </w:rPr>
      </w:pPr>
    </w:p>
    <w:sectPr w:rsidR="00C2365E" w:rsidRPr="00C2365E" w:rsidSect="005F4CD9">
      <w:headerReference w:type="default" r:id="rId18"/>
      <w:footerReference w:type="default" r:id="rId19"/>
      <w:type w:val="continuous"/>
      <w:pgSz w:w="12240" w:h="15840" w:code="1"/>
      <w:pgMar w:top="576" w:right="1183" w:bottom="1008" w:left="1276"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FDB12" w14:textId="77777777" w:rsidR="0047413C" w:rsidRDefault="0047413C" w:rsidP="00A62EFF">
      <w:pPr>
        <w:spacing w:after="0" w:line="240" w:lineRule="auto"/>
      </w:pPr>
      <w:r>
        <w:separator/>
      </w:r>
    </w:p>
  </w:endnote>
  <w:endnote w:type="continuationSeparator" w:id="0">
    <w:p w14:paraId="6D525A89" w14:textId="77777777" w:rsidR="0047413C" w:rsidRDefault="0047413C"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思源黑体">
    <w:altName w:val="SimHei"/>
    <w:charset w:val="86"/>
    <w:family w:val="auto"/>
    <w:pitch w:val="default"/>
    <w:sig w:usb0="00000000" w:usb1="00000000" w:usb2="00000000" w:usb3="00000000" w:csb0="003E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A5F7" w14:textId="77777777" w:rsidR="00E615FE" w:rsidRDefault="00E615FE" w:rsidP="00D82557">
    <w:pPr>
      <w:pStyle w:val="Footer"/>
      <w:tabs>
        <w:tab w:val="clear" w:pos="9360"/>
        <w:tab w:val="right" w:pos="9639"/>
      </w:tabs>
      <w:rPr>
        <w:rFonts w:ascii="Times New Roman" w:hAnsi="Times New Roman" w:cs="Times New Roman"/>
        <w:b/>
        <w:i/>
        <w:color w:val="2E74B5"/>
        <w:sz w:val="20"/>
        <w:szCs w:val="20"/>
      </w:rPr>
    </w:pPr>
  </w:p>
  <w:p w14:paraId="068034AF" w14:textId="77777777" w:rsidR="00E615FE" w:rsidRDefault="00E615FE" w:rsidP="00D82557">
    <w:pPr>
      <w:pStyle w:val="Footer"/>
      <w:tabs>
        <w:tab w:val="clear" w:pos="9360"/>
        <w:tab w:val="right" w:pos="9639"/>
      </w:tabs>
      <w:rPr>
        <w:rFonts w:ascii="Times New Roman" w:hAnsi="Times New Roman" w:cs="Times New Roman"/>
        <w:b/>
        <w:i/>
        <w:color w:val="2E74B5"/>
        <w:sz w:val="20"/>
        <w:szCs w:val="20"/>
      </w:rPr>
    </w:pPr>
  </w:p>
  <w:p w14:paraId="2F757B06" w14:textId="5FD87C5D" w:rsidR="00B04B55" w:rsidRPr="004419B9" w:rsidRDefault="00661852" w:rsidP="00D82557">
    <w:pPr>
      <w:pStyle w:val="Footer"/>
      <w:tabs>
        <w:tab w:val="clear" w:pos="9360"/>
        <w:tab w:val="right" w:pos="9639"/>
      </w:tabs>
      <w:rPr>
        <w:rFonts w:ascii="Times New Roman" w:hAnsi="Times New Roman" w:cs="Times New Roman"/>
        <w:b/>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sidR="00CB3A1B">
      <w:rPr>
        <w:rFonts w:ascii="Times New Roman" w:hAnsi="Times New Roman" w:cs="Times New Roman"/>
        <w:b/>
        <w:color w:val="2E74B5"/>
        <w:sz w:val="20"/>
        <w:szCs w:val="20"/>
      </w:rPr>
      <w:t xml:space="preserve"> 2026</w:t>
    </w:r>
    <w:r w:rsidR="00B04B55"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D8DDA" w14:textId="77777777" w:rsidR="0047413C" w:rsidRDefault="0047413C" w:rsidP="00A62EFF">
      <w:pPr>
        <w:spacing w:after="0" w:line="240" w:lineRule="auto"/>
      </w:pPr>
      <w:r>
        <w:separator/>
      </w:r>
    </w:p>
  </w:footnote>
  <w:footnote w:type="continuationSeparator" w:id="0">
    <w:p w14:paraId="7E937029" w14:textId="77777777" w:rsidR="0047413C" w:rsidRDefault="0047413C"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17323" w14:textId="4223A819" w:rsidR="007149D1" w:rsidRDefault="00661852" w:rsidP="00661852">
    <w:pPr>
      <w:pStyle w:val="Header"/>
      <w:tabs>
        <w:tab w:val="clear" w:pos="9360"/>
        <w:tab w:val="right" w:pos="9781"/>
      </w:tabs>
      <w:spacing w:line="360" w:lineRule="auto"/>
      <w:jc w:val="both"/>
      <w:rPr>
        <w:rFonts w:ascii="Times New Roman" w:hAnsi="Times New Roman" w:cs="Times New Roman"/>
        <w:b/>
        <w:bCs/>
        <w:i/>
        <w:color w:val="2E74B6"/>
        <w:sz w:val="20"/>
        <w:szCs w:val="20"/>
        <w:lang w:val="en-IN"/>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Pr>
        <w:rFonts w:ascii="Times New Roman" w:hAnsi="Times New Roman" w:cs="Times New Roman"/>
        <w:b/>
        <w:i/>
        <w:color w:val="2E74B5"/>
        <w:sz w:val="20"/>
        <w:szCs w:val="20"/>
      </w:rPr>
      <w:t xml:space="preserve"> 202</w:t>
    </w:r>
    <w:r w:rsidR="009676CF">
      <w:rPr>
        <w:rFonts w:ascii="Times New Roman" w:hAnsi="Times New Roman" w:cs="Times New Roman"/>
        <w:b/>
        <w:i/>
        <w:color w:val="2E74B5"/>
        <w:sz w:val="20"/>
        <w:szCs w:val="20"/>
      </w:rPr>
      <w:t>6</w:t>
    </w:r>
    <w:r w:rsidR="009B14B5">
      <w:rPr>
        <w:rFonts w:ascii="Times New Roman" w:hAnsi="Times New Roman" w:cs="Times New Roman"/>
        <w:b/>
        <w:i/>
        <w:color w:val="2E74B5"/>
        <w:sz w:val="20"/>
        <w:szCs w:val="20"/>
      </w:rPr>
      <w:t xml:space="preserve">                                                                                                           </w:t>
    </w:r>
    <w:r w:rsidR="00B04B55">
      <w:rPr>
        <w:rFonts w:ascii="Times New Roman" w:hAnsi="Times New Roman" w:cs="Times New Roman"/>
        <w:b/>
        <w:bCs/>
        <w:i/>
        <w:color w:val="2E74B6"/>
        <w:sz w:val="20"/>
        <w:szCs w:val="20"/>
      </w:rPr>
      <w:t>DOI:</w:t>
    </w:r>
    <w:r w:rsidRPr="00661852">
      <w:t xml:space="preserve"> </w:t>
    </w:r>
    <w:r w:rsidR="003E7B88" w:rsidRPr="003E7B88">
      <w:rPr>
        <w:rFonts w:ascii="Times New Roman" w:hAnsi="Times New Roman" w:cs="Times New Roman"/>
        <w:b/>
        <w:bCs/>
        <w:i/>
        <w:color w:val="2E74B6"/>
        <w:sz w:val="20"/>
        <w:szCs w:val="20"/>
        <w:lang w:val="en-IN"/>
      </w:rPr>
      <w:t>10.26502/jrci.2809137</w:t>
    </w:r>
  </w:p>
  <w:p w14:paraId="137ED56E" w14:textId="77777777" w:rsidR="00E615FE" w:rsidRPr="009B14B5" w:rsidRDefault="00E615FE" w:rsidP="00661852">
    <w:pPr>
      <w:pStyle w:val="Header"/>
      <w:tabs>
        <w:tab w:val="clear" w:pos="9360"/>
        <w:tab w:val="right" w:pos="9781"/>
      </w:tabs>
      <w:spacing w:line="360" w:lineRule="auto"/>
      <w:jc w:val="both"/>
      <w:rPr>
        <w:rFonts w:ascii="Times New Roman" w:hAnsi="Times New Roman" w:cs="Times New Roman"/>
        <w:b/>
        <w:i/>
        <w:color w:val="2E74B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3B00"/>
    <w:multiLevelType w:val="multilevel"/>
    <w:tmpl w:val="4412F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550F1F"/>
    <w:multiLevelType w:val="hybridMultilevel"/>
    <w:tmpl w:val="731217B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30450F22"/>
    <w:multiLevelType w:val="hybridMultilevel"/>
    <w:tmpl w:val="98AA24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3016DE5"/>
    <w:multiLevelType w:val="hybridMultilevel"/>
    <w:tmpl w:val="D2A6E414"/>
    <w:lvl w:ilvl="0" w:tplc="40090001">
      <w:start w:val="1"/>
      <w:numFmt w:val="bullet"/>
      <w:lvlText w:val=""/>
      <w:lvlJc w:val="left"/>
      <w:pPr>
        <w:ind w:left="440" w:hanging="440"/>
      </w:pPr>
      <w:rPr>
        <w:rFonts w:ascii="Symbol" w:hAnsi="Symbol" w:hint="default"/>
        <w:b/>
        <w:bCs w:val="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4FD85221"/>
    <w:multiLevelType w:val="hybridMultilevel"/>
    <w:tmpl w:val="F936456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3095365"/>
    <w:multiLevelType w:val="hybridMultilevel"/>
    <w:tmpl w:val="2AC884CE"/>
    <w:lvl w:ilvl="0" w:tplc="40090001">
      <w:start w:val="1"/>
      <w:numFmt w:val="bullet"/>
      <w:lvlText w:val=""/>
      <w:lvlJc w:val="left"/>
      <w:pPr>
        <w:ind w:left="810" w:hanging="360"/>
      </w:pPr>
      <w:rPr>
        <w:rFonts w:ascii="Symbol" w:hAnsi="Symbol"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6" w15:restartNumberingAfterBreak="0">
    <w:nsid w:val="6EDD6D8D"/>
    <w:multiLevelType w:val="multilevel"/>
    <w:tmpl w:val="9C9EF9CC"/>
    <w:lvl w:ilvl="0">
      <w:start w:val="1"/>
      <w:numFmt w:val="decimal"/>
      <w:lvlText w:val="%1."/>
      <w:lvlJc w:val="left"/>
      <w:pPr>
        <w:tabs>
          <w:tab w:val="num" w:pos="720"/>
        </w:tabs>
        <w:ind w:left="720" w:hanging="360"/>
      </w:pPr>
      <w:rPr>
        <w:rFonts w:ascii="Aptos" w:eastAsiaTheme="majorEastAsia" w:hAnsi="Aptos" w:cs="Segoe U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AF112F"/>
    <w:multiLevelType w:val="hybridMultilevel"/>
    <w:tmpl w:val="FCC011E8"/>
    <w:lvl w:ilvl="0" w:tplc="3D682908">
      <w:start w:val="1"/>
      <w:numFmt w:val="bullet"/>
      <w:lvlText w:val=""/>
      <w:lvlJc w:val="left"/>
      <w:pPr>
        <w:tabs>
          <w:tab w:val="num" w:pos="450"/>
        </w:tabs>
        <w:ind w:left="450" w:hanging="360"/>
      </w:pPr>
      <w:rPr>
        <w:rFonts w:ascii="Wingdings" w:hAnsi="Wingdings" w:hint="default"/>
      </w:rPr>
    </w:lvl>
    <w:lvl w:ilvl="1" w:tplc="698A5D9A" w:tentative="1">
      <w:start w:val="1"/>
      <w:numFmt w:val="bullet"/>
      <w:lvlText w:val=""/>
      <w:lvlJc w:val="left"/>
      <w:pPr>
        <w:tabs>
          <w:tab w:val="num" w:pos="1170"/>
        </w:tabs>
        <w:ind w:left="1170" w:hanging="360"/>
      </w:pPr>
      <w:rPr>
        <w:rFonts w:ascii="Wingdings" w:hAnsi="Wingdings" w:hint="default"/>
      </w:rPr>
    </w:lvl>
    <w:lvl w:ilvl="2" w:tplc="3DD0B132" w:tentative="1">
      <w:start w:val="1"/>
      <w:numFmt w:val="bullet"/>
      <w:lvlText w:val=""/>
      <w:lvlJc w:val="left"/>
      <w:pPr>
        <w:tabs>
          <w:tab w:val="num" w:pos="1890"/>
        </w:tabs>
        <w:ind w:left="1890" w:hanging="360"/>
      </w:pPr>
      <w:rPr>
        <w:rFonts w:ascii="Wingdings" w:hAnsi="Wingdings" w:hint="default"/>
      </w:rPr>
    </w:lvl>
    <w:lvl w:ilvl="3" w:tplc="7FAA0F20" w:tentative="1">
      <w:start w:val="1"/>
      <w:numFmt w:val="bullet"/>
      <w:lvlText w:val=""/>
      <w:lvlJc w:val="left"/>
      <w:pPr>
        <w:tabs>
          <w:tab w:val="num" w:pos="2610"/>
        </w:tabs>
        <w:ind w:left="2610" w:hanging="360"/>
      </w:pPr>
      <w:rPr>
        <w:rFonts w:ascii="Wingdings" w:hAnsi="Wingdings" w:hint="default"/>
      </w:rPr>
    </w:lvl>
    <w:lvl w:ilvl="4" w:tplc="7E9CCB0E" w:tentative="1">
      <w:start w:val="1"/>
      <w:numFmt w:val="bullet"/>
      <w:lvlText w:val=""/>
      <w:lvlJc w:val="left"/>
      <w:pPr>
        <w:tabs>
          <w:tab w:val="num" w:pos="3330"/>
        </w:tabs>
        <w:ind w:left="3330" w:hanging="360"/>
      </w:pPr>
      <w:rPr>
        <w:rFonts w:ascii="Wingdings" w:hAnsi="Wingdings" w:hint="default"/>
      </w:rPr>
    </w:lvl>
    <w:lvl w:ilvl="5" w:tplc="6DEC4E28" w:tentative="1">
      <w:start w:val="1"/>
      <w:numFmt w:val="bullet"/>
      <w:lvlText w:val=""/>
      <w:lvlJc w:val="left"/>
      <w:pPr>
        <w:tabs>
          <w:tab w:val="num" w:pos="4050"/>
        </w:tabs>
        <w:ind w:left="4050" w:hanging="360"/>
      </w:pPr>
      <w:rPr>
        <w:rFonts w:ascii="Wingdings" w:hAnsi="Wingdings" w:hint="default"/>
      </w:rPr>
    </w:lvl>
    <w:lvl w:ilvl="6" w:tplc="C572197C" w:tentative="1">
      <w:start w:val="1"/>
      <w:numFmt w:val="bullet"/>
      <w:lvlText w:val=""/>
      <w:lvlJc w:val="left"/>
      <w:pPr>
        <w:tabs>
          <w:tab w:val="num" w:pos="4770"/>
        </w:tabs>
        <w:ind w:left="4770" w:hanging="360"/>
      </w:pPr>
      <w:rPr>
        <w:rFonts w:ascii="Wingdings" w:hAnsi="Wingdings" w:hint="default"/>
      </w:rPr>
    </w:lvl>
    <w:lvl w:ilvl="7" w:tplc="28EA16B8" w:tentative="1">
      <w:start w:val="1"/>
      <w:numFmt w:val="bullet"/>
      <w:lvlText w:val=""/>
      <w:lvlJc w:val="left"/>
      <w:pPr>
        <w:tabs>
          <w:tab w:val="num" w:pos="5490"/>
        </w:tabs>
        <w:ind w:left="5490" w:hanging="360"/>
      </w:pPr>
      <w:rPr>
        <w:rFonts w:ascii="Wingdings" w:hAnsi="Wingdings" w:hint="default"/>
      </w:rPr>
    </w:lvl>
    <w:lvl w:ilvl="8" w:tplc="06BEE33A" w:tentative="1">
      <w:start w:val="1"/>
      <w:numFmt w:val="bullet"/>
      <w:lvlText w:val=""/>
      <w:lvlJc w:val="left"/>
      <w:pPr>
        <w:tabs>
          <w:tab w:val="num" w:pos="6210"/>
        </w:tabs>
        <w:ind w:left="6210" w:hanging="360"/>
      </w:pPr>
      <w:rPr>
        <w:rFonts w:ascii="Wingdings" w:hAnsi="Wingdings" w:hint="default"/>
      </w:rPr>
    </w:lvl>
  </w:abstractNum>
  <w:abstractNum w:abstractNumId="8" w15:restartNumberingAfterBreak="0">
    <w:nsid w:val="72FE493B"/>
    <w:multiLevelType w:val="multilevel"/>
    <w:tmpl w:val="61B4D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AE33E8"/>
    <w:multiLevelType w:val="multilevel"/>
    <w:tmpl w:val="F9560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B80280"/>
    <w:multiLevelType w:val="hybridMultilevel"/>
    <w:tmpl w:val="342CF7AC"/>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1" w15:restartNumberingAfterBreak="0">
    <w:nsid w:val="791D2F3B"/>
    <w:multiLevelType w:val="hybridMultilevel"/>
    <w:tmpl w:val="38E04C00"/>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num w:numId="1" w16cid:durableId="831675205">
    <w:abstractNumId w:val="8"/>
  </w:num>
  <w:num w:numId="2" w16cid:durableId="2057117033">
    <w:abstractNumId w:val="10"/>
  </w:num>
  <w:num w:numId="3" w16cid:durableId="1943486240">
    <w:abstractNumId w:val="9"/>
  </w:num>
  <w:num w:numId="4" w16cid:durableId="16396914">
    <w:abstractNumId w:val="7"/>
  </w:num>
  <w:num w:numId="5" w16cid:durableId="852299595">
    <w:abstractNumId w:val="5"/>
  </w:num>
  <w:num w:numId="6" w16cid:durableId="839850393">
    <w:abstractNumId w:val="2"/>
  </w:num>
  <w:num w:numId="7" w16cid:durableId="1025861635">
    <w:abstractNumId w:val="11"/>
  </w:num>
  <w:num w:numId="8" w16cid:durableId="1170833038">
    <w:abstractNumId w:val="4"/>
  </w:num>
  <w:num w:numId="9" w16cid:durableId="136995510">
    <w:abstractNumId w:val="3"/>
  </w:num>
  <w:num w:numId="10" w16cid:durableId="1085803640">
    <w:abstractNumId w:val="1"/>
  </w:num>
  <w:num w:numId="11" w16cid:durableId="1810172838">
    <w:abstractNumId w:val="6"/>
  </w:num>
  <w:num w:numId="12" w16cid:durableId="62666834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835"/>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671"/>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F1C"/>
    <w:rsid w:val="00052111"/>
    <w:rsid w:val="0005217F"/>
    <w:rsid w:val="000521E7"/>
    <w:rsid w:val="000523A6"/>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A7"/>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1DC"/>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CC5"/>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87FEE"/>
    <w:rsid w:val="00090274"/>
    <w:rsid w:val="00090396"/>
    <w:rsid w:val="00090961"/>
    <w:rsid w:val="00090AE3"/>
    <w:rsid w:val="00091539"/>
    <w:rsid w:val="00091711"/>
    <w:rsid w:val="00091779"/>
    <w:rsid w:val="000919AB"/>
    <w:rsid w:val="00091B31"/>
    <w:rsid w:val="00091FAF"/>
    <w:rsid w:val="00092068"/>
    <w:rsid w:val="0009228D"/>
    <w:rsid w:val="00092365"/>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69D"/>
    <w:rsid w:val="000A1B0E"/>
    <w:rsid w:val="000A1CA9"/>
    <w:rsid w:val="000A2131"/>
    <w:rsid w:val="000A244F"/>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AC7"/>
    <w:rsid w:val="000A3B57"/>
    <w:rsid w:val="000A3EEB"/>
    <w:rsid w:val="000A3F8D"/>
    <w:rsid w:val="000A43A8"/>
    <w:rsid w:val="000A46A8"/>
    <w:rsid w:val="000A4B35"/>
    <w:rsid w:val="000A5659"/>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BF7"/>
    <w:rsid w:val="000B1C20"/>
    <w:rsid w:val="000B1C71"/>
    <w:rsid w:val="000B221A"/>
    <w:rsid w:val="000B2495"/>
    <w:rsid w:val="000B25CD"/>
    <w:rsid w:val="000B2610"/>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3B6"/>
    <w:rsid w:val="000B448F"/>
    <w:rsid w:val="000B4982"/>
    <w:rsid w:val="000B4C45"/>
    <w:rsid w:val="000B4DEC"/>
    <w:rsid w:val="000B4F18"/>
    <w:rsid w:val="000B4F7F"/>
    <w:rsid w:val="000B50F2"/>
    <w:rsid w:val="000B5969"/>
    <w:rsid w:val="000B5CAB"/>
    <w:rsid w:val="000B5D89"/>
    <w:rsid w:val="000B5E0A"/>
    <w:rsid w:val="000B5F97"/>
    <w:rsid w:val="000B6321"/>
    <w:rsid w:val="000B6641"/>
    <w:rsid w:val="000B6819"/>
    <w:rsid w:val="000B6ACE"/>
    <w:rsid w:val="000B6BA5"/>
    <w:rsid w:val="000B6CE9"/>
    <w:rsid w:val="000B7765"/>
    <w:rsid w:val="000B7BC1"/>
    <w:rsid w:val="000B7CD8"/>
    <w:rsid w:val="000C010B"/>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1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0C"/>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D7E08"/>
    <w:rsid w:val="000E0090"/>
    <w:rsid w:val="000E0452"/>
    <w:rsid w:val="000E0542"/>
    <w:rsid w:val="000E08AB"/>
    <w:rsid w:val="000E090C"/>
    <w:rsid w:val="000E0E8F"/>
    <w:rsid w:val="000E11F6"/>
    <w:rsid w:val="000E1222"/>
    <w:rsid w:val="000E12B9"/>
    <w:rsid w:val="000E14A5"/>
    <w:rsid w:val="000E14B8"/>
    <w:rsid w:val="000E152C"/>
    <w:rsid w:val="000E1630"/>
    <w:rsid w:val="000E1AD2"/>
    <w:rsid w:val="000E2024"/>
    <w:rsid w:val="000E22A3"/>
    <w:rsid w:val="000E23A3"/>
    <w:rsid w:val="000E23A6"/>
    <w:rsid w:val="000E2553"/>
    <w:rsid w:val="000E32FD"/>
    <w:rsid w:val="000E331F"/>
    <w:rsid w:val="000E3324"/>
    <w:rsid w:val="000E35CE"/>
    <w:rsid w:val="000E3920"/>
    <w:rsid w:val="000E3BA1"/>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8BA"/>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601"/>
    <w:rsid w:val="001209FE"/>
    <w:rsid w:val="00120BDB"/>
    <w:rsid w:val="00120CF6"/>
    <w:rsid w:val="00120E41"/>
    <w:rsid w:val="00121591"/>
    <w:rsid w:val="0012176B"/>
    <w:rsid w:val="00121855"/>
    <w:rsid w:val="00121A7B"/>
    <w:rsid w:val="00121BF2"/>
    <w:rsid w:val="00121E30"/>
    <w:rsid w:val="00122156"/>
    <w:rsid w:val="00122455"/>
    <w:rsid w:val="001224A5"/>
    <w:rsid w:val="00122603"/>
    <w:rsid w:val="00122959"/>
    <w:rsid w:val="00122CB3"/>
    <w:rsid w:val="00122D08"/>
    <w:rsid w:val="001231A2"/>
    <w:rsid w:val="00123292"/>
    <w:rsid w:val="00123508"/>
    <w:rsid w:val="0012373D"/>
    <w:rsid w:val="001237FD"/>
    <w:rsid w:val="00123A01"/>
    <w:rsid w:val="00123E3E"/>
    <w:rsid w:val="00123EE4"/>
    <w:rsid w:val="001240EA"/>
    <w:rsid w:val="00124253"/>
    <w:rsid w:val="00124618"/>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0AC"/>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02B"/>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BEF"/>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5F1"/>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444"/>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0D"/>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A26"/>
    <w:rsid w:val="00191B16"/>
    <w:rsid w:val="00191C68"/>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D7"/>
    <w:rsid w:val="001970BB"/>
    <w:rsid w:val="0019713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E9C"/>
    <w:rsid w:val="001A2FFF"/>
    <w:rsid w:val="001A34FB"/>
    <w:rsid w:val="001A369F"/>
    <w:rsid w:val="001A385B"/>
    <w:rsid w:val="001A3F06"/>
    <w:rsid w:val="001A403B"/>
    <w:rsid w:val="001A4299"/>
    <w:rsid w:val="001A44BD"/>
    <w:rsid w:val="001A474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5B4"/>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2CC5"/>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3E6"/>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4D9"/>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5AB"/>
    <w:rsid w:val="001D0603"/>
    <w:rsid w:val="001D0653"/>
    <w:rsid w:val="001D06C3"/>
    <w:rsid w:val="001D0A99"/>
    <w:rsid w:val="001D10C0"/>
    <w:rsid w:val="001D1198"/>
    <w:rsid w:val="001D150B"/>
    <w:rsid w:val="001D1517"/>
    <w:rsid w:val="001D1607"/>
    <w:rsid w:val="001D1914"/>
    <w:rsid w:val="001D1B24"/>
    <w:rsid w:val="001D1B6E"/>
    <w:rsid w:val="001D1C2E"/>
    <w:rsid w:val="001D1CC5"/>
    <w:rsid w:val="001D21FC"/>
    <w:rsid w:val="001D242C"/>
    <w:rsid w:val="001D2608"/>
    <w:rsid w:val="001D27E8"/>
    <w:rsid w:val="001D2947"/>
    <w:rsid w:val="001D296D"/>
    <w:rsid w:val="001D2D15"/>
    <w:rsid w:val="001D31AC"/>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1E"/>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102"/>
    <w:rsid w:val="001E6411"/>
    <w:rsid w:val="001E6B98"/>
    <w:rsid w:val="001E6D97"/>
    <w:rsid w:val="001E6E7A"/>
    <w:rsid w:val="001E729A"/>
    <w:rsid w:val="001E734E"/>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77"/>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10"/>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D5F"/>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418E"/>
    <w:rsid w:val="00214511"/>
    <w:rsid w:val="00214632"/>
    <w:rsid w:val="00214796"/>
    <w:rsid w:val="00214849"/>
    <w:rsid w:val="00214986"/>
    <w:rsid w:val="00214F65"/>
    <w:rsid w:val="00214FBD"/>
    <w:rsid w:val="00215021"/>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1D1C"/>
    <w:rsid w:val="00232054"/>
    <w:rsid w:val="002320E7"/>
    <w:rsid w:val="002320FA"/>
    <w:rsid w:val="00232C18"/>
    <w:rsid w:val="00232FBC"/>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64C"/>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4F70"/>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A6B"/>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9A8"/>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BA"/>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1B8"/>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06D"/>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8FD"/>
    <w:rsid w:val="002A0A5F"/>
    <w:rsid w:val="002A0F51"/>
    <w:rsid w:val="002A11A4"/>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868"/>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AEF"/>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3D0D"/>
    <w:rsid w:val="002E416A"/>
    <w:rsid w:val="002E44E7"/>
    <w:rsid w:val="002E4612"/>
    <w:rsid w:val="002E488B"/>
    <w:rsid w:val="002E49EA"/>
    <w:rsid w:val="002E4B86"/>
    <w:rsid w:val="002E4F6F"/>
    <w:rsid w:val="002E540D"/>
    <w:rsid w:val="002E5DD1"/>
    <w:rsid w:val="002E6051"/>
    <w:rsid w:val="002E6086"/>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40"/>
    <w:rsid w:val="002F37BC"/>
    <w:rsid w:val="002F399D"/>
    <w:rsid w:val="002F3A6F"/>
    <w:rsid w:val="002F3B39"/>
    <w:rsid w:val="002F4090"/>
    <w:rsid w:val="002F40EA"/>
    <w:rsid w:val="002F4346"/>
    <w:rsid w:val="002F468D"/>
    <w:rsid w:val="002F487A"/>
    <w:rsid w:val="002F4A93"/>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6D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906"/>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DEC"/>
    <w:rsid w:val="00321F94"/>
    <w:rsid w:val="00322404"/>
    <w:rsid w:val="00322421"/>
    <w:rsid w:val="00322C16"/>
    <w:rsid w:val="00322E47"/>
    <w:rsid w:val="00322F2E"/>
    <w:rsid w:val="0032322F"/>
    <w:rsid w:val="003233CD"/>
    <w:rsid w:val="003233E5"/>
    <w:rsid w:val="00323607"/>
    <w:rsid w:val="00323894"/>
    <w:rsid w:val="00323D30"/>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7AF"/>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6DB4"/>
    <w:rsid w:val="00357049"/>
    <w:rsid w:val="00357312"/>
    <w:rsid w:val="0035782E"/>
    <w:rsid w:val="00357914"/>
    <w:rsid w:val="00357AD7"/>
    <w:rsid w:val="00357BF0"/>
    <w:rsid w:val="00357E2C"/>
    <w:rsid w:val="00360061"/>
    <w:rsid w:val="0036059A"/>
    <w:rsid w:val="0036062B"/>
    <w:rsid w:val="003609FA"/>
    <w:rsid w:val="00360A0C"/>
    <w:rsid w:val="00360AF8"/>
    <w:rsid w:val="00360C13"/>
    <w:rsid w:val="00360E75"/>
    <w:rsid w:val="00360E9C"/>
    <w:rsid w:val="003615CB"/>
    <w:rsid w:val="003617CD"/>
    <w:rsid w:val="00361804"/>
    <w:rsid w:val="00361838"/>
    <w:rsid w:val="0036189B"/>
    <w:rsid w:val="00361959"/>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77B2B"/>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3F28"/>
    <w:rsid w:val="003940F0"/>
    <w:rsid w:val="003948AA"/>
    <w:rsid w:val="00394A04"/>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58A"/>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A3"/>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A7D5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11"/>
    <w:rsid w:val="003B5C26"/>
    <w:rsid w:val="003B5CD8"/>
    <w:rsid w:val="003B5EAE"/>
    <w:rsid w:val="003B5FB2"/>
    <w:rsid w:val="003B62EA"/>
    <w:rsid w:val="003B64ED"/>
    <w:rsid w:val="003B6F1F"/>
    <w:rsid w:val="003B731D"/>
    <w:rsid w:val="003B73E6"/>
    <w:rsid w:val="003B74D3"/>
    <w:rsid w:val="003B7F0D"/>
    <w:rsid w:val="003C0097"/>
    <w:rsid w:val="003C00B2"/>
    <w:rsid w:val="003C0224"/>
    <w:rsid w:val="003C07B6"/>
    <w:rsid w:val="003C0A81"/>
    <w:rsid w:val="003C0F96"/>
    <w:rsid w:val="003C11ED"/>
    <w:rsid w:val="003C1353"/>
    <w:rsid w:val="003C1822"/>
    <w:rsid w:val="003C1DD9"/>
    <w:rsid w:val="003C22DF"/>
    <w:rsid w:val="003C2442"/>
    <w:rsid w:val="003C2552"/>
    <w:rsid w:val="003C2582"/>
    <w:rsid w:val="003C2636"/>
    <w:rsid w:val="003C266D"/>
    <w:rsid w:val="003C2AE0"/>
    <w:rsid w:val="003C2AEE"/>
    <w:rsid w:val="003C2B0F"/>
    <w:rsid w:val="003C2B88"/>
    <w:rsid w:val="003C2D85"/>
    <w:rsid w:val="003C2F31"/>
    <w:rsid w:val="003C3030"/>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8D0"/>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2FB"/>
    <w:rsid w:val="003E6724"/>
    <w:rsid w:val="003E6988"/>
    <w:rsid w:val="003E6F5E"/>
    <w:rsid w:val="003E71B5"/>
    <w:rsid w:val="003E71FB"/>
    <w:rsid w:val="003E7385"/>
    <w:rsid w:val="003E79CF"/>
    <w:rsid w:val="003E7A6F"/>
    <w:rsid w:val="003E7B88"/>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1F09"/>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55E"/>
    <w:rsid w:val="00407A5F"/>
    <w:rsid w:val="00407D6C"/>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17B"/>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90"/>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02C"/>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05"/>
    <w:rsid w:val="00430455"/>
    <w:rsid w:val="00430547"/>
    <w:rsid w:val="0043065A"/>
    <w:rsid w:val="004309A4"/>
    <w:rsid w:val="00430A09"/>
    <w:rsid w:val="00430A39"/>
    <w:rsid w:val="00430B5B"/>
    <w:rsid w:val="00430D29"/>
    <w:rsid w:val="0043132D"/>
    <w:rsid w:val="00431435"/>
    <w:rsid w:val="00431541"/>
    <w:rsid w:val="00431891"/>
    <w:rsid w:val="00431B62"/>
    <w:rsid w:val="00431CF0"/>
    <w:rsid w:val="00431E09"/>
    <w:rsid w:val="00431FA2"/>
    <w:rsid w:val="00432025"/>
    <w:rsid w:val="00432434"/>
    <w:rsid w:val="00432543"/>
    <w:rsid w:val="00432A33"/>
    <w:rsid w:val="00432D55"/>
    <w:rsid w:val="00432E3D"/>
    <w:rsid w:val="00432F5E"/>
    <w:rsid w:val="00433037"/>
    <w:rsid w:val="004330B7"/>
    <w:rsid w:val="0043334F"/>
    <w:rsid w:val="0043371A"/>
    <w:rsid w:val="004337AD"/>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9CB"/>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2B8"/>
    <w:rsid w:val="0045488D"/>
    <w:rsid w:val="0045498E"/>
    <w:rsid w:val="004549DA"/>
    <w:rsid w:val="00454A02"/>
    <w:rsid w:val="00454A3F"/>
    <w:rsid w:val="00454BFB"/>
    <w:rsid w:val="00454D1F"/>
    <w:rsid w:val="00454DB9"/>
    <w:rsid w:val="00454FFF"/>
    <w:rsid w:val="00455024"/>
    <w:rsid w:val="004550BE"/>
    <w:rsid w:val="004550EC"/>
    <w:rsid w:val="00455281"/>
    <w:rsid w:val="00455333"/>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D24"/>
    <w:rsid w:val="00462F50"/>
    <w:rsid w:val="00462F7C"/>
    <w:rsid w:val="00462F9A"/>
    <w:rsid w:val="0046314B"/>
    <w:rsid w:val="004631FC"/>
    <w:rsid w:val="00463279"/>
    <w:rsid w:val="004639D0"/>
    <w:rsid w:val="00463DCA"/>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B44"/>
    <w:rsid w:val="00473FD9"/>
    <w:rsid w:val="004740AB"/>
    <w:rsid w:val="0047413C"/>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92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42E"/>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B44"/>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38B"/>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997"/>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487"/>
    <w:rsid w:val="004B7C35"/>
    <w:rsid w:val="004B7F49"/>
    <w:rsid w:val="004C01B7"/>
    <w:rsid w:val="004C01C2"/>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23E4"/>
    <w:rsid w:val="004D297B"/>
    <w:rsid w:val="004D2C2D"/>
    <w:rsid w:val="004D2CAB"/>
    <w:rsid w:val="004D3273"/>
    <w:rsid w:val="004D34A0"/>
    <w:rsid w:val="004D34C6"/>
    <w:rsid w:val="004D385E"/>
    <w:rsid w:val="004D3E2B"/>
    <w:rsid w:val="004D4293"/>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1FA3"/>
    <w:rsid w:val="004E2531"/>
    <w:rsid w:val="004E26C1"/>
    <w:rsid w:val="004E27F1"/>
    <w:rsid w:val="004E27FA"/>
    <w:rsid w:val="004E302F"/>
    <w:rsid w:val="004E368D"/>
    <w:rsid w:val="004E3A67"/>
    <w:rsid w:val="004E3C28"/>
    <w:rsid w:val="004E445F"/>
    <w:rsid w:val="004E4539"/>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DB"/>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52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C0B"/>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8C7"/>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4B7"/>
    <w:rsid w:val="00530570"/>
    <w:rsid w:val="00530747"/>
    <w:rsid w:val="005307AB"/>
    <w:rsid w:val="00530A28"/>
    <w:rsid w:val="00530B07"/>
    <w:rsid w:val="00530E5A"/>
    <w:rsid w:val="005310F4"/>
    <w:rsid w:val="00531273"/>
    <w:rsid w:val="0053130D"/>
    <w:rsid w:val="0053132B"/>
    <w:rsid w:val="005314C9"/>
    <w:rsid w:val="0053189B"/>
    <w:rsid w:val="00531CF9"/>
    <w:rsid w:val="00531E47"/>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0C"/>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143"/>
    <w:rsid w:val="00551270"/>
    <w:rsid w:val="005513AD"/>
    <w:rsid w:val="005514C1"/>
    <w:rsid w:val="005516FF"/>
    <w:rsid w:val="005517E6"/>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2F77"/>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5E35"/>
    <w:rsid w:val="00585F5A"/>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0A89"/>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C5"/>
    <w:rsid w:val="005A16F2"/>
    <w:rsid w:val="005A19E0"/>
    <w:rsid w:val="005A2696"/>
    <w:rsid w:val="005A2CB8"/>
    <w:rsid w:val="005A2F82"/>
    <w:rsid w:val="005A3161"/>
    <w:rsid w:val="005A31D0"/>
    <w:rsid w:val="005A32D5"/>
    <w:rsid w:val="005A3537"/>
    <w:rsid w:val="005A37DA"/>
    <w:rsid w:val="005A37FE"/>
    <w:rsid w:val="005A387C"/>
    <w:rsid w:val="005A399A"/>
    <w:rsid w:val="005A3AD1"/>
    <w:rsid w:val="005A3DBD"/>
    <w:rsid w:val="005A3E11"/>
    <w:rsid w:val="005A3EAB"/>
    <w:rsid w:val="005A4094"/>
    <w:rsid w:val="005A4379"/>
    <w:rsid w:val="005A4693"/>
    <w:rsid w:val="005A4700"/>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2E"/>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6B8"/>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5C2F"/>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E3E"/>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FF2"/>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B7C"/>
    <w:rsid w:val="005F4C23"/>
    <w:rsid w:val="005F4C6F"/>
    <w:rsid w:val="005F4CD9"/>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4D8"/>
    <w:rsid w:val="00607ACE"/>
    <w:rsid w:val="00607BA1"/>
    <w:rsid w:val="00607F4C"/>
    <w:rsid w:val="0061032C"/>
    <w:rsid w:val="0061032D"/>
    <w:rsid w:val="00610805"/>
    <w:rsid w:val="0061084B"/>
    <w:rsid w:val="00610A12"/>
    <w:rsid w:val="00610A55"/>
    <w:rsid w:val="00610A82"/>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4DFB"/>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9E9"/>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1C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852"/>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08"/>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8DF"/>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0EF6"/>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0EF"/>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6B5"/>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23B"/>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557"/>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2EA2"/>
    <w:rsid w:val="00703146"/>
    <w:rsid w:val="007036FF"/>
    <w:rsid w:val="00704150"/>
    <w:rsid w:val="007041CE"/>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6A"/>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9D1"/>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A1"/>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163"/>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1C3"/>
    <w:rsid w:val="0077553B"/>
    <w:rsid w:val="0077584A"/>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385"/>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D44"/>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43D"/>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CF7"/>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BC"/>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49"/>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624"/>
    <w:rsid w:val="00805AB2"/>
    <w:rsid w:val="00805FEF"/>
    <w:rsid w:val="0080690A"/>
    <w:rsid w:val="00806A71"/>
    <w:rsid w:val="00806D9F"/>
    <w:rsid w:val="00806F24"/>
    <w:rsid w:val="008073CF"/>
    <w:rsid w:val="008076B6"/>
    <w:rsid w:val="0080771A"/>
    <w:rsid w:val="00807AEF"/>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2F8"/>
    <w:rsid w:val="0082150B"/>
    <w:rsid w:val="00821558"/>
    <w:rsid w:val="008216D8"/>
    <w:rsid w:val="008216E4"/>
    <w:rsid w:val="00821930"/>
    <w:rsid w:val="00821E09"/>
    <w:rsid w:val="00822018"/>
    <w:rsid w:val="00822035"/>
    <w:rsid w:val="00822473"/>
    <w:rsid w:val="00822484"/>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149"/>
    <w:rsid w:val="008424E7"/>
    <w:rsid w:val="00842ACC"/>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48E"/>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4F5"/>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5DA"/>
    <w:rsid w:val="00876778"/>
    <w:rsid w:val="0087688E"/>
    <w:rsid w:val="00876942"/>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3"/>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95"/>
    <w:rsid w:val="00895CC1"/>
    <w:rsid w:val="00895D34"/>
    <w:rsid w:val="008961F1"/>
    <w:rsid w:val="00896337"/>
    <w:rsid w:val="00896469"/>
    <w:rsid w:val="00896899"/>
    <w:rsid w:val="008968B2"/>
    <w:rsid w:val="00896951"/>
    <w:rsid w:val="00896A3E"/>
    <w:rsid w:val="00896AA5"/>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677"/>
    <w:rsid w:val="008C3702"/>
    <w:rsid w:val="008C3817"/>
    <w:rsid w:val="008C3CC6"/>
    <w:rsid w:val="008C3D8B"/>
    <w:rsid w:val="008C3E0E"/>
    <w:rsid w:val="008C3F8B"/>
    <w:rsid w:val="008C3FDA"/>
    <w:rsid w:val="008C4224"/>
    <w:rsid w:val="008C42D1"/>
    <w:rsid w:val="008C4587"/>
    <w:rsid w:val="008C45F3"/>
    <w:rsid w:val="008C4778"/>
    <w:rsid w:val="008C47DF"/>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5F44"/>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2D23"/>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3F2"/>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1AA"/>
    <w:rsid w:val="008F24AC"/>
    <w:rsid w:val="008F25C5"/>
    <w:rsid w:val="008F2641"/>
    <w:rsid w:val="008F2880"/>
    <w:rsid w:val="008F2C6A"/>
    <w:rsid w:val="008F2DB1"/>
    <w:rsid w:val="008F2E05"/>
    <w:rsid w:val="008F2E7C"/>
    <w:rsid w:val="008F3049"/>
    <w:rsid w:val="008F3127"/>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B8D"/>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21"/>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190"/>
    <w:rsid w:val="00917233"/>
    <w:rsid w:val="00917503"/>
    <w:rsid w:val="00917CC9"/>
    <w:rsid w:val="00917DD8"/>
    <w:rsid w:val="00920193"/>
    <w:rsid w:val="009204AD"/>
    <w:rsid w:val="00920FAE"/>
    <w:rsid w:val="00921050"/>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A30"/>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741"/>
    <w:rsid w:val="00936AFE"/>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71"/>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BA2"/>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6CF"/>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05A"/>
    <w:rsid w:val="0097411B"/>
    <w:rsid w:val="0097445B"/>
    <w:rsid w:val="0097471D"/>
    <w:rsid w:val="00974A3C"/>
    <w:rsid w:val="00974A64"/>
    <w:rsid w:val="00974B0F"/>
    <w:rsid w:val="00974C17"/>
    <w:rsid w:val="00974EB1"/>
    <w:rsid w:val="00974EB2"/>
    <w:rsid w:val="00974F77"/>
    <w:rsid w:val="00975190"/>
    <w:rsid w:val="009753CD"/>
    <w:rsid w:val="009757EE"/>
    <w:rsid w:val="00975E9C"/>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88C"/>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2DF"/>
    <w:rsid w:val="00987349"/>
    <w:rsid w:val="00987491"/>
    <w:rsid w:val="0098755D"/>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B1C"/>
    <w:rsid w:val="00992F46"/>
    <w:rsid w:val="0099316E"/>
    <w:rsid w:val="009932AE"/>
    <w:rsid w:val="009932E5"/>
    <w:rsid w:val="009933C1"/>
    <w:rsid w:val="009933EB"/>
    <w:rsid w:val="009934E0"/>
    <w:rsid w:val="00993505"/>
    <w:rsid w:val="009938C9"/>
    <w:rsid w:val="009939EB"/>
    <w:rsid w:val="00993B20"/>
    <w:rsid w:val="00993B4F"/>
    <w:rsid w:val="00993C1B"/>
    <w:rsid w:val="00993D86"/>
    <w:rsid w:val="00993E8E"/>
    <w:rsid w:val="00993F37"/>
    <w:rsid w:val="00994137"/>
    <w:rsid w:val="0099431E"/>
    <w:rsid w:val="009943BE"/>
    <w:rsid w:val="00994F92"/>
    <w:rsid w:val="009951F1"/>
    <w:rsid w:val="00995776"/>
    <w:rsid w:val="00995EBD"/>
    <w:rsid w:val="00995EFC"/>
    <w:rsid w:val="0099625E"/>
    <w:rsid w:val="0099629C"/>
    <w:rsid w:val="00996564"/>
    <w:rsid w:val="00996683"/>
    <w:rsid w:val="0099691B"/>
    <w:rsid w:val="009971BE"/>
    <w:rsid w:val="00997305"/>
    <w:rsid w:val="0099736F"/>
    <w:rsid w:val="009974CB"/>
    <w:rsid w:val="00997547"/>
    <w:rsid w:val="00997677"/>
    <w:rsid w:val="009977C8"/>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2DFE"/>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4B5"/>
    <w:rsid w:val="009B180F"/>
    <w:rsid w:val="009B1BDE"/>
    <w:rsid w:val="009B1C15"/>
    <w:rsid w:val="009B1FE0"/>
    <w:rsid w:val="009B22E4"/>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4A9"/>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0D"/>
    <w:rsid w:val="009C57BF"/>
    <w:rsid w:val="009C5943"/>
    <w:rsid w:val="009C5A10"/>
    <w:rsid w:val="009C5AAC"/>
    <w:rsid w:val="009C5D18"/>
    <w:rsid w:val="009C5DDB"/>
    <w:rsid w:val="009C5DF1"/>
    <w:rsid w:val="009C5E9B"/>
    <w:rsid w:val="009C5EE1"/>
    <w:rsid w:val="009C5F12"/>
    <w:rsid w:val="009C60E2"/>
    <w:rsid w:val="009C62A2"/>
    <w:rsid w:val="009C6368"/>
    <w:rsid w:val="009C682A"/>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2CCA"/>
    <w:rsid w:val="009D30DD"/>
    <w:rsid w:val="009D362D"/>
    <w:rsid w:val="009D3943"/>
    <w:rsid w:val="009D396D"/>
    <w:rsid w:val="009D39EC"/>
    <w:rsid w:val="009D3C5D"/>
    <w:rsid w:val="009D3CC2"/>
    <w:rsid w:val="009D3DE0"/>
    <w:rsid w:val="009D4380"/>
    <w:rsid w:val="009D4756"/>
    <w:rsid w:val="009D482A"/>
    <w:rsid w:val="009D495B"/>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15C"/>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6F76"/>
    <w:rsid w:val="00A07167"/>
    <w:rsid w:val="00A073DA"/>
    <w:rsid w:val="00A07852"/>
    <w:rsid w:val="00A0793B"/>
    <w:rsid w:val="00A0793D"/>
    <w:rsid w:val="00A07C7C"/>
    <w:rsid w:val="00A07C81"/>
    <w:rsid w:val="00A07EBA"/>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818"/>
    <w:rsid w:val="00A30940"/>
    <w:rsid w:val="00A30A03"/>
    <w:rsid w:val="00A30AF6"/>
    <w:rsid w:val="00A3178F"/>
    <w:rsid w:val="00A317AA"/>
    <w:rsid w:val="00A317E9"/>
    <w:rsid w:val="00A32097"/>
    <w:rsid w:val="00A32202"/>
    <w:rsid w:val="00A322B7"/>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5DA8"/>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6E58"/>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1B1"/>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8F7"/>
    <w:rsid w:val="00A55903"/>
    <w:rsid w:val="00A55952"/>
    <w:rsid w:val="00A55A57"/>
    <w:rsid w:val="00A55AA2"/>
    <w:rsid w:val="00A55C58"/>
    <w:rsid w:val="00A55C97"/>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67AE3"/>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A87"/>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1C0"/>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129"/>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80"/>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256"/>
    <w:rsid w:val="00AD5651"/>
    <w:rsid w:val="00AD57BB"/>
    <w:rsid w:val="00AD5CA0"/>
    <w:rsid w:val="00AD6398"/>
    <w:rsid w:val="00AD6417"/>
    <w:rsid w:val="00AD65B8"/>
    <w:rsid w:val="00AD6711"/>
    <w:rsid w:val="00AD67E3"/>
    <w:rsid w:val="00AD6809"/>
    <w:rsid w:val="00AD69A6"/>
    <w:rsid w:val="00AD6C44"/>
    <w:rsid w:val="00AD7322"/>
    <w:rsid w:val="00AD74FA"/>
    <w:rsid w:val="00AD7541"/>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18C"/>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0DB"/>
    <w:rsid w:val="00AF42FE"/>
    <w:rsid w:val="00AF43FF"/>
    <w:rsid w:val="00AF4982"/>
    <w:rsid w:val="00AF4AB3"/>
    <w:rsid w:val="00AF4AE2"/>
    <w:rsid w:val="00AF4C41"/>
    <w:rsid w:val="00AF4CBD"/>
    <w:rsid w:val="00AF4CDF"/>
    <w:rsid w:val="00AF4F1F"/>
    <w:rsid w:val="00AF53F4"/>
    <w:rsid w:val="00AF5903"/>
    <w:rsid w:val="00AF5970"/>
    <w:rsid w:val="00AF5AFF"/>
    <w:rsid w:val="00AF5BA9"/>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5C6"/>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1FFE"/>
    <w:rsid w:val="00B12300"/>
    <w:rsid w:val="00B123A2"/>
    <w:rsid w:val="00B123F6"/>
    <w:rsid w:val="00B12442"/>
    <w:rsid w:val="00B1244C"/>
    <w:rsid w:val="00B12706"/>
    <w:rsid w:val="00B1285F"/>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577"/>
    <w:rsid w:val="00B14741"/>
    <w:rsid w:val="00B1475B"/>
    <w:rsid w:val="00B14810"/>
    <w:rsid w:val="00B14ABF"/>
    <w:rsid w:val="00B14EA9"/>
    <w:rsid w:val="00B14FF3"/>
    <w:rsid w:val="00B15277"/>
    <w:rsid w:val="00B15430"/>
    <w:rsid w:val="00B15459"/>
    <w:rsid w:val="00B15633"/>
    <w:rsid w:val="00B15768"/>
    <w:rsid w:val="00B15781"/>
    <w:rsid w:val="00B15D65"/>
    <w:rsid w:val="00B15DDA"/>
    <w:rsid w:val="00B15F14"/>
    <w:rsid w:val="00B15F67"/>
    <w:rsid w:val="00B15FCA"/>
    <w:rsid w:val="00B161E2"/>
    <w:rsid w:val="00B1626B"/>
    <w:rsid w:val="00B16348"/>
    <w:rsid w:val="00B16546"/>
    <w:rsid w:val="00B165EE"/>
    <w:rsid w:val="00B1672E"/>
    <w:rsid w:val="00B16839"/>
    <w:rsid w:val="00B16D67"/>
    <w:rsid w:val="00B16FE8"/>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0B"/>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253"/>
    <w:rsid w:val="00B334B5"/>
    <w:rsid w:val="00B337AB"/>
    <w:rsid w:val="00B33E4C"/>
    <w:rsid w:val="00B33EE4"/>
    <w:rsid w:val="00B340C7"/>
    <w:rsid w:val="00B340E0"/>
    <w:rsid w:val="00B342B4"/>
    <w:rsid w:val="00B3434B"/>
    <w:rsid w:val="00B343D1"/>
    <w:rsid w:val="00B34543"/>
    <w:rsid w:val="00B34691"/>
    <w:rsid w:val="00B353F4"/>
    <w:rsid w:val="00B355C5"/>
    <w:rsid w:val="00B357F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31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C60"/>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95"/>
    <w:rsid w:val="00B66E7A"/>
    <w:rsid w:val="00B6713F"/>
    <w:rsid w:val="00B67372"/>
    <w:rsid w:val="00B675A8"/>
    <w:rsid w:val="00B67671"/>
    <w:rsid w:val="00B678EC"/>
    <w:rsid w:val="00B67948"/>
    <w:rsid w:val="00B67E7E"/>
    <w:rsid w:val="00B703E9"/>
    <w:rsid w:val="00B707D8"/>
    <w:rsid w:val="00B709F4"/>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BD7"/>
    <w:rsid w:val="00B95DE2"/>
    <w:rsid w:val="00B9605E"/>
    <w:rsid w:val="00B96339"/>
    <w:rsid w:val="00B9633D"/>
    <w:rsid w:val="00B96470"/>
    <w:rsid w:val="00B9667C"/>
    <w:rsid w:val="00B96872"/>
    <w:rsid w:val="00B96883"/>
    <w:rsid w:val="00B968DC"/>
    <w:rsid w:val="00B969A2"/>
    <w:rsid w:val="00B96A39"/>
    <w:rsid w:val="00B96CDB"/>
    <w:rsid w:val="00B96F73"/>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6D2"/>
    <w:rsid w:val="00BB0BF3"/>
    <w:rsid w:val="00BB0E9B"/>
    <w:rsid w:val="00BB0F77"/>
    <w:rsid w:val="00BB0FD8"/>
    <w:rsid w:val="00BB19F5"/>
    <w:rsid w:val="00BB1B73"/>
    <w:rsid w:val="00BB1E42"/>
    <w:rsid w:val="00BB1F60"/>
    <w:rsid w:val="00BB22D2"/>
    <w:rsid w:val="00BB240B"/>
    <w:rsid w:val="00BB2715"/>
    <w:rsid w:val="00BB2B16"/>
    <w:rsid w:val="00BB2C89"/>
    <w:rsid w:val="00BB2CA0"/>
    <w:rsid w:val="00BB2CB9"/>
    <w:rsid w:val="00BB2FE7"/>
    <w:rsid w:val="00BB3136"/>
    <w:rsid w:val="00BB3527"/>
    <w:rsid w:val="00BB359C"/>
    <w:rsid w:val="00BB35C3"/>
    <w:rsid w:val="00BB3A90"/>
    <w:rsid w:val="00BB3F07"/>
    <w:rsid w:val="00BB44B6"/>
    <w:rsid w:val="00BB468B"/>
    <w:rsid w:val="00BB4D6F"/>
    <w:rsid w:val="00BB50E3"/>
    <w:rsid w:val="00BB5138"/>
    <w:rsid w:val="00BB5314"/>
    <w:rsid w:val="00BB535C"/>
    <w:rsid w:val="00BB5A4D"/>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076"/>
    <w:rsid w:val="00BC210A"/>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38"/>
    <w:rsid w:val="00BC4B80"/>
    <w:rsid w:val="00BC4C7F"/>
    <w:rsid w:val="00BC4C98"/>
    <w:rsid w:val="00BC4E57"/>
    <w:rsid w:val="00BC50A3"/>
    <w:rsid w:val="00BC51EA"/>
    <w:rsid w:val="00BC53BA"/>
    <w:rsid w:val="00BC5AED"/>
    <w:rsid w:val="00BC5B50"/>
    <w:rsid w:val="00BC5B57"/>
    <w:rsid w:val="00BC5EA0"/>
    <w:rsid w:val="00BC5F29"/>
    <w:rsid w:val="00BC6088"/>
    <w:rsid w:val="00BC60FB"/>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57B8"/>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1DD"/>
    <w:rsid w:val="00BE73C0"/>
    <w:rsid w:val="00BE768B"/>
    <w:rsid w:val="00BE79D0"/>
    <w:rsid w:val="00BE7B85"/>
    <w:rsid w:val="00BE7F23"/>
    <w:rsid w:val="00BE7FC7"/>
    <w:rsid w:val="00BF00A4"/>
    <w:rsid w:val="00BF035E"/>
    <w:rsid w:val="00BF03EC"/>
    <w:rsid w:val="00BF05C5"/>
    <w:rsid w:val="00BF066B"/>
    <w:rsid w:val="00BF085B"/>
    <w:rsid w:val="00BF0C0F"/>
    <w:rsid w:val="00BF0C59"/>
    <w:rsid w:val="00BF0FA7"/>
    <w:rsid w:val="00BF18A1"/>
    <w:rsid w:val="00BF1B62"/>
    <w:rsid w:val="00BF1BB5"/>
    <w:rsid w:val="00BF1CA1"/>
    <w:rsid w:val="00BF2076"/>
    <w:rsid w:val="00BF218C"/>
    <w:rsid w:val="00BF24EF"/>
    <w:rsid w:val="00BF25B6"/>
    <w:rsid w:val="00BF2909"/>
    <w:rsid w:val="00BF2C22"/>
    <w:rsid w:val="00BF2CDC"/>
    <w:rsid w:val="00BF2F6C"/>
    <w:rsid w:val="00BF2FFA"/>
    <w:rsid w:val="00BF356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8B8"/>
    <w:rsid w:val="00C00C3B"/>
    <w:rsid w:val="00C00E76"/>
    <w:rsid w:val="00C00FFC"/>
    <w:rsid w:val="00C0116C"/>
    <w:rsid w:val="00C01399"/>
    <w:rsid w:val="00C0142A"/>
    <w:rsid w:val="00C01430"/>
    <w:rsid w:val="00C01780"/>
    <w:rsid w:val="00C018C9"/>
    <w:rsid w:val="00C018CC"/>
    <w:rsid w:val="00C01B51"/>
    <w:rsid w:val="00C023A0"/>
    <w:rsid w:val="00C02419"/>
    <w:rsid w:val="00C02457"/>
    <w:rsid w:val="00C02A47"/>
    <w:rsid w:val="00C031E3"/>
    <w:rsid w:val="00C03259"/>
    <w:rsid w:val="00C0329D"/>
    <w:rsid w:val="00C0335F"/>
    <w:rsid w:val="00C0370F"/>
    <w:rsid w:val="00C03715"/>
    <w:rsid w:val="00C0475A"/>
    <w:rsid w:val="00C047A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6DD5"/>
    <w:rsid w:val="00C07012"/>
    <w:rsid w:val="00C07217"/>
    <w:rsid w:val="00C072C1"/>
    <w:rsid w:val="00C0745D"/>
    <w:rsid w:val="00C0762A"/>
    <w:rsid w:val="00C07818"/>
    <w:rsid w:val="00C07A01"/>
    <w:rsid w:val="00C07F27"/>
    <w:rsid w:val="00C100BE"/>
    <w:rsid w:val="00C105B8"/>
    <w:rsid w:val="00C10933"/>
    <w:rsid w:val="00C10B0B"/>
    <w:rsid w:val="00C1102E"/>
    <w:rsid w:val="00C11116"/>
    <w:rsid w:val="00C115F6"/>
    <w:rsid w:val="00C115FA"/>
    <w:rsid w:val="00C11752"/>
    <w:rsid w:val="00C119D1"/>
    <w:rsid w:val="00C119FD"/>
    <w:rsid w:val="00C11AE1"/>
    <w:rsid w:val="00C11B98"/>
    <w:rsid w:val="00C11BE0"/>
    <w:rsid w:val="00C11DFB"/>
    <w:rsid w:val="00C11E0B"/>
    <w:rsid w:val="00C11EF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18A"/>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0B"/>
    <w:rsid w:val="00C22F3F"/>
    <w:rsid w:val="00C23126"/>
    <w:rsid w:val="00C23262"/>
    <w:rsid w:val="00C2328B"/>
    <w:rsid w:val="00C2365E"/>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409"/>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774"/>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BE4"/>
    <w:rsid w:val="00C51D14"/>
    <w:rsid w:val="00C51D9D"/>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4D05"/>
    <w:rsid w:val="00C651C7"/>
    <w:rsid w:val="00C65204"/>
    <w:rsid w:val="00C655E1"/>
    <w:rsid w:val="00C659F6"/>
    <w:rsid w:val="00C65A2B"/>
    <w:rsid w:val="00C65B14"/>
    <w:rsid w:val="00C65BC4"/>
    <w:rsid w:val="00C65CED"/>
    <w:rsid w:val="00C65EF5"/>
    <w:rsid w:val="00C66348"/>
    <w:rsid w:val="00C6655C"/>
    <w:rsid w:val="00C6661C"/>
    <w:rsid w:val="00C66628"/>
    <w:rsid w:val="00C669B8"/>
    <w:rsid w:val="00C66D3E"/>
    <w:rsid w:val="00C6784B"/>
    <w:rsid w:val="00C67C97"/>
    <w:rsid w:val="00C67CEC"/>
    <w:rsid w:val="00C67D1F"/>
    <w:rsid w:val="00C67EA6"/>
    <w:rsid w:val="00C67EBC"/>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EF3"/>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7C2"/>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65B"/>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431"/>
    <w:rsid w:val="00C91612"/>
    <w:rsid w:val="00C91751"/>
    <w:rsid w:val="00C91B89"/>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06"/>
    <w:rsid w:val="00C96D26"/>
    <w:rsid w:val="00C971D3"/>
    <w:rsid w:val="00C9739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55A"/>
    <w:rsid w:val="00CA169E"/>
    <w:rsid w:val="00CA19D6"/>
    <w:rsid w:val="00CA1E57"/>
    <w:rsid w:val="00CA1F16"/>
    <w:rsid w:val="00CA2163"/>
    <w:rsid w:val="00CA243E"/>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34"/>
    <w:rsid w:val="00CA557D"/>
    <w:rsid w:val="00CA59B6"/>
    <w:rsid w:val="00CA5AD8"/>
    <w:rsid w:val="00CA623A"/>
    <w:rsid w:val="00CA6572"/>
    <w:rsid w:val="00CA67AE"/>
    <w:rsid w:val="00CA6DE6"/>
    <w:rsid w:val="00CA7139"/>
    <w:rsid w:val="00CA7295"/>
    <w:rsid w:val="00CA7438"/>
    <w:rsid w:val="00CA7606"/>
    <w:rsid w:val="00CA76F0"/>
    <w:rsid w:val="00CA7756"/>
    <w:rsid w:val="00CA7771"/>
    <w:rsid w:val="00CA7BD8"/>
    <w:rsid w:val="00CA7CC2"/>
    <w:rsid w:val="00CA7EAE"/>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A1B"/>
    <w:rsid w:val="00CB3BF0"/>
    <w:rsid w:val="00CB3CE4"/>
    <w:rsid w:val="00CB4306"/>
    <w:rsid w:val="00CB4357"/>
    <w:rsid w:val="00CB43BD"/>
    <w:rsid w:val="00CB4516"/>
    <w:rsid w:val="00CB4668"/>
    <w:rsid w:val="00CB4C91"/>
    <w:rsid w:val="00CB4D74"/>
    <w:rsid w:val="00CB4FBC"/>
    <w:rsid w:val="00CB5077"/>
    <w:rsid w:val="00CB50E4"/>
    <w:rsid w:val="00CB543A"/>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7C8"/>
    <w:rsid w:val="00CB7904"/>
    <w:rsid w:val="00CB7DDC"/>
    <w:rsid w:val="00CB7E06"/>
    <w:rsid w:val="00CC0427"/>
    <w:rsid w:val="00CC05AF"/>
    <w:rsid w:val="00CC0AF3"/>
    <w:rsid w:val="00CC1028"/>
    <w:rsid w:val="00CC145B"/>
    <w:rsid w:val="00CC1996"/>
    <w:rsid w:val="00CC19CF"/>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9FC"/>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30B"/>
    <w:rsid w:val="00CD449C"/>
    <w:rsid w:val="00CD47B3"/>
    <w:rsid w:val="00CD4DA9"/>
    <w:rsid w:val="00CD4EB9"/>
    <w:rsid w:val="00CD5212"/>
    <w:rsid w:val="00CD5286"/>
    <w:rsid w:val="00CD58E1"/>
    <w:rsid w:val="00CD5A57"/>
    <w:rsid w:val="00CD5B5A"/>
    <w:rsid w:val="00CD5D89"/>
    <w:rsid w:val="00CD5E9F"/>
    <w:rsid w:val="00CD60DD"/>
    <w:rsid w:val="00CD60F0"/>
    <w:rsid w:val="00CD615F"/>
    <w:rsid w:val="00CD62B0"/>
    <w:rsid w:val="00CD69E9"/>
    <w:rsid w:val="00CD6D02"/>
    <w:rsid w:val="00CD72E3"/>
    <w:rsid w:val="00CD731D"/>
    <w:rsid w:val="00CD7737"/>
    <w:rsid w:val="00CD79F6"/>
    <w:rsid w:val="00CD7BD4"/>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182"/>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ADE"/>
    <w:rsid w:val="00CE7C4E"/>
    <w:rsid w:val="00CE7C9D"/>
    <w:rsid w:val="00CF010E"/>
    <w:rsid w:val="00CF01ED"/>
    <w:rsid w:val="00CF04A2"/>
    <w:rsid w:val="00CF0504"/>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A2E"/>
    <w:rsid w:val="00CF2B12"/>
    <w:rsid w:val="00CF2F0A"/>
    <w:rsid w:val="00CF32CB"/>
    <w:rsid w:val="00CF367A"/>
    <w:rsid w:val="00CF3B2D"/>
    <w:rsid w:val="00CF3D03"/>
    <w:rsid w:val="00CF3F0C"/>
    <w:rsid w:val="00CF46E7"/>
    <w:rsid w:val="00CF4944"/>
    <w:rsid w:val="00CF4B92"/>
    <w:rsid w:val="00CF4C1B"/>
    <w:rsid w:val="00CF4D64"/>
    <w:rsid w:val="00CF4F41"/>
    <w:rsid w:val="00CF57A9"/>
    <w:rsid w:val="00CF5A4D"/>
    <w:rsid w:val="00CF5A55"/>
    <w:rsid w:val="00CF5BC0"/>
    <w:rsid w:val="00CF5BD6"/>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B7F"/>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481"/>
    <w:rsid w:val="00D41709"/>
    <w:rsid w:val="00D41C85"/>
    <w:rsid w:val="00D41CE9"/>
    <w:rsid w:val="00D42090"/>
    <w:rsid w:val="00D422EF"/>
    <w:rsid w:val="00D42470"/>
    <w:rsid w:val="00D42DC5"/>
    <w:rsid w:val="00D42EDD"/>
    <w:rsid w:val="00D42F5E"/>
    <w:rsid w:val="00D432AB"/>
    <w:rsid w:val="00D43382"/>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FCA"/>
    <w:rsid w:val="00D471B1"/>
    <w:rsid w:val="00D47253"/>
    <w:rsid w:val="00D4726F"/>
    <w:rsid w:val="00D472BC"/>
    <w:rsid w:val="00D473EC"/>
    <w:rsid w:val="00D47818"/>
    <w:rsid w:val="00D47C1B"/>
    <w:rsid w:val="00D47C21"/>
    <w:rsid w:val="00D47C4F"/>
    <w:rsid w:val="00D47F88"/>
    <w:rsid w:val="00D50366"/>
    <w:rsid w:val="00D50630"/>
    <w:rsid w:val="00D5070D"/>
    <w:rsid w:val="00D509CC"/>
    <w:rsid w:val="00D50A14"/>
    <w:rsid w:val="00D512C9"/>
    <w:rsid w:val="00D515C3"/>
    <w:rsid w:val="00D51AAB"/>
    <w:rsid w:val="00D520FE"/>
    <w:rsid w:val="00D527BD"/>
    <w:rsid w:val="00D527EB"/>
    <w:rsid w:val="00D52CB9"/>
    <w:rsid w:val="00D52E31"/>
    <w:rsid w:val="00D52F41"/>
    <w:rsid w:val="00D53059"/>
    <w:rsid w:val="00D532B2"/>
    <w:rsid w:val="00D538FA"/>
    <w:rsid w:val="00D539AC"/>
    <w:rsid w:val="00D53E7F"/>
    <w:rsid w:val="00D53F58"/>
    <w:rsid w:val="00D53F8F"/>
    <w:rsid w:val="00D542C7"/>
    <w:rsid w:val="00D542E9"/>
    <w:rsid w:val="00D5436D"/>
    <w:rsid w:val="00D543CC"/>
    <w:rsid w:val="00D5469E"/>
    <w:rsid w:val="00D5485C"/>
    <w:rsid w:val="00D549FA"/>
    <w:rsid w:val="00D54C34"/>
    <w:rsid w:val="00D54E23"/>
    <w:rsid w:val="00D553F7"/>
    <w:rsid w:val="00D55453"/>
    <w:rsid w:val="00D556FA"/>
    <w:rsid w:val="00D558A9"/>
    <w:rsid w:val="00D55B36"/>
    <w:rsid w:val="00D55C0A"/>
    <w:rsid w:val="00D55F63"/>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1C9"/>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135"/>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4E6"/>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67"/>
    <w:rsid w:val="00DB28D6"/>
    <w:rsid w:val="00DB29C2"/>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3F77"/>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775"/>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01"/>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B8A"/>
    <w:rsid w:val="00DE6C0E"/>
    <w:rsid w:val="00DE712D"/>
    <w:rsid w:val="00DE72C3"/>
    <w:rsid w:val="00DE7385"/>
    <w:rsid w:val="00DE740F"/>
    <w:rsid w:val="00DE7814"/>
    <w:rsid w:val="00DE786B"/>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9F8"/>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2FEF"/>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19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17B5C"/>
    <w:rsid w:val="00E20040"/>
    <w:rsid w:val="00E20505"/>
    <w:rsid w:val="00E20651"/>
    <w:rsid w:val="00E20672"/>
    <w:rsid w:val="00E20ABB"/>
    <w:rsid w:val="00E20B25"/>
    <w:rsid w:val="00E20B2F"/>
    <w:rsid w:val="00E20B67"/>
    <w:rsid w:val="00E20DFC"/>
    <w:rsid w:val="00E21002"/>
    <w:rsid w:val="00E211AD"/>
    <w:rsid w:val="00E214D3"/>
    <w:rsid w:val="00E2154E"/>
    <w:rsid w:val="00E21C29"/>
    <w:rsid w:val="00E2211C"/>
    <w:rsid w:val="00E221F3"/>
    <w:rsid w:val="00E222B1"/>
    <w:rsid w:val="00E22321"/>
    <w:rsid w:val="00E223E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3"/>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676"/>
    <w:rsid w:val="00E3096B"/>
    <w:rsid w:val="00E309F1"/>
    <w:rsid w:val="00E312F0"/>
    <w:rsid w:val="00E314EA"/>
    <w:rsid w:val="00E315F2"/>
    <w:rsid w:val="00E31B5A"/>
    <w:rsid w:val="00E31D6C"/>
    <w:rsid w:val="00E31EDB"/>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78"/>
    <w:rsid w:val="00E35E90"/>
    <w:rsid w:val="00E3604C"/>
    <w:rsid w:val="00E360F6"/>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76B"/>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0D42"/>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41D"/>
    <w:rsid w:val="00E54705"/>
    <w:rsid w:val="00E551E7"/>
    <w:rsid w:val="00E552BE"/>
    <w:rsid w:val="00E55BA2"/>
    <w:rsid w:val="00E55BAD"/>
    <w:rsid w:val="00E55C50"/>
    <w:rsid w:val="00E55DCE"/>
    <w:rsid w:val="00E56013"/>
    <w:rsid w:val="00E56165"/>
    <w:rsid w:val="00E56523"/>
    <w:rsid w:val="00E56B5C"/>
    <w:rsid w:val="00E56B98"/>
    <w:rsid w:val="00E56FCA"/>
    <w:rsid w:val="00E571A6"/>
    <w:rsid w:val="00E57EA9"/>
    <w:rsid w:val="00E6010E"/>
    <w:rsid w:val="00E60131"/>
    <w:rsid w:val="00E604F6"/>
    <w:rsid w:val="00E606B3"/>
    <w:rsid w:val="00E6091B"/>
    <w:rsid w:val="00E60BEF"/>
    <w:rsid w:val="00E60C3C"/>
    <w:rsid w:val="00E60C55"/>
    <w:rsid w:val="00E615FE"/>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3B39"/>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E6"/>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57AB"/>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52A"/>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3F70"/>
    <w:rsid w:val="00EA476E"/>
    <w:rsid w:val="00EA47D3"/>
    <w:rsid w:val="00EA4D40"/>
    <w:rsid w:val="00EA5114"/>
    <w:rsid w:val="00EA5846"/>
    <w:rsid w:val="00EA5BF3"/>
    <w:rsid w:val="00EA668A"/>
    <w:rsid w:val="00EA677A"/>
    <w:rsid w:val="00EA6F43"/>
    <w:rsid w:val="00EA727E"/>
    <w:rsid w:val="00EA730E"/>
    <w:rsid w:val="00EA75AB"/>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090"/>
    <w:rsid w:val="00EC232A"/>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1AD"/>
    <w:rsid w:val="00EC48E2"/>
    <w:rsid w:val="00EC4AD1"/>
    <w:rsid w:val="00EC4BC5"/>
    <w:rsid w:val="00EC4EA0"/>
    <w:rsid w:val="00EC4F84"/>
    <w:rsid w:val="00EC517B"/>
    <w:rsid w:val="00EC5346"/>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3FF"/>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D5"/>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69A"/>
    <w:rsid w:val="00EF480A"/>
    <w:rsid w:val="00EF48E2"/>
    <w:rsid w:val="00EF49BB"/>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02C"/>
    <w:rsid w:val="00F104FD"/>
    <w:rsid w:val="00F10563"/>
    <w:rsid w:val="00F105C3"/>
    <w:rsid w:val="00F108B8"/>
    <w:rsid w:val="00F10923"/>
    <w:rsid w:val="00F10A3C"/>
    <w:rsid w:val="00F10A6C"/>
    <w:rsid w:val="00F10AC8"/>
    <w:rsid w:val="00F10FD7"/>
    <w:rsid w:val="00F110BB"/>
    <w:rsid w:val="00F1166D"/>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733"/>
    <w:rsid w:val="00F16735"/>
    <w:rsid w:val="00F16B3A"/>
    <w:rsid w:val="00F16E32"/>
    <w:rsid w:val="00F174CD"/>
    <w:rsid w:val="00F175A4"/>
    <w:rsid w:val="00F17A8E"/>
    <w:rsid w:val="00F17E02"/>
    <w:rsid w:val="00F17E7C"/>
    <w:rsid w:val="00F17F79"/>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12A"/>
    <w:rsid w:val="00F26BD4"/>
    <w:rsid w:val="00F27140"/>
    <w:rsid w:val="00F274B3"/>
    <w:rsid w:val="00F275FA"/>
    <w:rsid w:val="00F27806"/>
    <w:rsid w:val="00F278B1"/>
    <w:rsid w:val="00F279A1"/>
    <w:rsid w:val="00F279C6"/>
    <w:rsid w:val="00F27B4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D1A"/>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858"/>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50A"/>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8D"/>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8BD"/>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AFF"/>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6A2"/>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87F82"/>
    <w:rsid w:val="00F900A1"/>
    <w:rsid w:val="00F9011D"/>
    <w:rsid w:val="00F90252"/>
    <w:rsid w:val="00F9039E"/>
    <w:rsid w:val="00F906D4"/>
    <w:rsid w:val="00F906FD"/>
    <w:rsid w:val="00F9082D"/>
    <w:rsid w:val="00F90C07"/>
    <w:rsid w:val="00F90DB5"/>
    <w:rsid w:val="00F90E4C"/>
    <w:rsid w:val="00F90F67"/>
    <w:rsid w:val="00F9199D"/>
    <w:rsid w:val="00F91ADA"/>
    <w:rsid w:val="00F91D45"/>
    <w:rsid w:val="00F91E5C"/>
    <w:rsid w:val="00F91EF9"/>
    <w:rsid w:val="00F92093"/>
    <w:rsid w:val="00F92230"/>
    <w:rsid w:val="00F9223B"/>
    <w:rsid w:val="00F924D3"/>
    <w:rsid w:val="00F92687"/>
    <w:rsid w:val="00F926E6"/>
    <w:rsid w:val="00F9274F"/>
    <w:rsid w:val="00F92784"/>
    <w:rsid w:val="00F927C7"/>
    <w:rsid w:val="00F9294D"/>
    <w:rsid w:val="00F9301C"/>
    <w:rsid w:val="00F93297"/>
    <w:rsid w:val="00F934CC"/>
    <w:rsid w:val="00F9359C"/>
    <w:rsid w:val="00F93963"/>
    <w:rsid w:val="00F939DA"/>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6C"/>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1A9"/>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5F4"/>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81D"/>
    <w:rsid w:val="00FD6976"/>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38E"/>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583"/>
    <w:rsid w:val="00FF3978"/>
    <w:rsid w:val="00FF3A81"/>
    <w:rsid w:val="00FF3C9C"/>
    <w:rsid w:val="00FF3E03"/>
    <w:rsid w:val="00FF3E40"/>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qForma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character" w:styleId="UnresolvedMention">
    <w:name w:val="Unresolved Mention"/>
    <w:basedOn w:val="DefaultParagraphFont"/>
    <w:uiPriority w:val="99"/>
    <w:semiHidden/>
    <w:unhideWhenUsed/>
    <w:rsid w:val="00786385"/>
    <w:rPr>
      <w:color w:val="605E5C"/>
      <w:shd w:val="clear" w:color="auto" w:fill="E1DFDD"/>
    </w:rPr>
  </w:style>
  <w:style w:type="character" w:customStyle="1" w:styleId="fc1">
    <w:name w:val="fc1"/>
    <w:basedOn w:val="DefaultParagraphFont"/>
    <w:rsid w:val="00A77A87"/>
  </w:style>
  <w:style w:type="character" w:customStyle="1" w:styleId="scxw90777128">
    <w:name w:val="scxw90777128"/>
    <w:basedOn w:val="DefaultParagraphFont"/>
    <w:rsid w:val="00A55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3029</Words>
  <Characters>17266</Characters>
  <Application>Microsoft Office Word</Application>
  <DocSecurity>0</DocSecurity>
  <Lines>143</Lines>
  <Paragraphs>40</Paragraphs>
  <ScaleCrop>false</ScaleCrop>
  <HeadingPairs>
    <vt:vector size="8" baseType="variant">
      <vt:variant>
        <vt:lpstr>Title</vt:lpstr>
      </vt:variant>
      <vt:variant>
        <vt:i4>1</vt:i4>
      </vt:variant>
      <vt:variant>
        <vt:lpstr>Название</vt:lpstr>
      </vt:variant>
      <vt:variant>
        <vt:i4>1</vt:i4>
      </vt:variant>
      <vt:variant>
        <vt:lpstr>Titel</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20255</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t21617</cp:lastModifiedBy>
  <cp:revision>14</cp:revision>
  <cp:lastPrinted>2021-03-17T11:36:00Z</cp:lastPrinted>
  <dcterms:created xsi:type="dcterms:W3CDTF">2026-08-14T05:48:00Z</dcterms:created>
  <dcterms:modified xsi:type="dcterms:W3CDTF">2026-08-21T08:07:00Z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