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67D8D1" w14:textId="77777777" w:rsidR="003C03D7" w:rsidRPr="00875A41" w:rsidRDefault="003C03D7" w:rsidP="003C03D7">
      <w:pPr>
        <w:shd w:val="pct5" w:color="auto" w:fill="538135"/>
        <w:tabs>
          <w:tab w:val="left" w:pos="3870"/>
        </w:tabs>
        <w:spacing w:line="360" w:lineRule="auto"/>
        <w:rPr>
          <w:rStyle w:val="Hyperlink"/>
          <w:rFonts w:ascii="Times New Roman" w:hAnsi="Times New Roman" w:cs="Times New Roman"/>
          <w:b/>
          <w:bCs/>
          <w:color w:val="4472C4"/>
          <w:sz w:val="28"/>
          <w:szCs w:val="28"/>
          <w:u w:val="none"/>
        </w:rPr>
      </w:pPr>
      <w:r w:rsidRPr="00E96113">
        <w:rPr>
          <w:rFonts w:ascii="Times New Roman" w:hAnsi="Times New Roman" w:cs="Times New Roman"/>
          <w:noProof/>
          <w:color w:val="FFFFFF" w:themeColor="background1"/>
          <w:lang w:val="en-IN" w:eastAsia="en-IN"/>
        </w:rPr>
        <w:drawing>
          <wp:anchor distT="47771" distB="120621" distL="114300" distR="114300" simplePos="0" relativeHeight="251659776" behindDoc="0" locked="0" layoutInCell="1" allowOverlap="1" wp14:anchorId="218E250A" wp14:editId="63817E07">
            <wp:simplePos x="0" y="0"/>
            <wp:positionH relativeFrom="column">
              <wp:posOffset>5295265</wp:posOffset>
            </wp:positionH>
            <wp:positionV relativeFrom="paragraph">
              <wp:posOffset>-230505</wp:posOffset>
            </wp:positionV>
            <wp:extent cx="781050" cy="208280"/>
            <wp:effectExtent l="19050" t="95250" r="19050" b="172720"/>
            <wp:wrapTopAndBottom/>
            <wp:docPr id="1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hlinkClick r:id="rId8"/>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81050" cy="208280"/>
                    </a:xfrm>
                    <a:prstGeom prst="rect">
                      <a:avLst/>
                    </a:prstGeom>
                    <a:noFill/>
                    <a:ln>
                      <a:noFill/>
                    </a:ln>
                    <a:effectLst>
                      <a:reflection blurRad="6350" stA="52000" endA="300" endPos="35000" dir="5400000" sy="-100000" algn="bl" rotWithShape="0"/>
                    </a:effectLst>
                    <a:scene3d>
                      <a:camera prst="isometricOffAxis1Right"/>
                      <a:lightRig rig="threePt" dir="t"/>
                    </a:scene3d>
                  </pic:spPr>
                </pic:pic>
              </a:graphicData>
            </a:graphic>
          </wp:anchor>
        </w:drawing>
      </w:r>
      <w:r w:rsidRPr="00E96113">
        <w:rPr>
          <w:rFonts w:ascii="Times New Roman" w:hAnsi="Times New Roman" w:cs="Times New Roman"/>
          <w:noProof/>
          <w:color w:val="FFFFFF" w:themeColor="background1"/>
          <w:lang w:val="en-IN" w:eastAsia="en-IN"/>
        </w:rPr>
        <w:drawing>
          <wp:anchor distT="0" distB="91186" distL="114300" distR="137541" simplePos="0" relativeHeight="251657728" behindDoc="0" locked="0" layoutInCell="1" allowOverlap="1" wp14:anchorId="724F99F7" wp14:editId="2BE5F6D5">
            <wp:simplePos x="0" y="0"/>
            <wp:positionH relativeFrom="column">
              <wp:posOffset>4344035</wp:posOffset>
            </wp:positionH>
            <wp:positionV relativeFrom="paragraph">
              <wp:posOffset>-237490</wp:posOffset>
            </wp:positionV>
            <wp:extent cx="866775" cy="280670"/>
            <wp:effectExtent l="0" t="19050" r="47625" b="138430"/>
            <wp:wrapTopAndBottom/>
            <wp:docPr id="1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hlinkClick r:id="rId10"/>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66775" cy="280670"/>
                    </a:xfrm>
                    <a:prstGeom prst="rect">
                      <a:avLst/>
                    </a:prstGeom>
                    <a:noFill/>
                    <a:ln>
                      <a:noFill/>
                    </a:ln>
                    <a:effectLst>
                      <a:outerShdw blurRad="50800" dist="38100" dir="2700000" algn="tl" rotWithShape="0">
                        <a:prstClr val="black">
                          <a:alpha val="40000"/>
                        </a:prstClr>
                      </a:outerShdw>
                      <a:reflection blurRad="6350" stA="52000" endA="300" endPos="35000" dir="5400000" sy="-100000" algn="bl" rotWithShape="0"/>
                    </a:effectLst>
                    <a:scene3d>
                      <a:camera prst="isometricOffAxis1Right"/>
                      <a:lightRig rig="threePt" dir="t"/>
                    </a:scene3d>
                  </pic:spPr>
                </pic:pic>
              </a:graphicData>
            </a:graphic>
          </wp:anchor>
        </w:drawing>
      </w:r>
      <w:r w:rsidR="00875A41" w:rsidRPr="00875A41">
        <w:rPr>
          <w:rFonts w:ascii="Arial" w:eastAsia="Times New Roman" w:hAnsi="Arial" w:cs="Arial"/>
          <w:kern w:val="1"/>
          <w:lang w:val="en-GB" w:eastAsia="hi-IN" w:bidi="hi-IN"/>
        </w:rPr>
        <w:t xml:space="preserve"> </w:t>
      </w:r>
      <w:r w:rsidR="00666F3B">
        <w:rPr>
          <w:rFonts w:ascii="Times New Roman" w:hAnsi="Times New Roman" w:cs="Times New Roman"/>
          <w:b/>
          <w:bCs/>
          <w:noProof/>
          <w:color w:val="FFFFFF" w:themeColor="background1"/>
          <w:sz w:val="28"/>
          <w:szCs w:val="28"/>
          <w:lang w:val="en-GB" w:bidi="te-IN"/>
        </w:rPr>
        <w:t>Research Article</w:t>
      </w:r>
      <w:r w:rsidRPr="00875A41">
        <w:rPr>
          <w:rStyle w:val="Hyperlink"/>
          <w:rFonts w:ascii="Times New Roman" w:hAnsi="Times New Roman" w:cs="Times New Roman"/>
          <w:b/>
          <w:bCs/>
          <w:color w:val="4472C4"/>
          <w:sz w:val="28"/>
          <w:szCs w:val="28"/>
          <w:u w:val="none"/>
        </w:rPr>
        <w:tab/>
      </w:r>
    </w:p>
    <w:p w14:paraId="4AA9ABC6" w14:textId="25A77237" w:rsidR="00EF5BE2" w:rsidRPr="00EF5BE2" w:rsidRDefault="0086616B" w:rsidP="00EF5BE2">
      <w:pPr>
        <w:spacing w:line="360" w:lineRule="auto"/>
        <w:jc w:val="center"/>
        <w:rPr>
          <w:rFonts w:ascii="Times New Roman" w:hAnsi="Times New Roman" w:cs="Times New Roman"/>
          <w:b/>
          <w:bCs/>
          <w:sz w:val="32"/>
          <w:szCs w:val="32"/>
        </w:rPr>
      </w:pPr>
      <w:r w:rsidRPr="0086616B">
        <w:rPr>
          <w:rFonts w:ascii="Times New Roman" w:hAnsi="Times New Roman" w:cs="Times New Roman"/>
          <w:b/>
          <w:bCs/>
          <w:sz w:val="32"/>
          <w:szCs w:val="32"/>
        </w:rPr>
        <w:t>An Overview of IgG4-Related Disease</w:t>
      </w:r>
    </w:p>
    <w:p w14:paraId="200D938D" w14:textId="77777777" w:rsidR="00EF5BE2" w:rsidRDefault="00EF5BE2" w:rsidP="008C2DCE">
      <w:pPr>
        <w:spacing w:after="0" w:line="360" w:lineRule="auto"/>
        <w:jc w:val="both"/>
        <w:rPr>
          <w:rFonts w:ascii="Times New Roman" w:eastAsia="Arial Unicode MS" w:hAnsi="Times New Roman" w:cs="Times New Roman"/>
          <w:b/>
          <w:sz w:val="24"/>
          <w:szCs w:val="24"/>
          <w:u w:color="000000"/>
          <w:shd w:val="clear" w:color="auto" w:fill="FFFFFF"/>
          <w:lang w:val="it-IT"/>
        </w:rPr>
      </w:pPr>
      <w:bookmarkStart w:id="0" w:name="_Hlk185323473"/>
    </w:p>
    <w:bookmarkEnd w:id="0"/>
    <w:p w14:paraId="4DBE0AF5" w14:textId="21C2B2B9" w:rsidR="003C21DC" w:rsidRDefault="0086616B" w:rsidP="00BE012E">
      <w:pPr>
        <w:pStyle w:val="MDPI16affiliation"/>
        <w:tabs>
          <w:tab w:val="left" w:pos="360"/>
        </w:tabs>
        <w:spacing w:line="360" w:lineRule="auto"/>
        <w:ind w:left="0" w:firstLine="0"/>
        <w:jc w:val="both"/>
        <w:rPr>
          <w:rFonts w:ascii="Times New Roman" w:eastAsia="Arial Unicode MS" w:hAnsi="Times New Roman"/>
          <w:color w:val="auto"/>
          <w:sz w:val="20"/>
          <w:szCs w:val="20"/>
          <w:u w:color="000000"/>
          <w:shd w:val="clear" w:color="auto" w:fill="FFFFFF"/>
          <w:vertAlign w:val="superscript"/>
          <w:lang w:val="en-IN" w:eastAsia="en-US" w:bidi="ar-SA"/>
        </w:rPr>
      </w:pPr>
      <w:r w:rsidRPr="0086616B">
        <w:rPr>
          <w:rFonts w:ascii="Times New Roman" w:eastAsia="Arial Unicode MS" w:hAnsi="Times New Roman"/>
          <w:b/>
          <w:color w:val="auto"/>
          <w:sz w:val="24"/>
          <w:szCs w:val="24"/>
          <w:u w:color="000000"/>
          <w:shd w:val="clear" w:color="auto" w:fill="FFFFFF"/>
          <w:lang w:val="it-IT" w:eastAsia="en-US" w:bidi="ar-SA"/>
        </w:rPr>
        <w:t>Amy Phu</w:t>
      </w:r>
      <w:r w:rsidRPr="0086616B">
        <w:rPr>
          <w:rFonts w:ascii="Times New Roman" w:eastAsia="Arial Unicode MS" w:hAnsi="Times New Roman"/>
          <w:b/>
          <w:color w:val="auto"/>
          <w:sz w:val="24"/>
          <w:szCs w:val="24"/>
          <w:u w:color="000000"/>
          <w:shd w:val="clear" w:color="auto" w:fill="FFFFFF"/>
          <w:vertAlign w:val="superscript"/>
          <w:lang w:val="it-IT" w:eastAsia="en-US" w:bidi="ar-SA"/>
        </w:rPr>
        <w:t>1</w:t>
      </w:r>
      <w:r w:rsidRPr="0086616B">
        <w:rPr>
          <w:rFonts w:ascii="Times New Roman" w:eastAsia="Arial Unicode MS" w:hAnsi="Times New Roman"/>
          <w:b/>
          <w:color w:val="auto"/>
          <w:sz w:val="24"/>
          <w:szCs w:val="24"/>
          <w:u w:color="000000"/>
          <w:shd w:val="clear" w:color="auto" w:fill="FFFFFF"/>
          <w:lang w:val="it-IT" w:eastAsia="en-US" w:bidi="ar-SA"/>
        </w:rPr>
        <w:t>, Lannhi Nguyen</w:t>
      </w:r>
      <w:r w:rsidRPr="0086616B">
        <w:rPr>
          <w:rFonts w:ascii="Times New Roman" w:eastAsia="Arial Unicode MS" w:hAnsi="Times New Roman"/>
          <w:b/>
          <w:color w:val="auto"/>
          <w:sz w:val="24"/>
          <w:szCs w:val="24"/>
          <w:u w:color="000000"/>
          <w:shd w:val="clear" w:color="auto" w:fill="FFFFFF"/>
          <w:vertAlign w:val="superscript"/>
          <w:lang w:val="it-IT" w:eastAsia="en-US" w:bidi="ar-SA"/>
        </w:rPr>
        <w:t>1</w:t>
      </w:r>
      <w:r w:rsidRPr="0086616B">
        <w:rPr>
          <w:rFonts w:ascii="Times New Roman" w:eastAsia="Arial Unicode MS" w:hAnsi="Times New Roman"/>
          <w:b/>
          <w:color w:val="auto"/>
          <w:sz w:val="24"/>
          <w:szCs w:val="24"/>
          <w:u w:color="000000"/>
          <w:shd w:val="clear" w:color="auto" w:fill="FFFFFF"/>
          <w:lang w:val="it-IT" w:eastAsia="en-US" w:bidi="ar-SA"/>
        </w:rPr>
        <w:t>, Daniel Mashiach</w:t>
      </w:r>
      <w:r w:rsidRPr="0086616B">
        <w:rPr>
          <w:rFonts w:ascii="Times New Roman" w:eastAsia="Arial Unicode MS" w:hAnsi="Times New Roman"/>
          <w:b/>
          <w:color w:val="auto"/>
          <w:sz w:val="24"/>
          <w:szCs w:val="24"/>
          <w:u w:color="000000"/>
          <w:shd w:val="clear" w:color="auto" w:fill="FFFFFF"/>
          <w:vertAlign w:val="superscript"/>
          <w:lang w:val="it-IT" w:eastAsia="en-US" w:bidi="ar-SA"/>
        </w:rPr>
        <w:t>1</w:t>
      </w:r>
      <w:r w:rsidRPr="0086616B">
        <w:rPr>
          <w:rFonts w:ascii="Times New Roman" w:eastAsia="Arial Unicode MS" w:hAnsi="Times New Roman"/>
          <w:b/>
          <w:color w:val="auto"/>
          <w:sz w:val="24"/>
          <w:szCs w:val="24"/>
          <w:u w:color="000000"/>
          <w:shd w:val="clear" w:color="auto" w:fill="FFFFFF"/>
          <w:lang w:val="it-IT" w:eastAsia="en-US" w:bidi="ar-SA"/>
        </w:rPr>
        <w:t>, Ryan Afrahim</w:t>
      </w:r>
      <w:r w:rsidRPr="0086616B">
        <w:rPr>
          <w:rFonts w:ascii="Times New Roman" w:eastAsia="Arial Unicode MS" w:hAnsi="Times New Roman"/>
          <w:b/>
          <w:color w:val="auto"/>
          <w:sz w:val="24"/>
          <w:szCs w:val="24"/>
          <w:u w:color="000000"/>
          <w:shd w:val="clear" w:color="auto" w:fill="FFFFFF"/>
          <w:vertAlign w:val="superscript"/>
          <w:lang w:val="it-IT" w:eastAsia="en-US" w:bidi="ar-SA"/>
        </w:rPr>
        <w:t>1</w:t>
      </w:r>
      <w:r w:rsidRPr="0086616B">
        <w:rPr>
          <w:rFonts w:ascii="Times New Roman" w:eastAsia="Arial Unicode MS" w:hAnsi="Times New Roman"/>
          <w:b/>
          <w:color w:val="auto"/>
          <w:sz w:val="24"/>
          <w:szCs w:val="24"/>
          <w:u w:color="000000"/>
          <w:shd w:val="clear" w:color="auto" w:fill="FFFFFF"/>
          <w:lang w:val="it-IT" w:eastAsia="en-US" w:bidi="ar-SA"/>
        </w:rPr>
        <w:t>, Devendra K Agrawal</w:t>
      </w:r>
      <w:r w:rsidRPr="0086616B">
        <w:rPr>
          <w:rFonts w:ascii="Times New Roman" w:eastAsia="Arial Unicode MS" w:hAnsi="Times New Roman"/>
          <w:b/>
          <w:color w:val="auto"/>
          <w:sz w:val="24"/>
          <w:szCs w:val="24"/>
          <w:u w:color="000000"/>
          <w:shd w:val="clear" w:color="auto" w:fill="FFFFFF"/>
          <w:vertAlign w:val="superscript"/>
          <w:lang w:val="it-IT" w:eastAsia="en-US" w:bidi="ar-SA"/>
        </w:rPr>
        <w:t>1</w:t>
      </w:r>
      <w:r w:rsidRPr="0086616B">
        <w:rPr>
          <w:rFonts w:ascii="Times New Roman" w:eastAsia="Arial Unicode MS" w:hAnsi="Times New Roman"/>
          <w:b/>
          <w:color w:val="auto"/>
          <w:sz w:val="24"/>
          <w:szCs w:val="24"/>
          <w:u w:color="000000"/>
          <w:shd w:val="clear" w:color="auto" w:fill="FFFFFF"/>
          <w:lang w:val="it-IT" w:eastAsia="en-US" w:bidi="ar-SA"/>
        </w:rPr>
        <w:t>*</w:t>
      </w:r>
    </w:p>
    <w:p w14:paraId="633BF2A7" w14:textId="77777777" w:rsidR="0086616B" w:rsidRDefault="0086616B" w:rsidP="00BE012E">
      <w:pPr>
        <w:pStyle w:val="MDPI16affiliation"/>
        <w:tabs>
          <w:tab w:val="left" w:pos="360"/>
        </w:tabs>
        <w:spacing w:line="360" w:lineRule="auto"/>
        <w:ind w:left="0" w:firstLine="0"/>
        <w:jc w:val="both"/>
        <w:rPr>
          <w:rFonts w:ascii="Times New Roman" w:eastAsia="Arial Unicode MS" w:hAnsi="Times New Roman"/>
          <w:color w:val="auto"/>
          <w:sz w:val="20"/>
          <w:szCs w:val="20"/>
          <w:u w:color="000000"/>
          <w:shd w:val="clear" w:color="auto" w:fill="FFFFFF"/>
          <w:vertAlign w:val="superscript"/>
          <w:lang w:val="en-IN" w:eastAsia="en-US" w:bidi="ar-SA"/>
        </w:rPr>
      </w:pPr>
    </w:p>
    <w:p w14:paraId="39B14A45" w14:textId="4378951C" w:rsidR="00F30E1B" w:rsidRPr="0086616B" w:rsidRDefault="0086616B" w:rsidP="0086616B">
      <w:pPr>
        <w:pStyle w:val="MDPI16affiliation"/>
        <w:tabs>
          <w:tab w:val="left" w:pos="360"/>
        </w:tabs>
        <w:spacing w:line="360" w:lineRule="auto"/>
        <w:ind w:left="0" w:firstLine="0"/>
        <w:jc w:val="both"/>
        <w:rPr>
          <w:rFonts w:ascii="Times New Roman" w:hAnsi="Times New Roman"/>
          <w:b/>
          <w:color w:val="0070C0"/>
          <w:lang w:val="en-IN"/>
        </w:rPr>
      </w:pPr>
      <w:r w:rsidRPr="0086616B">
        <w:rPr>
          <w:rFonts w:ascii="Times New Roman" w:eastAsia="Arial Unicode MS" w:hAnsi="Times New Roman"/>
          <w:color w:val="auto"/>
          <w:sz w:val="20"/>
          <w:szCs w:val="20"/>
          <w:u w:color="000000"/>
          <w:shd w:val="clear" w:color="auto" w:fill="FFFFFF"/>
          <w:vertAlign w:val="superscript"/>
          <w:lang w:val="en-IN" w:eastAsia="en-US" w:bidi="ar-SA"/>
        </w:rPr>
        <w:t>1</w:t>
      </w:r>
      <w:r w:rsidRPr="0086616B">
        <w:rPr>
          <w:rFonts w:ascii="Times New Roman" w:eastAsia="Arial Unicode MS" w:hAnsi="Times New Roman"/>
          <w:color w:val="auto"/>
          <w:sz w:val="20"/>
          <w:szCs w:val="20"/>
          <w:u w:color="000000"/>
          <w:shd w:val="clear" w:color="auto" w:fill="FFFFFF"/>
          <w:lang w:val="en-IN" w:eastAsia="en-US" w:bidi="ar-SA"/>
        </w:rPr>
        <w:t>Department of Translational Research, College of Osteopathic Medicine of the Pacific,</w:t>
      </w:r>
      <w:r>
        <w:rPr>
          <w:rFonts w:ascii="Times New Roman" w:eastAsia="Arial Unicode MS" w:hAnsi="Times New Roman"/>
          <w:color w:val="auto"/>
          <w:sz w:val="20"/>
          <w:szCs w:val="20"/>
          <w:u w:color="000000"/>
          <w:shd w:val="clear" w:color="auto" w:fill="FFFFFF"/>
          <w:lang w:val="en-IN" w:eastAsia="en-US" w:bidi="ar-SA"/>
        </w:rPr>
        <w:t xml:space="preserve"> </w:t>
      </w:r>
      <w:r w:rsidRPr="0086616B">
        <w:rPr>
          <w:rFonts w:ascii="Times New Roman" w:eastAsia="Arial Unicode MS" w:hAnsi="Times New Roman"/>
          <w:color w:val="auto"/>
          <w:sz w:val="20"/>
          <w:szCs w:val="20"/>
          <w:u w:color="000000"/>
          <w:shd w:val="clear" w:color="auto" w:fill="FFFFFF"/>
          <w:lang w:val="en-IN" w:eastAsia="en-US" w:bidi="ar-SA"/>
        </w:rPr>
        <w:t>Western University of Health Sciences, Pomona, California 91766 USA</w:t>
      </w:r>
      <w:r>
        <w:rPr>
          <w:rFonts w:ascii="Times New Roman" w:eastAsia="Arial Unicode MS" w:hAnsi="Times New Roman"/>
          <w:color w:val="auto"/>
          <w:sz w:val="20"/>
          <w:szCs w:val="20"/>
          <w:u w:color="000000"/>
          <w:shd w:val="clear" w:color="auto" w:fill="FFFFFF"/>
          <w:lang w:val="en-IN" w:eastAsia="en-US" w:bidi="ar-SA"/>
        </w:rPr>
        <w:t>.</w:t>
      </w:r>
    </w:p>
    <w:p w14:paraId="6F22E6CB" w14:textId="77777777" w:rsidR="00457D91" w:rsidRDefault="00457D91" w:rsidP="00F40D14">
      <w:pPr>
        <w:pStyle w:val="HTMLPreformatted"/>
        <w:shd w:val="clear" w:color="auto" w:fill="FFFFFF"/>
        <w:spacing w:line="360" w:lineRule="auto"/>
        <w:rPr>
          <w:rFonts w:ascii="Times New Roman" w:hAnsi="Times New Roman" w:cs="Times New Roman"/>
          <w:b/>
          <w:color w:val="0070C0"/>
          <w:vertAlign w:val="superscript"/>
        </w:rPr>
      </w:pPr>
    </w:p>
    <w:p w14:paraId="756FE37E" w14:textId="75A6F7D0" w:rsidR="003C03D7" w:rsidRDefault="003C03D7" w:rsidP="00F40D14">
      <w:pPr>
        <w:pStyle w:val="HTMLPreformatted"/>
        <w:shd w:val="clear" w:color="auto" w:fill="FFFFFF"/>
        <w:spacing w:line="360" w:lineRule="auto"/>
        <w:rPr>
          <w:rFonts w:ascii="Times New Roman" w:hAnsi="Times New Roman" w:cs="Times New Roman"/>
          <w:bCs/>
        </w:rPr>
      </w:pPr>
      <w:r w:rsidRPr="003D432E">
        <w:rPr>
          <w:rFonts w:ascii="Times New Roman" w:hAnsi="Times New Roman" w:cs="Times New Roman"/>
          <w:b/>
          <w:color w:val="0070C0"/>
          <w:vertAlign w:val="superscript"/>
        </w:rPr>
        <w:t>*</w:t>
      </w:r>
      <w:r w:rsidRPr="00150645">
        <w:rPr>
          <w:rFonts w:ascii="Times New Roman" w:hAnsi="Times New Roman" w:cs="Times New Roman"/>
          <w:b/>
          <w:color w:val="0070C0"/>
          <w:sz w:val="22"/>
          <w:szCs w:val="22"/>
        </w:rPr>
        <w:t>Corresponding author</w:t>
      </w:r>
      <w:r w:rsidRPr="00150645">
        <w:rPr>
          <w:rFonts w:ascii="Times New Roman" w:hAnsi="Times New Roman" w:cs="Times New Roman"/>
          <w:b/>
          <w:color w:val="0070C0"/>
        </w:rPr>
        <w:t>:</w:t>
      </w:r>
      <w:r w:rsidR="00875A41" w:rsidRPr="00150645">
        <w:rPr>
          <w:rFonts w:ascii="Times New Roman" w:hAnsi="Times New Roman" w:cs="Times New Roman"/>
          <w:b/>
          <w:color w:val="0070C0"/>
        </w:rPr>
        <w:t xml:space="preserve"> </w:t>
      </w:r>
      <w:r w:rsidR="00F40D14" w:rsidRPr="00F40D14">
        <w:rPr>
          <w:rFonts w:ascii="Times New Roman" w:hAnsi="Times New Roman" w:cs="Times New Roman"/>
          <w:bCs/>
        </w:rPr>
        <w:t>Devendra K. Agrawal</w:t>
      </w:r>
      <w:r w:rsidR="00C73A71" w:rsidRPr="00C73A71">
        <w:rPr>
          <w:rFonts w:ascii="Times New Roman" w:hAnsi="Times New Roman" w:cs="Times New Roman"/>
          <w:bCs/>
        </w:rPr>
        <w:t xml:space="preserve">, </w:t>
      </w:r>
      <w:r w:rsidR="00F40D14" w:rsidRPr="00F40D14">
        <w:rPr>
          <w:rFonts w:ascii="Times New Roman" w:hAnsi="Times New Roman" w:cs="Times New Roman"/>
          <w:bCs/>
        </w:rPr>
        <w:t>MSc, PhD (Biochem), PhD (Med Sci), MBA, MS (ITM), FAAAAI, FAHA, FAPS, FIACS Director and Professor</w:t>
      </w:r>
      <w:r w:rsidR="00F40D14">
        <w:rPr>
          <w:rFonts w:ascii="Times New Roman" w:hAnsi="Times New Roman" w:cs="Times New Roman"/>
          <w:bCs/>
        </w:rPr>
        <w:t xml:space="preserve">, </w:t>
      </w:r>
      <w:r w:rsidR="00F40D14" w:rsidRPr="00F40D14">
        <w:rPr>
          <w:rFonts w:ascii="Times New Roman" w:hAnsi="Times New Roman" w:cs="Times New Roman"/>
          <w:bCs/>
        </w:rPr>
        <w:t>Department of Translational Research</w:t>
      </w:r>
      <w:r w:rsidR="00F40D14">
        <w:rPr>
          <w:rFonts w:ascii="Times New Roman" w:hAnsi="Times New Roman" w:cs="Times New Roman"/>
          <w:bCs/>
        </w:rPr>
        <w:t xml:space="preserve">, </w:t>
      </w:r>
      <w:r w:rsidR="00F40D14" w:rsidRPr="00F40D14">
        <w:rPr>
          <w:rFonts w:ascii="Times New Roman" w:hAnsi="Times New Roman" w:cs="Times New Roman"/>
          <w:bCs/>
        </w:rPr>
        <w:t>Western University of Health Sciences</w:t>
      </w:r>
      <w:r w:rsidR="00DF5CD3">
        <w:rPr>
          <w:rFonts w:ascii="Times New Roman" w:hAnsi="Times New Roman" w:cs="Times New Roman"/>
          <w:bCs/>
        </w:rPr>
        <w:t>,</w:t>
      </w:r>
      <w:r w:rsidR="00F40D14" w:rsidRPr="00F40D14">
        <w:rPr>
          <w:rFonts w:ascii="Times New Roman" w:hAnsi="Times New Roman" w:cs="Times New Roman"/>
          <w:bCs/>
        </w:rPr>
        <w:t xml:space="preserve"> 309 E. Second Street, Pomona, California 91766, USA</w:t>
      </w:r>
      <w:r w:rsidR="00F93D38">
        <w:rPr>
          <w:rFonts w:ascii="Times New Roman" w:hAnsi="Times New Roman" w:cs="Times New Roman"/>
          <w:bCs/>
        </w:rPr>
        <w:t>.</w:t>
      </w:r>
    </w:p>
    <w:p w14:paraId="07FED9F6" w14:textId="77777777" w:rsidR="00336B0D" w:rsidRDefault="00336B0D" w:rsidP="00336B0D">
      <w:pPr>
        <w:pStyle w:val="HTMLPreformatted"/>
        <w:shd w:val="clear" w:color="auto" w:fill="FFFFFF"/>
        <w:spacing w:line="360" w:lineRule="auto"/>
        <w:rPr>
          <w:rFonts w:ascii="Times New Roman" w:hAnsi="Times New Roman" w:cs="Times New Roman"/>
        </w:rPr>
      </w:pPr>
    </w:p>
    <w:p w14:paraId="701C3372" w14:textId="497AD309" w:rsidR="00336B0D" w:rsidRPr="00336B0D" w:rsidRDefault="00336B0D" w:rsidP="00336B0D">
      <w:pPr>
        <w:pStyle w:val="HTMLPreformatted"/>
        <w:shd w:val="clear" w:color="auto" w:fill="FFFFFF"/>
        <w:spacing w:line="360" w:lineRule="auto"/>
        <w:rPr>
          <w:rFonts w:ascii="Times New Roman" w:hAnsi="Times New Roman" w:cs="Times New Roman"/>
          <w:b/>
          <w:bCs/>
          <w:color w:val="0070C0"/>
        </w:rPr>
      </w:pPr>
      <w:r w:rsidRPr="00336B0D">
        <w:rPr>
          <w:rFonts w:ascii="Times New Roman" w:hAnsi="Times New Roman" w:cs="Times New Roman"/>
          <w:b/>
          <w:bCs/>
          <w:color w:val="0070C0"/>
        </w:rPr>
        <w:t>ORCID:</w:t>
      </w:r>
    </w:p>
    <w:p w14:paraId="5CEDB75A" w14:textId="4CD95ABD" w:rsidR="00336B0D" w:rsidRPr="00150645" w:rsidRDefault="00336B0D" w:rsidP="00336B0D">
      <w:pPr>
        <w:pStyle w:val="HTMLPreformatted"/>
        <w:shd w:val="clear" w:color="auto" w:fill="FFFFFF"/>
        <w:spacing w:line="360" w:lineRule="auto"/>
        <w:rPr>
          <w:rFonts w:ascii="Times New Roman" w:hAnsi="Times New Roman" w:cs="Times New Roman"/>
        </w:rPr>
      </w:pPr>
      <w:r w:rsidRPr="00336B0D">
        <w:rPr>
          <w:rFonts w:ascii="Times New Roman" w:hAnsi="Times New Roman" w:cs="Times New Roman"/>
        </w:rPr>
        <w:t>Devendra K. Agrawal: 0000-0001-5445-0013</w:t>
      </w:r>
    </w:p>
    <w:p w14:paraId="607753BB" w14:textId="77777777" w:rsidR="003C03D7" w:rsidRPr="00150645" w:rsidRDefault="003C03D7" w:rsidP="00150645">
      <w:pPr>
        <w:spacing w:after="0" w:line="360" w:lineRule="auto"/>
        <w:jc w:val="both"/>
        <w:rPr>
          <w:rFonts w:ascii="Times New Roman" w:hAnsi="Times New Roman" w:cs="Times New Roman"/>
          <w:color w:val="000000"/>
          <w:sz w:val="20"/>
          <w:szCs w:val="20"/>
        </w:rPr>
      </w:pPr>
    </w:p>
    <w:p w14:paraId="5CD4099E" w14:textId="348DCB56" w:rsidR="003C03D7" w:rsidRPr="00150645" w:rsidRDefault="00E01F18" w:rsidP="00150645">
      <w:pPr>
        <w:spacing w:after="0" w:line="360" w:lineRule="auto"/>
        <w:jc w:val="both"/>
        <w:rPr>
          <w:rFonts w:ascii="Times New Roman" w:hAnsi="Times New Roman" w:cs="Times New Roman"/>
          <w:sz w:val="20"/>
          <w:szCs w:val="20"/>
        </w:rPr>
      </w:pPr>
      <w:r w:rsidRPr="00150645">
        <w:rPr>
          <w:rFonts w:ascii="Times New Roman" w:eastAsia="Times New Roman" w:hAnsi="Times New Roman" w:cs="Times New Roman"/>
          <w:b/>
          <w:color w:val="0070C0"/>
          <w:sz w:val="20"/>
          <w:szCs w:val="20"/>
          <w:lang w:val="tr-TR" w:eastAsia="tr-TR"/>
        </w:rPr>
        <w:t>Rec</w:t>
      </w:r>
      <w:r w:rsidRPr="00150645">
        <w:rPr>
          <w:rFonts w:ascii="Times New Roman" w:eastAsia="Times New Roman" w:hAnsi="Times New Roman" w:cs="Times New Roman"/>
          <w:b/>
          <w:color w:val="0070C0"/>
          <w:lang w:val="tr-TR" w:eastAsia="tr-TR"/>
        </w:rPr>
        <w:t>eived</w:t>
      </w:r>
      <w:r w:rsidRPr="00150645">
        <w:rPr>
          <w:rFonts w:ascii="Times New Roman" w:hAnsi="Times New Roman" w:cs="Times New Roman"/>
          <w:b/>
          <w:sz w:val="20"/>
          <w:szCs w:val="20"/>
        </w:rPr>
        <w:t xml:space="preserve">: </w:t>
      </w:r>
      <w:r w:rsidR="00D266BA">
        <w:rPr>
          <w:rFonts w:ascii="Times New Roman" w:hAnsi="Times New Roman" w:cs="Times New Roman"/>
          <w:sz w:val="20"/>
          <w:szCs w:val="20"/>
        </w:rPr>
        <w:t>2</w:t>
      </w:r>
      <w:r w:rsidR="0086616B">
        <w:rPr>
          <w:rFonts w:ascii="Times New Roman" w:hAnsi="Times New Roman" w:cs="Times New Roman"/>
          <w:sz w:val="20"/>
          <w:szCs w:val="20"/>
        </w:rPr>
        <w:t>8</w:t>
      </w:r>
      <w:r w:rsidR="006E6109">
        <w:rPr>
          <w:rFonts w:ascii="Times New Roman" w:hAnsi="Times New Roman" w:cs="Times New Roman"/>
          <w:sz w:val="20"/>
          <w:szCs w:val="20"/>
        </w:rPr>
        <w:t xml:space="preserve"> </w:t>
      </w:r>
      <w:r w:rsidR="00F94C9B">
        <w:rPr>
          <w:rFonts w:ascii="Times New Roman" w:hAnsi="Times New Roman" w:cs="Times New Roman"/>
          <w:sz w:val="20"/>
          <w:szCs w:val="20"/>
        </w:rPr>
        <w:t>August</w:t>
      </w:r>
      <w:r w:rsidR="009A20FD">
        <w:rPr>
          <w:rFonts w:ascii="Times New Roman" w:hAnsi="Times New Roman" w:cs="Times New Roman"/>
          <w:sz w:val="20"/>
          <w:szCs w:val="20"/>
        </w:rPr>
        <w:t xml:space="preserve"> </w:t>
      </w:r>
      <w:r w:rsidR="008C2DCE" w:rsidRPr="00150645">
        <w:rPr>
          <w:rFonts w:ascii="Times New Roman" w:hAnsi="Times New Roman" w:cs="Times New Roman"/>
          <w:sz w:val="20"/>
          <w:szCs w:val="20"/>
        </w:rPr>
        <w:t>202</w:t>
      </w:r>
      <w:r w:rsidR="009A20FD">
        <w:rPr>
          <w:rFonts w:ascii="Times New Roman" w:hAnsi="Times New Roman" w:cs="Times New Roman"/>
          <w:sz w:val="20"/>
          <w:szCs w:val="20"/>
        </w:rPr>
        <w:t>6</w:t>
      </w:r>
      <w:r w:rsidR="003C03D7" w:rsidRPr="00150645">
        <w:rPr>
          <w:rFonts w:ascii="Times New Roman" w:hAnsi="Times New Roman" w:cs="Times New Roman"/>
          <w:sz w:val="20"/>
          <w:szCs w:val="20"/>
        </w:rPr>
        <w:t>;</w:t>
      </w:r>
      <w:r w:rsidRPr="00150645">
        <w:rPr>
          <w:rFonts w:ascii="Times New Roman" w:hAnsi="Times New Roman" w:cs="Times New Roman"/>
          <w:b/>
          <w:sz w:val="20"/>
          <w:szCs w:val="20"/>
        </w:rPr>
        <w:t xml:space="preserve"> </w:t>
      </w:r>
      <w:r w:rsidRPr="00150645">
        <w:rPr>
          <w:rFonts w:ascii="Times New Roman" w:eastAsia="Times New Roman" w:hAnsi="Times New Roman" w:cs="Times New Roman"/>
          <w:b/>
          <w:color w:val="0070C0"/>
          <w:sz w:val="20"/>
          <w:szCs w:val="20"/>
          <w:lang w:val="tr-TR" w:eastAsia="tr-TR"/>
        </w:rPr>
        <w:t>A</w:t>
      </w:r>
      <w:r w:rsidRPr="00150645">
        <w:rPr>
          <w:rFonts w:ascii="Times New Roman" w:eastAsia="Times New Roman" w:hAnsi="Times New Roman" w:cs="Times New Roman"/>
          <w:b/>
          <w:color w:val="0070C0"/>
          <w:lang w:val="tr-TR" w:eastAsia="tr-TR"/>
        </w:rPr>
        <w:t>ccepted</w:t>
      </w:r>
      <w:r w:rsidRPr="00150645">
        <w:rPr>
          <w:rFonts w:ascii="Times New Roman" w:hAnsi="Times New Roman" w:cs="Times New Roman"/>
          <w:b/>
          <w:sz w:val="20"/>
          <w:szCs w:val="20"/>
        </w:rPr>
        <w:t xml:space="preserve">: </w:t>
      </w:r>
      <w:r w:rsidR="00BE012E">
        <w:rPr>
          <w:rFonts w:ascii="Times New Roman" w:hAnsi="Times New Roman" w:cs="Times New Roman"/>
          <w:bCs/>
          <w:sz w:val="20"/>
          <w:szCs w:val="20"/>
        </w:rPr>
        <w:t>0</w:t>
      </w:r>
      <w:r w:rsidR="0086616B">
        <w:rPr>
          <w:rFonts w:ascii="Times New Roman" w:hAnsi="Times New Roman" w:cs="Times New Roman"/>
          <w:bCs/>
          <w:sz w:val="20"/>
          <w:szCs w:val="20"/>
        </w:rPr>
        <w:t>9</w:t>
      </w:r>
      <w:r w:rsidR="00867FA0">
        <w:rPr>
          <w:rFonts w:ascii="Times New Roman" w:hAnsi="Times New Roman" w:cs="Times New Roman"/>
          <w:sz w:val="20"/>
          <w:szCs w:val="20"/>
        </w:rPr>
        <w:t xml:space="preserve"> </w:t>
      </w:r>
      <w:r w:rsidR="00BE012E">
        <w:rPr>
          <w:rFonts w:ascii="Times New Roman" w:hAnsi="Times New Roman" w:cs="Times New Roman"/>
          <w:sz w:val="20"/>
          <w:szCs w:val="20"/>
        </w:rPr>
        <w:t>September</w:t>
      </w:r>
      <w:r w:rsidR="006E6109">
        <w:rPr>
          <w:rFonts w:ascii="Times New Roman" w:hAnsi="Times New Roman" w:cs="Times New Roman"/>
          <w:sz w:val="20"/>
          <w:szCs w:val="20"/>
        </w:rPr>
        <w:t xml:space="preserve"> </w:t>
      </w:r>
      <w:r w:rsidR="008C2DCE" w:rsidRPr="00150645">
        <w:rPr>
          <w:rFonts w:ascii="Times New Roman" w:hAnsi="Times New Roman" w:cs="Times New Roman"/>
          <w:sz w:val="20"/>
          <w:szCs w:val="20"/>
        </w:rPr>
        <w:t>202</w:t>
      </w:r>
      <w:r w:rsidR="00523A8F">
        <w:rPr>
          <w:rFonts w:ascii="Times New Roman" w:hAnsi="Times New Roman" w:cs="Times New Roman"/>
          <w:sz w:val="20"/>
          <w:szCs w:val="20"/>
        </w:rPr>
        <w:t>6</w:t>
      </w:r>
      <w:r w:rsidR="003C03D7" w:rsidRPr="00150645">
        <w:rPr>
          <w:rFonts w:ascii="Times New Roman" w:hAnsi="Times New Roman" w:cs="Times New Roman"/>
          <w:sz w:val="20"/>
          <w:szCs w:val="20"/>
        </w:rPr>
        <w:t>;</w:t>
      </w:r>
      <w:r w:rsidR="003C03D7" w:rsidRPr="00150645">
        <w:rPr>
          <w:rFonts w:ascii="Times New Roman" w:hAnsi="Times New Roman" w:cs="Times New Roman"/>
          <w:b/>
          <w:sz w:val="20"/>
          <w:szCs w:val="20"/>
        </w:rPr>
        <w:t xml:space="preserve"> </w:t>
      </w:r>
      <w:r w:rsidR="003C03D7" w:rsidRPr="00150645">
        <w:rPr>
          <w:rFonts w:ascii="Times New Roman" w:eastAsia="Times New Roman" w:hAnsi="Times New Roman" w:cs="Times New Roman"/>
          <w:b/>
          <w:color w:val="0070C0"/>
          <w:sz w:val="20"/>
          <w:szCs w:val="20"/>
          <w:lang w:val="tr-TR" w:eastAsia="tr-TR"/>
        </w:rPr>
        <w:t>Publ</w:t>
      </w:r>
      <w:r w:rsidR="003C03D7" w:rsidRPr="00150645">
        <w:rPr>
          <w:rFonts w:ascii="Times New Roman" w:eastAsia="Times New Roman" w:hAnsi="Times New Roman" w:cs="Times New Roman"/>
          <w:b/>
          <w:color w:val="0070C0"/>
          <w:lang w:val="tr-TR" w:eastAsia="tr-TR"/>
        </w:rPr>
        <w:t>ishe</w:t>
      </w:r>
      <w:r w:rsidR="003C03D7" w:rsidRPr="00150645">
        <w:rPr>
          <w:rFonts w:ascii="Times New Roman" w:eastAsia="Times New Roman" w:hAnsi="Times New Roman" w:cs="Times New Roman"/>
          <w:b/>
          <w:color w:val="0070C0"/>
          <w:sz w:val="20"/>
          <w:szCs w:val="20"/>
          <w:lang w:val="tr-TR" w:eastAsia="tr-TR"/>
        </w:rPr>
        <w:t>d</w:t>
      </w:r>
      <w:r w:rsidR="003C03D7" w:rsidRPr="00150645">
        <w:rPr>
          <w:rFonts w:ascii="Times New Roman" w:hAnsi="Times New Roman" w:cs="Times New Roman"/>
          <w:b/>
          <w:sz w:val="20"/>
          <w:szCs w:val="20"/>
        </w:rPr>
        <w:t xml:space="preserve">: </w:t>
      </w:r>
      <w:r w:rsidR="00EB42B2">
        <w:rPr>
          <w:rFonts w:ascii="Times New Roman" w:hAnsi="Times New Roman" w:cs="Times New Roman"/>
          <w:bCs/>
          <w:sz w:val="20"/>
          <w:szCs w:val="20"/>
        </w:rPr>
        <w:t>10</w:t>
      </w:r>
      <w:r w:rsidR="00462982">
        <w:rPr>
          <w:rFonts w:ascii="Times New Roman" w:hAnsi="Times New Roman" w:cs="Times New Roman"/>
          <w:sz w:val="20"/>
          <w:szCs w:val="20"/>
        </w:rPr>
        <w:t xml:space="preserve"> </w:t>
      </w:r>
      <w:r w:rsidR="00BE012E">
        <w:rPr>
          <w:rFonts w:ascii="Times New Roman" w:hAnsi="Times New Roman" w:cs="Times New Roman"/>
          <w:sz w:val="20"/>
          <w:szCs w:val="20"/>
        </w:rPr>
        <w:t>September</w:t>
      </w:r>
      <w:r w:rsidR="006E6109">
        <w:rPr>
          <w:rFonts w:ascii="Times New Roman" w:hAnsi="Times New Roman" w:cs="Times New Roman"/>
          <w:sz w:val="20"/>
          <w:szCs w:val="20"/>
        </w:rPr>
        <w:t xml:space="preserve"> 202</w:t>
      </w:r>
      <w:r w:rsidR="00523A8F">
        <w:rPr>
          <w:rFonts w:ascii="Times New Roman" w:hAnsi="Times New Roman" w:cs="Times New Roman"/>
          <w:sz w:val="20"/>
          <w:szCs w:val="20"/>
        </w:rPr>
        <w:t>6</w:t>
      </w:r>
    </w:p>
    <w:p w14:paraId="4D81E6B0" w14:textId="77777777" w:rsidR="003C03D7" w:rsidRPr="00150645" w:rsidRDefault="003C03D7" w:rsidP="00150645">
      <w:pPr>
        <w:spacing w:after="0" w:line="360" w:lineRule="auto"/>
        <w:jc w:val="both"/>
        <w:rPr>
          <w:rFonts w:ascii="Times New Roman" w:hAnsi="Times New Roman" w:cs="Times New Roman"/>
          <w:sz w:val="20"/>
          <w:szCs w:val="20"/>
        </w:rPr>
      </w:pPr>
    </w:p>
    <w:p w14:paraId="0B7BC42F" w14:textId="2CEBAC09" w:rsidR="003C03D7" w:rsidRPr="00150645" w:rsidRDefault="003C03D7" w:rsidP="002001C2">
      <w:pPr>
        <w:spacing w:after="0" w:line="360" w:lineRule="auto"/>
        <w:jc w:val="both"/>
        <w:rPr>
          <w:rFonts w:ascii="Times New Roman" w:hAnsi="Times New Roman" w:cs="Times New Roman"/>
          <w:b/>
          <w:bCs/>
          <w:sz w:val="20"/>
          <w:szCs w:val="20"/>
        </w:rPr>
      </w:pPr>
      <w:r w:rsidRPr="00150645">
        <w:rPr>
          <w:rFonts w:ascii="Times New Roman" w:eastAsia="Times New Roman" w:hAnsi="Times New Roman" w:cs="Times New Roman"/>
          <w:b/>
          <w:color w:val="0070C0"/>
        </w:rPr>
        <w:t>Citatio</w:t>
      </w:r>
      <w:r w:rsidRPr="00150645">
        <w:rPr>
          <w:rFonts w:ascii="Times New Roman" w:eastAsia="Times New Roman" w:hAnsi="Times New Roman" w:cs="Times New Roman"/>
          <w:b/>
          <w:color w:val="0070C0"/>
          <w:sz w:val="20"/>
          <w:szCs w:val="20"/>
        </w:rPr>
        <w:t>n</w:t>
      </w:r>
      <w:r w:rsidRPr="00150645">
        <w:rPr>
          <w:rFonts w:ascii="Times New Roman" w:eastAsia="Times New Roman" w:hAnsi="Times New Roman" w:cs="Times New Roman"/>
          <w:color w:val="0070C0"/>
          <w:sz w:val="20"/>
          <w:szCs w:val="20"/>
        </w:rPr>
        <w:t>:</w:t>
      </w:r>
      <w:r w:rsidR="00875A41" w:rsidRPr="00150645">
        <w:rPr>
          <w:rFonts w:ascii="Times New Roman" w:eastAsia="Times New Roman" w:hAnsi="Times New Roman" w:cs="Times New Roman"/>
          <w:color w:val="0070C0"/>
          <w:sz w:val="20"/>
          <w:szCs w:val="20"/>
        </w:rPr>
        <w:t xml:space="preserve"> </w:t>
      </w:r>
      <w:r w:rsidR="009031AF" w:rsidRPr="009031AF">
        <w:rPr>
          <w:rFonts w:ascii="Times New Roman" w:eastAsia="Arial Unicode MS" w:hAnsi="Times New Roman" w:cs="Times New Roman"/>
          <w:sz w:val="20"/>
          <w:szCs w:val="20"/>
          <w:u w:color="000000"/>
          <w:shd w:val="clear" w:color="auto" w:fill="FFFFFF"/>
          <w:lang w:val="it-IT"/>
        </w:rPr>
        <w:t>Amy Phu, Lannhi Nguyen, Daniel Mashiach, Ryan Afrahim, Devendra K Agrawal</w:t>
      </w:r>
      <w:r w:rsidR="009116FA">
        <w:rPr>
          <w:rFonts w:ascii="Times New Roman" w:hAnsi="Times New Roman" w:cs="Times New Roman"/>
          <w:bCs/>
          <w:sz w:val="20"/>
          <w:szCs w:val="20"/>
        </w:rPr>
        <w:t>.</w:t>
      </w:r>
      <w:r w:rsidR="00D262C6">
        <w:rPr>
          <w:rFonts w:ascii="Times New Roman" w:hAnsi="Times New Roman" w:cs="Times New Roman"/>
          <w:bCs/>
          <w:sz w:val="20"/>
          <w:szCs w:val="20"/>
        </w:rPr>
        <w:t xml:space="preserve"> </w:t>
      </w:r>
      <w:r w:rsidR="009031AF" w:rsidRPr="009031AF">
        <w:rPr>
          <w:rFonts w:ascii="Times New Roman" w:hAnsi="Times New Roman" w:cs="Times New Roman"/>
          <w:bCs/>
          <w:sz w:val="20"/>
          <w:szCs w:val="20"/>
        </w:rPr>
        <w:t>An Overview of IgG4-Related Disease</w:t>
      </w:r>
      <w:r w:rsidR="00170949">
        <w:rPr>
          <w:rFonts w:ascii="Times New Roman" w:hAnsi="Times New Roman" w:cs="Times New Roman"/>
          <w:bCs/>
          <w:sz w:val="20"/>
          <w:szCs w:val="20"/>
        </w:rPr>
        <w:t>.</w:t>
      </w:r>
      <w:r w:rsidR="00D262C6" w:rsidRPr="00D262C6">
        <w:rPr>
          <w:rFonts w:ascii="Times New Roman" w:hAnsi="Times New Roman" w:cs="Times New Roman"/>
          <w:bCs/>
          <w:sz w:val="20"/>
          <w:szCs w:val="20"/>
        </w:rPr>
        <w:t xml:space="preserve"> </w:t>
      </w:r>
      <w:r w:rsidR="00900B27" w:rsidRPr="00150645">
        <w:rPr>
          <w:rFonts w:ascii="Times New Roman" w:hAnsi="Times New Roman" w:cs="Times New Roman"/>
          <w:color w:val="000000"/>
          <w:sz w:val="20"/>
          <w:szCs w:val="20"/>
        </w:rPr>
        <w:t>Archives of Internal Medicine Research</w:t>
      </w:r>
      <w:r w:rsidR="00BB3370">
        <w:rPr>
          <w:rFonts w:ascii="Times New Roman" w:hAnsi="Times New Roman" w:cs="Times New Roman"/>
          <w:color w:val="000000"/>
          <w:spacing w:val="-1"/>
          <w:sz w:val="20"/>
          <w:szCs w:val="20"/>
        </w:rPr>
        <w:t xml:space="preserve"> </w:t>
      </w:r>
      <w:r w:rsidR="009319AD">
        <w:rPr>
          <w:rFonts w:ascii="Times New Roman" w:hAnsi="Times New Roman" w:cs="Times New Roman"/>
          <w:color w:val="000000"/>
          <w:spacing w:val="-1"/>
          <w:sz w:val="20"/>
          <w:szCs w:val="20"/>
        </w:rPr>
        <w:t>9</w:t>
      </w:r>
      <w:r w:rsidR="00900B27" w:rsidRPr="00150645">
        <w:rPr>
          <w:rFonts w:ascii="Times New Roman" w:hAnsi="Times New Roman" w:cs="Times New Roman"/>
          <w:color w:val="000000"/>
          <w:spacing w:val="-1"/>
          <w:sz w:val="20"/>
          <w:szCs w:val="20"/>
        </w:rPr>
        <w:t xml:space="preserve"> (202</w:t>
      </w:r>
      <w:r w:rsidR="009319AD">
        <w:rPr>
          <w:rFonts w:ascii="Times New Roman" w:hAnsi="Times New Roman" w:cs="Times New Roman"/>
          <w:color w:val="000000"/>
          <w:spacing w:val="-1"/>
          <w:sz w:val="20"/>
          <w:szCs w:val="20"/>
        </w:rPr>
        <w:t>6</w:t>
      </w:r>
      <w:r w:rsidR="00900B27" w:rsidRPr="00150645">
        <w:rPr>
          <w:rFonts w:ascii="Times New Roman" w:hAnsi="Times New Roman" w:cs="Times New Roman"/>
          <w:color w:val="000000"/>
          <w:spacing w:val="-1"/>
          <w:sz w:val="20"/>
          <w:szCs w:val="20"/>
        </w:rPr>
        <w:t>)</w:t>
      </w:r>
      <w:r w:rsidR="00675CBD" w:rsidRPr="00150645">
        <w:rPr>
          <w:rFonts w:ascii="Times New Roman" w:hAnsi="Times New Roman" w:cs="Times New Roman"/>
          <w:color w:val="000000"/>
          <w:spacing w:val="-1"/>
          <w:sz w:val="20"/>
          <w:szCs w:val="20"/>
        </w:rPr>
        <w:t xml:space="preserve">: </w:t>
      </w:r>
      <w:r w:rsidR="00ED02E3">
        <w:rPr>
          <w:rFonts w:ascii="Times New Roman" w:hAnsi="Times New Roman" w:cs="Times New Roman"/>
          <w:color w:val="000000"/>
          <w:spacing w:val="-1"/>
          <w:sz w:val="20"/>
          <w:szCs w:val="20"/>
        </w:rPr>
        <w:t>324</w:t>
      </w:r>
      <w:r w:rsidR="009B143D">
        <w:rPr>
          <w:rFonts w:ascii="Times New Roman" w:hAnsi="Times New Roman" w:cs="Times New Roman"/>
          <w:color w:val="000000"/>
          <w:spacing w:val="-1"/>
          <w:sz w:val="20"/>
          <w:szCs w:val="20"/>
        </w:rPr>
        <w:t>-</w:t>
      </w:r>
      <w:r w:rsidR="00EB42B2">
        <w:rPr>
          <w:rFonts w:ascii="Times New Roman" w:hAnsi="Times New Roman" w:cs="Times New Roman"/>
          <w:color w:val="000000"/>
          <w:spacing w:val="-1"/>
          <w:sz w:val="20"/>
          <w:szCs w:val="20"/>
        </w:rPr>
        <w:t>330</w:t>
      </w:r>
      <w:r w:rsidRPr="00150645">
        <w:rPr>
          <w:rFonts w:ascii="Times New Roman" w:hAnsi="Times New Roman" w:cs="Times New Roman"/>
          <w:color w:val="000000"/>
          <w:sz w:val="20"/>
          <w:szCs w:val="20"/>
        </w:rPr>
        <w:t>.</w:t>
      </w:r>
    </w:p>
    <w:p w14:paraId="2621F52D" w14:textId="77777777" w:rsidR="00744D65" w:rsidRDefault="00744D65" w:rsidP="00150645">
      <w:pPr>
        <w:spacing w:after="0" w:line="360" w:lineRule="auto"/>
        <w:jc w:val="both"/>
        <w:rPr>
          <w:rFonts w:ascii="Times New Roman" w:hAnsi="Times New Roman" w:cs="Times New Roman"/>
          <w:color w:val="000000"/>
          <w:sz w:val="20"/>
          <w:szCs w:val="20"/>
        </w:rPr>
      </w:pPr>
    </w:p>
    <w:p w14:paraId="226190C2" w14:textId="66B34A94" w:rsidR="00150645" w:rsidRPr="000903D9" w:rsidRDefault="00211DD3" w:rsidP="009F6826">
      <w:pPr>
        <w:spacing w:after="0" w:line="360" w:lineRule="auto"/>
        <w:jc w:val="both"/>
        <w:rPr>
          <w:rFonts w:ascii="Times New Roman" w:hAnsi="Times New Roman" w:cs="Times New Roman"/>
          <w:b/>
          <w:color w:val="0070C0"/>
        </w:rPr>
      </w:pPr>
      <w:r w:rsidRPr="000903D9">
        <w:rPr>
          <w:rFonts w:ascii="Times New Roman" w:hAnsi="Times New Roman" w:cs="Times New Roman"/>
          <w:b/>
          <w:color w:val="0070C0"/>
        </w:rPr>
        <w:t>Abstract</w:t>
      </w:r>
    </w:p>
    <w:p w14:paraId="72CEFD59" w14:textId="77777777" w:rsidR="00F979AE" w:rsidRPr="00F979AE" w:rsidRDefault="00F979AE" w:rsidP="00F979AE">
      <w:pPr>
        <w:spacing w:after="0" w:line="360" w:lineRule="auto"/>
        <w:jc w:val="both"/>
        <w:rPr>
          <w:rFonts w:ascii="Times New Roman" w:hAnsi="Times New Roman" w:cs="Times New Roman"/>
          <w:sz w:val="20"/>
          <w:szCs w:val="20"/>
        </w:rPr>
      </w:pPr>
      <w:r w:rsidRPr="00F979AE">
        <w:rPr>
          <w:rFonts w:ascii="Times New Roman" w:hAnsi="Times New Roman" w:cs="Times New Roman"/>
          <w:sz w:val="20"/>
          <w:szCs w:val="20"/>
        </w:rPr>
        <w:t xml:space="preserve">IgG4-related disease is a chronic inflammatory condition that has been formally described and extensively researched only in the recent few decades, making it a relatively new clinical entity. Furthermore, IgG4- related disease has been highly underreported and misdiagnosed as other similarly presenting conditions. In this article, we discuss the variable presentation, diagnosis process and criteria of IgG4-related disease and Sjogren’s syndrome in consideration of the literature currently available. In IgG4- related disease patients, an accurate diagnosis is crucial to timely treatment and circumvention of serious adverse outcomes such as irreversible organ damage. </w:t>
      </w:r>
    </w:p>
    <w:p w14:paraId="5234DDA9" w14:textId="09DA2FCE" w:rsidR="00A93CEB" w:rsidRDefault="00F979AE" w:rsidP="00F979AE">
      <w:pPr>
        <w:spacing w:after="0" w:line="360" w:lineRule="auto"/>
        <w:jc w:val="both"/>
        <w:rPr>
          <w:rFonts w:ascii="Times New Roman" w:hAnsi="Times New Roman" w:cs="Times New Roman"/>
          <w:sz w:val="20"/>
          <w:szCs w:val="20"/>
        </w:rPr>
      </w:pPr>
      <w:r w:rsidRPr="00F979AE">
        <w:rPr>
          <w:rFonts w:ascii="Times New Roman" w:hAnsi="Times New Roman" w:cs="Times New Roman"/>
          <w:sz w:val="20"/>
          <w:szCs w:val="20"/>
        </w:rPr>
        <w:t>This critical review article provides an overview of IgG4-related disease with a primary focus on (i) current understanding of its pathophysiological mechanisms, (ii) most recognized clinical phenotypes, (iii) current diagnostic guidelines, and (iv) current treatments available.</w:t>
      </w:r>
    </w:p>
    <w:p w14:paraId="5486CEF8" w14:textId="77777777" w:rsidR="00EC4B70" w:rsidRDefault="00EC4B70" w:rsidP="00B24252">
      <w:pPr>
        <w:spacing w:after="0" w:line="360" w:lineRule="auto"/>
        <w:jc w:val="both"/>
        <w:rPr>
          <w:rFonts w:ascii="Times New Roman" w:hAnsi="Times New Roman" w:cs="Times New Roman"/>
          <w:sz w:val="20"/>
          <w:szCs w:val="20"/>
        </w:rPr>
      </w:pPr>
    </w:p>
    <w:p w14:paraId="1103F5B5" w14:textId="77E5A3F9" w:rsidR="00955BC4" w:rsidRDefault="00CF7F4B" w:rsidP="00A644AC">
      <w:pPr>
        <w:pStyle w:val="MDPI18keywords"/>
        <w:spacing w:before="0" w:line="360" w:lineRule="auto"/>
        <w:ind w:left="0"/>
      </w:pPr>
      <w:r w:rsidRPr="00A644AC">
        <w:rPr>
          <w:rFonts w:ascii="Times New Roman" w:hAnsi="Times New Roman"/>
          <w:b/>
          <w:color w:val="0070C0"/>
          <w:sz w:val="22"/>
        </w:rPr>
        <w:t>Keywords</w:t>
      </w:r>
      <w:r w:rsidR="00A644AC">
        <w:rPr>
          <w:rFonts w:ascii="Times New Roman" w:hAnsi="Times New Roman"/>
          <w:b/>
          <w:color w:val="0070C0"/>
          <w:sz w:val="22"/>
        </w:rPr>
        <w:t>:</w:t>
      </w:r>
      <w:r w:rsidR="00A644AC" w:rsidRPr="00A644AC">
        <w:t xml:space="preserve"> </w:t>
      </w:r>
    </w:p>
    <w:p w14:paraId="4C9C002C" w14:textId="1B79AAFC" w:rsidR="00F80D80" w:rsidRDefault="00F979AE" w:rsidP="00B53566">
      <w:pPr>
        <w:spacing w:after="0" w:line="360" w:lineRule="auto"/>
        <w:jc w:val="both"/>
        <w:rPr>
          <w:rFonts w:ascii="Times New Roman" w:eastAsia="Times New Roman" w:hAnsi="Times New Roman" w:cs="Times New Roman"/>
          <w:snapToGrid w:val="0"/>
          <w:color w:val="000000"/>
          <w:sz w:val="20"/>
          <w:lang w:eastAsia="de-DE" w:bidi="en-US"/>
        </w:rPr>
      </w:pPr>
      <w:r w:rsidRPr="00F979AE">
        <w:rPr>
          <w:rFonts w:ascii="Times New Roman" w:eastAsia="Times New Roman" w:hAnsi="Times New Roman" w:cs="Times New Roman"/>
          <w:snapToGrid w:val="0"/>
          <w:color w:val="000000"/>
          <w:sz w:val="20"/>
          <w:lang w:eastAsia="de-DE" w:bidi="en-US"/>
        </w:rPr>
        <w:t>Autoimmune hepatitis; Dacryoadenitis; Immunoglobulin g4-related disease; Parotitis; Sialadenitis; Submandibular swelling</w:t>
      </w:r>
      <w:r w:rsidR="000C1527" w:rsidRPr="000C1527">
        <w:rPr>
          <w:rFonts w:ascii="Times New Roman" w:eastAsia="Times New Roman" w:hAnsi="Times New Roman" w:cs="Times New Roman"/>
          <w:snapToGrid w:val="0"/>
          <w:color w:val="000000"/>
          <w:sz w:val="20"/>
          <w:lang w:eastAsia="de-DE" w:bidi="en-US"/>
        </w:rPr>
        <w:t>.</w:t>
      </w:r>
    </w:p>
    <w:p w14:paraId="187455A7" w14:textId="77777777" w:rsidR="00C02CF1" w:rsidRDefault="00C02CF1" w:rsidP="00B53566">
      <w:pPr>
        <w:spacing w:after="0" w:line="360" w:lineRule="auto"/>
        <w:jc w:val="both"/>
        <w:rPr>
          <w:rFonts w:ascii="Times New Roman" w:eastAsia="Times New Roman" w:hAnsi="Times New Roman" w:cs="Times New Roman"/>
          <w:snapToGrid w:val="0"/>
          <w:color w:val="000000"/>
          <w:sz w:val="20"/>
          <w:lang w:eastAsia="de-DE" w:bidi="en-US"/>
        </w:rPr>
      </w:pPr>
    </w:p>
    <w:p w14:paraId="2246F087" w14:textId="6347B144" w:rsidR="005F7AAF" w:rsidRPr="000C1527" w:rsidRDefault="005F7AAF" w:rsidP="00F83799">
      <w:pPr>
        <w:spacing w:after="0" w:line="360" w:lineRule="auto"/>
        <w:jc w:val="both"/>
        <w:rPr>
          <w:rFonts w:ascii="Times New Roman" w:hAnsi="Times New Roman" w:cs="Times New Roman"/>
          <w:b/>
          <w:bCs/>
          <w:color w:val="0070C0"/>
        </w:rPr>
      </w:pPr>
      <w:r w:rsidRPr="000C1527">
        <w:rPr>
          <w:rFonts w:ascii="Times New Roman" w:hAnsi="Times New Roman" w:cs="Times New Roman"/>
          <w:b/>
          <w:bCs/>
          <w:color w:val="0070C0"/>
        </w:rPr>
        <w:t>Introduction</w:t>
      </w:r>
    </w:p>
    <w:p w14:paraId="427C9114" w14:textId="77777777" w:rsidR="00F979AE" w:rsidRPr="00F979AE" w:rsidRDefault="00F979AE" w:rsidP="00F979AE">
      <w:pPr>
        <w:spacing w:after="0" w:line="360" w:lineRule="auto"/>
        <w:jc w:val="both"/>
        <w:rPr>
          <w:rFonts w:ascii="Times New Roman" w:hAnsi="Times New Roman" w:cs="Times New Roman"/>
          <w:sz w:val="20"/>
          <w:szCs w:val="20"/>
        </w:rPr>
      </w:pPr>
      <w:r w:rsidRPr="00F979AE">
        <w:rPr>
          <w:rFonts w:ascii="Times New Roman" w:hAnsi="Times New Roman" w:cs="Times New Roman"/>
          <w:sz w:val="20"/>
          <w:szCs w:val="20"/>
        </w:rPr>
        <w:t xml:space="preserve">IgG4-related disease is a rare immune mediated condition first defined as its own clinical entity in 2003, when extra-pancreatic manifestations were identified in patients with autoimmune pancreatitis [1]. It has been increasingly recognized since its initial description approximately two decades ago. The incidence of IgG4-related disease in the United States is estimated to be 1.20 per 100,000 person-years, like the incidence of related conditions such as ANCA-associated vasculitis and systemic sclerosis. However, it is noted that this is a conservative estimate, given that the incidence of IgG4- related disease appears to be growing significantly due to expanding awareness within the medical community, nearly doubling from 2015 to 2019. Multiple studies have found the average age of IgG4-RD patients to be in the sixth decade of life, affecting individuals from diverse racial and ethnic backgrounds [2,3]. Prior studies have reported predominantly male cohorts, with a few exceptions [2,4]. There are estimates that IgG4-related disease is associated with a 2.5-fold higher risk of death [2]. Given IgG4- related disease 's increasing incidence and its potential for morbidity and mortality in untreated disease, it is imperative that we continue to expand awareness and gain further insight into IgG4-RD to reduce time lapsed from onset to diagnosis and treatment. </w:t>
      </w:r>
    </w:p>
    <w:p w14:paraId="3FD68162" w14:textId="77777777" w:rsidR="00F979AE" w:rsidRPr="00F979AE" w:rsidRDefault="00F979AE" w:rsidP="00F979AE">
      <w:pPr>
        <w:spacing w:after="0" w:line="360" w:lineRule="auto"/>
        <w:jc w:val="both"/>
        <w:rPr>
          <w:rFonts w:ascii="Times New Roman" w:hAnsi="Times New Roman" w:cs="Times New Roman"/>
          <w:sz w:val="20"/>
          <w:szCs w:val="20"/>
        </w:rPr>
      </w:pPr>
    </w:p>
    <w:p w14:paraId="02B16F5A" w14:textId="77777777" w:rsidR="00F979AE" w:rsidRPr="00F979AE" w:rsidRDefault="00F979AE" w:rsidP="00F979AE">
      <w:pPr>
        <w:spacing w:after="0" w:line="360" w:lineRule="auto"/>
        <w:jc w:val="both"/>
        <w:rPr>
          <w:rFonts w:ascii="Times New Roman" w:hAnsi="Times New Roman" w:cs="Times New Roman"/>
          <w:b/>
          <w:bCs/>
          <w:color w:val="0070C0"/>
          <w:sz w:val="20"/>
          <w:szCs w:val="20"/>
        </w:rPr>
      </w:pPr>
      <w:r w:rsidRPr="00F979AE">
        <w:rPr>
          <w:rFonts w:ascii="Times New Roman" w:hAnsi="Times New Roman" w:cs="Times New Roman"/>
          <w:b/>
          <w:bCs/>
          <w:color w:val="0070C0"/>
          <w:sz w:val="20"/>
          <w:szCs w:val="20"/>
        </w:rPr>
        <w:t xml:space="preserve">Methods: </w:t>
      </w:r>
    </w:p>
    <w:p w14:paraId="232E73A1" w14:textId="4065210B" w:rsidR="00F979AE" w:rsidRPr="00F979AE" w:rsidRDefault="00F979AE" w:rsidP="00F979AE">
      <w:pPr>
        <w:spacing w:after="0" w:line="360" w:lineRule="auto"/>
        <w:jc w:val="both"/>
        <w:rPr>
          <w:rFonts w:ascii="Times New Roman" w:hAnsi="Times New Roman" w:cs="Times New Roman"/>
          <w:sz w:val="20"/>
          <w:szCs w:val="20"/>
        </w:rPr>
      </w:pPr>
      <w:r w:rsidRPr="00F979AE">
        <w:rPr>
          <w:rFonts w:ascii="Times New Roman" w:hAnsi="Times New Roman" w:cs="Times New Roman"/>
          <w:sz w:val="20"/>
          <w:szCs w:val="20"/>
        </w:rPr>
        <w:t xml:space="preserve">A review of the literature was conducted encompassing data from February 2003 to October 2025, with a primary emphasis on case reports and original research articles. A literature search was performed in PubMed using keywords including “IgG4”, “IgG4-RD”, “IgG4- related disease”, “Dacryoadenitis”, “Submandibular swelling”, and “Parotitis”. Of 65 articles initially reviewed, 27 were selected for inclusion based on relevance, quality, and English language. The reference list of relevant articles was also reviewed. </w:t>
      </w:r>
    </w:p>
    <w:p w14:paraId="4816B7F6" w14:textId="77777777" w:rsidR="00F979AE" w:rsidRPr="00F979AE" w:rsidRDefault="00F979AE" w:rsidP="00F979AE">
      <w:pPr>
        <w:spacing w:after="0" w:line="360" w:lineRule="auto"/>
        <w:jc w:val="both"/>
        <w:rPr>
          <w:rFonts w:ascii="Times New Roman" w:hAnsi="Times New Roman" w:cs="Times New Roman"/>
          <w:sz w:val="20"/>
          <w:szCs w:val="20"/>
        </w:rPr>
      </w:pPr>
    </w:p>
    <w:p w14:paraId="2A9C355B" w14:textId="77777777" w:rsidR="00F979AE" w:rsidRPr="00F979AE" w:rsidRDefault="00F979AE" w:rsidP="00F979AE">
      <w:pPr>
        <w:spacing w:after="0" w:line="360" w:lineRule="auto"/>
        <w:jc w:val="both"/>
        <w:rPr>
          <w:rFonts w:ascii="Times New Roman" w:hAnsi="Times New Roman" w:cs="Times New Roman"/>
          <w:b/>
          <w:bCs/>
          <w:color w:val="0070C0"/>
          <w:sz w:val="20"/>
          <w:szCs w:val="20"/>
        </w:rPr>
      </w:pPr>
      <w:r w:rsidRPr="00F979AE">
        <w:rPr>
          <w:rFonts w:ascii="Times New Roman" w:hAnsi="Times New Roman" w:cs="Times New Roman"/>
          <w:b/>
          <w:bCs/>
          <w:color w:val="0070C0"/>
          <w:sz w:val="20"/>
          <w:szCs w:val="20"/>
        </w:rPr>
        <w:t xml:space="preserve">Pathophysiology </w:t>
      </w:r>
    </w:p>
    <w:p w14:paraId="45B7A77E" w14:textId="77777777" w:rsidR="00F979AE" w:rsidRPr="00F979AE" w:rsidRDefault="00F979AE" w:rsidP="00F979AE">
      <w:pPr>
        <w:spacing w:after="0" w:line="360" w:lineRule="auto"/>
        <w:jc w:val="both"/>
        <w:rPr>
          <w:rFonts w:ascii="Times New Roman" w:hAnsi="Times New Roman" w:cs="Times New Roman"/>
          <w:sz w:val="20"/>
          <w:szCs w:val="20"/>
        </w:rPr>
      </w:pPr>
      <w:r w:rsidRPr="00F979AE">
        <w:rPr>
          <w:rFonts w:ascii="Times New Roman" w:hAnsi="Times New Roman" w:cs="Times New Roman"/>
          <w:sz w:val="20"/>
          <w:szCs w:val="20"/>
        </w:rPr>
        <w:t xml:space="preserve">The histopathological profile of the fibroinflammatory response in IgG4- related disease primarily features B lymphocytes, IgG-positive and IgG4-positive plasma cells, T lymphocytes, and lymphoid follicle formation with germinal centers and antigen-presenting cells. This is suggestive of a local antigen driven immune response and development of acquired lymphoid tissue [5]. Specific antigens and immune factors in confirmed cases of IgG4- related disease have not yet been identified. Fibrosis and obliterative phlebitis are both non-specific histological findings associated with inflammation. Additionally, increases in serum immunoglobulins such as IgG4 are present in a variety of chronic inflammatory diseases [6]. These characteristics are substantially diminished after administration of steroid therapy and remission and are increased during periods of active disease [6]. </w:t>
      </w:r>
    </w:p>
    <w:p w14:paraId="31A178E5" w14:textId="77777777" w:rsidR="00F979AE" w:rsidRPr="00F979AE" w:rsidRDefault="00F979AE" w:rsidP="00F979AE">
      <w:pPr>
        <w:spacing w:after="0" w:line="360" w:lineRule="auto"/>
        <w:jc w:val="both"/>
        <w:rPr>
          <w:rFonts w:ascii="Times New Roman" w:hAnsi="Times New Roman" w:cs="Times New Roman"/>
          <w:sz w:val="20"/>
          <w:szCs w:val="20"/>
        </w:rPr>
      </w:pPr>
      <w:r w:rsidRPr="00F979AE">
        <w:rPr>
          <w:rFonts w:ascii="Times New Roman" w:hAnsi="Times New Roman" w:cs="Times New Roman"/>
          <w:sz w:val="20"/>
          <w:szCs w:val="20"/>
        </w:rPr>
        <w:t xml:space="preserve">Circulating follicular T helped cells and B cells have been identified as the two T cell subsets in IgG4- related disease. Circulating follicular T helper cells expressing programmed cell death protein 1 are expanded in IgG4- related disease and are directly correlated with disease severity and serum IgG4 concentrations [6]. Circulating follicular T helper cells also produce IL-4 which plays a role in class-switching of B cells to both IgG4 and IgE and oligoclonal expansion of IgG4-positive B cells [6]. </w:t>
      </w:r>
      <w:r w:rsidRPr="00F979AE">
        <w:rPr>
          <w:rFonts w:ascii="Times New Roman" w:hAnsi="Times New Roman" w:cs="Times New Roman"/>
          <w:sz w:val="20"/>
          <w:szCs w:val="20"/>
        </w:rPr>
        <w:tab/>
      </w:r>
    </w:p>
    <w:p w14:paraId="1AA7C727" w14:textId="77777777" w:rsidR="00F979AE" w:rsidRPr="00F979AE" w:rsidRDefault="00F979AE" w:rsidP="00F979AE">
      <w:pPr>
        <w:spacing w:after="0" w:line="360" w:lineRule="auto"/>
        <w:jc w:val="both"/>
        <w:rPr>
          <w:rFonts w:ascii="Times New Roman" w:hAnsi="Times New Roman" w:cs="Times New Roman"/>
          <w:sz w:val="20"/>
          <w:szCs w:val="20"/>
        </w:rPr>
      </w:pPr>
      <w:r w:rsidRPr="00F979AE">
        <w:rPr>
          <w:rFonts w:ascii="Times New Roman" w:hAnsi="Times New Roman" w:cs="Times New Roman"/>
          <w:sz w:val="20"/>
          <w:szCs w:val="20"/>
        </w:rPr>
        <w:lastRenderedPageBreak/>
        <w:t xml:space="preserve">Clonal expansion of plasmablasts and CD4-positive cytotoxic T lymphocytes suggests an antigen-driven fibroinflammatory response, potentially to local autoantigens [5,7,10]. At the time of writing, gaps in knowledge include the exact triggers of disease onset, the role of IgG4, and whether the T and B cells involved are responding to the same antigenic drive; while antigen-specific antibodies have been identified in other diseases such as myasthenia gravis and chronic inflammatory demyelinated polyradiculopathy, none have been yet identified for IgG4- related disease [5,7,10]. Lastly, irreversible organ damage is attributable to the irreversibility of fibrosis and the mass effect of fibrosis and active inflammation on adjacent tissues and organs. Up to 60% of patients present with exocrine or endocrine damage to the pancreas at the time of diagnosis, leading to risk of development of diabetes and exocrine pancreatic insufficiency [5,7,10]. Further research is necessary to determine the precise pathogenesis and molecular mechanisms of IgG4- related disease. </w:t>
      </w:r>
    </w:p>
    <w:p w14:paraId="318FF477" w14:textId="77777777" w:rsidR="00F979AE" w:rsidRPr="00F979AE" w:rsidRDefault="00F979AE" w:rsidP="00F979AE">
      <w:pPr>
        <w:spacing w:after="0" w:line="360" w:lineRule="auto"/>
        <w:jc w:val="both"/>
        <w:rPr>
          <w:rFonts w:ascii="Times New Roman" w:hAnsi="Times New Roman" w:cs="Times New Roman"/>
          <w:sz w:val="20"/>
          <w:szCs w:val="20"/>
        </w:rPr>
      </w:pPr>
      <w:r w:rsidRPr="00F979AE">
        <w:rPr>
          <w:rFonts w:ascii="Times New Roman" w:hAnsi="Times New Roman" w:cs="Times New Roman"/>
          <w:sz w:val="20"/>
          <w:szCs w:val="20"/>
        </w:rPr>
        <w:t xml:space="preserve">Furthermore, specific genetic markers that may contribute to the disease process have not yet been confirmed, but recent studies have identified certain genes that may potentially play a role in the development of this multifaceted disease. In addition to the hallmark histopathologic findings of tissue-infiltrating IgG4 plasma cells and significant tissue fibrosis in the context of an inflammatory response, patients commonly have allergy manifestations alongside elevations in IgG4 and IgE levels. This led to the hypothesis that a Th2 response may trigger disease onset [11,12]. Th2 cytokines, such as IL-4 and IL-13, promote IgG4 and IgE class-switching and induce fibrosis [13,14]. However, the exact mechanisms underlying the Th2 bias in IgG4- related disease remain unclear and warrant further investigation. </w:t>
      </w:r>
    </w:p>
    <w:p w14:paraId="7AA25623" w14:textId="77777777" w:rsidR="00F979AE" w:rsidRPr="00F979AE" w:rsidRDefault="00F979AE" w:rsidP="00F979AE">
      <w:pPr>
        <w:spacing w:after="0" w:line="360" w:lineRule="auto"/>
        <w:jc w:val="both"/>
        <w:rPr>
          <w:rFonts w:ascii="Times New Roman" w:hAnsi="Times New Roman" w:cs="Times New Roman"/>
          <w:sz w:val="20"/>
          <w:szCs w:val="20"/>
        </w:rPr>
      </w:pPr>
      <w:r w:rsidRPr="00F979AE">
        <w:rPr>
          <w:rFonts w:ascii="Times New Roman" w:hAnsi="Times New Roman" w:cs="Times New Roman"/>
          <w:sz w:val="20"/>
          <w:szCs w:val="20"/>
        </w:rPr>
        <w:t>The hypothesized contribution of Th2 response to disease instigation is supported by a 2024 study that identified shared variants in IKZF1, which encodes the transcription factor IKAROS, and the E3 ubiquitin ligase UBR4 [15]. These shared variants were identified in three family members with IgG4- related disease, linking these mutations to abnormal T cell signaling [15]. The IKZF1 variant increased transcription of the FYN promoter in T cells, while the UBR4 variant impaired lysosomal degradation of CD45, together lowering the activation threshold and creating a positive feedback loop that made T cells hyperresponsive, even to low-avidity autoreactive signals. Elevated FYN was also found to promote Th2 polarization through stabilization of the JunB transcription factor [15]. These findings suggest a mechanistic explanation for the Th2-skewed inflammation, atopy, and autoimmunity characteristic of IgG4- related disease.</w:t>
      </w:r>
    </w:p>
    <w:p w14:paraId="27E18746" w14:textId="77777777" w:rsidR="00852137" w:rsidRDefault="00852137" w:rsidP="00F979AE">
      <w:pPr>
        <w:spacing w:after="0" w:line="360" w:lineRule="auto"/>
        <w:jc w:val="both"/>
        <w:rPr>
          <w:rFonts w:ascii="Times New Roman" w:hAnsi="Times New Roman" w:cs="Times New Roman"/>
          <w:sz w:val="20"/>
          <w:szCs w:val="20"/>
        </w:rPr>
      </w:pPr>
    </w:p>
    <w:p w14:paraId="40CF85E9" w14:textId="053A47CF" w:rsidR="00F979AE" w:rsidRPr="00852137" w:rsidRDefault="00F979AE" w:rsidP="00F979AE">
      <w:pPr>
        <w:spacing w:after="0" w:line="360" w:lineRule="auto"/>
        <w:jc w:val="both"/>
        <w:rPr>
          <w:rFonts w:ascii="Times New Roman" w:hAnsi="Times New Roman" w:cs="Times New Roman"/>
          <w:b/>
          <w:bCs/>
          <w:color w:val="0070C0"/>
          <w:sz w:val="20"/>
          <w:szCs w:val="20"/>
        </w:rPr>
      </w:pPr>
      <w:r w:rsidRPr="00852137">
        <w:rPr>
          <w:rFonts w:ascii="Times New Roman" w:hAnsi="Times New Roman" w:cs="Times New Roman"/>
          <w:b/>
          <w:bCs/>
          <w:color w:val="0070C0"/>
          <w:sz w:val="20"/>
          <w:szCs w:val="20"/>
        </w:rPr>
        <w:t xml:space="preserve">Clinical Presentations of IgG4-Related Disease  </w:t>
      </w:r>
    </w:p>
    <w:p w14:paraId="74510599" w14:textId="77777777" w:rsidR="00F979AE" w:rsidRPr="00F979AE" w:rsidRDefault="00F979AE" w:rsidP="00F979AE">
      <w:pPr>
        <w:spacing w:after="0" w:line="360" w:lineRule="auto"/>
        <w:jc w:val="both"/>
        <w:rPr>
          <w:rFonts w:ascii="Times New Roman" w:hAnsi="Times New Roman" w:cs="Times New Roman"/>
          <w:sz w:val="20"/>
          <w:szCs w:val="20"/>
        </w:rPr>
      </w:pPr>
      <w:r w:rsidRPr="00F979AE">
        <w:rPr>
          <w:rFonts w:ascii="Times New Roman" w:hAnsi="Times New Roman" w:cs="Times New Roman"/>
          <w:sz w:val="20"/>
          <w:szCs w:val="20"/>
        </w:rPr>
        <w:t>IgG4-related disease commonly demonstrates an insidious progression in terms of clinical presentation, with signs and symptoms often present for months or even years prior to establishment of the diagnosis. IgG4-related disease continues to present a diagnostic challenge due to its highly variable, multisystemic presentation, with a median delay of 9.5 months in diagnosis from initial presentation [2]. Systemic inflammatory symptoms such as fever are uncommon, although weight loss of 5-15 kg can gradually occur over months. Fatigue, arthralgias, and other musculoskeletal symptoms such as enthesopathy, or inflammation at the site of a tendinous insertion into a bone, are common in many patients. However, frank arthritis is rare and suggests a different diagnosis [1]. Generally, the characteristic pathological features include lymphoplasmacytic infiltration with abundant IgG4 and B cells, in addition to fibrosis in the affected tissues, arranged in a storiform pattern [2,11]. Spontaneous remission of IgG4-</w:t>
      </w:r>
      <w:r w:rsidRPr="00F979AE">
        <w:rPr>
          <w:rFonts w:ascii="Times New Roman" w:hAnsi="Times New Roman" w:cs="Times New Roman"/>
          <w:sz w:val="20"/>
          <w:szCs w:val="20"/>
        </w:rPr>
        <w:lastRenderedPageBreak/>
        <w:t>related disease in the absence of any treatment has also been reported, further complicating the diagnostic picture [9].</w:t>
      </w:r>
    </w:p>
    <w:p w14:paraId="6350A322" w14:textId="77777777" w:rsidR="00F979AE" w:rsidRPr="00F979AE" w:rsidRDefault="00F979AE" w:rsidP="00F979AE">
      <w:pPr>
        <w:spacing w:after="0" w:line="360" w:lineRule="auto"/>
        <w:jc w:val="both"/>
        <w:rPr>
          <w:rFonts w:ascii="Times New Roman" w:hAnsi="Times New Roman" w:cs="Times New Roman"/>
          <w:sz w:val="20"/>
          <w:szCs w:val="20"/>
        </w:rPr>
      </w:pPr>
      <w:r w:rsidRPr="00F979AE">
        <w:rPr>
          <w:rFonts w:ascii="Times New Roman" w:hAnsi="Times New Roman" w:cs="Times New Roman"/>
          <w:sz w:val="20"/>
          <w:szCs w:val="20"/>
        </w:rPr>
        <w:t xml:space="preserve">Any solid organ or anatomic site may be affected in IgG4-related disease; however, there are four main clinical phenotypes that have been identified based on organ involvement: head and neck-limited disease, pancreato-hepato-biliary disease, retroperitoneal fibrosis and/or aortitis, and classic Mikulicz syndrome with systemic involvement (figure 1) [1]. These phenotypes were identified through latent class analysis of 765 cases from international cohorts and subsequently validated in a replication cohort. Group 1 (Pancreato-Hepato-Biliary disease) comprises approximately 31% of cases, Group 2 (Retroperitoneal Fibrosis and/or Aortitis) accounts for 24%, Group 3 (Head and Neck-Limited disease) represents 24%, and Group 4 (classic Mikulicz syndrome with systemic involvement) comprises 22% of patients [1]. Each phenotype demonstrates dominant immune cell subsets unique to its pathogenesis [7]. </w:t>
      </w:r>
    </w:p>
    <w:p w14:paraId="278F4690" w14:textId="77777777" w:rsidR="00F979AE" w:rsidRPr="00F979AE" w:rsidRDefault="00F979AE" w:rsidP="00F979AE">
      <w:pPr>
        <w:spacing w:after="0" w:line="360" w:lineRule="auto"/>
        <w:jc w:val="both"/>
        <w:rPr>
          <w:rFonts w:ascii="Times New Roman" w:hAnsi="Times New Roman" w:cs="Times New Roman"/>
          <w:sz w:val="20"/>
          <w:szCs w:val="20"/>
        </w:rPr>
      </w:pPr>
      <w:r w:rsidRPr="00F979AE">
        <w:rPr>
          <w:rFonts w:ascii="Times New Roman" w:hAnsi="Times New Roman" w:cs="Times New Roman"/>
          <w:sz w:val="20"/>
          <w:szCs w:val="20"/>
        </w:rPr>
        <w:t xml:space="preserve">Additionally, each distinctive phenotype has been found to differ from one another demographically, providing a potential framework for recognition and diagnosis. One large cohort study of both Asian and non-Asian countries suggested that cases of Asian descent are particularly predisposed to developing IgG4-related disease complications limited to the head and neck region, while predominantly Caucasians have an increased predilection for pancreato-hepatobiliary disease and/or retroperitoneal and aorta disease [1]. </w:t>
      </w:r>
    </w:p>
    <w:p w14:paraId="3E92DBC7" w14:textId="77777777" w:rsidR="00F979AE" w:rsidRPr="00F979AE" w:rsidRDefault="00F979AE" w:rsidP="00F979AE">
      <w:pPr>
        <w:spacing w:after="0" w:line="360" w:lineRule="auto"/>
        <w:jc w:val="both"/>
        <w:rPr>
          <w:rFonts w:ascii="Times New Roman" w:hAnsi="Times New Roman" w:cs="Times New Roman"/>
          <w:sz w:val="20"/>
          <w:szCs w:val="20"/>
        </w:rPr>
      </w:pPr>
      <w:r w:rsidRPr="00F979AE">
        <w:rPr>
          <w:rFonts w:ascii="Times New Roman" w:hAnsi="Times New Roman" w:cs="Times New Roman"/>
          <w:sz w:val="20"/>
          <w:szCs w:val="20"/>
        </w:rPr>
        <w:t xml:space="preserve">Pancreato-hepato-biliary disease most commonly presents with obstructive jaundice secondary to pancreatic swelling and bile duct compression. Patients may develop endocrine or exocrine pancreatic failure, leading to diabetes mellitus, malabsorption, and weight loss. Autoimmune pancreatitis is frequently associated with IgG4-related sclerosing cholangitis affecting both intrahepatic and extrahepatic bile ducts [8]. Retroperitoneal fibrosis and/or aortitis target three anatomical locations: periaortic/arterial regions, periureteral areas, and plaque-like masses broadly involving the retroperitoneum. IgG4-related aortitis can cause thoracic aortic aneurysms or dissections, though unlike giant cell and Takayasu's arteritis, it tends to spare primary aortic branches. Head and neck-limited disease most commonly affects females and Asian patients. Common manifestations include allergic rhinitis, nasal polyps, chronic sinusitis, and nasal obstruction. Lacrimal gland enlargement is the most common ophthalmic feature, and the classic triad of dacryoadenitis with parotid and submandibular gland enlargement (Mikulicz disease) has a high positive predictive value for IgG4-related disease [1,8]. Classic Mikulicz syndrome with systemic involvement has been observed to demonstrate the highest median serum IgG4 concentration (1170 mg/dL) and presents with salivary and lacrimal gland swelling in addition to multiorgan involvement [1]. </w:t>
      </w:r>
    </w:p>
    <w:p w14:paraId="66F7C697" w14:textId="2306367D" w:rsidR="000C1527" w:rsidRDefault="00F979AE" w:rsidP="00F979AE">
      <w:pPr>
        <w:spacing w:after="0" w:line="360" w:lineRule="auto"/>
        <w:jc w:val="both"/>
        <w:rPr>
          <w:rFonts w:ascii="Times New Roman" w:hAnsi="Times New Roman" w:cs="Times New Roman"/>
          <w:sz w:val="20"/>
          <w:szCs w:val="20"/>
        </w:rPr>
      </w:pPr>
      <w:r w:rsidRPr="00F979AE">
        <w:rPr>
          <w:rFonts w:ascii="Times New Roman" w:hAnsi="Times New Roman" w:cs="Times New Roman"/>
          <w:sz w:val="20"/>
          <w:szCs w:val="20"/>
        </w:rPr>
        <w:t>Although clinician awareness of these four subtypes may certainly aid in timely disease recognition and management, IgG4-related disease remains kaleidoscopic in its clinical manifestations, continuing to pose a significantly complex diagnostic challenge. One case describes a patient with overlapping features of both the head and neck-limited phenotype with the Mikulicz/systemic phenotype; IgG4-related disease diagnosis was only able to be confirmed through positron emission tomography-guided lung biopsy with specialized immunohistochemical staining [3].</w:t>
      </w:r>
    </w:p>
    <w:p w14:paraId="3637BFCA" w14:textId="77777777" w:rsidR="00F979AE" w:rsidRDefault="00F979AE" w:rsidP="00E32FD0">
      <w:pPr>
        <w:spacing w:after="0" w:line="360" w:lineRule="auto"/>
        <w:jc w:val="both"/>
        <w:rPr>
          <w:rFonts w:ascii="Times New Roman" w:hAnsi="Times New Roman" w:cs="Times New Roman"/>
          <w:sz w:val="20"/>
          <w:szCs w:val="20"/>
        </w:rPr>
      </w:pPr>
    </w:p>
    <w:p w14:paraId="1BEDAD33" w14:textId="77777777" w:rsidR="00F979AE" w:rsidRDefault="00F979AE" w:rsidP="00E32FD0">
      <w:pPr>
        <w:spacing w:after="0" w:line="360" w:lineRule="auto"/>
        <w:jc w:val="both"/>
        <w:rPr>
          <w:rFonts w:ascii="Times New Roman" w:hAnsi="Times New Roman" w:cs="Times New Roman"/>
          <w:sz w:val="20"/>
          <w:szCs w:val="20"/>
        </w:rPr>
      </w:pPr>
    </w:p>
    <w:p w14:paraId="71EA8D1B" w14:textId="77777777" w:rsidR="00F979AE" w:rsidRDefault="00F979AE" w:rsidP="00E32FD0">
      <w:pPr>
        <w:spacing w:after="0" w:line="360" w:lineRule="auto"/>
        <w:jc w:val="both"/>
        <w:rPr>
          <w:rFonts w:ascii="Times New Roman" w:hAnsi="Times New Roman" w:cs="Times New Roman"/>
          <w:sz w:val="20"/>
          <w:szCs w:val="20"/>
        </w:rPr>
      </w:pPr>
    </w:p>
    <w:p w14:paraId="46F1EE48" w14:textId="0B3E2E25" w:rsidR="00F979AE" w:rsidRDefault="00852137" w:rsidP="00852137">
      <w:pPr>
        <w:spacing w:after="0" w:line="360" w:lineRule="auto"/>
        <w:jc w:val="center"/>
        <w:rPr>
          <w:rFonts w:ascii="Times New Roman" w:hAnsi="Times New Roman" w:cs="Times New Roman"/>
          <w:sz w:val="20"/>
          <w:szCs w:val="20"/>
        </w:rPr>
      </w:pPr>
      <w:r w:rsidRPr="00A47B55">
        <w:rPr>
          <w:rFonts w:ascii="Arial" w:hAnsi="Arial" w:cs="Arial"/>
          <w:noProof/>
        </w:rPr>
        <w:lastRenderedPageBreak/>
        <w:drawing>
          <wp:inline distT="0" distB="0" distL="0" distR="0" wp14:anchorId="6B7D052D" wp14:editId="363C70FB">
            <wp:extent cx="5928014" cy="4093153"/>
            <wp:effectExtent l="0" t="0" r="3175" b="0"/>
            <wp:docPr id="106655245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552456" name="Picture 1066552456"/>
                    <pic:cNvPicPr/>
                  </pic:nvPicPr>
                  <pic:blipFill>
                    <a:blip r:embed="rId12">
                      <a:extLst>
                        <a:ext uri="{28A0092B-C50C-407E-A947-70E740481C1C}">
                          <a14:useLocalDpi xmlns:a14="http://schemas.microsoft.com/office/drawing/2010/main"/>
                        </a:ext>
                      </a:extLst>
                    </a:blip>
                    <a:stretch>
                      <a:fillRect/>
                    </a:stretch>
                  </pic:blipFill>
                  <pic:spPr>
                    <a:xfrm>
                      <a:off x="0" y="0"/>
                      <a:ext cx="5937499" cy="4099702"/>
                    </a:xfrm>
                    <a:prstGeom prst="rect">
                      <a:avLst/>
                    </a:prstGeom>
                  </pic:spPr>
                </pic:pic>
              </a:graphicData>
            </a:graphic>
          </wp:inline>
        </w:drawing>
      </w:r>
    </w:p>
    <w:p w14:paraId="7F23FABD" w14:textId="5706E2A0" w:rsidR="00852137" w:rsidRDefault="00852137" w:rsidP="00852137">
      <w:pPr>
        <w:spacing w:after="0" w:line="360" w:lineRule="auto"/>
        <w:jc w:val="center"/>
        <w:rPr>
          <w:rFonts w:ascii="Times New Roman" w:hAnsi="Times New Roman" w:cs="Times New Roman"/>
          <w:sz w:val="20"/>
          <w:szCs w:val="20"/>
        </w:rPr>
      </w:pPr>
      <w:r w:rsidRPr="00852137">
        <w:rPr>
          <w:rFonts w:ascii="Times New Roman" w:hAnsi="Times New Roman" w:cs="Times New Roman"/>
          <w:b/>
          <w:bCs/>
          <w:color w:val="0070C0"/>
          <w:sz w:val="20"/>
          <w:szCs w:val="20"/>
        </w:rPr>
        <w:t>Figure 1:</w:t>
      </w:r>
      <w:r w:rsidRPr="00852137">
        <w:rPr>
          <w:rFonts w:ascii="Times New Roman" w:hAnsi="Times New Roman" w:cs="Times New Roman"/>
          <w:sz w:val="20"/>
          <w:szCs w:val="20"/>
        </w:rPr>
        <w:t xml:space="preserve"> The four major phenotypes of IgG4-related disease</w:t>
      </w:r>
      <w:r>
        <w:rPr>
          <w:rFonts w:ascii="Times New Roman" w:hAnsi="Times New Roman" w:cs="Times New Roman"/>
          <w:sz w:val="20"/>
          <w:szCs w:val="20"/>
        </w:rPr>
        <w:t>.</w:t>
      </w:r>
    </w:p>
    <w:p w14:paraId="7833F6BC" w14:textId="77777777" w:rsidR="00852137" w:rsidRDefault="00852137" w:rsidP="00852137">
      <w:pPr>
        <w:spacing w:after="0" w:line="360" w:lineRule="auto"/>
        <w:jc w:val="center"/>
        <w:rPr>
          <w:rFonts w:ascii="Times New Roman" w:hAnsi="Times New Roman" w:cs="Times New Roman"/>
          <w:sz w:val="20"/>
          <w:szCs w:val="20"/>
        </w:rPr>
      </w:pPr>
    </w:p>
    <w:p w14:paraId="592D2E88" w14:textId="77777777" w:rsidR="00852137" w:rsidRDefault="00852137" w:rsidP="00852137">
      <w:pPr>
        <w:spacing w:after="0" w:line="360" w:lineRule="auto"/>
        <w:jc w:val="center"/>
        <w:rPr>
          <w:rFonts w:ascii="Times New Roman" w:hAnsi="Times New Roman" w:cs="Times New Roman"/>
          <w:sz w:val="20"/>
          <w:szCs w:val="20"/>
        </w:rPr>
      </w:pPr>
    </w:p>
    <w:p w14:paraId="380EB5C2" w14:textId="77777777" w:rsidR="00852137" w:rsidRPr="00852137" w:rsidRDefault="00852137" w:rsidP="00852137">
      <w:pPr>
        <w:spacing w:after="0" w:line="360" w:lineRule="auto"/>
        <w:jc w:val="both"/>
        <w:rPr>
          <w:rFonts w:ascii="Times New Roman" w:hAnsi="Times New Roman" w:cs="Times New Roman"/>
          <w:b/>
          <w:bCs/>
          <w:color w:val="0070C0"/>
          <w:sz w:val="20"/>
          <w:szCs w:val="20"/>
        </w:rPr>
      </w:pPr>
      <w:r w:rsidRPr="00852137">
        <w:rPr>
          <w:rFonts w:ascii="Times New Roman" w:hAnsi="Times New Roman" w:cs="Times New Roman"/>
          <w:b/>
          <w:bCs/>
          <w:color w:val="0070C0"/>
          <w:sz w:val="20"/>
          <w:szCs w:val="20"/>
        </w:rPr>
        <w:t xml:space="preserve">Diagnosis of IgG4-Related Disease </w:t>
      </w:r>
    </w:p>
    <w:p w14:paraId="275FB5B6" w14:textId="371F9F0B" w:rsidR="00852137" w:rsidRPr="00852137" w:rsidRDefault="00852137" w:rsidP="00852137">
      <w:pPr>
        <w:spacing w:after="0" w:line="360" w:lineRule="auto"/>
        <w:jc w:val="both"/>
        <w:rPr>
          <w:rFonts w:ascii="Times New Roman" w:hAnsi="Times New Roman" w:cs="Times New Roman"/>
          <w:sz w:val="20"/>
          <w:szCs w:val="20"/>
        </w:rPr>
      </w:pPr>
      <w:r w:rsidRPr="00852137">
        <w:rPr>
          <w:rFonts w:ascii="Times New Roman" w:hAnsi="Times New Roman" w:cs="Times New Roman"/>
          <w:sz w:val="20"/>
          <w:szCs w:val="20"/>
        </w:rPr>
        <w:t xml:space="preserve">Diagnosis of IgG4-related disease is established when the following criteria are met (Figure 2): clinical/radiologic evidence of tumor-like swelling of an involved organ, and a biopsy demonstrating lymphoplasmacytic infiltrate enriched in IgG4-positive plasma cells, storiform fibrosis, and obliterative phlebitis. Biopsies of the lacrimal mass, labial salivary glands, and submandibular glands have all been reported in the literature. Biopsy of swollen glands, particularly of the submandibular and parotid glands, is crucial to establishing a definitive diagnosis, as other clinical entities such as marginal zone B cell lymphoma and SS may present as mimickers </w:t>
      </w:r>
      <w:r>
        <w:rPr>
          <w:rFonts w:ascii="Times New Roman" w:hAnsi="Times New Roman" w:cs="Times New Roman"/>
          <w:sz w:val="20"/>
          <w:szCs w:val="20"/>
        </w:rPr>
        <w:t>[</w:t>
      </w:r>
      <w:r w:rsidRPr="00852137">
        <w:rPr>
          <w:rFonts w:ascii="Times New Roman" w:hAnsi="Times New Roman" w:cs="Times New Roman"/>
          <w:sz w:val="20"/>
          <w:szCs w:val="20"/>
        </w:rPr>
        <w:t>6</w:t>
      </w:r>
      <w:r>
        <w:rPr>
          <w:rFonts w:ascii="Times New Roman" w:hAnsi="Times New Roman" w:cs="Times New Roman"/>
          <w:sz w:val="20"/>
          <w:szCs w:val="20"/>
        </w:rPr>
        <w:t>]</w:t>
      </w:r>
      <w:r w:rsidRPr="00852137">
        <w:rPr>
          <w:rFonts w:ascii="Times New Roman" w:hAnsi="Times New Roman" w:cs="Times New Roman"/>
          <w:sz w:val="20"/>
          <w:szCs w:val="20"/>
        </w:rPr>
        <w:t xml:space="preserve">. Minor salivary gland biopsies are an effective and less invasive measure of diagnosing IgG4-related disease, as there have been reports of such samples showing significant IgG4 positive plasma infiltration </w:t>
      </w:r>
      <w:r>
        <w:rPr>
          <w:rFonts w:ascii="Times New Roman" w:hAnsi="Times New Roman" w:cs="Times New Roman"/>
          <w:sz w:val="20"/>
          <w:szCs w:val="20"/>
        </w:rPr>
        <w:t>[</w:t>
      </w:r>
      <w:r w:rsidRPr="00852137">
        <w:rPr>
          <w:rFonts w:ascii="Times New Roman" w:hAnsi="Times New Roman" w:cs="Times New Roman"/>
          <w:sz w:val="20"/>
          <w:szCs w:val="20"/>
        </w:rPr>
        <w:t>7</w:t>
      </w:r>
      <w:r>
        <w:rPr>
          <w:rFonts w:ascii="Times New Roman" w:hAnsi="Times New Roman" w:cs="Times New Roman"/>
          <w:sz w:val="20"/>
          <w:szCs w:val="20"/>
        </w:rPr>
        <w:t>]</w:t>
      </w:r>
      <w:r w:rsidRPr="00852137">
        <w:rPr>
          <w:rFonts w:ascii="Times New Roman" w:hAnsi="Times New Roman" w:cs="Times New Roman"/>
          <w:sz w:val="20"/>
          <w:szCs w:val="20"/>
        </w:rPr>
        <w:t xml:space="preserve">.  </w:t>
      </w:r>
    </w:p>
    <w:p w14:paraId="1DCABF9E" w14:textId="77777777" w:rsidR="00852137" w:rsidRPr="00852137" w:rsidRDefault="00852137" w:rsidP="00852137">
      <w:pPr>
        <w:spacing w:after="0" w:line="360" w:lineRule="auto"/>
        <w:jc w:val="both"/>
        <w:rPr>
          <w:rFonts w:ascii="Times New Roman" w:hAnsi="Times New Roman" w:cs="Times New Roman"/>
          <w:sz w:val="20"/>
          <w:szCs w:val="20"/>
        </w:rPr>
      </w:pPr>
      <w:r w:rsidRPr="00852137">
        <w:rPr>
          <w:rFonts w:ascii="Times New Roman" w:hAnsi="Times New Roman" w:cs="Times New Roman"/>
          <w:sz w:val="20"/>
          <w:szCs w:val="20"/>
        </w:rPr>
        <w:t xml:space="preserve">The classification criteria for IgG4-related disease adopted a value of 135 mg/dL as the cut-off value [3]. However, a 2015 study noted that elevated serum IgG4 concentrations had only 60% specificity and a 34% positive predictive value. The authors also noted doubling the cutoff for IgG4 improved specificity (91%) but decreased sensitivity (35%) [14]. Elevated serum IgG4 levels alone are insufficient for diagnosis, and serum IgG4 levels may be normal even in confirmed cases of disease. Thus, confirmation via tissue biopsy is critical to decrease the likelihood of misdiagnosis and unnecessary immunosuppressive therapy. </w:t>
      </w:r>
    </w:p>
    <w:p w14:paraId="0625C23B" w14:textId="77777777" w:rsidR="00852137" w:rsidRPr="00852137" w:rsidRDefault="00852137" w:rsidP="00852137">
      <w:pPr>
        <w:spacing w:after="0" w:line="360" w:lineRule="auto"/>
        <w:jc w:val="both"/>
        <w:rPr>
          <w:rFonts w:ascii="Times New Roman" w:hAnsi="Times New Roman" w:cs="Times New Roman"/>
          <w:sz w:val="20"/>
          <w:szCs w:val="20"/>
        </w:rPr>
      </w:pPr>
      <w:r w:rsidRPr="00852137">
        <w:rPr>
          <w:rFonts w:ascii="Times New Roman" w:hAnsi="Times New Roman" w:cs="Times New Roman"/>
          <w:sz w:val="20"/>
          <w:szCs w:val="20"/>
        </w:rPr>
        <w:lastRenderedPageBreak/>
        <w:t>Although parotid gland swelling is a relatively uncommon phenomenon compared to submandibular swelling and dacryoadenitis in reported IgG4-related disease cases, IgG4-related disease should still be considered within the differentials for patients presenting with parotid gland swelling alongside other clinical and pathologic considerations including major salivary and lacrimal gland enlargement, orbital disease, autoimmune pancreatitis, retroperitoneal fibrosis and tubulointerstitial nephritis. Notably, fever is rare while lymphadenopathy is common. Asthma or allergy are found in approximately 40% of patients [17].</w:t>
      </w:r>
    </w:p>
    <w:p w14:paraId="15685A6D" w14:textId="0CD97F76" w:rsidR="00852137" w:rsidRDefault="00852137" w:rsidP="00852137">
      <w:pPr>
        <w:spacing w:after="0" w:line="360" w:lineRule="auto"/>
        <w:jc w:val="both"/>
        <w:rPr>
          <w:rFonts w:ascii="Times New Roman" w:hAnsi="Times New Roman" w:cs="Times New Roman"/>
          <w:sz w:val="20"/>
          <w:szCs w:val="20"/>
        </w:rPr>
      </w:pPr>
      <w:r w:rsidRPr="00852137">
        <w:rPr>
          <w:rFonts w:ascii="Times New Roman" w:hAnsi="Times New Roman" w:cs="Times New Roman"/>
          <w:sz w:val="20"/>
          <w:szCs w:val="20"/>
        </w:rPr>
        <w:t xml:space="preserve">Biopsy in suspected IgG4-related disease patients may show storiform fibrosis, although this finding is not required for definitive diagnosis. Biopsy of the submandibular gland is most sensitive for establishing the diagnosis for IgG4-related disease, although labial salivary gland biopsy may also be used but with greater caution due to lesser sensitivity </w:t>
      </w:r>
      <w:r>
        <w:rPr>
          <w:rFonts w:ascii="Times New Roman" w:hAnsi="Times New Roman" w:cs="Times New Roman"/>
          <w:sz w:val="20"/>
          <w:szCs w:val="20"/>
        </w:rPr>
        <w:t>[</w:t>
      </w:r>
      <w:r w:rsidRPr="00852137">
        <w:rPr>
          <w:rFonts w:ascii="Times New Roman" w:hAnsi="Times New Roman" w:cs="Times New Roman"/>
          <w:sz w:val="20"/>
          <w:szCs w:val="20"/>
        </w:rPr>
        <w:t>16</w:t>
      </w:r>
      <w:r>
        <w:rPr>
          <w:rFonts w:ascii="Times New Roman" w:hAnsi="Times New Roman" w:cs="Times New Roman"/>
          <w:sz w:val="20"/>
          <w:szCs w:val="20"/>
        </w:rPr>
        <w:t>]</w:t>
      </w:r>
      <w:r w:rsidRPr="00852137">
        <w:rPr>
          <w:rFonts w:ascii="Times New Roman" w:hAnsi="Times New Roman" w:cs="Times New Roman"/>
          <w:sz w:val="20"/>
          <w:szCs w:val="20"/>
        </w:rPr>
        <w:t>.</w:t>
      </w:r>
    </w:p>
    <w:p w14:paraId="57B93C67" w14:textId="77777777" w:rsidR="00F979AE" w:rsidRDefault="00F979AE" w:rsidP="00852137">
      <w:pPr>
        <w:spacing w:after="0" w:line="360" w:lineRule="auto"/>
        <w:jc w:val="center"/>
        <w:rPr>
          <w:rFonts w:ascii="Times New Roman" w:hAnsi="Times New Roman" w:cs="Times New Roman"/>
          <w:sz w:val="20"/>
          <w:szCs w:val="20"/>
        </w:rPr>
      </w:pPr>
    </w:p>
    <w:p w14:paraId="62934E80" w14:textId="0A8B3710" w:rsidR="00852137" w:rsidRDefault="00852137" w:rsidP="00852137">
      <w:pPr>
        <w:spacing w:after="0" w:line="360" w:lineRule="auto"/>
        <w:jc w:val="center"/>
        <w:rPr>
          <w:rFonts w:ascii="Times New Roman" w:hAnsi="Times New Roman" w:cs="Times New Roman"/>
          <w:sz w:val="20"/>
          <w:szCs w:val="20"/>
        </w:rPr>
      </w:pPr>
      <w:r w:rsidRPr="00852137">
        <w:rPr>
          <w:rFonts w:ascii="Times New Roman" w:hAnsi="Times New Roman" w:cs="Times New Roman"/>
          <w:b/>
          <w:bCs/>
          <w:color w:val="0070C0"/>
          <w:sz w:val="20"/>
          <w:szCs w:val="20"/>
        </w:rPr>
        <w:t>Table 1:</w:t>
      </w:r>
      <w:r w:rsidRPr="00852137">
        <w:rPr>
          <w:rFonts w:ascii="Times New Roman" w:hAnsi="Times New Roman" w:cs="Times New Roman"/>
          <w:sz w:val="20"/>
          <w:szCs w:val="20"/>
        </w:rPr>
        <w:t xml:space="preserve"> Summary of the 2020 Revised Comprehensive Diagnostic (RCD) Criteria for IgG4-Related Diseases</w:t>
      </w:r>
      <w:r>
        <w:rPr>
          <w:rFonts w:ascii="Times New Roman" w:hAnsi="Times New Roman" w:cs="Times New Roman"/>
          <w:sz w:val="20"/>
          <w:szCs w:val="20"/>
        </w:rPr>
        <w:t>.</w:t>
      </w:r>
    </w:p>
    <w:tbl>
      <w:tblPr>
        <w:tblW w:w="5000" w:type="pct"/>
        <w:tblLook w:val="04A0" w:firstRow="1" w:lastRow="0" w:firstColumn="1" w:lastColumn="0" w:noHBand="0" w:noVBand="1"/>
      </w:tblPr>
      <w:tblGrid>
        <w:gridCol w:w="4851"/>
        <w:gridCol w:w="4725"/>
      </w:tblGrid>
      <w:tr w:rsidR="00852137" w:rsidRPr="00852137" w14:paraId="46EBA176" w14:textId="77777777" w:rsidTr="00852137">
        <w:trPr>
          <w:trHeight w:val="440"/>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569901EC" w14:textId="77777777" w:rsidR="00852137" w:rsidRPr="00852137" w:rsidRDefault="00852137" w:rsidP="00852137">
            <w:pPr>
              <w:spacing w:after="0" w:line="240" w:lineRule="auto"/>
              <w:jc w:val="center"/>
              <w:rPr>
                <w:rFonts w:ascii="Times New Roman" w:eastAsia="Times New Roman" w:hAnsi="Times New Roman" w:cs="Times New Roman"/>
                <w:b/>
                <w:bCs/>
                <w:color w:val="000000"/>
                <w:sz w:val="20"/>
                <w:szCs w:val="20"/>
                <w:lang w:val="en-IN" w:eastAsia="en-IN"/>
              </w:rPr>
            </w:pPr>
            <w:r w:rsidRPr="00852137">
              <w:rPr>
                <w:rFonts w:ascii="Times New Roman" w:eastAsia="Aptos" w:hAnsi="Times New Roman" w:cs="Times New Roman"/>
                <w:b/>
                <w:bCs/>
                <w:color w:val="000000"/>
                <w:sz w:val="20"/>
                <w:szCs w:val="20"/>
                <w:lang w:eastAsia="en-IN"/>
              </w:rPr>
              <w:t>Detailed Diagnostic (RCD) Criteria for IgG4-Related Diseases</w:t>
            </w:r>
          </w:p>
        </w:tc>
      </w:tr>
      <w:tr w:rsidR="00852137" w:rsidRPr="00852137" w14:paraId="5548DD59" w14:textId="77777777" w:rsidTr="00852137">
        <w:trPr>
          <w:trHeight w:val="843"/>
        </w:trPr>
        <w:tc>
          <w:tcPr>
            <w:tcW w:w="2533" w:type="pct"/>
            <w:tcBorders>
              <w:top w:val="nil"/>
              <w:left w:val="single" w:sz="4" w:space="0" w:color="auto"/>
              <w:bottom w:val="single" w:sz="4" w:space="0" w:color="auto"/>
              <w:right w:val="single" w:sz="4" w:space="0" w:color="auto"/>
            </w:tcBorders>
            <w:vAlign w:val="center"/>
            <w:hideMark/>
          </w:tcPr>
          <w:p w14:paraId="589E06D4" w14:textId="77777777" w:rsidR="00852137" w:rsidRPr="00852137" w:rsidRDefault="00852137" w:rsidP="00852137">
            <w:pPr>
              <w:spacing w:after="0" w:line="240" w:lineRule="auto"/>
              <w:jc w:val="center"/>
              <w:rPr>
                <w:rFonts w:ascii="Times New Roman" w:eastAsia="Times New Roman" w:hAnsi="Times New Roman" w:cs="Times New Roman"/>
                <w:color w:val="000000"/>
                <w:sz w:val="20"/>
                <w:szCs w:val="20"/>
                <w:lang w:val="en-IN" w:eastAsia="en-IN"/>
              </w:rPr>
            </w:pPr>
            <w:r w:rsidRPr="00852137">
              <w:rPr>
                <w:rFonts w:ascii="Times New Roman" w:eastAsia="Aptos" w:hAnsi="Times New Roman" w:cs="Times New Roman"/>
                <w:color w:val="000000"/>
                <w:sz w:val="20"/>
                <w:szCs w:val="20"/>
                <w:lang w:eastAsia="en-IN"/>
              </w:rPr>
              <w:t xml:space="preserve">1. Clinical and radiological feature </w:t>
            </w:r>
          </w:p>
        </w:tc>
        <w:tc>
          <w:tcPr>
            <w:tcW w:w="2467" w:type="pct"/>
            <w:tcBorders>
              <w:top w:val="nil"/>
              <w:left w:val="nil"/>
              <w:bottom w:val="single" w:sz="4" w:space="0" w:color="auto"/>
              <w:right w:val="single" w:sz="4" w:space="0" w:color="auto"/>
            </w:tcBorders>
            <w:vAlign w:val="center"/>
            <w:hideMark/>
          </w:tcPr>
          <w:p w14:paraId="4178E07C" w14:textId="77777777" w:rsidR="00852137" w:rsidRPr="00852137" w:rsidRDefault="00852137" w:rsidP="00852137">
            <w:pPr>
              <w:spacing w:after="0" w:line="240" w:lineRule="auto"/>
              <w:jc w:val="center"/>
              <w:rPr>
                <w:rFonts w:ascii="Times New Roman" w:eastAsia="Times New Roman" w:hAnsi="Times New Roman" w:cs="Times New Roman"/>
                <w:color w:val="000000"/>
                <w:sz w:val="20"/>
                <w:szCs w:val="20"/>
                <w:lang w:val="en-IN" w:eastAsia="en-IN"/>
              </w:rPr>
            </w:pPr>
            <w:r w:rsidRPr="00852137">
              <w:rPr>
                <w:rFonts w:ascii="Times New Roman" w:eastAsia="Aptos" w:hAnsi="Times New Roman" w:cs="Times New Roman"/>
                <w:color w:val="000000"/>
                <w:sz w:val="20"/>
                <w:szCs w:val="20"/>
                <w:lang w:eastAsia="en-IN"/>
              </w:rPr>
              <w:t xml:space="preserve">One or more organs show diffuse or localized swelling, mass, nodule characteristic for IgG4-related disease. In single organ involvement, lymph node swelling is omitted. </w:t>
            </w:r>
          </w:p>
        </w:tc>
      </w:tr>
      <w:tr w:rsidR="00852137" w:rsidRPr="00852137" w14:paraId="07DC152C" w14:textId="77777777" w:rsidTr="00852137">
        <w:trPr>
          <w:trHeight w:val="475"/>
        </w:trPr>
        <w:tc>
          <w:tcPr>
            <w:tcW w:w="2533" w:type="pct"/>
            <w:tcBorders>
              <w:top w:val="nil"/>
              <w:left w:val="single" w:sz="4" w:space="0" w:color="auto"/>
              <w:bottom w:val="single" w:sz="4" w:space="0" w:color="auto"/>
              <w:right w:val="single" w:sz="4" w:space="0" w:color="auto"/>
            </w:tcBorders>
            <w:vAlign w:val="center"/>
            <w:hideMark/>
          </w:tcPr>
          <w:p w14:paraId="6760732D" w14:textId="77777777" w:rsidR="00852137" w:rsidRPr="00852137" w:rsidRDefault="00852137" w:rsidP="00852137">
            <w:pPr>
              <w:spacing w:after="0" w:line="240" w:lineRule="auto"/>
              <w:jc w:val="center"/>
              <w:rPr>
                <w:rFonts w:ascii="Times New Roman" w:eastAsia="Times New Roman" w:hAnsi="Times New Roman" w:cs="Times New Roman"/>
                <w:color w:val="000000"/>
                <w:sz w:val="20"/>
                <w:szCs w:val="20"/>
                <w:lang w:val="en-IN" w:eastAsia="en-IN"/>
              </w:rPr>
            </w:pPr>
            <w:r w:rsidRPr="00852137">
              <w:rPr>
                <w:rFonts w:ascii="Times New Roman" w:eastAsia="Aptos" w:hAnsi="Times New Roman" w:cs="Times New Roman"/>
                <w:color w:val="000000"/>
                <w:sz w:val="20"/>
                <w:szCs w:val="20"/>
                <w:lang w:eastAsia="en-IN"/>
              </w:rPr>
              <w:t xml:space="preserve">2. Serological diagnosis </w:t>
            </w:r>
          </w:p>
        </w:tc>
        <w:tc>
          <w:tcPr>
            <w:tcW w:w="2467" w:type="pct"/>
            <w:tcBorders>
              <w:top w:val="nil"/>
              <w:left w:val="nil"/>
              <w:bottom w:val="single" w:sz="4" w:space="0" w:color="auto"/>
              <w:right w:val="single" w:sz="4" w:space="0" w:color="auto"/>
            </w:tcBorders>
            <w:vAlign w:val="center"/>
            <w:hideMark/>
          </w:tcPr>
          <w:p w14:paraId="7A2F6900" w14:textId="77777777" w:rsidR="00852137" w:rsidRPr="00852137" w:rsidRDefault="00852137" w:rsidP="00852137">
            <w:pPr>
              <w:spacing w:after="0" w:line="240" w:lineRule="auto"/>
              <w:jc w:val="center"/>
              <w:rPr>
                <w:rFonts w:ascii="Times New Roman" w:eastAsia="Times New Roman" w:hAnsi="Times New Roman" w:cs="Times New Roman"/>
                <w:color w:val="000000"/>
                <w:sz w:val="20"/>
                <w:szCs w:val="20"/>
                <w:lang w:val="en-IN" w:eastAsia="en-IN"/>
              </w:rPr>
            </w:pPr>
            <w:r w:rsidRPr="00852137">
              <w:rPr>
                <w:rFonts w:ascii="Times New Roman" w:eastAsia="Aptos" w:hAnsi="Times New Roman" w:cs="Times New Roman"/>
                <w:color w:val="000000"/>
                <w:sz w:val="20"/>
                <w:szCs w:val="20"/>
                <w:lang w:eastAsia="en-IN"/>
              </w:rPr>
              <w:t xml:space="preserve">Serum IgG4 levels are more than 135 mg/dL.  </w:t>
            </w:r>
          </w:p>
        </w:tc>
      </w:tr>
      <w:tr w:rsidR="00852137" w:rsidRPr="00852137" w14:paraId="40E1F41D" w14:textId="77777777" w:rsidTr="00852137">
        <w:trPr>
          <w:trHeight w:val="410"/>
        </w:trPr>
        <w:tc>
          <w:tcPr>
            <w:tcW w:w="2533" w:type="pct"/>
            <w:vMerge w:val="restart"/>
            <w:tcBorders>
              <w:top w:val="nil"/>
              <w:left w:val="single" w:sz="4" w:space="0" w:color="auto"/>
              <w:bottom w:val="single" w:sz="4" w:space="0" w:color="auto"/>
              <w:right w:val="single" w:sz="4" w:space="0" w:color="auto"/>
            </w:tcBorders>
            <w:vAlign w:val="center"/>
            <w:hideMark/>
          </w:tcPr>
          <w:p w14:paraId="2124E951" w14:textId="77777777" w:rsidR="00852137" w:rsidRPr="00852137" w:rsidRDefault="00852137" w:rsidP="00852137">
            <w:pPr>
              <w:spacing w:after="0" w:line="240" w:lineRule="auto"/>
              <w:jc w:val="center"/>
              <w:rPr>
                <w:rFonts w:ascii="Times New Roman" w:eastAsia="Times New Roman" w:hAnsi="Times New Roman" w:cs="Times New Roman"/>
                <w:color w:val="000000"/>
                <w:sz w:val="20"/>
                <w:szCs w:val="20"/>
                <w:lang w:val="en-IN" w:eastAsia="en-IN"/>
              </w:rPr>
            </w:pPr>
            <w:r w:rsidRPr="00852137">
              <w:rPr>
                <w:rFonts w:ascii="Times New Roman" w:eastAsia="Aptos" w:hAnsi="Times New Roman" w:cs="Times New Roman"/>
                <w:color w:val="000000"/>
                <w:sz w:val="20"/>
                <w:szCs w:val="20"/>
                <w:lang w:eastAsia="en-IN"/>
              </w:rPr>
              <w:t xml:space="preserve">3. Pathological diagnosis </w:t>
            </w:r>
          </w:p>
        </w:tc>
        <w:tc>
          <w:tcPr>
            <w:tcW w:w="2467" w:type="pct"/>
            <w:tcBorders>
              <w:top w:val="nil"/>
              <w:left w:val="nil"/>
              <w:bottom w:val="single" w:sz="4" w:space="0" w:color="auto"/>
              <w:right w:val="single" w:sz="4" w:space="0" w:color="auto"/>
            </w:tcBorders>
            <w:vAlign w:val="center"/>
            <w:hideMark/>
          </w:tcPr>
          <w:p w14:paraId="201781F9" w14:textId="77777777" w:rsidR="00852137" w:rsidRPr="00852137" w:rsidRDefault="00852137" w:rsidP="00852137">
            <w:pPr>
              <w:spacing w:after="0" w:line="240" w:lineRule="auto"/>
              <w:jc w:val="center"/>
              <w:rPr>
                <w:rFonts w:ascii="Times New Roman" w:eastAsia="Times New Roman" w:hAnsi="Times New Roman" w:cs="Times New Roman"/>
                <w:color w:val="000000"/>
                <w:sz w:val="20"/>
                <w:szCs w:val="20"/>
                <w:lang w:val="en-IN" w:eastAsia="en-IN"/>
              </w:rPr>
            </w:pPr>
            <w:r w:rsidRPr="00852137">
              <w:rPr>
                <w:rFonts w:ascii="Times New Roman" w:eastAsia="Aptos" w:hAnsi="Times New Roman" w:cs="Times New Roman"/>
                <w:color w:val="000000"/>
                <w:sz w:val="20"/>
                <w:szCs w:val="20"/>
                <w:lang w:eastAsia="en-IN"/>
              </w:rPr>
              <w:t xml:space="preserve">Positivity for two of the following three criteria: </w:t>
            </w:r>
          </w:p>
        </w:tc>
      </w:tr>
      <w:tr w:rsidR="00852137" w:rsidRPr="00852137" w14:paraId="779E8C2C" w14:textId="77777777" w:rsidTr="003D1BB9">
        <w:trPr>
          <w:trHeight w:val="416"/>
        </w:trPr>
        <w:tc>
          <w:tcPr>
            <w:tcW w:w="2533" w:type="pct"/>
            <w:vMerge/>
            <w:tcBorders>
              <w:top w:val="nil"/>
              <w:left w:val="single" w:sz="4" w:space="0" w:color="auto"/>
              <w:bottom w:val="single" w:sz="4" w:space="0" w:color="auto"/>
              <w:right w:val="single" w:sz="4" w:space="0" w:color="auto"/>
            </w:tcBorders>
            <w:vAlign w:val="center"/>
            <w:hideMark/>
          </w:tcPr>
          <w:p w14:paraId="375EE164" w14:textId="77777777" w:rsidR="00852137" w:rsidRPr="00852137" w:rsidRDefault="00852137" w:rsidP="00852137">
            <w:pPr>
              <w:spacing w:after="0" w:line="240" w:lineRule="auto"/>
              <w:rPr>
                <w:rFonts w:ascii="Times New Roman" w:eastAsia="Times New Roman" w:hAnsi="Times New Roman" w:cs="Times New Roman"/>
                <w:color w:val="000000"/>
                <w:sz w:val="20"/>
                <w:szCs w:val="20"/>
                <w:lang w:val="en-IN" w:eastAsia="en-IN"/>
              </w:rPr>
            </w:pPr>
          </w:p>
        </w:tc>
        <w:tc>
          <w:tcPr>
            <w:tcW w:w="2467" w:type="pct"/>
            <w:tcBorders>
              <w:top w:val="nil"/>
              <w:left w:val="nil"/>
              <w:bottom w:val="single" w:sz="4" w:space="0" w:color="auto"/>
              <w:right w:val="single" w:sz="4" w:space="0" w:color="auto"/>
            </w:tcBorders>
            <w:vAlign w:val="center"/>
            <w:hideMark/>
          </w:tcPr>
          <w:p w14:paraId="4DF97F89" w14:textId="77777777" w:rsidR="00852137" w:rsidRPr="00852137" w:rsidRDefault="00852137" w:rsidP="00852137">
            <w:pPr>
              <w:spacing w:after="0" w:line="240" w:lineRule="auto"/>
              <w:jc w:val="center"/>
              <w:rPr>
                <w:rFonts w:ascii="Times New Roman" w:eastAsia="Times New Roman" w:hAnsi="Times New Roman" w:cs="Times New Roman"/>
                <w:color w:val="000000"/>
                <w:sz w:val="20"/>
                <w:szCs w:val="20"/>
                <w:lang w:val="en-IN" w:eastAsia="en-IN"/>
              </w:rPr>
            </w:pPr>
            <w:r w:rsidRPr="00852137">
              <w:rPr>
                <w:rFonts w:ascii="Times New Roman" w:eastAsia="Aptos" w:hAnsi="Times New Roman" w:cs="Times New Roman"/>
                <w:color w:val="000000"/>
                <w:sz w:val="20"/>
                <w:szCs w:val="20"/>
                <w:lang w:eastAsia="en-IN"/>
              </w:rPr>
              <w:t xml:space="preserve">a. Dense lymphocyte and plasma cell infiltration with fibrosis. </w:t>
            </w:r>
          </w:p>
        </w:tc>
      </w:tr>
      <w:tr w:rsidR="00852137" w:rsidRPr="00852137" w14:paraId="6D9236FF" w14:textId="77777777" w:rsidTr="003D1BB9">
        <w:trPr>
          <w:trHeight w:val="522"/>
        </w:trPr>
        <w:tc>
          <w:tcPr>
            <w:tcW w:w="2533" w:type="pct"/>
            <w:vMerge/>
            <w:tcBorders>
              <w:top w:val="nil"/>
              <w:left w:val="single" w:sz="4" w:space="0" w:color="auto"/>
              <w:bottom w:val="single" w:sz="4" w:space="0" w:color="auto"/>
              <w:right w:val="single" w:sz="4" w:space="0" w:color="auto"/>
            </w:tcBorders>
            <w:vAlign w:val="center"/>
            <w:hideMark/>
          </w:tcPr>
          <w:p w14:paraId="18747949" w14:textId="77777777" w:rsidR="00852137" w:rsidRPr="00852137" w:rsidRDefault="00852137" w:rsidP="00852137">
            <w:pPr>
              <w:spacing w:after="0" w:line="240" w:lineRule="auto"/>
              <w:rPr>
                <w:rFonts w:ascii="Times New Roman" w:eastAsia="Times New Roman" w:hAnsi="Times New Roman" w:cs="Times New Roman"/>
                <w:color w:val="000000"/>
                <w:sz w:val="20"/>
                <w:szCs w:val="20"/>
                <w:lang w:val="en-IN" w:eastAsia="en-IN"/>
              </w:rPr>
            </w:pPr>
          </w:p>
        </w:tc>
        <w:tc>
          <w:tcPr>
            <w:tcW w:w="2467" w:type="pct"/>
            <w:tcBorders>
              <w:top w:val="nil"/>
              <w:left w:val="nil"/>
              <w:bottom w:val="single" w:sz="4" w:space="0" w:color="auto"/>
              <w:right w:val="single" w:sz="4" w:space="0" w:color="auto"/>
            </w:tcBorders>
            <w:vAlign w:val="center"/>
            <w:hideMark/>
          </w:tcPr>
          <w:p w14:paraId="475D9E64" w14:textId="77777777" w:rsidR="00852137" w:rsidRPr="00852137" w:rsidRDefault="00852137" w:rsidP="00852137">
            <w:pPr>
              <w:spacing w:after="0" w:line="240" w:lineRule="auto"/>
              <w:jc w:val="center"/>
              <w:rPr>
                <w:rFonts w:ascii="Times New Roman" w:eastAsia="Times New Roman" w:hAnsi="Times New Roman" w:cs="Times New Roman"/>
                <w:color w:val="000000"/>
                <w:sz w:val="20"/>
                <w:szCs w:val="20"/>
                <w:lang w:val="en-IN" w:eastAsia="en-IN"/>
              </w:rPr>
            </w:pPr>
            <w:r w:rsidRPr="00852137">
              <w:rPr>
                <w:rFonts w:ascii="Times New Roman" w:eastAsia="Aptos" w:hAnsi="Times New Roman" w:cs="Times New Roman"/>
                <w:color w:val="000000"/>
                <w:sz w:val="20"/>
                <w:szCs w:val="20"/>
                <w:lang w:eastAsia="en-IN"/>
              </w:rPr>
              <w:t xml:space="preserve">b. Ratio of IgG4-positive plasma cells/IgG-positive cells greater than 40% and the number of IgG4-positive plasma cells greater than 10 per high-powered field </w:t>
            </w:r>
          </w:p>
        </w:tc>
      </w:tr>
      <w:tr w:rsidR="00852137" w:rsidRPr="00852137" w14:paraId="70EC4251" w14:textId="77777777" w:rsidTr="003D1BB9">
        <w:trPr>
          <w:trHeight w:val="390"/>
        </w:trPr>
        <w:tc>
          <w:tcPr>
            <w:tcW w:w="2533" w:type="pct"/>
            <w:vMerge/>
            <w:tcBorders>
              <w:top w:val="nil"/>
              <w:left w:val="single" w:sz="4" w:space="0" w:color="auto"/>
              <w:bottom w:val="single" w:sz="4" w:space="0" w:color="auto"/>
              <w:right w:val="single" w:sz="4" w:space="0" w:color="auto"/>
            </w:tcBorders>
            <w:vAlign w:val="center"/>
            <w:hideMark/>
          </w:tcPr>
          <w:p w14:paraId="1D54B838" w14:textId="77777777" w:rsidR="00852137" w:rsidRPr="00852137" w:rsidRDefault="00852137" w:rsidP="00852137">
            <w:pPr>
              <w:spacing w:after="0" w:line="240" w:lineRule="auto"/>
              <w:rPr>
                <w:rFonts w:ascii="Times New Roman" w:eastAsia="Times New Roman" w:hAnsi="Times New Roman" w:cs="Times New Roman"/>
                <w:color w:val="000000"/>
                <w:sz w:val="20"/>
                <w:szCs w:val="20"/>
                <w:lang w:val="en-IN" w:eastAsia="en-IN"/>
              </w:rPr>
            </w:pPr>
          </w:p>
        </w:tc>
        <w:tc>
          <w:tcPr>
            <w:tcW w:w="2467" w:type="pct"/>
            <w:tcBorders>
              <w:top w:val="nil"/>
              <w:left w:val="nil"/>
              <w:bottom w:val="single" w:sz="4" w:space="0" w:color="auto"/>
              <w:right w:val="single" w:sz="4" w:space="0" w:color="auto"/>
            </w:tcBorders>
            <w:vAlign w:val="center"/>
            <w:hideMark/>
          </w:tcPr>
          <w:p w14:paraId="562BFF41" w14:textId="77777777" w:rsidR="00852137" w:rsidRPr="00852137" w:rsidRDefault="00852137" w:rsidP="00852137">
            <w:pPr>
              <w:spacing w:after="0" w:line="240" w:lineRule="auto"/>
              <w:jc w:val="center"/>
              <w:rPr>
                <w:rFonts w:ascii="Times New Roman" w:eastAsia="Times New Roman" w:hAnsi="Times New Roman" w:cs="Times New Roman"/>
                <w:color w:val="000000"/>
                <w:sz w:val="20"/>
                <w:szCs w:val="20"/>
                <w:lang w:val="en-IN" w:eastAsia="en-IN"/>
              </w:rPr>
            </w:pPr>
            <w:r w:rsidRPr="00852137">
              <w:rPr>
                <w:rFonts w:ascii="Times New Roman" w:eastAsia="Aptos" w:hAnsi="Times New Roman" w:cs="Times New Roman"/>
                <w:color w:val="000000"/>
                <w:sz w:val="20"/>
                <w:szCs w:val="20"/>
                <w:lang w:eastAsia="en-IN"/>
              </w:rPr>
              <w:t xml:space="preserve">c. Typical tissue fibrosis, particularly storiform fibrosis, or obliterative phlebitis* </w:t>
            </w:r>
          </w:p>
        </w:tc>
      </w:tr>
      <w:tr w:rsidR="00852137" w:rsidRPr="00852137" w14:paraId="1060C508" w14:textId="77777777" w:rsidTr="00852137">
        <w:trPr>
          <w:trHeight w:val="466"/>
        </w:trPr>
        <w:tc>
          <w:tcPr>
            <w:tcW w:w="2533" w:type="pct"/>
            <w:vMerge w:val="restart"/>
            <w:tcBorders>
              <w:top w:val="nil"/>
              <w:left w:val="single" w:sz="4" w:space="0" w:color="auto"/>
              <w:bottom w:val="single" w:sz="4" w:space="0" w:color="auto"/>
              <w:right w:val="single" w:sz="4" w:space="0" w:color="auto"/>
            </w:tcBorders>
            <w:vAlign w:val="center"/>
            <w:hideMark/>
          </w:tcPr>
          <w:p w14:paraId="32B9183C" w14:textId="77777777" w:rsidR="00852137" w:rsidRPr="00852137" w:rsidRDefault="00852137" w:rsidP="00852137">
            <w:pPr>
              <w:spacing w:after="0" w:line="240" w:lineRule="auto"/>
              <w:jc w:val="center"/>
              <w:rPr>
                <w:rFonts w:ascii="Times New Roman" w:eastAsia="Times New Roman" w:hAnsi="Times New Roman" w:cs="Times New Roman"/>
                <w:color w:val="000000"/>
                <w:sz w:val="20"/>
                <w:szCs w:val="20"/>
                <w:lang w:val="en-IN" w:eastAsia="en-IN"/>
              </w:rPr>
            </w:pPr>
            <w:r w:rsidRPr="00852137">
              <w:rPr>
                <w:rFonts w:ascii="Times New Roman" w:eastAsia="Aptos" w:hAnsi="Times New Roman" w:cs="Times New Roman"/>
                <w:color w:val="000000"/>
                <w:sz w:val="20"/>
                <w:szCs w:val="20"/>
                <w:lang w:eastAsia="en-IN"/>
              </w:rPr>
              <w:t xml:space="preserve">Diagnostic Classification </w:t>
            </w:r>
          </w:p>
        </w:tc>
        <w:tc>
          <w:tcPr>
            <w:tcW w:w="2467" w:type="pct"/>
            <w:tcBorders>
              <w:top w:val="nil"/>
              <w:left w:val="nil"/>
              <w:bottom w:val="single" w:sz="4" w:space="0" w:color="auto"/>
              <w:right w:val="single" w:sz="4" w:space="0" w:color="auto"/>
            </w:tcBorders>
            <w:vAlign w:val="center"/>
            <w:hideMark/>
          </w:tcPr>
          <w:p w14:paraId="01E3848D" w14:textId="77777777" w:rsidR="00852137" w:rsidRPr="00852137" w:rsidRDefault="00852137" w:rsidP="00852137">
            <w:pPr>
              <w:spacing w:after="0" w:line="240" w:lineRule="auto"/>
              <w:jc w:val="center"/>
              <w:rPr>
                <w:rFonts w:ascii="Times New Roman" w:eastAsia="Times New Roman" w:hAnsi="Times New Roman" w:cs="Times New Roman"/>
                <w:b/>
                <w:bCs/>
                <w:color w:val="000000"/>
                <w:sz w:val="20"/>
                <w:szCs w:val="20"/>
                <w:lang w:val="en-IN" w:eastAsia="en-IN"/>
              </w:rPr>
            </w:pPr>
            <w:r w:rsidRPr="00852137">
              <w:rPr>
                <w:rFonts w:ascii="Times New Roman" w:eastAsia="Aptos" w:hAnsi="Times New Roman" w:cs="Times New Roman"/>
                <w:b/>
                <w:bCs/>
                <w:color w:val="000000"/>
                <w:sz w:val="20"/>
                <w:szCs w:val="20"/>
                <w:lang w:eastAsia="en-IN"/>
              </w:rPr>
              <w:t>Definite</w:t>
            </w:r>
            <w:r w:rsidRPr="00852137">
              <w:rPr>
                <w:rFonts w:ascii="Times New Roman" w:eastAsia="Aptos" w:hAnsi="Times New Roman" w:cs="Times New Roman"/>
                <w:color w:val="000000"/>
                <w:sz w:val="20"/>
                <w:szCs w:val="20"/>
                <w:lang w:eastAsia="en-IN"/>
              </w:rPr>
              <w:t xml:space="preserve">: if +ve clinical and radiological features, +ve serological diagnosis, and +ve pathological diagnosis  </w:t>
            </w:r>
          </w:p>
        </w:tc>
      </w:tr>
      <w:tr w:rsidR="00852137" w:rsidRPr="00852137" w14:paraId="763D1D88" w14:textId="77777777" w:rsidTr="003D1BB9">
        <w:trPr>
          <w:trHeight w:val="46"/>
        </w:trPr>
        <w:tc>
          <w:tcPr>
            <w:tcW w:w="2533" w:type="pct"/>
            <w:vMerge/>
            <w:tcBorders>
              <w:top w:val="nil"/>
              <w:left w:val="single" w:sz="4" w:space="0" w:color="auto"/>
              <w:bottom w:val="single" w:sz="4" w:space="0" w:color="auto"/>
              <w:right w:val="single" w:sz="4" w:space="0" w:color="auto"/>
            </w:tcBorders>
            <w:vAlign w:val="center"/>
            <w:hideMark/>
          </w:tcPr>
          <w:p w14:paraId="6B737309" w14:textId="77777777" w:rsidR="00852137" w:rsidRPr="00852137" w:rsidRDefault="00852137" w:rsidP="00852137">
            <w:pPr>
              <w:spacing w:after="0" w:line="240" w:lineRule="auto"/>
              <w:rPr>
                <w:rFonts w:ascii="Times New Roman" w:eastAsia="Times New Roman" w:hAnsi="Times New Roman" w:cs="Times New Roman"/>
                <w:color w:val="000000"/>
                <w:sz w:val="20"/>
                <w:szCs w:val="20"/>
                <w:lang w:val="en-IN" w:eastAsia="en-IN"/>
              </w:rPr>
            </w:pPr>
          </w:p>
        </w:tc>
        <w:tc>
          <w:tcPr>
            <w:tcW w:w="2467" w:type="pct"/>
            <w:tcBorders>
              <w:top w:val="nil"/>
              <w:left w:val="nil"/>
              <w:bottom w:val="single" w:sz="4" w:space="0" w:color="auto"/>
              <w:right w:val="single" w:sz="4" w:space="0" w:color="auto"/>
            </w:tcBorders>
            <w:vAlign w:val="center"/>
            <w:hideMark/>
          </w:tcPr>
          <w:p w14:paraId="47111AC7" w14:textId="77777777" w:rsidR="00852137" w:rsidRPr="00852137" w:rsidRDefault="00852137" w:rsidP="00852137">
            <w:pPr>
              <w:spacing w:after="0" w:line="240" w:lineRule="auto"/>
              <w:jc w:val="center"/>
              <w:rPr>
                <w:rFonts w:ascii="Times New Roman" w:eastAsia="Times New Roman" w:hAnsi="Times New Roman" w:cs="Times New Roman"/>
                <w:b/>
                <w:bCs/>
                <w:color w:val="000000"/>
                <w:sz w:val="20"/>
                <w:szCs w:val="20"/>
                <w:lang w:val="en-IN" w:eastAsia="en-IN"/>
              </w:rPr>
            </w:pPr>
            <w:r w:rsidRPr="00852137">
              <w:rPr>
                <w:rFonts w:ascii="Times New Roman" w:eastAsia="Aptos" w:hAnsi="Times New Roman" w:cs="Times New Roman"/>
                <w:b/>
                <w:bCs/>
                <w:color w:val="000000"/>
                <w:sz w:val="20"/>
                <w:szCs w:val="20"/>
                <w:lang w:eastAsia="en-IN"/>
              </w:rPr>
              <w:t>Probable</w:t>
            </w:r>
            <w:r w:rsidRPr="00852137">
              <w:rPr>
                <w:rFonts w:ascii="Times New Roman" w:eastAsia="Aptos" w:hAnsi="Times New Roman" w:cs="Times New Roman"/>
                <w:color w:val="000000"/>
                <w:sz w:val="20"/>
                <w:szCs w:val="20"/>
                <w:lang w:eastAsia="en-IN"/>
              </w:rPr>
              <w:t xml:space="preserve">: if +ve clinical and radiological features and +ve pathological diagnosis  </w:t>
            </w:r>
          </w:p>
        </w:tc>
      </w:tr>
      <w:tr w:rsidR="00852137" w:rsidRPr="00852137" w14:paraId="3892A062" w14:textId="77777777" w:rsidTr="003D1BB9">
        <w:trPr>
          <w:trHeight w:val="822"/>
        </w:trPr>
        <w:tc>
          <w:tcPr>
            <w:tcW w:w="2533" w:type="pct"/>
            <w:vMerge/>
            <w:tcBorders>
              <w:top w:val="nil"/>
              <w:left w:val="single" w:sz="4" w:space="0" w:color="auto"/>
              <w:bottom w:val="single" w:sz="4" w:space="0" w:color="auto"/>
              <w:right w:val="single" w:sz="4" w:space="0" w:color="auto"/>
            </w:tcBorders>
            <w:vAlign w:val="center"/>
            <w:hideMark/>
          </w:tcPr>
          <w:p w14:paraId="21A2D10F" w14:textId="77777777" w:rsidR="00852137" w:rsidRPr="00852137" w:rsidRDefault="00852137" w:rsidP="00852137">
            <w:pPr>
              <w:spacing w:after="0" w:line="240" w:lineRule="auto"/>
              <w:rPr>
                <w:rFonts w:ascii="Times New Roman" w:eastAsia="Times New Roman" w:hAnsi="Times New Roman" w:cs="Times New Roman"/>
                <w:color w:val="000000"/>
                <w:sz w:val="20"/>
                <w:szCs w:val="20"/>
                <w:lang w:val="en-IN" w:eastAsia="en-IN"/>
              </w:rPr>
            </w:pPr>
          </w:p>
        </w:tc>
        <w:tc>
          <w:tcPr>
            <w:tcW w:w="2467" w:type="pct"/>
            <w:tcBorders>
              <w:top w:val="nil"/>
              <w:left w:val="nil"/>
              <w:bottom w:val="single" w:sz="4" w:space="0" w:color="auto"/>
              <w:right w:val="single" w:sz="4" w:space="0" w:color="auto"/>
            </w:tcBorders>
            <w:vAlign w:val="center"/>
            <w:hideMark/>
          </w:tcPr>
          <w:p w14:paraId="7E3B0097" w14:textId="77777777" w:rsidR="00852137" w:rsidRPr="00852137" w:rsidRDefault="00852137" w:rsidP="00852137">
            <w:pPr>
              <w:spacing w:after="0" w:line="240" w:lineRule="auto"/>
              <w:jc w:val="center"/>
              <w:rPr>
                <w:rFonts w:ascii="Times New Roman" w:eastAsia="Times New Roman" w:hAnsi="Times New Roman" w:cs="Times New Roman"/>
                <w:b/>
                <w:bCs/>
                <w:color w:val="000000"/>
                <w:sz w:val="20"/>
                <w:szCs w:val="20"/>
                <w:lang w:val="en-IN" w:eastAsia="en-IN"/>
              </w:rPr>
            </w:pPr>
            <w:r w:rsidRPr="00852137">
              <w:rPr>
                <w:rFonts w:ascii="Times New Roman" w:eastAsia="Aptos" w:hAnsi="Times New Roman" w:cs="Times New Roman"/>
                <w:b/>
                <w:bCs/>
                <w:color w:val="000000"/>
                <w:sz w:val="20"/>
                <w:szCs w:val="20"/>
                <w:lang w:eastAsia="en-IN"/>
              </w:rPr>
              <w:t>Possible</w:t>
            </w:r>
            <w:r w:rsidRPr="00852137">
              <w:rPr>
                <w:rFonts w:ascii="Times New Roman" w:eastAsia="Aptos" w:hAnsi="Times New Roman" w:cs="Times New Roman"/>
                <w:color w:val="000000"/>
                <w:sz w:val="20"/>
                <w:szCs w:val="20"/>
                <w:lang w:eastAsia="en-IN"/>
              </w:rPr>
              <w:t>: if +ve clinical and radiological features and +ve serological diagnosis</w:t>
            </w:r>
          </w:p>
        </w:tc>
      </w:tr>
    </w:tbl>
    <w:p w14:paraId="4455D683" w14:textId="77777777" w:rsidR="00852137" w:rsidRDefault="00852137" w:rsidP="00852137">
      <w:pPr>
        <w:spacing w:after="0" w:line="360" w:lineRule="auto"/>
        <w:jc w:val="center"/>
        <w:rPr>
          <w:rFonts w:ascii="Times New Roman" w:hAnsi="Times New Roman" w:cs="Times New Roman"/>
          <w:sz w:val="20"/>
          <w:szCs w:val="20"/>
        </w:rPr>
      </w:pPr>
    </w:p>
    <w:p w14:paraId="0E4B2701" w14:textId="77777777" w:rsidR="00F979AE" w:rsidRDefault="00F979AE" w:rsidP="00E32FD0">
      <w:pPr>
        <w:spacing w:after="0" w:line="360" w:lineRule="auto"/>
        <w:jc w:val="both"/>
        <w:rPr>
          <w:rFonts w:ascii="Times New Roman" w:hAnsi="Times New Roman" w:cs="Times New Roman"/>
          <w:sz w:val="20"/>
          <w:szCs w:val="20"/>
        </w:rPr>
      </w:pPr>
    </w:p>
    <w:p w14:paraId="24CEFE4C" w14:textId="77777777" w:rsidR="00F979AE" w:rsidRDefault="00F979AE" w:rsidP="00E32FD0">
      <w:pPr>
        <w:spacing w:after="0" w:line="360" w:lineRule="auto"/>
        <w:jc w:val="both"/>
        <w:rPr>
          <w:rFonts w:ascii="Times New Roman" w:hAnsi="Times New Roman" w:cs="Times New Roman"/>
          <w:sz w:val="20"/>
          <w:szCs w:val="20"/>
        </w:rPr>
      </w:pPr>
    </w:p>
    <w:p w14:paraId="299CEB65" w14:textId="77777777" w:rsidR="003D1BB9" w:rsidRPr="003D1BB9" w:rsidRDefault="003D1BB9" w:rsidP="003D1BB9">
      <w:pPr>
        <w:spacing w:after="0" w:line="360" w:lineRule="auto"/>
        <w:jc w:val="both"/>
        <w:rPr>
          <w:rFonts w:ascii="Times New Roman" w:hAnsi="Times New Roman" w:cs="Times New Roman"/>
          <w:b/>
          <w:bCs/>
          <w:color w:val="0070C0"/>
          <w:sz w:val="20"/>
          <w:szCs w:val="20"/>
        </w:rPr>
      </w:pPr>
      <w:r w:rsidRPr="003D1BB9">
        <w:rPr>
          <w:rFonts w:ascii="Times New Roman" w:hAnsi="Times New Roman" w:cs="Times New Roman"/>
          <w:b/>
          <w:bCs/>
          <w:color w:val="0070C0"/>
          <w:sz w:val="20"/>
          <w:szCs w:val="20"/>
        </w:rPr>
        <w:t xml:space="preserve">Treatment </w:t>
      </w:r>
    </w:p>
    <w:p w14:paraId="03FF47FA" w14:textId="77777777" w:rsidR="003D1BB9" w:rsidRPr="003D1BB9" w:rsidRDefault="003D1BB9" w:rsidP="003D1BB9">
      <w:pPr>
        <w:spacing w:after="0" w:line="360" w:lineRule="auto"/>
        <w:jc w:val="both"/>
        <w:rPr>
          <w:rFonts w:ascii="Times New Roman" w:hAnsi="Times New Roman" w:cs="Times New Roman"/>
          <w:sz w:val="20"/>
          <w:szCs w:val="20"/>
        </w:rPr>
      </w:pPr>
      <w:r w:rsidRPr="003D1BB9">
        <w:rPr>
          <w:rFonts w:ascii="Times New Roman" w:hAnsi="Times New Roman" w:cs="Times New Roman"/>
          <w:sz w:val="20"/>
          <w:szCs w:val="20"/>
        </w:rPr>
        <w:t xml:space="preserve">Treatment of IgG4-related disease is urgently required in most cases, particularly in symptomatic patients presenting with multi-organ involvement. Early recognition and treatment are important to reduce inflammation, prevent organ damage, and severe fibrotic disease [1]. Additionally, early treatment can help progression from treatment-responsive to non-responsiveness in the disease course. Importantly, some asymptomatic patients may also warrant treatment, as the indolent nature of the disease may lead to severe and irreversible damage to the biliary tree, kidney, </w:t>
      </w:r>
      <w:r w:rsidRPr="003D1BB9">
        <w:rPr>
          <w:rFonts w:ascii="Times New Roman" w:hAnsi="Times New Roman" w:cs="Times New Roman"/>
          <w:sz w:val="20"/>
          <w:szCs w:val="20"/>
        </w:rPr>
        <w:lastRenderedPageBreak/>
        <w:t xml:space="preserve">aorta, retroperitoneum, and other organs [18]. These considerations highlight the need for a proactive and individualized approach to treatment. </w:t>
      </w:r>
    </w:p>
    <w:p w14:paraId="737903D4" w14:textId="77777777" w:rsidR="003D1BB9" w:rsidRPr="003D1BB9" w:rsidRDefault="003D1BB9" w:rsidP="003D1BB9">
      <w:pPr>
        <w:spacing w:after="0" w:line="360" w:lineRule="auto"/>
        <w:jc w:val="both"/>
        <w:rPr>
          <w:rFonts w:ascii="Times New Roman" w:hAnsi="Times New Roman" w:cs="Times New Roman"/>
          <w:sz w:val="20"/>
          <w:szCs w:val="20"/>
        </w:rPr>
      </w:pPr>
      <w:r w:rsidRPr="003D1BB9">
        <w:rPr>
          <w:rFonts w:ascii="Times New Roman" w:hAnsi="Times New Roman" w:cs="Times New Roman"/>
          <w:sz w:val="20"/>
          <w:szCs w:val="20"/>
        </w:rPr>
        <w:t xml:space="preserve">Glucocorticoids remain the first-line treatment for IgG4-related disease. Initial therapy is prednisone monotherapy, typically at a dose of 0.6 mg/kg once daily. Patients will typically demonstrate improvements in symptoms, laboratory markers, and organ involvement within two to four weeks. After a clinically significant response is evident in the affected organ system, glucocorticoids are tapered gradually over 2 months to achieve the end goal of complete discontinuation of the medication. At the time of writing, it is still unclear whether patients with IgG4-related disease should routinely receive remission maintenance therapies such as rituximab. However, recent studies imply that IgG4-related disease has a substantial relapse rate, which may be reduced through maintenance therapies. Roughly 10-53% of patients fail to enter remission or relapse within a year of initial treatment. Risk factors for relapse include multiorgan disease, elevated IgG4 levels, IgE, and circulating eosinophils [2]. </w:t>
      </w:r>
    </w:p>
    <w:p w14:paraId="0494DD32" w14:textId="77777777" w:rsidR="003D1BB9" w:rsidRPr="003D1BB9" w:rsidRDefault="003D1BB9" w:rsidP="003D1BB9">
      <w:pPr>
        <w:spacing w:after="0" w:line="360" w:lineRule="auto"/>
        <w:jc w:val="both"/>
        <w:rPr>
          <w:rFonts w:ascii="Times New Roman" w:hAnsi="Times New Roman" w:cs="Times New Roman"/>
          <w:sz w:val="20"/>
          <w:szCs w:val="20"/>
        </w:rPr>
      </w:pPr>
      <w:r w:rsidRPr="003D1BB9">
        <w:rPr>
          <w:rFonts w:ascii="Times New Roman" w:hAnsi="Times New Roman" w:cs="Times New Roman"/>
          <w:sz w:val="20"/>
          <w:szCs w:val="20"/>
        </w:rPr>
        <w:t xml:space="preserve">Due to the risk of subclinical progression, patients require close monitoring with laboratory values, specifically serum IgG4 levels, changes in symptoms, and serial imaging. One study revealed that waiting to initiate treatment with mild symptoms and low disease activity has a higher relapse rate than the subgroup that received treatment immediately [3]. </w:t>
      </w:r>
    </w:p>
    <w:p w14:paraId="5DF68055" w14:textId="77777777" w:rsidR="003D1BB9" w:rsidRPr="003D1BB9" w:rsidRDefault="003D1BB9" w:rsidP="003D1BB9">
      <w:pPr>
        <w:spacing w:after="0" w:line="360" w:lineRule="auto"/>
        <w:jc w:val="both"/>
        <w:rPr>
          <w:rFonts w:ascii="Times New Roman" w:hAnsi="Times New Roman" w:cs="Times New Roman"/>
          <w:sz w:val="20"/>
          <w:szCs w:val="20"/>
        </w:rPr>
      </w:pPr>
      <w:r w:rsidRPr="003D1BB9">
        <w:rPr>
          <w:rFonts w:ascii="Times New Roman" w:hAnsi="Times New Roman" w:cs="Times New Roman"/>
          <w:sz w:val="20"/>
          <w:szCs w:val="20"/>
        </w:rPr>
        <w:t xml:space="preserve">Given the high relapse rates associated with glucocorticoid monotherapy, steroid-sparing immunosuppressive agents are frequently used for maintenance or relapse therapy. Among these, rituximab has emerged as a highly effective option, particularly for patients with refractory, relapsing, or organ-threatening IgG4-related disease. By targeting CD20-positive B cells, rituximab, a chimeric antibody, induces depletion of pathogenic B-cell populations and reduces disease activity, demonstrating efficacy in inducing remission in patients who fail to respond to glucocorticoids or conventional immunosuppressants [4,8]. Additionally, combining rituximab with initial glucocorticoid therapy has been associated with lower relapse rates compared to glucocorticoid monotherapy alone [4]. </w:t>
      </w:r>
    </w:p>
    <w:p w14:paraId="54A62D6C" w14:textId="77777777" w:rsidR="003D1BB9" w:rsidRPr="003D1BB9" w:rsidRDefault="003D1BB9" w:rsidP="003D1BB9">
      <w:pPr>
        <w:spacing w:after="0" w:line="360" w:lineRule="auto"/>
        <w:jc w:val="both"/>
        <w:rPr>
          <w:rFonts w:ascii="Times New Roman" w:hAnsi="Times New Roman" w:cs="Times New Roman"/>
          <w:sz w:val="20"/>
          <w:szCs w:val="20"/>
        </w:rPr>
      </w:pPr>
      <w:r w:rsidRPr="003D1BB9">
        <w:rPr>
          <w:rFonts w:ascii="Times New Roman" w:hAnsi="Times New Roman" w:cs="Times New Roman"/>
          <w:sz w:val="20"/>
          <w:szCs w:val="20"/>
        </w:rPr>
        <w:t xml:space="preserve">New generation B-cell therapies such as humanized monoclonal antibody inebilizumab are expanding treatment options. Inebilizumab, an anti-CD19 monoclonal antibody, offers broader depletion of B-cell lineages, including plasmablasts, and has shown promising results in clinical trials (5). Patients treated with inebilizumab had lower rates of relapse and were more likely to achieve flare-free, glucocorticoid-free complete remission [6]. </w:t>
      </w:r>
    </w:p>
    <w:p w14:paraId="06295B55" w14:textId="77777777" w:rsidR="003D1BB9" w:rsidRPr="003D1BB9" w:rsidRDefault="003D1BB9" w:rsidP="003D1BB9">
      <w:pPr>
        <w:spacing w:after="0" w:line="360" w:lineRule="auto"/>
        <w:jc w:val="both"/>
        <w:rPr>
          <w:rFonts w:ascii="Times New Roman" w:hAnsi="Times New Roman" w:cs="Times New Roman"/>
          <w:sz w:val="20"/>
          <w:szCs w:val="20"/>
        </w:rPr>
      </w:pPr>
      <w:r w:rsidRPr="003D1BB9">
        <w:rPr>
          <w:rFonts w:ascii="Times New Roman" w:hAnsi="Times New Roman" w:cs="Times New Roman"/>
          <w:sz w:val="20"/>
          <w:szCs w:val="20"/>
        </w:rPr>
        <w:t>Furthermore, CD19-directed chimeric antigen receptor (CAR) T-cell therapy represents a novel treatment option for severe, treatment-refractory IgG4-RD. By inducing an “immune reset” through eliminating nearly all CD19+ B cells, allowing the body to rebuild a new B-cell population, these patients were able to either achieve drug-free remission or had major improvement of multiorgan involvement [7].</w:t>
      </w:r>
    </w:p>
    <w:p w14:paraId="7BA19036" w14:textId="77777777" w:rsidR="003D1BB9" w:rsidRPr="003D1BB9" w:rsidRDefault="003D1BB9" w:rsidP="003D1BB9">
      <w:pPr>
        <w:spacing w:after="0" w:line="360" w:lineRule="auto"/>
        <w:jc w:val="both"/>
        <w:rPr>
          <w:rFonts w:ascii="Times New Roman" w:hAnsi="Times New Roman" w:cs="Times New Roman"/>
          <w:sz w:val="20"/>
          <w:szCs w:val="20"/>
        </w:rPr>
      </w:pPr>
      <w:r w:rsidRPr="003D1BB9">
        <w:rPr>
          <w:rFonts w:ascii="Times New Roman" w:hAnsi="Times New Roman" w:cs="Times New Roman"/>
          <w:sz w:val="20"/>
          <w:szCs w:val="20"/>
        </w:rPr>
        <w:t xml:space="preserve">Other steroid-sparing immunosuppressive agents include azathioprine, mycophenolate mofetil, and methotrexate may be used as maintenance therapy for relapsing disease. Azathioprine has been utilized as a steroid-sparing maintenance alternative, demonstrating a potential role in maintaining remission and reducing glucocorticoid dependence. However, due to the variable responses and a significant proportion of patients experiencing relapse or requiring treatment escalation to monoclonal therapies, azathioprine treatment may be less effective than B-cell targeted therapies [9]. Similarly, combination mycophenolate and glucocorticoid have a higher efficacy than treatment with glucocorticoid monotherapy [10]. </w:t>
      </w:r>
    </w:p>
    <w:p w14:paraId="00265AA3" w14:textId="77777777" w:rsidR="003D1BB9" w:rsidRPr="003D1BB9" w:rsidRDefault="003D1BB9" w:rsidP="003D1BB9">
      <w:pPr>
        <w:spacing w:after="0" w:line="360" w:lineRule="auto"/>
        <w:jc w:val="both"/>
        <w:rPr>
          <w:rFonts w:ascii="Times New Roman" w:hAnsi="Times New Roman" w:cs="Times New Roman"/>
          <w:sz w:val="20"/>
          <w:szCs w:val="20"/>
        </w:rPr>
      </w:pPr>
      <w:r w:rsidRPr="003D1BB9">
        <w:rPr>
          <w:rFonts w:ascii="Times New Roman" w:hAnsi="Times New Roman" w:cs="Times New Roman"/>
          <w:sz w:val="20"/>
          <w:szCs w:val="20"/>
        </w:rPr>
        <w:lastRenderedPageBreak/>
        <w:t>One case report demonstrates successful treatment of IgG4-related dacryoadenitis with JAK inhibitor baricintinib [11]. This reveals how medications targeting JAK-STAT family may be effective in patients who failed monoclonal treatments and may need an alternative treatment pathway.</w:t>
      </w:r>
    </w:p>
    <w:p w14:paraId="5A6FCBCC" w14:textId="77777777" w:rsidR="003D1BB9" w:rsidRPr="003D1BB9" w:rsidRDefault="003D1BB9" w:rsidP="003D1BB9">
      <w:pPr>
        <w:spacing w:after="0" w:line="360" w:lineRule="auto"/>
        <w:jc w:val="both"/>
        <w:rPr>
          <w:rFonts w:ascii="Times New Roman" w:hAnsi="Times New Roman" w:cs="Times New Roman"/>
          <w:sz w:val="20"/>
          <w:szCs w:val="20"/>
        </w:rPr>
      </w:pPr>
      <w:r w:rsidRPr="003D1BB9">
        <w:rPr>
          <w:rFonts w:ascii="Times New Roman" w:hAnsi="Times New Roman" w:cs="Times New Roman"/>
          <w:sz w:val="20"/>
          <w:szCs w:val="20"/>
        </w:rPr>
        <w:t xml:space="preserve">These case reports reveal the intricacies and complexities of treating IgG4-related disease. The overall management of IgG4-related disease is highly individualized and mechanism-driven. Though glucocorticoids remain the first line therapy, the high rates of relapse suggest that early integration of steroid-sparing and biologic therapies may help reduce relapse and achieve drug-free remission. Larger randomized trials and comparisons between the efficacies of therapies may help continue to guide treatment and improve long-term outcomes for IgG4-related disease. </w:t>
      </w:r>
    </w:p>
    <w:p w14:paraId="0DEA2DE0" w14:textId="77777777" w:rsidR="003D1BB9" w:rsidRPr="003D1BB9" w:rsidRDefault="003D1BB9" w:rsidP="003D1BB9">
      <w:pPr>
        <w:spacing w:after="0" w:line="360" w:lineRule="auto"/>
        <w:jc w:val="both"/>
        <w:rPr>
          <w:rFonts w:ascii="Times New Roman" w:hAnsi="Times New Roman" w:cs="Times New Roman"/>
          <w:sz w:val="20"/>
          <w:szCs w:val="20"/>
        </w:rPr>
      </w:pPr>
    </w:p>
    <w:p w14:paraId="6BEEA74A" w14:textId="77777777" w:rsidR="003D1BB9" w:rsidRPr="003D1BB9" w:rsidRDefault="003D1BB9" w:rsidP="003D1BB9">
      <w:pPr>
        <w:spacing w:after="0" w:line="360" w:lineRule="auto"/>
        <w:jc w:val="both"/>
        <w:rPr>
          <w:rFonts w:ascii="Times New Roman" w:hAnsi="Times New Roman" w:cs="Times New Roman"/>
          <w:b/>
          <w:bCs/>
          <w:color w:val="0070C0"/>
          <w:sz w:val="20"/>
          <w:szCs w:val="20"/>
        </w:rPr>
      </w:pPr>
      <w:r w:rsidRPr="003D1BB9">
        <w:rPr>
          <w:rFonts w:ascii="Times New Roman" w:hAnsi="Times New Roman" w:cs="Times New Roman"/>
          <w:b/>
          <w:bCs/>
          <w:color w:val="0070C0"/>
          <w:sz w:val="20"/>
          <w:szCs w:val="20"/>
        </w:rPr>
        <w:t>Conclusion</w:t>
      </w:r>
    </w:p>
    <w:p w14:paraId="3D94B593" w14:textId="77777777" w:rsidR="003D1BB9" w:rsidRPr="003D1BB9" w:rsidRDefault="003D1BB9" w:rsidP="003D1BB9">
      <w:pPr>
        <w:spacing w:after="0" w:line="360" w:lineRule="auto"/>
        <w:jc w:val="both"/>
        <w:rPr>
          <w:rFonts w:ascii="Times New Roman" w:hAnsi="Times New Roman" w:cs="Times New Roman"/>
          <w:sz w:val="20"/>
          <w:szCs w:val="20"/>
        </w:rPr>
      </w:pPr>
      <w:r w:rsidRPr="003D1BB9">
        <w:rPr>
          <w:rFonts w:ascii="Times New Roman" w:hAnsi="Times New Roman" w:cs="Times New Roman"/>
          <w:sz w:val="20"/>
          <w:szCs w:val="20"/>
        </w:rPr>
        <w:t>IgG4-related disease remains a profoundly complex clinical entity characterized by its highly variable, multisystemic presentation that frequently mimics other inflammatory conditions. Early and accurate identification is imperative to circumvent severe, irreversible organ damage through timely intervention. As recognition of IgG4-related disease expands, continued research into its precise Th2-driven pathophysiology, non-invasive biomarkers, and advanced cellular therapies will be crucial for refining diagnostic criteria and improving patient outcomes.</w:t>
      </w:r>
    </w:p>
    <w:p w14:paraId="0D068D44" w14:textId="77777777" w:rsidR="003D1BB9" w:rsidRPr="003D1BB9" w:rsidRDefault="003D1BB9" w:rsidP="003D1BB9">
      <w:pPr>
        <w:spacing w:after="0" w:line="360" w:lineRule="auto"/>
        <w:jc w:val="both"/>
        <w:rPr>
          <w:rFonts w:ascii="Times New Roman" w:hAnsi="Times New Roman" w:cs="Times New Roman"/>
          <w:sz w:val="20"/>
          <w:szCs w:val="20"/>
        </w:rPr>
      </w:pPr>
    </w:p>
    <w:p w14:paraId="4F661A68" w14:textId="77777777" w:rsidR="003D1BB9" w:rsidRPr="003D1BB9" w:rsidRDefault="003D1BB9" w:rsidP="003D1BB9">
      <w:pPr>
        <w:spacing w:after="0" w:line="360" w:lineRule="auto"/>
        <w:jc w:val="both"/>
        <w:rPr>
          <w:rFonts w:ascii="Times New Roman" w:hAnsi="Times New Roman" w:cs="Times New Roman"/>
          <w:b/>
          <w:bCs/>
          <w:color w:val="0070C0"/>
          <w:sz w:val="20"/>
          <w:szCs w:val="20"/>
        </w:rPr>
      </w:pPr>
      <w:r w:rsidRPr="003D1BB9">
        <w:rPr>
          <w:rFonts w:ascii="Times New Roman" w:hAnsi="Times New Roman" w:cs="Times New Roman"/>
          <w:b/>
          <w:bCs/>
          <w:color w:val="0070C0"/>
          <w:sz w:val="20"/>
          <w:szCs w:val="20"/>
        </w:rPr>
        <w:t>Key Points:</w:t>
      </w:r>
    </w:p>
    <w:p w14:paraId="1B0FE42C" w14:textId="6505143E" w:rsidR="003D1BB9" w:rsidRPr="003D1BB9" w:rsidRDefault="003D1BB9" w:rsidP="003D1BB9">
      <w:pPr>
        <w:pStyle w:val="ListParagraph"/>
        <w:numPr>
          <w:ilvl w:val="0"/>
          <w:numId w:val="38"/>
        </w:numPr>
        <w:spacing w:after="0" w:line="360" w:lineRule="auto"/>
        <w:jc w:val="both"/>
        <w:rPr>
          <w:rFonts w:ascii="Times New Roman" w:hAnsi="Times New Roman" w:cs="Times New Roman"/>
          <w:sz w:val="20"/>
          <w:szCs w:val="20"/>
        </w:rPr>
      </w:pPr>
      <w:r w:rsidRPr="003D1BB9">
        <w:rPr>
          <w:rFonts w:ascii="Times New Roman" w:hAnsi="Times New Roman" w:cs="Times New Roman"/>
          <w:sz w:val="20"/>
          <w:szCs w:val="20"/>
        </w:rPr>
        <w:t xml:space="preserve">IgG4-related disease incidence is growing significantly due to expanded medical awareness, typically presenting in the sixth decade of life and carrying a potential 2.5-fold higher risk of death if untreated. </w:t>
      </w:r>
    </w:p>
    <w:p w14:paraId="4BB11E09" w14:textId="246BF67E" w:rsidR="003D1BB9" w:rsidRPr="003D1BB9" w:rsidRDefault="003D1BB9" w:rsidP="003D1BB9">
      <w:pPr>
        <w:pStyle w:val="ListParagraph"/>
        <w:numPr>
          <w:ilvl w:val="0"/>
          <w:numId w:val="38"/>
        </w:numPr>
        <w:spacing w:after="0" w:line="360" w:lineRule="auto"/>
        <w:jc w:val="both"/>
        <w:rPr>
          <w:rFonts w:ascii="Times New Roman" w:hAnsi="Times New Roman" w:cs="Times New Roman"/>
          <w:sz w:val="20"/>
          <w:szCs w:val="20"/>
        </w:rPr>
      </w:pPr>
      <w:r w:rsidRPr="003D1BB9">
        <w:rPr>
          <w:rFonts w:ascii="Times New Roman" w:hAnsi="Times New Roman" w:cs="Times New Roman"/>
          <w:sz w:val="20"/>
          <w:szCs w:val="20"/>
        </w:rPr>
        <w:t xml:space="preserve">The disease process is driven by an antigen-driven fibroinflammatory response and Th2-skewed inflammation, which recent studies suggest may be mechanistically linked to shared variants in the IKZF1 and UBR4 genes. </w:t>
      </w:r>
    </w:p>
    <w:p w14:paraId="64DA25FF" w14:textId="33C08C90" w:rsidR="003D1BB9" w:rsidRPr="003D1BB9" w:rsidRDefault="003D1BB9" w:rsidP="003D1BB9">
      <w:pPr>
        <w:pStyle w:val="ListParagraph"/>
        <w:numPr>
          <w:ilvl w:val="0"/>
          <w:numId w:val="38"/>
        </w:numPr>
        <w:spacing w:after="0" w:line="360" w:lineRule="auto"/>
        <w:jc w:val="both"/>
        <w:rPr>
          <w:rFonts w:ascii="Times New Roman" w:hAnsi="Times New Roman" w:cs="Times New Roman"/>
          <w:sz w:val="20"/>
          <w:szCs w:val="20"/>
        </w:rPr>
      </w:pPr>
      <w:r w:rsidRPr="003D1BB9">
        <w:rPr>
          <w:rFonts w:ascii="Times New Roman" w:hAnsi="Times New Roman" w:cs="Times New Roman"/>
          <w:sz w:val="20"/>
          <w:szCs w:val="20"/>
        </w:rPr>
        <w:t xml:space="preserve">Clinical presentations can be categorized into four major phenotypes: pancreato-hepato-biliary disease, retroperitoneal fibrosis and/or aortitis, head and neck-limited disease, and classic Mikulicz syndrome with systemic involvement. </w:t>
      </w:r>
    </w:p>
    <w:p w14:paraId="1FF0829A" w14:textId="0EBD5229" w:rsidR="003D1BB9" w:rsidRPr="003D1BB9" w:rsidRDefault="003D1BB9" w:rsidP="003D1BB9">
      <w:pPr>
        <w:pStyle w:val="ListParagraph"/>
        <w:numPr>
          <w:ilvl w:val="0"/>
          <w:numId w:val="38"/>
        </w:numPr>
        <w:spacing w:after="0" w:line="360" w:lineRule="auto"/>
        <w:jc w:val="both"/>
        <w:rPr>
          <w:rFonts w:ascii="Times New Roman" w:hAnsi="Times New Roman" w:cs="Times New Roman"/>
          <w:sz w:val="20"/>
          <w:szCs w:val="20"/>
        </w:rPr>
      </w:pPr>
      <w:r w:rsidRPr="003D1BB9">
        <w:rPr>
          <w:rFonts w:ascii="Times New Roman" w:hAnsi="Times New Roman" w:cs="Times New Roman"/>
          <w:sz w:val="20"/>
          <w:szCs w:val="20"/>
        </w:rPr>
        <w:t xml:space="preserve">Elevated serum IgG4 levels (cutoff of 135 mg/dL) are insufficient for a standalone diagnosis due to low specificity, making histopathological confirmation strictly necessary to avoid unnecessary immunosuppressive therapy. </w:t>
      </w:r>
    </w:p>
    <w:p w14:paraId="68CF150D" w14:textId="06D72664" w:rsidR="003D1BB9" w:rsidRPr="003D1BB9" w:rsidRDefault="003D1BB9" w:rsidP="003D1BB9">
      <w:pPr>
        <w:pStyle w:val="ListParagraph"/>
        <w:numPr>
          <w:ilvl w:val="0"/>
          <w:numId w:val="38"/>
        </w:numPr>
        <w:spacing w:after="0" w:line="360" w:lineRule="auto"/>
        <w:jc w:val="both"/>
        <w:rPr>
          <w:rFonts w:ascii="Times New Roman" w:hAnsi="Times New Roman" w:cs="Times New Roman"/>
          <w:sz w:val="20"/>
          <w:szCs w:val="20"/>
        </w:rPr>
      </w:pPr>
      <w:r w:rsidRPr="003D1BB9">
        <w:rPr>
          <w:rFonts w:ascii="Times New Roman" w:hAnsi="Times New Roman" w:cs="Times New Roman"/>
          <w:sz w:val="20"/>
          <w:szCs w:val="20"/>
        </w:rPr>
        <w:t xml:space="preserve">While labial salivary gland biopsies are less invasive, submandibular gland biopsy is the most sensitive and reliable method for establishing a definitive diagnosis. </w:t>
      </w:r>
    </w:p>
    <w:p w14:paraId="6B677C05" w14:textId="5C8E1EF3" w:rsidR="003D1BB9" w:rsidRPr="003D1BB9" w:rsidRDefault="003D1BB9" w:rsidP="003D1BB9">
      <w:pPr>
        <w:pStyle w:val="ListParagraph"/>
        <w:numPr>
          <w:ilvl w:val="0"/>
          <w:numId w:val="38"/>
        </w:numPr>
        <w:spacing w:after="0" w:line="360" w:lineRule="auto"/>
        <w:jc w:val="both"/>
        <w:rPr>
          <w:rFonts w:ascii="Times New Roman" w:hAnsi="Times New Roman" w:cs="Times New Roman"/>
          <w:sz w:val="20"/>
          <w:szCs w:val="20"/>
        </w:rPr>
      </w:pPr>
      <w:r w:rsidRPr="003D1BB9">
        <w:rPr>
          <w:rFonts w:ascii="Times New Roman" w:hAnsi="Times New Roman" w:cs="Times New Roman"/>
          <w:sz w:val="20"/>
          <w:szCs w:val="20"/>
        </w:rPr>
        <w:t>Although glucocorticoids are the standard initial treatment, a 10-53% relapse rate frequently necessitates the integration of therapies like rituximab, the anti-CD19 monoclonal antibody inebilizumab, or CAR T-cell therapy to achieve drug-free remission.</w:t>
      </w:r>
    </w:p>
    <w:p w14:paraId="7C0DC605" w14:textId="77777777" w:rsidR="003D1BB9" w:rsidRPr="003D1BB9" w:rsidRDefault="003D1BB9" w:rsidP="003D1BB9">
      <w:pPr>
        <w:spacing w:after="0" w:line="360" w:lineRule="auto"/>
        <w:jc w:val="both"/>
        <w:rPr>
          <w:rFonts w:ascii="Times New Roman" w:hAnsi="Times New Roman" w:cs="Times New Roman"/>
          <w:sz w:val="20"/>
          <w:szCs w:val="20"/>
        </w:rPr>
      </w:pPr>
    </w:p>
    <w:p w14:paraId="6BB3EA1C" w14:textId="77777777" w:rsidR="003D1BB9" w:rsidRPr="003D1BB9" w:rsidRDefault="003D1BB9" w:rsidP="003D1BB9">
      <w:pPr>
        <w:spacing w:after="0" w:line="360" w:lineRule="auto"/>
        <w:jc w:val="both"/>
        <w:rPr>
          <w:rFonts w:ascii="Times New Roman" w:hAnsi="Times New Roman" w:cs="Times New Roman"/>
          <w:b/>
          <w:bCs/>
          <w:color w:val="0070C0"/>
          <w:sz w:val="20"/>
          <w:szCs w:val="20"/>
        </w:rPr>
      </w:pPr>
      <w:r w:rsidRPr="003D1BB9">
        <w:rPr>
          <w:rFonts w:ascii="Times New Roman" w:hAnsi="Times New Roman" w:cs="Times New Roman"/>
          <w:b/>
          <w:bCs/>
          <w:color w:val="0070C0"/>
          <w:sz w:val="20"/>
          <w:szCs w:val="20"/>
        </w:rPr>
        <w:t xml:space="preserve">Funding: </w:t>
      </w:r>
    </w:p>
    <w:p w14:paraId="3772B7E9" w14:textId="57BC3E6E" w:rsidR="003D1BB9" w:rsidRPr="003D1BB9" w:rsidRDefault="003D1BB9" w:rsidP="003D1BB9">
      <w:pPr>
        <w:spacing w:after="0" w:line="360" w:lineRule="auto"/>
        <w:jc w:val="both"/>
        <w:rPr>
          <w:rFonts w:ascii="Times New Roman" w:hAnsi="Times New Roman" w:cs="Times New Roman"/>
          <w:sz w:val="20"/>
          <w:szCs w:val="20"/>
        </w:rPr>
      </w:pPr>
      <w:r w:rsidRPr="003D1BB9">
        <w:rPr>
          <w:rFonts w:ascii="Times New Roman" w:hAnsi="Times New Roman" w:cs="Times New Roman"/>
          <w:sz w:val="20"/>
          <w:szCs w:val="20"/>
        </w:rPr>
        <w:t>The research work of DKA is supported by the R25AI179582 grant from the National Institutes of Health, USA. The contents of this article are solely the responsibility of the authors and do not necessarily represent the official views of the National Institutes of Health.</w:t>
      </w:r>
    </w:p>
    <w:p w14:paraId="4706367E" w14:textId="77777777" w:rsidR="003D1BB9" w:rsidRPr="003D1BB9" w:rsidRDefault="003D1BB9" w:rsidP="003D1BB9">
      <w:pPr>
        <w:spacing w:after="0" w:line="360" w:lineRule="auto"/>
        <w:jc w:val="both"/>
        <w:rPr>
          <w:rFonts w:ascii="Times New Roman" w:hAnsi="Times New Roman" w:cs="Times New Roman"/>
          <w:sz w:val="20"/>
          <w:szCs w:val="20"/>
        </w:rPr>
      </w:pPr>
    </w:p>
    <w:p w14:paraId="74CE7B05" w14:textId="77777777" w:rsidR="003D1BB9" w:rsidRPr="003D1BB9" w:rsidRDefault="003D1BB9" w:rsidP="003D1BB9">
      <w:pPr>
        <w:spacing w:after="0" w:line="360" w:lineRule="auto"/>
        <w:jc w:val="both"/>
        <w:rPr>
          <w:rFonts w:ascii="Times New Roman" w:hAnsi="Times New Roman" w:cs="Times New Roman"/>
          <w:b/>
          <w:bCs/>
          <w:color w:val="0070C0"/>
          <w:sz w:val="20"/>
          <w:szCs w:val="20"/>
        </w:rPr>
      </w:pPr>
      <w:r w:rsidRPr="003D1BB9">
        <w:rPr>
          <w:rFonts w:ascii="Times New Roman" w:hAnsi="Times New Roman" w:cs="Times New Roman"/>
          <w:b/>
          <w:bCs/>
          <w:color w:val="0070C0"/>
          <w:sz w:val="20"/>
          <w:szCs w:val="20"/>
        </w:rPr>
        <w:t xml:space="preserve">Competing interests: </w:t>
      </w:r>
    </w:p>
    <w:p w14:paraId="5465593D" w14:textId="70292071" w:rsidR="003D1BB9" w:rsidRPr="003D1BB9" w:rsidRDefault="003D1BB9" w:rsidP="003D1BB9">
      <w:pPr>
        <w:spacing w:after="0" w:line="360" w:lineRule="auto"/>
        <w:jc w:val="both"/>
        <w:rPr>
          <w:rFonts w:ascii="Times New Roman" w:hAnsi="Times New Roman" w:cs="Times New Roman"/>
          <w:sz w:val="20"/>
          <w:szCs w:val="20"/>
        </w:rPr>
      </w:pPr>
      <w:r w:rsidRPr="003D1BB9">
        <w:rPr>
          <w:rFonts w:ascii="Times New Roman" w:hAnsi="Times New Roman" w:cs="Times New Roman"/>
          <w:sz w:val="20"/>
          <w:szCs w:val="20"/>
        </w:rPr>
        <w:t>All authors have read the manuscript and declare no conflict of interest. No writing assistance was utilized in the production of this manuscript.</w:t>
      </w:r>
    </w:p>
    <w:p w14:paraId="4F1D4E5A" w14:textId="77777777" w:rsidR="003D1BB9" w:rsidRPr="003D1BB9" w:rsidRDefault="003D1BB9" w:rsidP="003D1BB9">
      <w:pPr>
        <w:spacing w:after="0" w:line="360" w:lineRule="auto"/>
        <w:jc w:val="both"/>
        <w:rPr>
          <w:rFonts w:ascii="Times New Roman" w:hAnsi="Times New Roman" w:cs="Times New Roman"/>
          <w:sz w:val="20"/>
          <w:szCs w:val="20"/>
        </w:rPr>
      </w:pPr>
    </w:p>
    <w:p w14:paraId="64043560" w14:textId="77777777" w:rsidR="003D1BB9" w:rsidRPr="003D1BB9" w:rsidRDefault="003D1BB9" w:rsidP="003D1BB9">
      <w:pPr>
        <w:spacing w:after="0" w:line="360" w:lineRule="auto"/>
        <w:jc w:val="both"/>
        <w:rPr>
          <w:rFonts w:ascii="Times New Roman" w:hAnsi="Times New Roman" w:cs="Times New Roman"/>
          <w:b/>
          <w:bCs/>
          <w:color w:val="0070C0"/>
          <w:sz w:val="20"/>
          <w:szCs w:val="20"/>
        </w:rPr>
      </w:pPr>
      <w:r w:rsidRPr="003D1BB9">
        <w:rPr>
          <w:rFonts w:ascii="Times New Roman" w:hAnsi="Times New Roman" w:cs="Times New Roman"/>
          <w:b/>
          <w:bCs/>
          <w:color w:val="0070C0"/>
          <w:sz w:val="20"/>
          <w:szCs w:val="20"/>
        </w:rPr>
        <w:t xml:space="preserve">Consent and Competing Interests: </w:t>
      </w:r>
    </w:p>
    <w:p w14:paraId="42B2CABB" w14:textId="30526548" w:rsidR="00F979AE" w:rsidRDefault="003D1BB9" w:rsidP="003D1BB9">
      <w:pPr>
        <w:spacing w:after="0" w:line="360" w:lineRule="auto"/>
        <w:jc w:val="both"/>
        <w:rPr>
          <w:rFonts w:ascii="Times New Roman" w:hAnsi="Times New Roman" w:cs="Times New Roman"/>
          <w:sz w:val="20"/>
          <w:szCs w:val="20"/>
        </w:rPr>
      </w:pPr>
      <w:r w:rsidRPr="003D1BB9">
        <w:rPr>
          <w:rFonts w:ascii="Times New Roman" w:hAnsi="Times New Roman" w:cs="Times New Roman"/>
          <w:sz w:val="20"/>
          <w:szCs w:val="20"/>
        </w:rPr>
        <w:t>All authors have read the manuscript and declare no conflict of interest. No writing assistance was utilized in the production of this manuscript.</w:t>
      </w:r>
    </w:p>
    <w:p w14:paraId="1C63E8D4" w14:textId="77777777" w:rsidR="00F979AE" w:rsidRDefault="00F979AE" w:rsidP="00E32FD0">
      <w:pPr>
        <w:spacing w:after="0" w:line="360" w:lineRule="auto"/>
        <w:jc w:val="both"/>
        <w:rPr>
          <w:rFonts w:ascii="Times New Roman" w:hAnsi="Times New Roman" w:cs="Times New Roman"/>
          <w:sz w:val="20"/>
          <w:szCs w:val="20"/>
        </w:rPr>
      </w:pPr>
    </w:p>
    <w:p w14:paraId="3D70BE2A" w14:textId="77777777" w:rsidR="00F979AE" w:rsidRDefault="00F979AE" w:rsidP="00E32FD0">
      <w:pPr>
        <w:spacing w:after="0" w:line="360" w:lineRule="auto"/>
        <w:jc w:val="both"/>
        <w:rPr>
          <w:rFonts w:ascii="Times New Roman" w:hAnsi="Times New Roman" w:cs="Times New Roman"/>
          <w:sz w:val="20"/>
          <w:szCs w:val="20"/>
        </w:rPr>
      </w:pPr>
    </w:p>
    <w:p w14:paraId="01350D27" w14:textId="0AFBEBFA" w:rsidR="005C65B5" w:rsidRDefault="00A538C9" w:rsidP="005C65B5">
      <w:pPr>
        <w:spacing w:after="0" w:line="360" w:lineRule="auto"/>
        <w:jc w:val="both"/>
        <w:rPr>
          <w:rFonts w:ascii="Times New Roman" w:hAnsi="Times New Roman" w:cs="Times New Roman"/>
          <w:b/>
          <w:bCs/>
          <w:color w:val="0070C0"/>
        </w:rPr>
      </w:pPr>
      <w:r>
        <w:rPr>
          <w:rFonts w:ascii="Times New Roman" w:hAnsi="Times New Roman" w:cs="Times New Roman"/>
          <w:b/>
          <w:bCs/>
          <w:color w:val="0070C0"/>
        </w:rPr>
        <w:t>References</w:t>
      </w:r>
    </w:p>
    <w:p w14:paraId="103A3DA6" w14:textId="72699610" w:rsidR="003D1BB9" w:rsidRPr="003D1BB9" w:rsidRDefault="003D1BB9" w:rsidP="005C73DB">
      <w:pPr>
        <w:pStyle w:val="MDPI71References"/>
        <w:numPr>
          <w:ilvl w:val="0"/>
          <w:numId w:val="40"/>
        </w:numPr>
        <w:spacing w:line="360" w:lineRule="auto"/>
        <w:rPr>
          <w:rFonts w:ascii="Times New Roman" w:hAnsi="Times New Roman"/>
          <w:sz w:val="20"/>
          <w:lang w:val="en-SG"/>
        </w:rPr>
      </w:pPr>
      <w:r w:rsidRPr="003D1BB9">
        <w:rPr>
          <w:rFonts w:ascii="Times New Roman" w:hAnsi="Times New Roman"/>
          <w:sz w:val="20"/>
          <w:lang w:val="en-SG"/>
        </w:rPr>
        <w:t>Kamisawa T, Funata N, Hayashi Y, et al. A new clinicopathological entity of IgG4-related autoimmune disease. J Gastroenterol.</w:t>
      </w:r>
      <w:r>
        <w:rPr>
          <w:rFonts w:ascii="Times New Roman" w:hAnsi="Times New Roman"/>
          <w:sz w:val="20"/>
          <w:lang w:val="en-SG"/>
        </w:rPr>
        <w:t xml:space="preserve"> </w:t>
      </w:r>
      <w:r w:rsidRPr="003D1BB9">
        <w:rPr>
          <w:rFonts w:ascii="Times New Roman" w:hAnsi="Times New Roman"/>
          <w:sz w:val="20"/>
          <w:lang w:val="en-SG"/>
        </w:rPr>
        <w:t>38</w:t>
      </w:r>
      <w:r>
        <w:rPr>
          <w:rFonts w:ascii="Times New Roman" w:hAnsi="Times New Roman"/>
          <w:sz w:val="20"/>
          <w:lang w:val="en-SG"/>
        </w:rPr>
        <w:t xml:space="preserve"> </w:t>
      </w:r>
      <w:r w:rsidRPr="003D1BB9">
        <w:rPr>
          <w:rFonts w:ascii="Times New Roman" w:hAnsi="Times New Roman"/>
          <w:sz w:val="20"/>
          <w:lang w:val="en-SG"/>
        </w:rPr>
        <w:t>(</w:t>
      </w:r>
      <w:r>
        <w:rPr>
          <w:rFonts w:ascii="Times New Roman" w:hAnsi="Times New Roman"/>
          <w:sz w:val="20"/>
          <w:lang w:val="en-SG"/>
        </w:rPr>
        <w:t>2003</w:t>
      </w:r>
      <w:r w:rsidRPr="003D1BB9">
        <w:rPr>
          <w:rFonts w:ascii="Times New Roman" w:hAnsi="Times New Roman"/>
          <w:sz w:val="20"/>
          <w:lang w:val="en-SG"/>
        </w:rPr>
        <w:t>):</w:t>
      </w:r>
      <w:r>
        <w:rPr>
          <w:rFonts w:ascii="Times New Roman" w:hAnsi="Times New Roman"/>
          <w:sz w:val="20"/>
          <w:lang w:val="en-SG"/>
        </w:rPr>
        <w:t xml:space="preserve"> </w:t>
      </w:r>
      <w:r w:rsidRPr="003D1BB9">
        <w:rPr>
          <w:rFonts w:ascii="Times New Roman" w:hAnsi="Times New Roman"/>
          <w:sz w:val="20"/>
          <w:lang w:val="en-SG"/>
        </w:rPr>
        <w:t>982-</w:t>
      </w:r>
      <w:r>
        <w:rPr>
          <w:rFonts w:ascii="Times New Roman" w:hAnsi="Times New Roman"/>
          <w:sz w:val="20"/>
          <w:lang w:val="en-SG"/>
        </w:rPr>
        <w:t>98</w:t>
      </w:r>
      <w:r w:rsidRPr="003D1BB9">
        <w:rPr>
          <w:rFonts w:ascii="Times New Roman" w:hAnsi="Times New Roman"/>
          <w:sz w:val="20"/>
          <w:lang w:val="en-SG"/>
        </w:rPr>
        <w:t xml:space="preserve">4. </w:t>
      </w:r>
    </w:p>
    <w:p w14:paraId="255BC9D2" w14:textId="2BEE1934" w:rsidR="003D1BB9" w:rsidRPr="003D1BB9" w:rsidRDefault="003D1BB9" w:rsidP="005C73DB">
      <w:pPr>
        <w:pStyle w:val="MDPI71References"/>
        <w:numPr>
          <w:ilvl w:val="0"/>
          <w:numId w:val="40"/>
        </w:numPr>
        <w:spacing w:line="360" w:lineRule="auto"/>
        <w:rPr>
          <w:rFonts w:ascii="Times New Roman" w:hAnsi="Times New Roman"/>
          <w:sz w:val="20"/>
          <w:lang w:val="en-SG"/>
        </w:rPr>
      </w:pPr>
      <w:r w:rsidRPr="003D1BB9">
        <w:rPr>
          <w:rFonts w:ascii="Times New Roman" w:hAnsi="Times New Roman"/>
          <w:sz w:val="20"/>
          <w:lang w:val="en-SG"/>
        </w:rPr>
        <w:t>Wallace ZS, Miles G, Smolkina E, et al. Incidence, prevalence and mortality of IgG4-related disease in the USA: a claims-based analysis of commercially insured adults. Ann Rheum Dis.</w:t>
      </w:r>
      <w:r>
        <w:rPr>
          <w:rFonts w:ascii="Times New Roman" w:hAnsi="Times New Roman"/>
          <w:sz w:val="20"/>
          <w:lang w:val="en-SG"/>
        </w:rPr>
        <w:t xml:space="preserve"> </w:t>
      </w:r>
      <w:r w:rsidRPr="003D1BB9">
        <w:rPr>
          <w:rFonts w:ascii="Times New Roman" w:hAnsi="Times New Roman"/>
          <w:sz w:val="20"/>
          <w:lang w:val="en-SG"/>
        </w:rPr>
        <w:t>82</w:t>
      </w:r>
      <w:r>
        <w:rPr>
          <w:rFonts w:ascii="Times New Roman" w:hAnsi="Times New Roman"/>
          <w:sz w:val="20"/>
          <w:lang w:val="en-SG"/>
        </w:rPr>
        <w:t xml:space="preserve"> </w:t>
      </w:r>
      <w:r w:rsidRPr="003D1BB9">
        <w:rPr>
          <w:rFonts w:ascii="Times New Roman" w:hAnsi="Times New Roman"/>
          <w:sz w:val="20"/>
          <w:lang w:val="en-SG"/>
        </w:rPr>
        <w:t>(</w:t>
      </w:r>
      <w:r>
        <w:rPr>
          <w:rFonts w:ascii="Times New Roman" w:hAnsi="Times New Roman"/>
          <w:sz w:val="20"/>
          <w:lang w:val="en-SG"/>
        </w:rPr>
        <w:t>2023</w:t>
      </w:r>
      <w:r w:rsidRPr="003D1BB9">
        <w:rPr>
          <w:rFonts w:ascii="Times New Roman" w:hAnsi="Times New Roman"/>
          <w:sz w:val="20"/>
          <w:lang w:val="en-SG"/>
        </w:rPr>
        <w:t>):</w:t>
      </w:r>
      <w:r>
        <w:rPr>
          <w:rFonts w:ascii="Times New Roman" w:hAnsi="Times New Roman"/>
          <w:sz w:val="20"/>
          <w:lang w:val="en-SG"/>
        </w:rPr>
        <w:t xml:space="preserve"> </w:t>
      </w:r>
      <w:r w:rsidRPr="003D1BB9">
        <w:rPr>
          <w:rFonts w:ascii="Times New Roman" w:hAnsi="Times New Roman"/>
          <w:sz w:val="20"/>
          <w:lang w:val="en-SG"/>
        </w:rPr>
        <w:t xml:space="preserve">957-962. </w:t>
      </w:r>
    </w:p>
    <w:p w14:paraId="4D5A3FD3" w14:textId="6849A187" w:rsidR="003D1BB9" w:rsidRPr="003D1BB9" w:rsidRDefault="003D1BB9" w:rsidP="005C73DB">
      <w:pPr>
        <w:pStyle w:val="MDPI71References"/>
        <w:numPr>
          <w:ilvl w:val="0"/>
          <w:numId w:val="40"/>
        </w:numPr>
        <w:spacing w:line="360" w:lineRule="auto"/>
        <w:rPr>
          <w:rFonts w:ascii="Times New Roman" w:hAnsi="Times New Roman"/>
          <w:sz w:val="20"/>
          <w:lang w:val="en-SG"/>
        </w:rPr>
      </w:pPr>
      <w:r w:rsidRPr="003D1BB9">
        <w:rPr>
          <w:rFonts w:ascii="Times New Roman" w:hAnsi="Times New Roman"/>
          <w:sz w:val="20"/>
          <w:lang w:val="en-SG"/>
        </w:rPr>
        <w:t xml:space="preserve">Wallace ZS, Zhang Y, Perugino CA, </w:t>
      </w:r>
      <w:r>
        <w:rPr>
          <w:rFonts w:ascii="Times New Roman" w:hAnsi="Times New Roman"/>
          <w:sz w:val="20"/>
          <w:lang w:val="en-SG"/>
        </w:rPr>
        <w:t>et al</w:t>
      </w:r>
      <w:r w:rsidRPr="003D1BB9">
        <w:rPr>
          <w:rFonts w:ascii="Times New Roman" w:hAnsi="Times New Roman"/>
          <w:sz w:val="20"/>
          <w:lang w:val="en-SG"/>
        </w:rPr>
        <w:t>; ACR/EULAR IgG4-RD Classification Criteria Committee. Clinical phenotypes of IgG4-related disease: an analysis of two international cross-sectional cohorts. Ann Rheum Dis.</w:t>
      </w:r>
      <w:r>
        <w:rPr>
          <w:rFonts w:ascii="Times New Roman" w:hAnsi="Times New Roman"/>
          <w:sz w:val="20"/>
          <w:lang w:val="en-SG"/>
        </w:rPr>
        <w:t xml:space="preserve"> </w:t>
      </w:r>
      <w:r w:rsidRPr="003D1BB9">
        <w:rPr>
          <w:rFonts w:ascii="Times New Roman" w:hAnsi="Times New Roman"/>
          <w:sz w:val="20"/>
          <w:lang w:val="en-SG"/>
        </w:rPr>
        <w:t>78</w:t>
      </w:r>
      <w:r>
        <w:rPr>
          <w:rFonts w:ascii="Times New Roman" w:hAnsi="Times New Roman"/>
          <w:sz w:val="20"/>
          <w:lang w:val="en-SG"/>
        </w:rPr>
        <w:t xml:space="preserve"> </w:t>
      </w:r>
      <w:r w:rsidRPr="003D1BB9">
        <w:rPr>
          <w:rFonts w:ascii="Times New Roman" w:hAnsi="Times New Roman"/>
          <w:sz w:val="20"/>
          <w:lang w:val="en-SG"/>
        </w:rPr>
        <w:t>(</w:t>
      </w:r>
      <w:r>
        <w:rPr>
          <w:rFonts w:ascii="Times New Roman" w:hAnsi="Times New Roman"/>
          <w:sz w:val="20"/>
          <w:lang w:val="en-SG"/>
        </w:rPr>
        <w:t>2019</w:t>
      </w:r>
      <w:r w:rsidRPr="003D1BB9">
        <w:rPr>
          <w:rFonts w:ascii="Times New Roman" w:hAnsi="Times New Roman"/>
          <w:sz w:val="20"/>
          <w:lang w:val="en-SG"/>
        </w:rPr>
        <w:t>):</w:t>
      </w:r>
      <w:r>
        <w:rPr>
          <w:rFonts w:ascii="Times New Roman" w:hAnsi="Times New Roman"/>
          <w:sz w:val="20"/>
          <w:lang w:val="en-SG"/>
        </w:rPr>
        <w:t xml:space="preserve"> </w:t>
      </w:r>
      <w:r w:rsidRPr="003D1BB9">
        <w:rPr>
          <w:rFonts w:ascii="Times New Roman" w:hAnsi="Times New Roman"/>
          <w:sz w:val="20"/>
          <w:lang w:val="en-SG"/>
        </w:rPr>
        <w:t xml:space="preserve">406-412. </w:t>
      </w:r>
    </w:p>
    <w:p w14:paraId="1A4F66E2" w14:textId="6BC69660" w:rsidR="003D1BB9" w:rsidRPr="003D1BB9" w:rsidRDefault="003D1BB9" w:rsidP="005C73DB">
      <w:pPr>
        <w:pStyle w:val="MDPI71References"/>
        <w:numPr>
          <w:ilvl w:val="0"/>
          <w:numId w:val="40"/>
        </w:numPr>
        <w:spacing w:line="360" w:lineRule="auto"/>
        <w:rPr>
          <w:rFonts w:ascii="Times New Roman" w:hAnsi="Times New Roman"/>
          <w:sz w:val="20"/>
          <w:lang w:val="en-SG"/>
        </w:rPr>
      </w:pPr>
      <w:r w:rsidRPr="003D1BB9">
        <w:rPr>
          <w:rFonts w:ascii="Times New Roman" w:hAnsi="Times New Roman"/>
          <w:sz w:val="20"/>
          <w:lang w:val="en-SG"/>
        </w:rPr>
        <w:t>Martín-Nares E, Baenas DF, Cuellar Gutiérrez MC, et al. Clinical and Serological Features in Latin American IgG4-Related Disease Patients Differ According to Sex, Ethnicity, and Clinical Phenotype. J Clin Rheumatol.</w:t>
      </w:r>
      <w:r>
        <w:rPr>
          <w:rFonts w:ascii="Times New Roman" w:hAnsi="Times New Roman"/>
          <w:sz w:val="20"/>
          <w:lang w:val="en-SG"/>
        </w:rPr>
        <w:t xml:space="preserve"> </w:t>
      </w:r>
      <w:r w:rsidRPr="003D1BB9">
        <w:rPr>
          <w:rFonts w:ascii="Times New Roman" w:hAnsi="Times New Roman"/>
          <w:sz w:val="20"/>
          <w:lang w:val="en-SG"/>
        </w:rPr>
        <w:t>28</w:t>
      </w:r>
      <w:r>
        <w:rPr>
          <w:rFonts w:ascii="Times New Roman" w:hAnsi="Times New Roman"/>
          <w:sz w:val="20"/>
          <w:lang w:val="en-SG"/>
        </w:rPr>
        <w:t xml:space="preserve"> </w:t>
      </w:r>
      <w:r w:rsidRPr="003D1BB9">
        <w:rPr>
          <w:rFonts w:ascii="Times New Roman" w:hAnsi="Times New Roman"/>
          <w:sz w:val="20"/>
          <w:lang w:val="en-SG"/>
        </w:rPr>
        <w:t>(</w:t>
      </w:r>
      <w:r>
        <w:rPr>
          <w:rFonts w:ascii="Times New Roman" w:hAnsi="Times New Roman"/>
          <w:sz w:val="20"/>
          <w:lang w:val="en-SG"/>
        </w:rPr>
        <w:t>2022</w:t>
      </w:r>
      <w:r w:rsidRPr="003D1BB9">
        <w:rPr>
          <w:rFonts w:ascii="Times New Roman" w:hAnsi="Times New Roman"/>
          <w:sz w:val="20"/>
          <w:lang w:val="en-SG"/>
        </w:rPr>
        <w:t>):</w:t>
      </w:r>
      <w:r>
        <w:rPr>
          <w:rFonts w:ascii="Times New Roman" w:hAnsi="Times New Roman"/>
          <w:sz w:val="20"/>
          <w:lang w:val="en-SG"/>
        </w:rPr>
        <w:t xml:space="preserve"> </w:t>
      </w:r>
      <w:r w:rsidRPr="003D1BB9">
        <w:rPr>
          <w:rFonts w:ascii="Times New Roman" w:hAnsi="Times New Roman"/>
          <w:sz w:val="20"/>
          <w:lang w:val="en-SG"/>
        </w:rPr>
        <w:t xml:space="preserve">285-292. </w:t>
      </w:r>
    </w:p>
    <w:p w14:paraId="732AAEC9" w14:textId="3C83D504" w:rsidR="003D1BB9" w:rsidRPr="003D1BB9" w:rsidRDefault="003D1BB9" w:rsidP="005C73DB">
      <w:pPr>
        <w:pStyle w:val="MDPI71References"/>
        <w:numPr>
          <w:ilvl w:val="0"/>
          <w:numId w:val="40"/>
        </w:numPr>
        <w:spacing w:line="360" w:lineRule="auto"/>
        <w:rPr>
          <w:rFonts w:ascii="Times New Roman" w:hAnsi="Times New Roman"/>
          <w:sz w:val="20"/>
          <w:lang w:val="en-SG"/>
        </w:rPr>
      </w:pPr>
      <w:r w:rsidRPr="003D1BB9">
        <w:rPr>
          <w:rFonts w:ascii="Times New Roman" w:hAnsi="Times New Roman"/>
          <w:sz w:val="20"/>
          <w:lang w:val="en-SG"/>
        </w:rPr>
        <w:t>Deshpande V, Zen Y, Chan JK, et al. Consensus statement on the pathology of IgG4-related disease. Mod Pathol.</w:t>
      </w:r>
      <w:r>
        <w:rPr>
          <w:rFonts w:ascii="Times New Roman" w:hAnsi="Times New Roman"/>
          <w:sz w:val="20"/>
          <w:lang w:val="en-SG"/>
        </w:rPr>
        <w:t xml:space="preserve"> </w:t>
      </w:r>
      <w:r w:rsidRPr="003D1BB9">
        <w:rPr>
          <w:rFonts w:ascii="Times New Roman" w:hAnsi="Times New Roman"/>
          <w:sz w:val="20"/>
          <w:lang w:val="en-SG"/>
        </w:rPr>
        <w:t>25</w:t>
      </w:r>
      <w:r>
        <w:rPr>
          <w:rFonts w:ascii="Times New Roman" w:hAnsi="Times New Roman"/>
          <w:sz w:val="20"/>
          <w:lang w:val="en-SG"/>
        </w:rPr>
        <w:t xml:space="preserve"> </w:t>
      </w:r>
      <w:r w:rsidRPr="003D1BB9">
        <w:rPr>
          <w:rFonts w:ascii="Times New Roman" w:hAnsi="Times New Roman"/>
          <w:sz w:val="20"/>
          <w:lang w:val="en-SG"/>
        </w:rPr>
        <w:t>(</w:t>
      </w:r>
      <w:r>
        <w:rPr>
          <w:rFonts w:ascii="Times New Roman" w:hAnsi="Times New Roman"/>
          <w:sz w:val="20"/>
          <w:lang w:val="en-SG"/>
        </w:rPr>
        <w:t>2012</w:t>
      </w:r>
      <w:r w:rsidRPr="003D1BB9">
        <w:rPr>
          <w:rFonts w:ascii="Times New Roman" w:hAnsi="Times New Roman"/>
          <w:sz w:val="20"/>
          <w:lang w:val="en-SG"/>
        </w:rPr>
        <w:t>):</w:t>
      </w:r>
      <w:r>
        <w:rPr>
          <w:rFonts w:ascii="Times New Roman" w:hAnsi="Times New Roman"/>
          <w:sz w:val="20"/>
          <w:lang w:val="en-SG"/>
        </w:rPr>
        <w:t xml:space="preserve"> </w:t>
      </w:r>
      <w:r w:rsidRPr="003D1BB9">
        <w:rPr>
          <w:rFonts w:ascii="Times New Roman" w:hAnsi="Times New Roman"/>
          <w:sz w:val="20"/>
          <w:lang w:val="en-SG"/>
        </w:rPr>
        <w:t>1181-</w:t>
      </w:r>
      <w:r>
        <w:rPr>
          <w:rFonts w:ascii="Times New Roman" w:hAnsi="Times New Roman"/>
          <w:sz w:val="20"/>
          <w:lang w:val="en-SG"/>
        </w:rPr>
        <w:t>11</w:t>
      </w:r>
      <w:r w:rsidRPr="003D1BB9">
        <w:rPr>
          <w:rFonts w:ascii="Times New Roman" w:hAnsi="Times New Roman"/>
          <w:sz w:val="20"/>
          <w:lang w:val="en-SG"/>
        </w:rPr>
        <w:t xml:space="preserve">92. </w:t>
      </w:r>
    </w:p>
    <w:p w14:paraId="4780482F" w14:textId="288FC2E9" w:rsidR="003D1BB9" w:rsidRPr="003D1BB9" w:rsidRDefault="003D1BB9" w:rsidP="005C73DB">
      <w:pPr>
        <w:pStyle w:val="MDPI71References"/>
        <w:numPr>
          <w:ilvl w:val="0"/>
          <w:numId w:val="40"/>
        </w:numPr>
        <w:spacing w:line="360" w:lineRule="auto"/>
        <w:rPr>
          <w:rFonts w:ascii="Times New Roman" w:hAnsi="Times New Roman"/>
          <w:sz w:val="20"/>
          <w:lang w:val="en-SG"/>
        </w:rPr>
      </w:pPr>
      <w:r w:rsidRPr="003D1BB9">
        <w:rPr>
          <w:rFonts w:ascii="Times New Roman" w:hAnsi="Times New Roman"/>
          <w:sz w:val="20"/>
          <w:lang w:val="en-SG"/>
        </w:rPr>
        <w:t xml:space="preserve">Carruthers MN, Khosroshahi A, Augustin T, </w:t>
      </w:r>
      <w:r w:rsidR="00113090">
        <w:rPr>
          <w:rFonts w:ascii="Times New Roman" w:hAnsi="Times New Roman"/>
          <w:sz w:val="20"/>
          <w:lang w:val="en-SG"/>
        </w:rPr>
        <w:t>et al</w:t>
      </w:r>
      <w:r w:rsidRPr="003D1BB9">
        <w:rPr>
          <w:rFonts w:ascii="Times New Roman" w:hAnsi="Times New Roman"/>
          <w:sz w:val="20"/>
          <w:lang w:val="en-SG"/>
        </w:rPr>
        <w:t>. The diagnostic utility of serum IgG4 concentrations in IgG4-related disease. Ann Rheum Dis.</w:t>
      </w:r>
      <w:r>
        <w:rPr>
          <w:rFonts w:ascii="Times New Roman" w:hAnsi="Times New Roman"/>
          <w:sz w:val="20"/>
          <w:lang w:val="en-SG"/>
        </w:rPr>
        <w:t xml:space="preserve"> </w:t>
      </w:r>
      <w:r w:rsidRPr="003D1BB9">
        <w:rPr>
          <w:rFonts w:ascii="Times New Roman" w:hAnsi="Times New Roman"/>
          <w:sz w:val="20"/>
          <w:lang w:val="en-SG"/>
        </w:rPr>
        <w:t>74</w:t>
      </w:r>
      <w:r>
        <w:rPr>
          <w:rFonts w:ascii="Times New Roman" w:hAnsi="Times New Roman"/>
          <w:sz w:val="20"/>
          <w:lang w:val="en-SG"/>
        </w:rPr>
        <w:t xml:space="preserve"> </w:t>
      </w:r>
      <w:r w:rsidRPr="003D1BB9">
        <w:rPr>
          <w:rFonts w:ascii="Times New Roman" w:hAnsi="Times New Roman"/>
          <w:sz w:val="20"/>
          <w:lang w:val="en-SG"/>
        </w:rPr>
        <w:t>(</w:t>
      </w:r>
      <w:r w:rsidR="00113090">
        <w:rPr>
          <w:rFonts w:ascii="Times New Roman" w:hAnsi="Times New Roman"/>
          <w:sz w:val="20"/>
          <w:lang w:val="en-SG"/>
        </w:rPr>
        <w:t>2015</w:t>
      </w:r>
      <w:r w:rsidRPr="003D1BB9">
        <w:rPr>
          <w:rFonts w:ascii="Times New Roman" w:hAnsi="Times New Roman"/>
          <w:sz w:val="20"/>
          <w:lang w:val="en-SG"/>
        </w:rPr>
        <w:t>):</w:t>
      </w:r>
      <w:r>
        <w:rPr>
          <w:rFonts w:ascii="Times New Roman" w:hAnsi="Times New Roman"/>
          <w:sz w:val="20"/>
          <w:lang w:val="en-SG"/>
        </w:rPr>
        <w:t xml:space="preserve"> </w:t>
      </w:r>
      <w:r w:rsidRPr="003D1BB9">
        <w:rPr>
          <w:rFonts w:ascii="Times New Roman" w:hAnsi="Times New Roman"/>
          <w:sz w:val="20"/>
          <w:lang w:val="en-SG"/>
        </w:rPr>
        <w:t>14-</w:t>
      </w:r>
      <w:r>
        <w:rPr>
          <w:rFonts w:ascii="Times New Roman" w:hAnsi="Times New Roman"/>
          <w:sz w:val="20"/>
          <w:lang w:val="en-SG"/>
        </w:rPr>
        <w:t>1</w:t>
      </w:r>
      <w:r w:rsidRPr="003D1BB9">
        <w:rPr>
          <w:rFonts w:ascii="Times New Roman" w:hAnsi="Times New Roman"/>
          <w:sz w:val="20"/>
          <w:lang w:val="en-SG"/>
        </w:rPr>
        <w:t xml:space="preserve">8. </w:t>
      </w:r>
    </w:p>
    <w:p w14:paraId="1F5E13F5" w14:textId="2E3530EC" w:rsidR="003D1BB9" w:rsidRPr="003D1BB9" w:rsidRDefault="003D1BB9" w:rsidP="005C73DB">
      <w:pPr>
        <w:pStyle w:val="MDPI71References"/>
        <w:numPr>
          <w:ilvl w:val="0"/>
          <w:numId w:val="40"/>
        </w:numPr>
        <w:spacing w:line="360" w:lineRule="auto"/>
        <w:rPr>
          <w:rFonts w:ascii="Times New Roman" w:hAnsi="Times New Roman"/>
          <w:sz w:val="20"/>
          <w:lang w:val="en-SG"/>
        </w:rPr>
      </w:pPr>
      <w:r w:rsidRPr="003D1BB9">
        <w:rPr>
          <w:rFonts w:ascii="Times New Roman" w:hAnsi="Times New Roman"/>
          <w:sz w:val="20"/>
          <w:lang w:val="en-SG"/>
        </w:rPr>
        <w:t>Stone JH, Zen Y, Deshpande V. IgG4-related disease. N Engl J Med.</w:t>
      </w:r>
      <w:r w:rsidR="00113090">
        <w:rPr>
          <w:rFonts w:ascii="Times New Roman" w:hAnsi="Times New Roman"/>
          <w:sz w:val="20"/>
          <w:lang w:val="en-SG"/>
        </w:rPr>
        <w:t xml:space="preserve"> </w:t>
      </w:r>
      <w:r w:rsidRPr="003D1BB9">
        <w:rPr>
          <w:rFonts w:ascii="Times New Roman" w:hAnsi="Times New Roman"/>
          <w:sz w:val="20"/>
          <w:lang w:val="en-SG"/>
        </w:rPr>
        <w:t>366</w:t>
      </w:r>
      <w:r w:rsidR="00113090">
        <w:rPr>
          <w:rFonts w:ascii="Times New Roman" w:hAnsi="Times New Roman"/>
          <w:sz w:val="20"/>
          <w:lang w:val="en-SG"/>
        </w:rPr>
        <w:t xml:space="preserve"> </w:t>
      </w:r>
      <w:r w:rsidRPr="003D1BB9">
        <w:rPr>
          <w:rFonts w:ascii="Times New Roman" w:hAnsi="Times New Roman"/>
          <w:sz w:val="20"/>
          <w:lang w:val="en-SG"/>
        </w:rPr>
        <w:t>(</w:t>
      </w:r>
      <w:r w:rsidR="00113090">
        <w:rPr>
          <w:rFonts w:ascii="Times New Roman" w:hAnsi="Times New Roman"/>
          <w:sz w:val="20"/>
          <w:lang w:val="en-SG"/>
        </w:rPr>
        <w:t>2012</w:t>
      </w:r>
      <w:r w:rsidRPr="003D1BB9">
        <w:rPr>
          <w:rFonts w:ascii="Times New Roman" w:hAnsi="Times New Roman"/>
          <w:sz w:val="20"/>
          <w:lang w:val="en-SG"/>
        </w:rPr>
        <w:t>):</w:t>
      </w:r>
      <w:r w:rsidR="00113090">
        <w:rPr>
          <w:rFonts w:ascii="Times New Roman" w:hAnsi="Times New Roman"/>
          <w:sz w:val="20"/>
          <w:lang w:val="en-SG"/>
        </w:rPr>
        <w:t xml:space="preserve"> </w:t>
      </w:r>
      <w:r w:rsidRPr="003D1BB9">
        <w:rPr>
          <w:rFonts w:ascii="Times New Roman" w:hAnsi="Times New Roman"/>
          <w:sz w:val="20"/>
          <w:lang w:val="en-SG"/>
        </w:rPr>
        <w:t>539-</w:t>
      </w:r>
      <w:r w:rsidR="00113090">
        <w:rPr>
          <w:rFonts w:ascii="Times New Roman" w:hAnsi="Times New Roman"/>
          <w:sz w:val="20"/>
          <w:lang w:val="en-SG"/>
        </w:rPr>
        <w:t>5</w:t>
      </w:r>
      <w:r w:rsidRPr="003D1BB9">
        <w:rPr>
          <w:rFonts w:ascii="Times New Roman" w:hAnsi="Times New Roman"/>
          <w:sz w:val="20"/>
          <w:lang w:val="en-SG"/>
        </w:rPr>
        <w:t xml:space="preserve">51. </w:t>
      </w:r>
    </w:p>
    <w:p w14:paraId="77307285" w14:textId="49A2A420" w:rsidR="003D1BB9" w:rsidRPr="003D1BB9" w:rsidRDefault="003D1BB9" w:rsidP="005C73DB">
      <w:pPr>
        <w:pStyle w:val="MDPI71References"/>
        <w:numPr>
          <w:ilvl w:val="0"/>
          <w:numId w:val="40"/>
        </w:numPr>
        <w:spacing w:line="360" w:lineRule="auto"/>
        <w:rPr>
          <w:rFonts w:ascii="Times New Roman" w:hAnsi="Times New Roman"/>
          <w:sz w:val="20"/>
          <w:lang w:val="en-SG"/>
        </w:rPr>
      </w:pPr>
      <w:r w:rsidRPr="003D1BB9">
        <w:rPr>
          <w:rFonts w:ascii="Times New Roman" w:hAnsi="Times New Roman"/>
          <w:sz w:val="20"/>
          <w:lang w:val="en-SG"/>
        </w:rPr>
        <w:t>AbdelRazek MA, Venna N, Stone JH. IgG4-related disease of the central and peripheral nervous systems. Lancet Neurol.</w:t>
      </w:r>
      <w:r w:rsidR="00113090">
        <w:rPr>
          <w:rFonts w:ascii="Times New Roman" w:hAnsi="Times New Roman"/>
          <w:sz w:val="20"/>
          <w:lang w:val="en-SG"/>
        </w:rPr>
        <w:t xml:space="preserve"> </w:t>
      </w:r>
      <w:r w:rsidRPr="003D1BB9">
        <w:rPr>
          <w:rFonts w:ascii="Times New Roman" w:hAnsi="Times New Roman"/>
          <w:sz w:val="20"/>
          <w:lang w:val="en-SG"/>
        </w:rPr>
        <w:t>17</w:t>
      </w:r>
      <w:r w:rsidR="00113090">
        <w:rPr>
          <w:rFonts w:ascii="Times New Roman" w:hAnsi="Times New Roman"/>
          <w:sz w:val="20"/>
          <w:lang w:val="en-SG"/>
        </w:rPr>
        <w:t xml:space="preserve"> </w:t>
      </w:r>
      <w:r w:rsidRPr="003D1BB9">
        <w:rPr>
          <w:rFonts w:ascii="Times New Roman" w:hAnsi="Times New Roman"/>
          <w:sz w:val="20"/>
          <w:lang w:val="en-SG"/>
        </w:rPr>
        <w:t>(2</w:t>
      </w:r>
      <w:r w:rsidR="00113090">
        <w:rPr>
          <w:rFonts w:ascii="Times New Roman" w:hAnsi="Times New Roman"/>
          <w:sz w:val="20"/>
          <w:lang w:val="en-SG"/>
        </w:rPr>
        <w:t>018</w:t>
      </w:r>
      <w:r w:rsidRPr="003D1BB9">
        <w:rPr>
          <w:rFonts w:ascii="Times New Roman" w:hAnsi="Times New Roman"/>
          <w:sz w:val="20"/>
          <w:lang w:val="en-SG"/>
        </w:rPr>
        <w:t>):</w:t>
      </w:r>
      <w:r w:rsidR="00113090">
        <w:rPr>
          <w:rFonts w:ascii="Times New Roman" w:hAnsi="Times New Roman"/>
          <w:sz w:val="20"/>
          <w:lang w:val="en-SG"/>
        </w:rPr>
        <w:t xml:space="preserve"> </w:t>
      </w:r>
      <w:r w:rsidRPr="003D1BB9">
        <w:rPr>
          <w:rFonts w:ascii="Times New Roman" w:hAnsi="Times New Roman"/>
          <w:sz w:val="20"/>
          <w:lang w:val="en-SG"/>
        </w:rPr>
        <w:t xml:space="preserve">183-192. </w:t>
      </w:r>
    </w:p>
    <w:p w14:paraId="18A65453" w14:textId="7F7F4A05" w:rsidR="003D1BB9" w:rsidRPr="003D1BB9" w:rsidRDefault="003D1BB9" w:rsidP="005C73DB">
      <w:pPr>
        <w:pStyle w:val="MDPI71References"/>
        <w:numPr>
          <w:ilvl w:val="0"/>
          <w:numId w:val="40"/>
        </w:numPr>
        <w:spacing w:line="360" w:lineRule="auto"/>
        <w:rPr>
          <w:rFonts w:ascii="Times New Roman" w:hAnsi="Times New Roman"/>
          <w:sz w:val="20"/>
          <w:lang w:val="en-SG"/>
        </w:rPr>
      </w:pPr>
      <w:r w:rsidRPr="003D1BB9">
        <w:rPr>
          <w:rFonts w:ascii="Times New Roman" w:hAnsi="Times New Roman"/>
          <w:sz w:val="20"/>
          <w:lang w:val="en-SG"/>
        </w:rPr>
        <w:t>Khosroshahi A, Wallace ZS, Crowe JL, et al.  Second International Symposium on IgG4-Related Disease. International Consensus Guidance Statement on the Management and Treatment of IgG4-Related Disease. Arthritis Rheumatol. 67</w:t>
      </w:r>
      <w:r w:rsidR="00113090">
        <w:rPr>
          <w:rFonts w:ascii="Times New Roman" w:hAnsi="Times New Roman"/>
          <w:sz w:val="20"/>
          <w:lang w:val="en-SG"/>
        </w:rPr>
        <w:t xml:space="preserve"> </w:t>
      </w:r>
      <w:r w:rsidRPr="003D1BB9">
        <w:rPr>
          <w:rFonts w:ascii="Times New Roman" w:hAnsi="Times New Roman"/>
          <w:sz w:val="20"/>
          <w:lang w:val="en-SG"/>
        </w:rPr>
        <w:t>(</w:t>
      </w:r>
      <w:r w:rsidR="00113090">
        <w:rPr>
          <w:rFonts w:ascii="Times New Roman" w:hAnsi="Times New Roman"/>
          <w:sz w:val="20"/>
          <w:lang w:val="en-SG"/>
        </w:rPr>
        <w:t>2015</w:t>
      </w:r>
      <w:r w:rsidRPr="003D1BB9">
        <w:rPr>
          <w:rFonts w:ascii="Times New Roman" w:hAnsi="Times New Roman"/>
          <w:sz w:val="20"/>
          <w:lang w:val="en-SG"/>
        </w:rPr>
        <w:t>):</w:t>
      </w:r>
      <w:r w:rsidR="00113090">
        <w:rPr>
          <w:rFonts w:ascii="Times New Roman" w:hAnsi="Times New Roman"/>
          <w:sz w:val="20"/>
          <w:lang w:val="en-SG"/>
        </w:rPr>
        <w:t xml:space="preserve"> </w:t>
      </w:r>
      <w:r w:rsidRPr="003D1BB9">
        <w:rPr>
          <w:rFonts w:ascii="Times New Roman" w:hAnsi="Times New Roman"/>
          <w:sz w:val="20"/>
          <w:lang w:val="en-SG"/>
        </w:rPr>
        <w:t>1688-</w:t>
      </w:r>
      <w:r w:rsidR="00113090">
        <w:rPr>
          <w:rFonts w:ascii="Times New Roman" w:hAnsi="Times New Roman"/>
          <w:sz w:val="20"/>
          <w:lang w:val="en-SG"/>
        </w:rPr>
        <w:t>16</w:t>
      </w:r>
      <w:r w:rsidRPr="003D1BB9">
        <w:rPr>
          <w:rFonts w:ascii="Times New Roman" w:hAnsi="Times New Roman"/>
          <w:sz w:val="20"/>
          <w:lang w:val="en-SG"/>
        </w:rPr>
        <w:t xml:space="preserve">99. </w:t>
      </w:r>
    </w:p>
    <w:p w14:paraId="3FFDBF4E" w14:textId="51479F52" w:rsidR="003D1BB9" w:rsidRPr="003D1BB9" w:rsidRDefault="003D1BB9" w:rsidP="005C73DB">
      <w:pPr>
        <w:pStyle w:val="MDPI71References"/>
        <w:numPr>
          <w:ilvl w:val="0"/>
          <w:numId w:val="40"/>
        </w:numPr>
        <w:spacing w:line="360" w:lineRule="auto"/>
        <w:rPr>
          <w:rFonts w:ascii="Times New Roman" w:hAnsi="Times New Roman"/>
          <w:sz w:val="20"/>
          <w:lang w:val="en-SG"/>
        </w:rPr>
      </w:pPr>
      <w:r w:rsidRPr="003D1BB9">
        <w:rPr>
          <w:rFonts w:ascii="Times New Roman" w:hAnsi="Times New Roman"/>
          <w:sz w:val="20"/>
          <w:lang w:val="en-SG"/>
        </w:rPr>
        <w:t>Parums DV. IgG4-Related Disease: A Review of Persistent Challenges in the Pathogenesis, Diagnosis, and Approaches to Treatment. Med Sci Monit.</w:t>
      </w:r>
      <w:r w:rsidR="00113090">
        <w:rPr>
          <w:rFonts w:ascii="Times New Roman" w:hAnsi="Times New Roman"/>
          <w:sz w:val="20"/>
          <w:lang w:val="en-SG"/>
        </w:rPr>
        <w:t xml:space="preserve"> </w:t>
      </w:r>
      <w:r w:rsidRPr="003D1BB9">
        <w:rPr>
          <w:rFonts w:ascii="Times New Roman" w:hAnsi="Times New Roman"/>
          <w:sz w:val="20"/>
          <w:lang w:val="en-SG"/>
        </w:rPr>
        <w:t>31</w:t>
      </w:r>
      <w:r w:rsidR="00113090">
        <w:rPr>
          <w:rFonts w:ascii="Times New Roman" w:hAnsi="Times New Roman"/>
          <w:sz w:val="20"/>
          <w:lang w:val="en-SG"/>
        </w:rPr>
        <w:t xml:space="preserve"> (2025)</w:t>
      </w:r>
      <w:r w:rsidRPr="003D1BB9">
        <w:rPr>
          <w:rFonts w:ascii="Times New Roman" w:hAnsi="Times New Roman"/>
          <w:sz w:val="20"/>
          <w:lang w:val="en-SG"/>
        </w:rPr>
        <w:t>:</w:t>
      </w:r>
      <w:r w:rsidR="00113090">
        <w:rPr>
          <w:rFonts w:ascii="Times New Roman" w:hAnsi="Times New Roman"/>
          <w:sz w:val="20"/>
          <w:lang w:val="en-SG"/>
        </w:rPr>
        <w:t xml:space="preserve"> </w:t>
      </w:r>
      <w:r w:rsidRPr="003D1BB9">
        <w:rPr>
          <w:rFonts w:ascii="Times New Roman" w:hAnsi="Times New Roman"/>
          <w:sz w:val="20"/>
          <w:lang w:val="en-SG"/>
        </w:rPr>
        <w:t xml:space="preserve">e950212. </w:t>
      </w:r>
    </w:p>
    <w:p w14:paraId="04A0F44C" w14:textId="43B7F038" w:rsidR="003D1BB9" w:rsidRPr="003D1BB9" w:rsidRDefault="003D1BB9" w:rsidP="005C73DB">
      <w:pPr>
        <w:pStyle w:val="MDPI71References"/>
        <w:numPr>
          <w:ilvl w:val="0"/>
          <w:numId w:val="40"/>
        </w:numPr>
        <w:spacing w:line="360" w:lineRule="auto"/>
        <w:rPr>
          <w:rFonts w:ascii="Times New Roman" w:hAnsi="Times New Roman"/>
          <w:sz w:val="20"/>
          <w:lang w:val="en-SG"/>
        </w:rPr>
      </w:pPr>
      <w:r w:rsidRPr="003D1BB9">
        <w:rPr>
          <w:rFonts w:ascii="Times New Roman" w:hAnsi="Times New Roman"/>
          <w:sz w:val="20"/>
          <w:lang w:val="en-SG"/>
        </w:rPr>
        <w:t>Zen Y, Nakanuma Y. Pathogenesis of IgG4-related disease. Curr Opin Rheumatol.</w:t>
      </w:r>
      <w:r w:rsidR="00113090">
        <w:rPr>
          <w:rFonts w:ascii="Times New Roman" w:hAnsi="Times New Roman"/>
          <w:sz w:val="20"/>
          <w:lang w:val="en-SG"/>
        </w:rPr>
        <w:t xml:space="preserve"> </w:t>
      </w:r>
      <w:r w:rsidRPr="003D1BB9">
        <w:rPr>
          <w:rFonts w:ascii="Times New Roman" w:hAnsi="Times New Roman"/>
          <w:sz w:val="20"/>
          <w:lang w:val="en-SG"/>
        </w:rPr>
        <w:t>23</w:t>
      </w:r>
      <w:r w:rsidR="00113090">
        <w:rPr>
          <w:rFonts w:ascii="Times New Roman" w:hAnsi="Times New Roman"/>
          <w:sz w:val="20"/>
          <w:lang w:val="en-SG"/>
        </w:rPr>
        <w:t xml:space="preserve"> </w:t>
      </w:r>
      <w:r w:rsidRPr="003D1BB9">
        <w:rPr>
          <w:rFonts w:ascii="Times New Roman" w:hAnsi="Times New Roman"/>
          <w:sz w:val="20"/>
          <w:lang w:val="en-SG"/>
        </w:rPr>
        <w:t>(</w:t>
      </w:r>
      <w:r w:rsidR="00113090">
        <w:rPr>
          <w:rFonts w:ascii="Times New Roman" w:hAnsi="Times New Roman"/>
          <w:sz w:val="20"/>
          <w:lang w:val="en-SG"/>
        </w:rPr>
        <w:t>201</w:t>
      </w:r>
      <w:r w:rsidRPr="003D1BB9">
        <w:rPr>
          <w:rFonts w:ascii="Times New Roman" w:hAnsi="Times New Roman"/>
          <w:sz w:val="20"/>
          <w:lang w:val="en-SG"/>
        </w:rPr>
        <w:t>1):</w:t>
      </w:r>
      <w:r w:rsidR="00113090">
        <w:rPr>
          <w:rFonts w:ascii="Times New Roman" w:hAnsi="Times New Roman"/>
          <w:sz w:val="20"/>
          <w:lang w:val="en-SG"/>
        </w:rPr>
        <w:t xml:space="preserve"> </w:t>
      </w:r>
      <w:r w:rsidRPr="003D1BB9">
        <w:rPr>
          <w:rFonts w:ascii="Times New Roman" w:hAnsi="Times New Roman"/>
          <w:sz w:val="20"/>
          <w:lang w:val="en-SG"/>
        </w:rPr>
        <w:t xml:space="preserve">114-8. </w:t>
      </w:r>
    </w:p>
    <w:p w14:paraId="2DC8BCBC" w14:textId="02876F9C" w:rsidR="003D1BB9" w:rsidRPr="003D1BB9" w:rsidRDefault="003D1BB9" w:rsidP="005C73DB">
      <w:pPr>
        <w:pStyle w:val="MDPI71References"/>
        <w:numPr>
          <w:ilvl w:val="0"/>
          <w:numId w:val="40"/>
        </w:numPr>
        <w:spacing w:line="360" w:lineRule="auto"/>
        <w:rPr>
          <w:rFonts w:ascii="Times New Roman" w:hAnsi="Times New Roman"/>
          <w:sz w:val="20"/>
          <w:lang w:val="en-SG"/>
        </w:rPr>
      </w:pPr>
      <w:r w:rsidRPr="003D1BB9">
        <w:rPr>
          <w:rFonts w:ascii="Times New Roman" w:hAnsi="Times New Roman"/>
          <w:sz w:val="20"/>
          <w:lang w:val="en-SG"/>
        </w:rPr>
        <w:t xml:space="preserve">Mahajan VS, Mattoo H, Deshpande V, </w:t>
      </w:r>
      <w:r w:rsidR="00113090">
        <w:rPr>
          <w:rFonts w:ascii="Times New Roman" w:hAnsi="Times New Roman"/>
          <w:sz w:val="20"/>
          <w:lang w:val="en-SG"/>
        </w:rPr>
        <w:t>et al</w:t>
      </w:r>
      <w:r w:rsidRPr="003D1BB9">
        <w:rPr>
          <w:rFonts w:ascii="Times New Roman" w:hAnsi="Times New Roman"/>
          <w:sz w:val="20"/>
          <w:lang w:val="en-SG"/>
        </w:rPr>
        <w:t>. IgG4-related disease. Annu Rev Pathol.</w:t>
      </w:r>
      <w:r w:rsidR="00113090">
        <w:rPr>
          <w:rFonts w:ascii="Times New Roman" w:hAnsi="Times New Roman"/>
          <w:sz w:val="20"/>
          <w:lang w:val="en-SG"/>
        </w:rPr>
        <w:t xml:space="preserve"> </w:t>
      </w:r>
      <w:r w:rsidRPr="003D1BB9">
        <w:rPr>
          <w:rFonts w:ascii="Times New Roman" w:hAnsi="Times New Roman"/>
          <w:sz w:val="20"/>
          <w:lang w:val="en-SG"/>
        </w:rPr>
        <w:t>9</w:t>
      </w:r>
      <w:r w:rsidR="00113090">
        <w:rPr>
          <w:rFonts w:ascii="Times New Roman" w:hAnsi="Times New Roman"/>
          <w:sz w:val="20"/>
          <w:lang w:val="en-SG"/>
        </w:rPr>
        <w:t xml:space="preserve"> (2014)</w:t>
      </w:r>
      <w:r w:rsidRPr="003D1BB9">
        <w:rPr>
          <w:rFonts w:ascii="Times New Roman" w:hAnsi="Times New Roman"/>
          <w:sz w:val="20"/>
          <w:lang w:val="en-SG"/>
        </w:rPr>
        <w:t>:</w:t>
      </w:r>
      <w:r w:rsidR="00113090">
        <w:rPr>
          <w:rFonts w:ascii="Times New Roman" w:hAnsi="Times New Roman"/>
          <w:sz w:val="20"/>
          <w:lang w:val="en-SG"/>
        </w:rPr>
        <w:t xml:space="preserve"> </w:t>
      </w:r>
      <w:r w:rsidRPr="003D1BB9">
        <w:rPr>
          <w:rFonts w:ascii="Times New Roman" w:hAnsi="Times New Roman"/>
          <w:sz w:val="20"/>
          <w:lang w:val="en-SG"/>
        </w:rPr>
        <w:t>315-</w:t>
      </w:r>
      <w:r w:rsidR="00113090">
        <w:rPr>
          <w:rFonts w:ascii="Times New Roman" w:hAnsi="Times New Roman"/>
          <w:sz w:val="20"/>
          <w:lang w:val="en-SG"/>
        </w:rPr>
        <w:t>3</w:t>
      </w:r>
      <w:r w:rsidRPr="003D1BB9">
        <w:rPr>
          <w:rFonts w:ascii="Times New Roman" w:hAnsi="Times New Roman"/>
          <w:sz w:val="20"/>
          <w:lang w:val="en-SG"/>
        </w:rPr>
        <w:t xml:space="preserve">47. </w:t>
      </w:r>
    </w:p>
    <w:p w14:paraId="08FD49D3" w14:textId="20D1704B" w:rsidR="003D1BB9" w:rsidRPr="003D1BB9" w:rsidRDefault="003D1BB9" w:rsidP="005C73DB">
      <w:pPr>
        <w:pStyle w:val="MDPI71References"/>
        <w:numPr>
          <w:ilvl w:val="0"/>
          <w:numId w:val="40"/>
        </w:numPr>
        <w:spacing w:line="360" w:lineRule="auto"/>
        <w:rPr>
          <w:rFonts w:ascii="Times New Roman" w:hAnsi="Times New Roman"/>
          <w:sz w:val="20"/>
          <w:lang w:val="en-SG"/>
        </w:rPr>
      </w:pPr>
      <w:r w:rsidRPr="003D1BB9">
        <w:rPr>
          <w:rFonts w:ascii="Times New Roman" w:hAnsi="Times New Roman"/>
          <w:sz w:val="20"/>
          <w:lang w:val="en-SG"/>
        </w:rPr>
        <w:t>Maehara T, Mattoo H, Mahajan VS, et al. The expansion in lymphoid organs of IL-4+ BATF+ T follicular helper cells is linked to IgG4 class switching in vivo. Life Sci Alliance.</w:t>
      </w:r>
      <w:r w:rsidR="00113090">
        <w:rPr>
          <w:rFonts w:ascii="Times New Roman" w:hAnsi="Times New Roman"/>
          <w:sz w:val="20"/>
          <w:lang w:val="en-SG"/>
        </w:rPr>
        <w:t xml:space="preserve"> </w:t>
      </w:r>
      <w:r w:rsidRPr="003D1BB9">
        <w:rPr>
          <w:rFonts w:ascii="Times New Roman" w:hAnsi="Times New Roman"/>
          <w:sz w:val="20"/>
          <w:lang w:val="en-SG"/>
        </w:rPr>
        <w:t>1</w:t>
      </w:r>
      <w:r w:rsidR="00113090">
        <w:rPr>
          <w:rFonts w:ascii="Times New Roman" w:hAnsi="Times New Roman"/>
          <w:sz w:val="20"/>
          <w:lang w:val="en-SG"/>
        </w:rPr>
        <w:t xml:space="preserve"> </w:t>
      </w:r>
      <w:r w:rsidRPr="003D1BB9">
        <w:rPr>
          <w:rFonts w:ascii="Times New Roman" w:hAnsi="Times New Roman"/>
          <w:sz w:val="20"/>
          <w:lang w:val="en-SG"/>
        </w:rPr>
        <w:t>(</w:t>
      </w:r>
      <w:r w:rsidR="00113090">
        <w:rPr>
          <w:rFonts w:ascii="Times New Roman" w:hAnsi="Times New Roman"/>
          <w:sz w:val="20"/>
          <w:lang w:val="en-SG"/>
        </w:rPr>
        <w:t>2018</w:t>
      </w:r>
      <w:r w:rsidRPr="003D1BB9">
        <w:rPr>
          <w:rFonts w:ascii="Times New Roman" w:hAnsi="Times New Roman"/>
          <w:sz w:val="20"/>
          <w:lang w:val="en-SG"/>
        </w:rPr>
        <w:t>):</w:t>
      </w:r>
      <w:r w:rsidR="00113090">
        <w:rPr>
          <w:rFonts w:ascii="Times New Roman" w:hAnsi="Times New Roman"/>
          <w:sz w:val="20"/>
          <w:lang w:val="en-SG"/>
        </w:rPr>
        <w:t xml:space="preserve"> </w:t>
      </w:r>
      <w:r w:rsidRPr="003D1BB9">
        <w:rPr>
          <w:rFonts w:ascii="Times New Roman" w:hAnsi="Times New Roman"/>
          <w:sz w:val="20"/>
          <w:lang w:val="en-SG"/>
        </w:rPr>
        <w:t xml:space="preserve">e201800050. </w:t>
      </w:r>
    </w:p>
    <w:p w14:paraId="7805C8BD" w14:textId="1DCD9EB4" w:rsidR="003D1BB9" w:rsidRPr="003D1BB9" w:rsidRDefault="003D1BB9" w:rsidP="005C73DB">
      <w:pPr>
        <w:pStyle w:val="MDPI71References"/>
        <w:numPr>
          <w:ilvl w:val="0"/>
          <w:numId w:val="40"/>
        </w:numPr>
        <w:spacing w:line="360" w:lineRule="auto"/>
        <w:rPr>
          <w:rFonts w:ascii="Times New Roman" w:hAnsi="Times New Roman"/>
          <w:sz w:val="20"/>
          <w:lang w:val="en-SG"/>
        </w:rPr>
      </w:pPr>
      <w:r w:rsidRPr="003D1BB9">
        <w:rPr>
          <w:rFonts w:ascii="Times New Roman" w:hAnsi="Times New Roman"/>
          <w:sz w:val="20"/>
          <w:lang w:val="en-SG"/>
        </w:rPr>
        <w:t>Wynn TA. Fibrotic disease and the T(H)1/T(H)2 paradigm. Nat Rev Immunol.</w:t>
      </w:r>
      <w:r w:rsidR="00CC76C2">
        <w:rPr>
          <w:rFonts w:ascii="Times New Roman" w:hAnsi="Times New Roman"/>
          <w:sz w:val="20"/>
          <w:lang w:val="en-SG"/>
        </w:rPr>
        <w:t xml:space="preserve"> </w:t>
      </w:r>
      <w:r w:rsidRPr="003D1BB9">
        <w:rPr>
          <w:rFonts w:ascii="Times New Roman" w:hAnsi="Times New Roman"/>
          <w:sz w:val="20"/>
          <w:lang w:val="en-SG"/>
        </w:rPr>
        <w:t>4</w:t>
      </w:r>
      <w:r w:rsidR="00CC76C2">
        <w:rPr>
          <w:rFonts w:ascii="Times New Roman" w:hAnsi="Times New Roman"/>
          <w:sz w:val="20"/>
          <w:lang w:val="en-SG"/>
        </w:rPr>
        <w:t xml:space="preserve"> </w:t>
      </w:r>
      <w:r w:rsidRPr="003D1BB9">
        <w:rPr>
          <w:rFonts w:ascii="Times New Roman" w:hAnsi="Times New Roman"/>
          <w:sz w:val="20"/>
          <w:lang w:val="en-SG"/>
        </w:rPr>
        <w:t>(</w:t>
      </w:r>
      <w:r w:rsidR="00CC76C2">
        <w:rPr>
          <w:rFonts w:ascii="Times New Roman" w:hAnsi="Times New Roman"/>
          <w:sz w:val="20"/>
          <w:lang w:val="en-SG"/>
        </w:rPr>
        <w:t>2004</w:t>
      </w:r>
      <w:r w:rsidRPr="003D1BB9">
        <w:rPr>
          <w:rFonts w:ascii="Times New Roman" w:hAnsi="Times New Roman"/>
          <w:sz w:val="20"/>
          <w:lang w:val="en-SG"/>
        </w:rPr>
        <w:t>):</w:t>
      </w:r>
      <w:r w:rsidR="00CC76C2">
        <w:rPr>
          <w:rFonts w:ascii="Times New Roman" w:hAnsi="Times New Roman"/>
          <w:sz w:val="20"/>
          <w:lang w:val="en-SG"/>
        </w:rPr>
        <w:t xml:space="preserve"> </w:t>
      </w:r>
      <w:r w:rsidRPr="003D1BB9">
        <w:rPr>
          <w:rFonts w:ascii="Times New Roman" w:hAnsi="Times New Roman"/>
          <w:sz w:val="20"/>
          <w:lang w:val="en-SG"/>
        </w:rPr>
        <w:t>583-</w:t>
      </w:r>
      <w:r w:rsidR="00CC76C2">
        <w:rPr>
          <w:rFonts w:ascii="Times New Roman" w:hAnsi="Times New Roman"/>
          <w:sz w:val="20"/>
          <w:lang w:val="en-SG"/>
        </w:rPr>
        <w:t>5</w:t>
      </w:r>
      <w:r w:rsidRPr="003D1BB9">
        <w:rPr>
          <w:rFonts w:ascii="Times New Roman" w:hAnsi="Times New Roman"/>
          <w:sz w:val="20"/>
          <w:lang w:val="en-SG"/>
        </w:rPr>
        <w:t xml:space="preserve">94. </w:t>
      </w:r>
    </w:p>
    <w:p w14:paraId="10F2F77E" w14:textId="744E255F" w:rsidR="003D1BB9" w:rsidRPr="003D1BB9" w:rsidRDefault="003D1BB9" w:rsidP="005C73DB">
      <w:pPr>
        <w:pStyle w:val="MDPI71References"/>
        <w:numPr>
          <w:ilvl w:val="0"/>
          <w:numId w:val="40"/>
        </w:numPr>
        <w:spacing w:line="360" w:lineRule="auto"/>
        <w:rPr>
          <w:rFonts w:ascii="Times New Roman" w:hAnsi="Times New Roman"/>
          <w:sz w:val="20"/>
          <w:lang w:val="en-SG"/>
        </w:rPr>
      </w:pPr>
      <w:r w:rsidRPr="003D1BB9">
        <w:rPr>
          <w:rFonts w:ascii="Times New Roman" w:hAnsi="Times New Roman"/>
          <w:sz w:val="20"/>
          <w:lang w:val="en-SG"/>
        </w:rPr>
        <w:lastRenderedPageBreak/>
        <w:t>Liu Q, Zheng Y, Sturmlechner I, Jain A, et al. IKZF1 and UBR4 gene variants drive autoimmunity and Th2 polarization in IgG4-related disease. J Clin Invest.</w:t>
      </w:r>
      <w:r w:rsidR="00CC76C2">
        <w:rPr>
          <w:rFonts w:ascii="Times New Roman" w:hAnsi="Times New Roman"/>
          <w:sz w:val="20"/>
          <w:lang w:val="en-SG"/>
        </w:rPr>
        <w:t xml:space="preserve"> </w:t>
      </w:r>
      <w:r w:rsidRPr="003D1BB9">
        <w:rPr>
          <w:rFonts w:ascii="Times New Roman" w:hAnsi="Times New Roman"/>
          <w:sz w:val="20"/>
          <w:lang w:val="en-SG"/>
        </w:rPr>
        <w:t>134</w:t>
      </w:r>
      <w:r w:rsidR="00CC76C2">
        <w:rPr>
          <w:rFonts w:ascii="Times New Roman" w:hAnsi="Times New Roman"/>
          <w:sz w:val="20"/>
          <w:lang w:val="en-SG"/>
        </w:rPr>
        <w:t xml:space="preserve"> </w:t>
      </w:r>
      <w:r w:rsidRPr="003D1BB9">
        <w:rPr>
          <w:rFonts w:ascii="Times New Roman" w:hAnsi="Times New Roman"/>
          <w:sz w:val="20"/>
          <w:lang w:val="en-SG"/>
        </w:rPr>
        <w:t>(</w:t>
      </w:r>
      <w:r w:rsidR="00CC76C2">
        <w:rPr>
          <w:rFonts w:ascii="Times New Roman" w:hAnsi="Times New Roman"/>
          <w:sz w:val="20"/>
          <w:lang w:val="en-SG"/>
        </w:rPr>
        <w:t>2024</w:t>
      </w:r>
      <w:r w:rsidRPr="003D1BB9">
        <w:rPr>
          <w:rFonts w:ascii="Times New Roman" w:hAnsi="Times New Roman"/>
          <w:sz w:val="20"/>
          <w:lang w:val="en-SG"/>
        </w:rPr>
        <w:t>):</w:t>
      </w:r>
      <w:r w:rsidR="00CC76C2">
        <w:rPr>
          <w:rFonts w:ascii="Times New Roman" w:hAnsi="Times New Roman"/>
          <w:sz w:val="20"/>
          <w:lang w:val="en-SG"/>
        </w:rPr>
        <w:t xml:space="preserve"> </w:t>
      </w:r>
      <w:r w:rsidRPr="003D1BB9">
        <w:rPr>
          <w:rFonts w:ascii="Times New Roman" w:hAnsi="Times New Roman"/>
          <w:sz w:val="20"/>
          <w:lang w:val="en-SG"/>
        </w:rPr>
        <w:t xml:space="preserve">e178692. </w:t>
      </w:r>
    </w:p>
    <w:p w14:paraId="540D67ED" w14:textId="74FCA060" w:rsidR="003D1BB9" w:rsidRPr="003D1BB9" w:rsidRDefault="003D1BB9" w:rsidP="005C73DB">
      <w:pPr>
        <w:pStyle w:val="MDPI71References"/>
        <w:numPr>
          <w:ilvl w:val="0"/>
          <w:numId w:val="40"/>
        </w:numPr>
        <w:spacing w:line="360" w:lineRule="auto"/>
        <w:rPr>
          <w:rFonts w:ascii="Times New Roman" w:hAnsi="Times New Roman"/>
          <w:sz w:val="20"/>
          <w:lang w:val="en-SG"/>
        </w:rPr>
      </w:pPr>
      <w:r w:rsidRPr="003D1BB9">
        <w:rPr>
          <w:rFonts w:ascii="Times New Roman" w:hAnsi="Times New Roman"/>
          <w:sz w:val="20"/>
          <w:lang w:val="en-SG"/>
        </w:rPr>
        <w:t>Mariette X, Criswell LA. Primary Sjögren's Syndrome. N Engl J Med.</w:t>
      </w:r>
      <w:r w:rsidR="00CC76C2">
        <w:rPr>
          <w:rFonts w:ascii="Times New Roman" w:hAnsi="Times New Roman"/>
          <w:sz w:val="20"/>
          <w:lang w:val="en-SG"/>
        </w:rPr>
        <w:t xml:space="preserve"> </w:t>
      </w:r>
      <w:r w:rsidRPr="003D1BB9">
        <w:rPr>
          <w:rFonts w:ascii="Times New Roman" w:hAnsi="Times New Roman"/>
          <w:sz w:val="20"/>
          <w:lang w:val="en-SG"/>
        </w:rPr>
        <w:t>378</w:t>
      </w:r>
      <w:r w:rsidR="00CC76C2">
        <w:rPr>
          <w:rFonts w:ascii="Times New Roman" w:hAnsi="Times New Roman"/>
          <w:sz w:val="20"/>
          <w:lang w:val="en-SG"/>
        </w:rPr>
        <w:t xml:space="preserve"> </w:t>
      </w:r>
      <w:r w:rsidRPr="003D1BB9">
        <w:rPr>
          <w:rFonts w:ascii="Times New Roman" w:hAnsi="Times New Roman"/>
          <w:sz w:val="20"/>
          <w:lang w:val="en-SG"/>
        </w:rPr>
        <w:t>(</w:t>
      </w:r>
      <w:r w:rsidR="00CC76C2">
        <w:rPr>
          <w:rFonts w:ascii="Times New Roman" w:hAnsi="Times New Roman"/>
          <w:sz w:val="20"/>
          <w:lang w:val="en-SG"/>
        </w:rPr>
        <w:t>2018</w:t>
      </w:r>
      <w:r w:rsidRPr="003D1BB9">
        <w:rPr>
          <w:rFonts w:ascii="Times New Roman" w:hAnsi="Times New Roman"/>
          <w:sz w:val="20"/>
          <w:lang w:val="en-SG"/>
        </w:rPr>
        <w:t>):</w:t>
      </w:r>
      <w:r w:rsidR="00CC76C2">
        <w:rPr>
          <w:rFonts w:ascii="Times New Roman" w:hAnsi="Times New Roman"/>
          <w:sz w:val="20"/>
          <w:lang w:val="en-SG"/>
        </w:rPr>
        <w:t xml:space="preserve"> </w:t>
      </w:r>
      <w:r w:rsidRPr="003D1BB9">
        <w:rPr>
          <w:rFonts w:ascii="Times New Roman" w:hAnsi="Times New Roman"/>
          <w:sz w:val="20"/>
          <w:lang w:val="en-SG"/>
        </w:rPr>
        <w:t xml:space="preserve">931-939. </w:t>
      </w:r>
    </w:p>
    <w:p w14:paraId="2158D00F" w14:textId="1AA16E40" w:rsidR="003D1BB9" w:rsidRPr="003D1BB9" w:rsidRDefault="003D1BB9" w:rsidP="005C73DB">
      <w:pPr>
        <w:pStyle w:val="MDPI71References"/>
        <w:numPr>
          <w:ilvl w:val="0"/>
          <w:numId w:val="40"/>
        </w:numPr>
        <w:spacing w:line="360" w:lineRule="auto"/>
        <w:rPr>
          <w:rFonts w:ascii="Times New Roman" w:hAnsi="Times New Roman"/>
          <w:sz w:val="20"/>
          <w:lang w:val="en-SG"/>
        </w:rPr>
      </w:pPr>
      <w:r w:rsidRPr="003D1BB9">
        <w:rPr>
          <w:rFonts w:ascii="Times New Roman" w:hAnsi="Times New Roman"/>
          <w:sz w:val="20"/>
          <w:lang w:val="en-SG"/>
        </w:rPr>
        <w:t xml:space="preserve">Qin B, Wang J, Yang Z, </w:t>
      </w:r>
      <w:r w:rsidR="00CC76C2">
        <w:rPr>
          <w:rFonts w:ascii="Times New Roman" w:hAnsi="Times New Roman"/>
          <w:sz w:val="20"/>
          <w:lang w:val="en-SG"/>
        </w:rPr>
        <w:t>et al</w:t>
      </w:r>
      <w:r w:rsidRPr="003D1BB9">
        <w:rPr>
          <w:rFonts w:ascii="Times New Roman" w:hAnsi="Times New Roman"/>
          <w:sz w:val="20"/>
          <w:lang w:val="en-SG"/>
        </w:rPr>
        <w:t>. Epidemiology of primary Sjögren's syndrome: a systematic review and meta-analysis. Ann Rheum Dis.</w:t>
      </w:r>
      <w:r w:rsidR="00CC76C2">
        <w:rPr>
          <w:rFonts w:ascii="Times New Roman" w:hAnsi="Times New Roman"/>
          <w:sz w:val="20"/>
          <w:lang w:val="en-SG"/>
        </w:rPr>
        <w:t xml:space="preserve"> </w:t>
      </w:r>
      <w:r w:rsidRPr="003D1BB9">
        <w:rPr>
          <w:rFonts w:ascii="Times New Roman" w:hAnsi="Times New Roman"/>
          <w:sz w:val="20"/>
          <w:lang w:val="en-SG"/>
        </w:rPr>
        <w:t>74</w:t>
      </w:r>
      <w:r w:rsidR="00CC76C2">
        <w:rPr>
          <w:rFonts w:ascii="Times New Roman" w:hAnsi="Times New Roman"/>
          <w:sz w:val="20"/>
          <w:lang w:val="en-SG"/>
        </w:rPr>
        <w:t xml:space="preserve"> </w:t>
      </w:r>
      <w:r w:rsidRPr="003D1BB9">
        <w:rPr>
          <w:rFonts w:ascii="Times New Roman" w:hAnsi="Times New Roman"/>
          <w:sz w:val="20"/>
          <w:lang w:val="en-SG"/>
        </w:rPr>
        <w:t>(</w:t>
      </w:r>
      <w:r w:rsidR="00CC76C2">
        <w:rPr>
          <w:rFonts w:ascii="Times New Roman" w:hAnsi="Times New Roman"/>
          <w:sz w:val="20"/>
          <w:lang w:val="en-SG"/>
        </w:rPr>
        <w:t>2015</w:t>
      </w:r>
      <w:r w:rsidRPr="003D1BB9">
        <w:rPr>
          <w:rFonts w:ascii="Times New Roman" w:hAnsi="Times New Roman"/>
          <w:sz w:val="20"/>
          <w:lang w:val="en-SG"/>
        </w:rPr>
        <w:t>):</w:t>
      </w:r>
      <w:r w:rsidR="00CC76C2">
        <w:rPr>
          <w:rFonts w:ascii="Times New Roman" w:hAnsi="Times New Roman"/>
          <w:sz w:val="20"/>
          <w:lang w:val="en-SG"/>
        </w:rPr>
        <w:t xml:space="preserve"> </w:t>
      </w:r>
      <w:r w:rsidRPr="003D1BB9">
        <w:rPr>
          <w:rFonts w:ascii="Times New Roman" w:hAnsi="Times New Roman"/>
          <w:sz w:val="20"/>
          <w:lang w:val="en-SG"/>
        </w:rPr>
        <w:t>1983-</w:t>
      </w:r>
      <w:r w:rsidR="00CC76C2">
        <w:rPr>
          <w:rFonts w:ascii="Times New Roman" w:hAnsi="Times New Roman"/>
          <w:sz w:val="20"/>
          <w:lang w:val="en-SG"/>
        </w:rPr>
        <w:t>198</w:t>
      </w:r>
      <w:r w:rsidRPr="003D1BB9">
        <w:rPr>
          <w:rFonts w:ascii="Times New Roman" w:hAnsi="Times New Roman"/>
          <w:sz w:val="20"/>
          <w:lang w:val="en-SG"/>
        </w:rPr>
        <w:t xml:space="preserve">9. </w:t>
      </w:r>
    </w:p>
    <w:p w14:paraId="67328492" w14:textId="3E0F4BF7" w:rsidR="003D1BB9" w:rsidRPr="003D1BB9" w:rsidRDefault="003D1BB9" w:rsidP="005C73DB">
      <w:pPr>
        <w:pStyle w:val="MDPI71References"/>
        <w:numPr>
          <w:ilvl w:val="0"/>
          <w:numId w:val="40"/>
        </w:numPr>
        <w:spacing w:line="360" w:lineRule="auto"/>
        <w:rPr>
          <w:rFonts w:ascii="Times New Roman" w:hAnsi="Times New Roman"/>
          <w:sz w:val="20"/>
          <w:lang w:val="en-SG"/>
        </w:rPr>
      </w:pPr>
      <w:r w:rsidRPr="003D1BB9">
        <w:rPr>
          <w:rFonts w:ascii="Times New Roman" w:hAnsi="Times New Roman"/>
          <w:sz w:val="20"/>
          <w:lang w:val="en-SG"/>
        </w:rPr>
        <w:t>Kassan SS, Moutsopoulos HM. Clinical manifestations and early diagnosis of Sjögren syndrome. Arch Intern Med.</w:t>
      </w:r>
      <w:r w:rsidR="00CC76C2">
        <w:rPr>
          <w:rFonts w:ascii="Times New Roman" w:hAnsi="Times New Roman"/>
          <w:sz w:val="20"/>
          <w:lang w:val="en-SG"/>
        </w:rPr>
        <w:t xml:space="preserve"> </w:t>
      </w:r>
      <w:r w:rsidRPr="003D1BB9">
        <w:rPr>
          <w:rFonts w:ascii="Times New Roman" w:hAnsi="Times New Roman"/>
          <w:sz w:val="20"/>
          <w:lang w:val="en-SG"/>
        </w:rPr>
        <w:t>164</w:t>
      </w:r>
      <w:r w:rsidR="00CC76C2">
        <w:rPr>
          <w:rFonts w:ascii="Times New Roman" w:hAnsi="Times New Roman"/>
          <w:sz w:val="20"/>
          <w:lang w:val="en-SG"/>
        </w:rPr>
        <w:t xml:space="preserve"> </w:t>
      </w:r>
      <w:r w:rsidRPr="003D1BB9">
        <w:rPr>
          <w:rFonts w:ascii="Times New Roman" w:hAnsi="Times New Roman"/>
          <w:sz w:val="20"/>
          <w:lang w:val="en-SG"/>
        </w:rPr>
        <w:t>(</w:t>
      </w:r>
      <w:r w:rsidR="00CC76C2">
        <w:rPr>
          <w:rFonts w:ascii="Times New Roman" w:hAnsi="Times New Roman"/>
          <w:sz w:val="20"/>
          <w:lang w:val="en-SG"/>
        </w:rPr>
        <w:t>2004</w:t>
      </w:r>
      <w:r w:rsidRPr="003D1BB9">
        <w:rPr>
          <w:rFonts w:ascii="Times New Roman" w:hAnsi="Times New Roman"/>
          <w:sz w:val="20"/>
          <w:lang w:val="en-SG"/>
        </w:rPr>
        <w:t>):</w:t>
      </w:r>
      <w:r w:rsidR="00CC76C2">
        <w:rPr>
          <w:rFonts w:ascii="Times New Roman" w:hAnsi="Times New Roman"/>
          <w:sz w:val="20"/>
          <w:lang w:val="en-SG"/>
        </w:rPr>
        <w:t xml:space="preserve"> </w:t>
      </w:r>
      <w:r w:rsidRPr="003D1BB9">
        <w:rPr>
          <w:rFonts w:ascii="Times New Roman" w:hAnsi="Times New Roman"/>
          <w:sz w:val="20"/>
          <w:lang w:val="en-SG"/>
        </w:rPr>
        <w:t>1275-</w:t>
      </w:r>
      <w:r w:rsidR="00CC76C2">
        <w:rPr>
          <w:rFonts w:ascii="Times New Roman" w:hAnsi="Times New Roman"/>
          <w:sz w:val="20"/>
          <w:lang w:val="en-SG"/>
        </w:rPr>
        <w:t>12</w:t>
      </w:r>
      <w:r w:rsidRPr="003D1BB9">
        <w:rPr>
          <w:rFonts w:ascii="Times New Roman" w:hAnsi="Times New Roman"/>
          <w:sz w:val="20"/>
          <w:lang w:val="en-SG"/>
        </w:rPr>
        <w:t xml:space="preserve">84. </w:t>
      </w:r>
    </w:p>
    <w:p w14:paraId="1814CCED" w14:textId="6BE21DD7" w:rsidR="003D1BB9" w:rsidRPr="003D1BB9" w:rsidRDefault="003D1BB9" w:rsidP="005C73DB">
      <w:pPr>
        <w:pStyle w:val="MDPI71References"/>
        <w:numPr>
          <w:ilvl w:val="0"/>
          <w:numId w:val="40"/>
        </w:numPr>
        <w:spacing w:line="360" w:lineRule="auto"/>
        <w:rPr>
          <w:rFonts w:ascii="Times New Roman" w:hAnsi="Times New Roman"/>
          <w:sz w:val="20"/>
          <w:lang w:val="en-SG"/>
        </w:rPr>
      </w:pPr>
      <w:r w:rsidRPr="003D1BB9">
        <w:rPr>
          <w:rFonts w:ascii="Times New Roman" w:hAnsi="Times New Roman"/>
          <w:sz w:val="20"/>
          <w:lang w:val="en-SG"/>
        </w:rPr>
        <w:t>Ramos-Casals M, Brito-Zerón P, Sisó-Almirall A, Bosch X. Primary Sjogren syndrome. BMJ.</w:t>
      </w:r>
      <w:r w:rsidR="00CC76C2">
        <w:rPr>
          <w:rFonts w:ascii="Times New Roman" w:hAnsi="Times New Roman"/>
          <w:sz w:val="20"/>
          <w:lang w:val="en-SG"/>
        </w:rPr>
        <w:t xml:space="preserve"> </w:t>
      </w:r>
      <w:r w:rsidRPr="003D1BB9">
        <w:rPr>
          <w:rFonts w:ascii="Times New Roman" w:hAnsi="Times New Roman"/>
          <w:sz w:val="20"/>
          <w:lang w:val="en-SG"/>
        </w:rPr>
        <w:t>344</w:t>
      </w:r>
      <w:r w:rsidR="00CC76C2">
        <w:rPr>
          <w:rFonts w:ascii="Times New Roman" w:hAnsi="Times New Roman"/>
          <w:sz w:val="20"/>
          <w:lang w:val="en-SG"/>
        </w:rPr>
        <w:t xml:space="preserve"> (2012)</w:t>
      </w:r>
      <w:r w:rsidRPr="003D1BB9">
        <w:rPr>
          <w:rFonts w:ascii="Times New Roman" w:hAnsi="Times New Roman"/>
          <w:sz w:val="20"/>
          <w:lang w:val="en-SG"/>
        </w:rPr>
        <w:t>:</w:t>
      </w:r>
      <w:r w:rsidR="00CC76C2">
        <w:rPr>
          <w:rFonts w:ascii="Times New Roman" w:hAnsi="Times New Roman"/>
          <w:sz w:val="20"/>
          <w:lang w:val="en-SG"/>
        </w:rPr>
        <w:t xml:space="preserve"> </w:t>
      </w:r>
      <w:r w:rsidRPr="003D1BB9">
        <w:rPr>
          <w:rFonts w:ascii="Times New Roman" w:hAnsi="Times New Roman"/>
          <w:sz w:val="20"/>
          <w:lang w:val="en-SG"/>
        </w:rPr>
        <w:t xml:space="preserve">e3821. </w:t>
      </w:r>
    </w:p>
    <w:p w14:paraId="71066B8C" w14:textId="5C9FBC83" w:rsidR="003D1BB9" w:rsidRPr="003D1BB9" w:rsidRDefault="003D1BB9" w:rsidP="005C73DB">
      <w:pPr>
        <w:pStyle w:val="MDPI71References"/>
        <w:numPr>
          <w:ilvl w:val="0"/>
          <w:numId w:val="40"/>
        </w:numPr>
        <w:spacing w:line="360" w:lineRule="auto"/>
        <w:rPr>
          <w:rFonts w:ascii="Times New Roman" w:hAnsi="Times New Roman"/>
          <w:sz w:val="20"/>
          <w:lang w:val="en-SG"/>
        </w:rPr>
      </w:pPr>
      <w:r w:rsidRPr="003D1BB9">
        <w:rPr>
          <w:rFonts w:ascii="Times New Roman" w:hAnsi="Times New Roman"/>
          <w:sz w:val="20"/>
          <w:lang w:val="en-SG"/>
        </w:rPr>
        <w:t>Brito Zeron P, Retamozo S, Gheitasi H, et al. THU0396 Igg4-Related Disease or Primary Sjogren Syndrome? Organ-Specific Involvement and Immunological Profile Are Clues in Differentiating Two Diseases with A Common Clinical Presentation Annals of the Rheumatic Diseases</w:t>
      </w:r>
      <w:r w:rsidR="00CC76C2">
        <w:rPr>
          <w:rFonts w:ascii="Times New Roman" w:hAnsi="Times New Roman"/>
          <w:sz w:val="20"/>
          <w:lang w:val="en-SG"/>
        </w:rPr>
        <w:t xml:space="preserve"> </w:t>
      </w:r>
      <w:r w:rsidRPr="003D1BB9">
        <w:rPr>
          <w:rFonts w:ascii="Times New Roman" w:hAnsi="Times New Roman"/>
          <w:sz w:val="20"/>
          <w:lang w:val="en-SG"/>
        </w:rPr>
        <w:t>73</w:t>
      </w:r>
      <w:r w:rsidR="00CC76C2">
        <w:rPr>
          <w:rFonts w:ascii="Times New Roman" w:hAnsi="Times New Roman"/>
          <w:sz w:val="20"/>
          <w:lang w:val="en-SG"/>
        </w:rPr>
        <w:t xml:space="preserve"> (2014)</w:t>
      </w:r>
      <w:r w:rsidRPr="003D1BB9">
        <w:rPr>
          <w:rFonts w:ascii="Times New Roman" w:hAnsi="Times New Roman"/>
          <w:sz w:val="20"/>
          <w:lang w:val="en-SG"/>
        </w:rPr>
        <w:t>:</w:t>
      </w:r>
      <w:r w:rsidR="00CC76C2">
        <w:rPr>
          <w:rFonts w:ascii="Times New Roman" w:hAnsi="Times New Roman"/>
          <w:sz w:val="20"/>
          <w:lang w:val="en-SG"/>
        </w:rPr>
        <w:t xml:space="preserve"> </w:t>
      </w:r>
      <w:r w:rsidRPr="003D1BB9">
        <w:rPr>
          <w:rFonts w:ascii="Times New Roman" w:hAnsi="Times New Roman"/>
          <w:sz w:val="20"/>
          <w:lang w:val="en-SG"/>
        </w:rPr>
        <w:t>318-319.</w:t>
      </w:r>
    </w:p>
    <w:p w14:paraId="1E58D6B1" w14:textId="770FCDB8" w:rsidR="003D1BB9" w:rsidRPr="003D1BB9" w:rsidRDefault="003D1BB9" w:rsidP="005C73DB">
      <w:pPr>
        <w:pStyle w:val="MDPI71References"/>
        <w:numPr>
          <w:ilvl w:val="0"/>
          <w:numId w:val="40"/>
        </w:numPr>
        <w:spacing w:line="360" w:lineRule="auto"/>
        <w:rPr>
          <w:rFonts w:ascii="Times New Roman" w:hAnsi="Times New Roman"/>
          <w:sz w:val="20"/>
          <w:lang w:val="en-SG"/>
        </w:rPr>
      </w:pPr>
      <w:r w:rsidRPr="003D1BB9">
        <w:rPr>
          <w:rFonts w:ascii="Times New Roman" w:hAnsi="Times New Roman"/>
          <w:sz w:val="20"/>
          <w:lang w:val="en-SG"/>
        </w:rPr>
        <w:t>Chao Y, Dong J, Chen K, Fu Y. Single-Cell Transcriptomic Analysis Reveals ISG15 as a Key Regulator of Macrophage-Mediated Inflammation Driving Primary Sjögren's Syndrome Progression. Crit Rev Immunol</w:t>
      </w:r>
      <w:r w:rsidR="00CC76C2">
        <w:rPr>
          <w:rFonts w:ascii="Times New Roman" w:hAnsi="Times New Roman"/>
          <w:sz w:val="20"/>
          <w:lang w:val="en-SG"/>
        </w:rPr>
        <w:t xml:space="preserve"> </w:t>
      </w:r>
      <w:r w:rsidRPr="003D1BB9">
        <w:rPr>
          <w:rFonts w:ascii="Times New Roman" w:hAnsi="Times New Roman"/>
          <w:sz w:val="20"/>
          <w:lang w:val="en-SG"/>
        </w:rPr>
        <w:t>46</w:t>
      </w:r>
      <w:r w:rsidR="00CC76C2">
        <w:rPr>
          <w:rFonts w:ascii="Times New Roman" w:hAnsi="Times New Roman"/>
          <w:sz w:val="20"/>
          <w:lang w:val="en-SG"/>
        </w:rPr>
        <w:t xml:space="preserve"> </w:t>
      </w:r>
      <w:r w:rsidRPr="003D1BB9">
        <w:rPr>
          <w:rFonts w:ascii="Times New Roman" w:hAnsi="Times New Roman"/>
          <w:sz w:val="20"/>
          <w:lang w:val="en-SG"/>
        </w:rPr>
        <w:t>(</w:t>
      </w:r>
      <w:r w:rsidR="00CC76C2">
        <w:rPr>
          <w:rFonts w:ascii="Times New Roman" w:hAnsi="Times New Roman"/>
          <w:sz w:val="20"/>
          <w:lang w:val="en-SG"/>
        </w:rPr>
        <w:t>2026</w:t>
      </w:r>
      <w:r w:rsidRPr="003D1BB9">
        <w:rPr>
          <w:rFonts w:ascii="Times New Roman" w:hAnsi="Times New Roman"/>
          <w:sz w:val="20"/>
          <w:lang w:val="en-SG"/>
        </w:rPr>
        <w:t>):</w:t>
      </w:r>
      <w:r w:rsidR="00CC76C2">
        <w:rPr>
          <w:rFonts w:ascii="Times New Roman" w:hAnsi="Times New Roman"/>
          <w:sz w:val="20"/>
          <w:lang w:val="en-SG"/>
        </w:rPr>
        <w:t xml:space="preserve"> </w:t>
      </w:r>
      <w:r w:rsidRPr="003D1BB9">
        <w:rPr>
          <w:rFonts w:ascii="Times New Roman" w:hAnsi="Times New Roman"/>
          <w:sz w:val="20"/>
          <w:lang w:val="en-SG"/>
        </w:rPr>
        <w:t xml:space="preserve">1-16. </w:t>
      </w:r>
    </w:p>
    <w:p w14:paraId="51310F74" w14:textId="34540DC5" w:rsidR="003D1BB9" w:rsidRPr="003D1BB9" w:rsidRDefault="003D1BB9" w:rsidP="005C73DB">
      <w:pPr>
        <w:pStyle w:val="MDPI71References"/>
        <w:numPr>
          <w:ilvl w:val="0"/>
          <w:numId w:val="40"/>
        </w:numPr>
        <w:spacing w:line="360" w:lineRule="auto"/>
        <w:rPr>
          <w:rFonts w:ascii="Times New Roman" w:hAnsi="Times New Roman"/>
          <w:sz w:val="20"/>
          <w:lang w:val="en-SG"/>
        </w:rPr>
      </w:pPr>
      <w:r w:rsidRPr="003D1BB9">
        <w:rPr>
          <w:rFonts w:ascii="Times New Roman" w:hAnsi="Times New Roman"/>
          <w:sz w:val="20"/>
          <w:lang w:val="en-SG"/>
        </w:rPr>
        <w:t>Kang KY, Kim HO, Kwok SK, et al. Impact of interleukin-21 in the pathogenesis of primary Sjögren's syndrome: Increased serum levels of interleukin-21 and its expression in the labial salivary glands. Arthritis Res Ther.13</w:t>
      </w:r>
      <w:r w:rsidR="000C733F">
        <w:rPr>
          <w:rFonts w:ascii="Times New Roman" w:hAnsi="Times New Roman"/>
          <w:sz w:val="20"/>
          <w:lang w:val="en-SG"/>
        </w:rPr>
        <w:t xml:space="preserve"> (2011)</w:t>
      </w:r>
      <w:r w:rsidRPr="003D1BB9">
        <w:rPr>
          <w:rFonts w:ascii="Times New Roman" w:hAnsi="Times New Roman"/>
          <w:sz w:val="20"/>
          <w:lang w:val="en-SG"/>
        </w:rPr>
        <w:t>:</w:t>
      </w:r>
      <w:r w:rsidR="000C733F">
        <w:rPr>
          <w:rFonts w:ascii="Times New Roman" w:hAnsi="Times New Roman"/>
          <w:sz w:val="20"/>
          <w:lang w:val="en-SG"/>
        </w:rPr>
        <w:t xml:space="preserve"> </w:t>
      </w:r>
      <w:r w:rsidRPr="003D1BB9">
        <w:rPr>
          <w:rFonts w:ascii="Times New Roman" w:hAnsi="Times New Roman"/>
          <w:sz w:val="20"/>
          <w:lang w:val="en-SG"/>
        </w:rPr>
        <w:t>R179.</w:t>
      </w:r>
    </w:p>
    <w:p w14:paraId="622AB619" w14:textId="17A11736" w:rsidR="003D1BB9" w:rsidRPr="003D1BB9" w:rsidRDefault="003D1BB9" w:rsidP="005C73DB">
      <w:pPr>
        <w:pStyle w:val="MDPI71References"/>
        <w:numPr>
          <w:ilvl w:val="0"/>
          <w:numId w:val="40"/>
        </w:numPr>
        <w:spacing w:line="360" w:lineRule="auto"/>
        <w:rPr>
          <w:rFonts w:ascii="Times New Roman" w:hAnsi="Times New Roman"/>
          <w:sz w:val="20"/>
          <w:lang w:val="en-SG"/>
        </w:rPr>
      </w:pPr>
      <w:r w:rsidRPr="003D1BB9">
        <w:rPr>
          <w:rFonts w:ascii="Times New Roman" w:hAnsi="Times New Roman"/>
          <w:sz w:val="20"/>
          <w:lang w:val="en-SG"/>
        </w:rPr>
        <w:t>Mariette X, Roux S, Zhang J, et al. The level of BLyS (BAFF) correlates with the titre of autoantibodies in human Sjögren's syndrome. Ann Rheum Dis.</w:t>
      </w:r>
      <w:r w:rsidR="000C733F">
        <w:rPr>
          <w:rFonts w:ascii="Times New Roman" w:hAnsi="Times New Roman"/>
          <w:sz w:val="20"/>
          <w:lang w:val="en-SG"/>
        </w:rPr>
        <w:t xml:space="preserve"> </w:t>
      </w:r>
      <w:r w:rsidRPr="003D1BB9">
        <w:rPr>
          <w:rFonts w:ascii="Times New Roman" w:hAnsi="Times New Roman"/>
          <w:sz w:val="20"/>
          <w:lang w:val="en-SG"/>
        </w:rPr>
        <w:t>62</w:t>
      </w:r>
      <w:r w:rsidR="000C733F">
        <w:rPr>
          <w:rFonts w:ascii="Times New Roman" w:hAnsi="Times New Roman"/>
          <w:sz w:val="20"/>
          <w:lang w:val="en-SG"/>
        </w:rPr>
        <w:t xml:space="preserve"> </w:t>
      </w:r>
      <w:r w:rsidRPr="003D1BB9">
        <w:rPr>
          <w:rFonts w:ascii="Times New Roman" w:hAnsi="Times New Roman"/>
          <w:sz w:val="20"/>
          <w:lang w:val="en-SG"/>
        </w:rPr>
        <w:t>(2</w:t>
      </w:r>
      <w:r w:rsidR="000C733F">
        <w:rPr>
          <w:rFonts w:ascii="Times New Roman" w:hAnsi="Times New Roman"/>
          <w:sz w:val="20"/>
          <w:lang w:val="en-SG"/>
        </w:rPr>
        <w:t>003</w:t>
      </w:r>
      <w:r w:rsidRPr="003D1BB9">
        <w:rPr>
          <w:rFonts w:ascii="Times New Roman" w:hAnsi="Times New Roman"/>
          <w:sz w:val="20"/>
          <w:lang w:val="en-SG"/>
        </w:rPr>
        <w:t>):</w:t>
      </w:r>
      <w:r w:rsidR="000C733F">
        <w:rPr>
          <w:rFonts w:ascii="Times New Roman" w:hAnsi="Times New Roman"/>
          <w:sz w:val="20"/>
          <w:lang w:val="en-SG"/>
        </w:rPr>
        <w:t xml:space="preserve"> </w:t>
      </w:r>
      <w:r w:rsidRPr="003D1BB9">
        <w:rPr>
          <w:rFonts w:ascii="Times New Roman" w:hAnsi="Times New Roman"/>
          <w:sz w:val="20"/>
          <w:lang w:val="en-SG"/>
        </w:rPr>
        <w:t>168-</w:t>
      </w:r>
      <w:r w:rsidR="000C733F">
        <w:rPr>
          <w:rFonts w:ascii="Times New Roman" w:hAnsi="Times New Roman"/>
          <w:sz w:val="20"/>
          <w:lang w:val="en-SG"/>
        </w:rPr>
        <w:t>1</w:t>
      </w:r>
      <w:r w:rsidRPr="003D1BB9">
        <w:rPr>
          <w:rFonts w:ascii="Times New Roman" w:hAnsi="Times New Roman"/>
          <w:sz w:val="20"/>
          <w:lang w:val="en-SG"/>
        </w:rPr>
        <w:t xml:space="preserve">71. </w:t>
      </w:r>
    </w:p>
    <w:p w14:paraId="1B98B892" w14:textId="1A042186" w:rsidR="003D1BB9" w:rsidRPr="003D1BB9" w:rsidRDefault="003D1BB9" w:rsidP="005C73DB">
      <w:pPr>
        <w:pStyle w:val="MDPI71References"/>
        <w:numPr>
          <w:ilvl w:val="0"/>
          <w:numId w:val="40"/>
        </w:numPr>
        <w:spacing w:line="360" w:lineRule="auto"/>
        <w:rPr>
          <w:rFonts w:ascii="Times New Roman" w:hAnsi="Times New Roman"/>
          <w:sz w:val="20"/>
          <w:lang w:val="en-SG"/>
        </w:rPr>
      </w:pPr>
      <w:r w:rsidRPr="003D1BB9">
        <w:rPr>
          <w:rFonts w:ascii="Times New Roman" w:hAnsi="Times New Roman"/>
          <w:sz w:val="20"/>
          <w:lang w:val="en-SG"/>
        </w:rPr>
        <w:t>Chang K, Luo P, Guo Z, et al. Lipid metabolism: An emerging player in Sjögren's syndrome. Clin Rev Allergy Immunol.</w:t>
      </w:r>
      <w:r w:rsidR="000C733F">
        <w:rPr>
          <w:rFonts w:ascii="Times New Roman" w:hAnsi="Times New Roman"/>
          <w:sz w:val="20"/>
          <w:lang w:val="en-SG"/>
        </w:rPr>
        <w:t xml:space="preserve"> </w:t>
      </w:r>
      <w:r w:rsidRPr="003D1BB9">
        <w:rPr>
          <w:rFonts w:ascii="Times New Roman" w:hAnsi="Times New Roman"/>
          <w:sz w:val="20"/>
          <w:lang w:val="en-SG"/>
        </w:rPr>
        <w:t>68</w:t>
      </w:r>
      <w:r w:rsidR="000C733F">
        <w:rPr>
          <w:rFonts w:ascii="Times New Roman" w:hAnsi="Times New Roman"/>
          <w:sz w:val="20"/>
          <w:lang w:val="en-SG"/>
        </w:rPr>
        <w:t xml:space="preserve"> (2025)</w:t>
      </w:r>
      <w:r w:rsidRPr="003D1BB9">
        <w:rPr>
          <w:rFonts w:ascii="Times New Roman" w:hAnsi="Times New Roman"/>
          <w:sz w:val="20"/>
          <w:lang w:val="en-SG"/>
        </w:rPr>
        <w:t>:</w:t>
      </w:r>
      <w:r w:rsidR="000C733F">
        <w:rPr>
          <w:rFonts w:ascii="Times New Roman" w:hAnsi="Times New Roman"/>
          <w:sz w:val="20"/>
          <w:lang w:val="en-SG"/>
        </w:rPr>
        <w:t xml:space="preserve"> </w:t>
      </w:r>
      <w:r w:rsidRPr="003D1BB9">
        <w:rPr>
          <w:rFonts w:ascii="Times New Roman" w:hAnsi="Times New Roman"/>
          <w:sz w:val="20"/>
          <w:lang w:val="en-SG"/>
        </w:rPr>
        <w:t>15.</w:t>
      </w:r>
    </w:p>
    <w:p w14:paraId="4CED8A90" w14:textId="2B86E048" w:rsidR="003D1BB9" w:rsidRPr="003D1BB9" w:rsidRDefault="003D1BB9" w:rsidP="005C73DB">
      <w:pPr>
        <w:pStyle w:val="MDPI71References"/>
        <w:numPr>
          <w:ilvl w:val="0"/>
          <w:numId w:val="40"/>
        </w:numPr>
        <w:spacing w:line="360" w:lineRule="auto"/>
        <w:rPr>
          <w:rFonts w:ascii="Times New Roman" w:hAnsi="Times New Roman"/>
          <w:sz w:val="20"/>
          <w:lang w:val="en-SG"/>
        </w:rPr>
      </w:pPr>
      <w:r w:rsidRPr="003D1BB9">
        <w:rPr>
          <w:rFonts w:ascii="Times New Roman" w:hAnsi="Times New Roman"/>
          <w:sz w:val="20"/>
          <w:lang w:val="en-SG"/>
        </w:rPr>
        <w:t>Yang L, Liang Y, Pu J, et al. Dysregulated serum lipid profile is associated with inflammation and disease activity in primary Sjögren's syndrome: A retrospective study in China. Immunol Lett.</w:t>
      </w:r>
      <w:r w:rsidR="000C733F">
        <w:rPr>
          <w:rFonts w:ascii="Times New Roman" w:hAnsi="Times New Roman"/>
          <w:sz w:val="20"/>
          <w:lang w:val="en-SG"/>
        </w:rPr>
        <w:t xml:space="preserve"> </w:t>
      </w:r>
      <w:r w:rsidRPr="003D1BB9">
        <w:rPr>
          <w:rFonts w:ascii="Times New Roman" w:hAnsi="Times New Roman"/>
          <w:sz w:val="20"/>
          <w:lang w:val="en-SG"/>
        </w:rPr>
        <w:t>267</w:t>
      </w:r>
      <w:r w:rsidR="000C733F">
        <w:rPr>
          <w:rFonts w:ascii="Times New Roman" w:hAnsi="Times New Roman"/>
          <w:sz w:val="20"/>
          <w:lang w:val="en-SG"/>
        </w:rPr>
        <w:t xml:space="preserve"> (2024)</w:t>
      </w:r>
      <w:r w:rsidRPr="003D1BB9">
        <w:rPr>
          <w:rFonts w:ascii="Times New Roman" w:hAnsi="Times New Roman"/>
          <w:sz w:val="20"/>
          <w:lang w:val="en-SG"/>
        </w:rPr>
        <w:t>:</w:t>
      </w:r>
      <w:r w:rsidR="000C733F">
        <w:rPr>
          <w:rFonts w:ascii="Times New Roman" w:hAnsi="Times New Roman"/>
          <w:sz w:val="20"/>
          <w:lang w:val="en-SG"/>
        </w:rPr>
        <w:t xml:space="preserve"> </w:t>
      </w:r>
      <w:r w:rsidRPr="003D1BB9">
        <w:rPr>
          <w:rFonts w:ascii="Times New Roman" w:hAnsi="Times New Roman"/>
          <w:sz w:val="20"/>
          <w:lang w:val="en-SG"/>
        </w:rPr>
        <w:t>106865.</w:t>
      </w:r>
    </w:p>
    <w:p w14:paraId="4FE981C4" w14:textId="7056F262" w:rsidR="003D1BB9" w:rsidRPr="003D1BB9" w:rsidRDefault="003D1BB9" w:rsidP="005C73DB">
      <w:pPr>
        <w:pStyle w:val="MDPI71References"/>
        <w:numPr>
          <w:ilvl w:val="0"/>
          <w:numId w:val="40"/>
        </w:numPr>
        <w:spacing w:line="360" w:lineRule="auto"/>
        <w:rPr>
          <w:rFonts w:ascii="Times New Roman" w:hAnsi="Times New Roman"/>
          <w:sz w:val="20"/>
          <w:lang w:val="en-SG"/>
        </w:rPr>
      </w:pPr>
      <w:r w:rsidRPr="003D1BB9">
        <w:rPr>
          <w:rFonts w:ascii="Times New Roman" w:hAnsi="Times New Roman"/>
          <w:sz w:val="20"/>
          <w:lang w:val="en-SG"/>
        </w:rPr>
        <w:t xml:space="preserve">Bougarne N, Weyers B, Desmet SJ, </w:t>
      </w:r>
      <w:r w:rsidR="000C733F">
        <w:rPr>
          <w:rFonts w:ascii="Times New Roman" w:hAnsi="Times New Roman"/>
          <w:sz w:val="20"/>
          <w:lang w:val="en-SG"/>
        </w:rPr>
        <w:t>et al</w:t>
      </w:r>
      <w:r w:rsidRPr="003D1BB9">
        <w:rPr>
          <w:rFonts w:ascii="Times New Roman" w:hAnsi="Times New Roman"/>
          <w:sz w:val="20"/>
          <w:lang w:val="en-SG"/>
        </w:rPr>
        <w:t>. Molecular actions of PPARα in lipid metabolism and inflammation. Endocr Rev.</w:t>
      </w:r>
      <w:r w:rsidR="000C733F">
        <w:rPr>
          <w:rFonts w:ascii="Times New Roman" w:hAnsi="Times New Roman"/>
          <w:sz w:val="20"/>
          <w:lang w:val="en-SG"/>
        </w:rPr>
        <w:t xml:space="preserve"> </w:t>
      </w:r>
      <w:r w:rsidRPr="003D1BB9">
        <w:rPr>
          <w:rFonts w:ascii="Times New Roman" w:hAnsi="Times New Roman"/>
          <w:sz w:val="20"/>
          <w:lang w:val="en-SG"/>
        </w:rPr>
        <w:t>39</w:t>
      </w:r>
      <w:r w:rsidR="000C733F">
        <w:rPr>
          <w:rFonts w:ascii="Times New Roman" w:hAnsi="Times New Roman"/>
          <w:sz w:val="20"/>
          <w:lang w:val="en-SG"/>
        </w:rPr>
        <w:t xml:space="preserve"> (2018)</w:t>
      </w:r>
      <w:r w:rsidRPr="003D1BB9">
        <w:rPr>
          <w:rFonts w:ascii="Times New Roman" w:hAnsi="Times New Roman"/>
          <w:sz w:val="20"/>
          <w:lang w:val="en-SG"/>
        </w:rPr>
        <w:t>:</w:t>
      </w:r>
      <w:r w:rsidR="000C733F">
        <w:rPr>
          <w:rFonts w:ascii="Times New Roman" w:hAnsi="Times New Roman"/>
          <w:sz w:val="20"/>
          <w:lang w:val="en-SG"/>
        </w:rPr>
        <w:t xml:space="preserve"> </w:t>
      </w:r>
      <w:r w:rsidRPr="003D1BB9">
        <w:rPr>
          <w:rFonts w:ascii="Times New Roman" w:hAnsi="Times New Roman"/>
          <w:sz w:val="20"/>
          <w:lang w:val="en-SG"/>
        </w:rPr>
        <w:t>760-802.</w:t>
      </w:r>
    </w:p>
    <w:p w14:paraId="692781FB" w14:textId="529D9DB3" w:rsidR="00F76AF0" w:rsidRDefault="003D1BB9" w:rsidP="005C73DB">
      <w:pPr>
        <w:pStyle w:val="MDPI71References"/>
        <w:numPr>
          <w:ilvl w:val="0"/>
          <w:numId w:val="40"/>
        </w:numPr>
        <w:spacing w:line="360" w:lineRule="auto"/>
        <w:rPr>
          <w:rFonts w:ascii="Times New Roman" w:hAnsi="Times New Roman"/>
          <w:sz w:val="20"/>
          <w:lang w:val="en-SG"/>
        </w:rPr>
      </w:pPr>
      <w:r w:rsidRPr="003D1BB9">
        <w:rPr>
          <w:rFonts w:ascii="Times New Roman" w:hAnsi="Times New Roman"/>
          <w:sz w:val="20"/>
          <w:lang w:val="en-SG"/>
        </w:rPr>
        <w:t>Imgenberg-Kreuz J, Rasmussen A, Sivils K, Nordmark G. Genetics and epigenetics in primary Sjögren's syndrome. Rheumatology (Oxford).</w:t>
      </w:r>
      <w:r w:rsidR="000C733F">
        <w:rPr>
          <w:rFonts w:ascii="Times New Roman" w:hAnsi="Times New Roman"/>
          <w:sz w:val="20"/>
          <w:lang w:val="en-SG"/>
        </w:rPr>
        <w:t xml:space="preserve"> </w:t>
      </w:r>
      <w:r w:rsidRPr="003D1BB9">
        <w:rPr>
          <w:rFonts w:ascii="Times New Roman" w:hAnsi="Times New Roman"/>
          <w:sz w:val="20"/>
          <w:lang w:val="en-SG"/>
        </w:rPr>
        <w:t>60</w:t>
      </w:r>
      <w:r w:rsidR="000C733F">
        <w:rPr>
          <w:rFonts w:ascii="Times New Roman" w:hAnsi="Times New Roman"/>
          <w:sz w:val="20"/>
          <w:lang w:val="en-SG"/>
        </w:rPr>
        <w:t xml:space="preserve"> </w:t>
      </w:r>
      <w:r w:rsidRPr="003D1BB9">
        <w:rPr>
          <w:rFonts w:ascii="Times New Roman" w:hAnsi="Times New Roman"/>
          <w:sz w:val="20"/>
          <w:lang w:val="en-SG"/>
        </w:rPr>
        <w:t>(</w:t>
      </w:r>
      <w:r w:rsidR="000C733F">
        <w:rPr>
          <w:rFonts w:ascii="Times New Roman" w:hAnsi="Times New Roman"/>
          <w:sz w:val="20"/>
          <w:lang w:val="en-SG"/>
        </w:rPr>
        <w:t>2021</w:t>
      </w:r>
      <w:r w:rsidRPr="003D1BB9">
        <w:rPr>
          <w:rFonts w:ascii="Times New Roman" w:hAnsi="Times New Roman"/>
          <w:sz w:val="20"/>
          <w:lang w:val="en-SG"/>
        </w:rPr>
        <w:t>):</w:t>
      </w:r>
      <w:r w:rsidR="000C733F">
        <w:rPr>
          <w:rFonts w:ascii="Times New Roman" w:hAnsi="Times New Roman"/>
          <w:sz w:val="20"/>
          <w:lang w:val="en-SG"/>
        </w:rPr>
        <w:t xml:space="preserve"> </w:t>
      </w:r>
      <w:r w:rsidRPr="003D1BB9">
        <w:rPr>
          <w:rFonts w:ascii="Times New Roman" w:hAnsi="Times New Roman"/>
          <w:sz w:val="20"/>
          <w:lang w:val="en-SG"/>
        </w:rPr>
        <w:t xml:space="preserve">2085-2098. </w:t>
      </w:r>
    </w:p>
    <w:p w14:paraId="78A95E29" w14:textId="77777777" w:rsidR="00F76AF0" w:rsidRDefault="00F76AF0" w:rsidP="002C36B9">
      <w:pPr>
        <w:pStyle w:val="MDPI71References"/>
        <w:numPr>
          <w:ilvl w:val="0"/>
          <w:numId w:val="0"/>
        </w:numPr>
        <w:spacing w:line="360" w:lineRule="auto"/>
        <w:ind w:left="425" w:hanging="425"/>
        <w:rPr>
          <w:rFonts w:ascii="Times New Roman" w:hAnsi="Times New Roman"/>
          <w:sz w:val="20"/>
          <w:lang w:val="en-SG"/>
        </w:rPr>
      </w:pPr>
    </w:p>
    <w:p w14:paraId="30710097" w14:textId="77777777" w:rsidR="00F76AF0" w:rsidRDefault="00F76AF0" w:rsidP="002C36B9">
      <w:pPr>
        <w:pStyle w:val="MDPI71References"/>
        <w:numPr>
          <w:ilvl w:val="0"/>
          <w:numId w:val="0"/>
        </w:numPr>
        <w:spacing w:line="360" w:lineRule="auto"/>
        <w:ind w:left="425" w:hanging="425"/>
        <w:rPr>
          <w:rFonts w:ascii="Times New Roman" w:hAnsi="Times New Roman"/>
          <w:sz w:val="20"/>
          <w:lang w:val="en-SG"/>
        </w:rPr>
      </w:pPr>
    </w:p>
    <w:p w14:paraId="2C53A4B7" w14:textId="77777777" w:rsidR="00F76AF0" w:rsidRDefault="00F76AF0" w:rsidP="002C36B9">
      <w:pPr>
        <w:pStyle w:val="MDPI71References"/>
        <w:numPr>
          <w:ilvl w:val="0"/>
          <w:numId w:val="0"/>
        </w:numPr>
        <w:spacing w:line="360" w:lineRule="auto"/>
        <w:ind w:left="425" w:hanging="425"/>
        <w:rPr>
          <w:rFonts w:ascii="Times New Roman" w:hAnsi="Times New Roman"/>
          <w:sz w:val="20"/>
          <w:lang w:val="en-SG"/>
        </w:rPr>
      </w:pPr>
    </w:p>
    <w:p w14:paraId="59F8AED3" w14:textId="77777777" w:rsidR="00F76AF0" w:rsidRDefault="00F76AF0" w:rsidP="002C36B9">
      <w:pPr>
        <w:pStyle w:val="MDPI71References"/>
        <w:numPr>
          <w:ilvl w:val="0"/>
          <w:numId w:val="0"/>
        </w:numPr>
        <w:spacing w:line="360" w:lineRule="auto"/>
        <w:ind w:left="425" w:hanging="425"/>
        <w:rPr>
          <w:rFonts w:ascii="Times New Roman" w:hAnsi="Times New Roman"/>
          <w:sz w:val="20"/>
          <w:lang w:val="en-SG"/>
        </w:rPr>
      </w:pPr>
    </w:p>
    <w:p w14:paraId="26D8BAE4" w14:textId="77777777" w:rsidR="00F76AF0" w:rsidRDefault="00F76AF0" w:rsidP="002C36B9">
      <w:pPr>
        <w:pStyle w:val="MDPI71References"/>
        <w:numPr>
          <w:ilvl w:val="0"/>
          <w:numId w:val="0"/>
        </w:numPr>
        <w:spacing w:line="360" w:lineRule="auto"/>
        <w:ind w:left="425" w:hanging="425"/>
        <w:rPr>
          <w:rFonts w:ascii="Times New Roman" w:hAnsi="Times New Roman"/>
          <w:sz w:val="20"/>
          <w:lang w:val="en-SG"/>
        </w:rPr>
      </w:pPr>
    </w:p>
    <w:p w14:paraId="168742B4" w14:textId="77777777" w:rsidR="00677958" w:rsidRDefault="00677958" w:rsidP="002C36B9">
      <w:pPr>
        <w:pStyle w:val="MDPI71References"/>
        <w:numPr>
          <w:ilvl w:val="0"/>
          <w:numId w:val="0"/>
        </w:numPr>
        <w:spacing w:line="360" w:lineRule="auto"/>
        <w:ind w:left="425" w:hanging="425"/>
        <w:rPr>
          <w:rFonts w:ascii="Times New Roman" w:hAnsi="Times New Roman"/>
          <w:sz w:val="20"/>
          <w:lang w:val="en-SG"/>
        </w:rPr>
      </w:pPr>
    </w:p>
    <w:p w14:paraId="70F10FF6" w14:textId="77777777" w:rsidR="00677958" w:rsidRDefault="00677958" w:rsidP="002C36B9">
      <w:pPr>
        <w:pStyle w:val="MDPI71References"/>
        <w:numPr>
          <w:ilvl w:val="0"/>
          <w:numId w:val="0"/>
        </w:numPr>
        <w:spacing w:line="360" w:lineRule="auto"/>
        <w:ind w:left="425" w:hanging="425"/>
        <w:rPr>
          <w:rFonts w:ascii="Times New Roman" w:hAnsi="Times New Roman"/>
          <w:sz w:val="20"/>
          <w:lang w:val="en-SG"/>
        </w:rPr>
      </w:pPr>
    </w:p>
    <w:p w14:paraId="37C215AB" w14:textId="77777777" w:rsidR="00677958" w:rsidRDefault="00677958" w:rsidP="002C36B9">
      <w:pPr>
        <w:pStyle w:val="MDPI71References"/>
        <w:numPr>
          <w:ilvl w:val="0"/>
          <w:numId w:val="0"/>
        </w:numPr>
        <w:spacing w:line="360" w:lineRule="auto"/>
        <w:ind w:left="425" w:hanging="425"/>
        <w:rPr>
          <w:rFonts w:ascii="Times New Roman" w:hAnsi="Times New Roman"/>
          <w:sz w:val="20"/>
          <w:lang w:val="en-SG"/>
        </w:rPr>
      </w:pPr>
    </w:p>
    <w:p w14:paraId="69306A9B" w14:textId="77777777" w:rsidR="00677958" w:rsidRDefault="00677958" w:rsidP="002C36B9">
      <w:pPr>
        <w:pStyle w:val="MDPI71References"/>
        <w:numPr>
          <w:ilvl w:val="0"/>
          <w:numId w:val="0"/>
        </w:numPr>
        <w:spacing w:line="360" w:lineRule="auto"/>
        <w:ind w:left="425" w:hanging="425"/>
        <w:rPr>
          <w:rFonts w:ascii="Times New Roman" w:hAnsi="Times New Roman"/>
          <w:sz w:val="20"/>
          <w:lang w:val="en-SG"/>
        </w:rPr>
      </w:pPr>
    </w:p>
    <w:p w14:paraId="32B7EE6E" w14:textId="77777777" w:rsidR="002C36B9" w:rsidRDefault="002C36B9" w:rsidP="002C36B9">
      <w:pPr>
        <w:pStyle w:val="MDPI71References"/>
        <w:numPr>
          <w:ilvl w:val="0"/>
          <w:numId w:val="0"/>
        </w:numPr>
        <w:spacing w:line="360" w:lineRule="auto"/>
        <w:ind w:left="425" w:hanging="425"/>
        <w:rPr>
          <w:rFonts w:ascii="Times New Roman" w:hAnsi="Times New Roman"/>
          <w:sz w:val="20"/>
          <w:lang w:val="en-SG"/>
        </w:rPr>
      </w:pPr>
    </w:p>
    <w:p w14:paraId="5542BC70" w14:textId="77777777" w:rsidR="002C36B9" w:rsidRPr="00E96113" w:rsidRDefault="002C36B9" w:rsidP="002C36B9">
      <w:pPr>
        <w:spacing w:line="276" w:lineRule="auto"/>
        <w:jc w:val="center"/>
        <w:rPr>
          <w:rFonts w:ascii="Times New Roman" w:hAnsi="Times New Roman" w:cs="Times New Roman"/>
          <w:sz w:val="20"/>
          <w:szCs w:val="20"/>
        </w:rPr>
      </w:pPr>
      <w:r>
        <w:rPr>
          <w:rFonts w:ascii="Times New Roman" w:eastAsia="Times New Roman" w:hAnsi="Times New Roman" w:cs="Times New Roman"/>
          <w:noProof/>
          <w:sz w:val="20"/>
          <w:szCs w:val="20"/>
          <w:lang w:val="en-IN" w:eastAsia="en-IN"/>
        </w:rPr>
        <w:lastRenderedPageBreak/>
        <w:drawing>
          <wp:anchor distT="0" distB="0" distL="0" distR="0" simplePos="0" relativeHeight="251655680" behindDoc="0" locked="0" layoutInCell="1" allowOverlap="1" wp14:anchorId="1541AEFD" wp14:editId="7ABFA1F8">
            <wp:simplePos x="0" y="0"/>
            <wp:positionH relativeFrom="page">
              <wp:posOffset>749483</wp:posOffset>
            </wp:positionH>
            <wp:positionV relativeFrom="paragraph">
              <wp:posOffset>33020</wp:posOffset>
            </wp:positionV>
            <wp:extent cx="1127760" cy="361950"/>
            <wp:effectExtent l="0" t="0" r="0" b="0"/>
            <wp:wrapNone/>
            <wp:docPr id="9" name="image2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56.png"/>
                    <pic:cNvPicPr/>
                  </pic:nvPicPr>
                  <pic:blipFill>
                    <a:blip r:embed="rId13" cstate="print"/>
                    <a:stretch>
                      <a:fillRect/>
                    </a:stretch>
                  </pic:blipFill>
                  <pic:spPr>
                    <a:xfrm>
                      <a:off x="0" y="0"/>
                      <a:ext cx="1127760" cy="361950"/>
                    </a:xfrm>
                    <a:prstGeom prst="rect">
                      <a:avLst/>
                    </a:prstGeom>
                  </pic:spPr>
                </pic:pic>
              </a:graphicData>
            </a:graphic>
          </wp:anchor>
        </w:drawing>
      </w:r>
      <w:r w:rsidR="009F11F3">
        <w:rPr>
          <w:rFonts w:ascii="Times New Roman" w:hAnsi="Times New Roman" w:cs="Times New Roman"/>
          <w:sz w:val="20"/>
          <w:szCs w:val="20"/>
        </w:rPr>
        <w:tab/>
      </w:r>
      <w:r w:rsidRPr="00E96113">
        <w:rPr>
          <w:rFonts w:ascii="Times New Roman" w:hAnsi="Times New Roman" w:cs="Times New Roman"/>
          <w:sz w:val="20"/>
          <w:szCs w:val="20"/>
        </w:rPr>
        <w:t>This article is an open access article distributed under the terms and conditions of the</w:t>
      </w:r>
    </w:p>
    <w:p w14:paraId="7C4403A7" w14:textId="77777777" w:rsidR="002C36B9" w:rsidRPr="00E96113" w:rsidRDefault="002C36B9" w:rsidP="002C36B9">
      <w:pPr>
        <w:spacing w:before="65" w:line="240" w:lineRule="auto"/>
        <w:ind w:hanging="21"/>
        <w:rPr>
          <w:rFonts w:ascii="Times New Roman" w:eastAsiaTheme="minorEastAsia" w:hAnsi="Times New Roman" w:cs="Times New Roman"/>
          <w:color w:val="000000"/>
          <w:kern w:val="24"/>
          <w:sz w:val="20"/>
          <w:szCs w:val="20"/>
        </w:rPr>
      </w:pPr>
      <w:r w:rsidRPr="00E96113">
        <w:rPr>
          <w:rFonts w:ascii="Times New Roman" w:hAnsi="Times New Roman" w:cs="Times New Roman"/>
        </w:rPr>
        <w:tab/>
      </w:r>
      <w:r w:rsidRPr="00E96113">
        <w:rPr>
          <w:rFonts w:ascii="Times New Roman" w:hAnsi="Times New Roman" w:cs="Times New Roman"/>
        </w:rPr>
        <w:tab/>
      </w:r>
      <w:r w:rsidRPr="00E96113">
        <w:rPr>
          <w:rFonts w:ascii="Times New Roman" w:hAnsi="Times New Roman" w:cs="Times New Roman"/>
        </w:rPr>
        <w:tab/>
      </w:r>
      <w:r>
        <w:rPr>
          <w:rFonts w:ascii="Times New Roman" w:hAnsi="Times New Roman" w:cs="Times New Roman"/>
        </w:rPr>
        <w:t xml:space="preserve">    </w:t>
      </w:r>
      <w:hyperlink r:id="rId14" w:history="1">
        <w:r w:rsidRPr="00E96113">
          <w:rPr>
            <w:rStyle w:val="Hyperlink"/>
            <w:rFonts w:ascii="Times New Roman" w:hAnsi="Times New Roman" w:cs="Times New Roman"/>
            <w:sz w:val="20"/>
            <w:szCs w:val="20"/>
          </w:rPr>
          <w:t>Creative Commons Attribution (CC-BY) license 4.0</w:t>
        </w:r>
        <w:r>
          <w:rPr>
            <w:rFonts w:ascii="Times New Roman" w:hAnsi="Times New Roman" w:cs="Times New Roman"/>
            <w:noProof/>
            <w:color w:val="0000FF"/>
            <w:sz w:val="20"/>
            <w:szCs w:val="20"/>
            <w:u w:val="single"/>
            <w:lang w:val="en-IN" w:eastAsia="en-IN"/>
          </w:rPr>
          <mc:AlternateContent>
            <mc:Choice Requires="wps">
              <w:drawing>
                <wp:anchor distT="0" distB="0" distL="114300" distR="114300" simplePos="0" relativeHeight="251654656" behindDoc="0" locked="0" layoutInCell="1" allowOverlap="1" wp14:anchorId="024CB230" wp14:editId="69624A0C">
                  <wp:simplePos x="0" y="0"/>
                  <wp:positionH relativeFrom="margin">
                    <wp:posOffset>-287655</wp:posOffset>
                  </wp:positionH>
                  <wp:positionV relativeFrom="paragraph">
                    <wp:posOffset>4619625</wp:posOffset>
                  </wp:positionV>
                  <wp:extent cx="6518910" cy="377190"/>
                  <wp:effectExtent l="0" t="0" r="0" b="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18910" cy="377190"/>
                          </a:xfrm>
                          <a:prstGeom prst="rect">
                            <a:avLst/>
                          </a:prstGeom>
                        </wps:spPr>
                        <wps:txbx>
                          <w:txbxContent>
                            <w:p w14:paraId="521DFE76" w14:textId="77777777" w:rsidR="00C26FE8" w:rsidRPr="00294B05" w:rsidRDefault="00C26FE8" w:rsidP="002C36B9"/>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rect w14:anchorId="024CB230" id="Rectangle 3" o:spid="_x0000_s1026" style="position:absolute;margin-left:-22.65pt;margin-top:363.75pt;width:513.3pt;height:29.7pt;z-index:251654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MBOeAEAAOICAAAOAAAAZHJzL2Uyb0RvYy54bWysUsFu2zAMvQ/oPwi6N4o7LGmNOMWAor0U&#10;W4GsH6DIUmzMMlVSiZ2/H6U6adHeil0IUXx6fHzU6nb0nThYpBb6ShazuRS2N1C3/a6Sz3/uL6+l&#10;oKj7WnfQ20oeLcnb9cW31RBKewUNdLVFwSQ9lUOoZBNjKJUi01ivaQbB9lx0gF5HTnGnatQDs/tO&#10;Xc3nCzUA1gHBWCK+vXstynXmd86a+Ns5slF0lWRtMUfMcZuiWq90uUMdmtZMMvQXVHjd9tz0THWn&#10;oxZ7bD9R+dYgELg4M+AVONcam2fgaYr5h2k2jQ42z8LmUDjbRP+P1vw6bMITJukUHsH8JXZEDYHK&#10;cyUlNGFGhz5hWbgYs4vHs4t2jMLw5eJHcX1TsNmGa9+Xy+Im26x0eXodkOKDBS/SoZLIW8rm6cMj&#10;xdRflyfIJOa1f1ISx+3IkHTcQn18QjHw9ipJL3uNyaw0yM99hPs2U70BJyo2MneYlp429T7PqLev&#10;uf4HAAD//wMAUEsDBBQABgAIAAAAIQBdJFD44QAAAAsBAAAPAAAAZHJzL2Rvd25yZXYueG1sTI/L&#10;TsNADEX3SPzDyEhsUDtpafMikwoVkEp3hH7AJDFJaMYTZaZt+HvcFSx9fXR9nG0m04szjq6zpGAx&#10;D0AgVbbuqFFw+HybxSCc11Tr3hIq+EEHm/z2JtNpbS/0gefCN4JLyKVaQev9kErpqhaNdnM7IPHu&#10;y45Gex7HRtajvnC56eUyCEJpdEd8odUDblusjsXJKHjfr/aH7U5+H5Pu5WEXFYEsw1el7u+m5ycQ&#10;Hif/B8NVn9UhZ6fSnqh2olcwW60fGVUQLaM1CCaSeMFJyUkcJiDzTP7/If8FAAD//wMAUEsBAi0A&#10;FAAGAAgAAAAhALaDOJL+AAAA4QEAABMAAAAAAAAAAAAAAAAAAAAAAFtDb250ZW50X1R5cGVzXS54&#10;bWxQSwECLQAUAAYACAAAACEAOP0h/9YAAACUAQAACwAAAAAAAAAAAAAAAAAvAQAAX3JlbHMvLnJl&#10;bHNQSwECLQAUAAYACAAAACEAljjATngBAADiAgAADgAAAAAAAAAAAAAAAAAuAgAAZHJzL2Uyb0Rv&#10;Yy54bWxQSwECLQAUAAYACAAAACEAXSRQ+OEAAAALAQAADwAAAAAAAAAAAAAAAADSAwAAZHJzL2Rv&#10;d25yZXYueG1sUEsFBgAAAAAEAAQA8wAAAOAEAAAAAA==&#10;" filled="f" stroked="f">
                  <v:textbox style="mso-fit-shape-to-text:t">
                    <w:txbxContent>
                      <w:p w14:paraId="521DFE76" w14:textId="77777777" w:rsidR="00C26FE8" w:rsidRPr="00294B05" w:rsidRDefault="00C26FE8" w:rsidP="002C36B9"/>
                    </w:txbxContent>
                  </v:textbox>
                  <w10:wrap anchorx="margin"/>
                </v:rect>
              </w:pict>
            </mc:Fallback>
          </mc:AlternateContent>
        </w:r>
      </w:hyperlink>
    </w:p>
    <w:p w14:paraId="584D1E3E" w14:textId="77777777" w:rsidR="002C36B9" w:rsidRDefault="002C36B9" w:rsidP="002C36B9">
      <w:pPr>
        <w:pStyle w:val="MDPI71References"/>
        <w:numPr>
          <w:ilvl w:val="0"/>
          <w:numId w:val="0"/>
        </w:numPr>
        <w:spacing w:line="360" w:lineRule="auto"/>
        <w:ind w:left="425" w:hanging="425"/>
        <w:rPr>
          <w:rFonts w:ascii="Times New Roman" w:hAnsi="Times New Roman"/>
          <w:sz w:val="20"/>
          <w:lang w:val="en-SG"/>
        </w:rPr>
      </w:pPr>
    </w:p>
    <w:sectPr w:rsidR="002C36B9" w:rsidSect="00915810">
      <w:headerReference w:type="default" r:id="rId15"/>
      <w:footerReference w:type="default" r:id="rId16"/>
      <w:pgSz w:w="12240" w:h="15840" w:code="1"/>
      <w:pgMar w:top="576" w:right="1440" w:bottom="1008" w:left="1440" w:header="720" w:footer="720" w:gutter="0"/>
      <w:pgNumType w:start="313"/>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83829A" w14:textId="77777777" w:rsidR="00EA03B6" w:rsidRDefault="00EA03B6" w:rsidP="00A62EFF">
      <w:pPr>
        <w:spacing w:after="0" w:line="240" w:lineRule="auto"/>
      </w:pPr>
      <w:r>
        <w:separator/>
      </w:r>
    </w:p>
  </w:endnote>
  <w:endnote w:type="continuationSeparator" w:id="0">
    <w:p w14:paraId="73164859" w14:textId="77777777" w:rsidR="00EA03B6" w:rsidRDefault="00EA03B6" w:rsidP="00A62E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utami">
    <w:panose1 w:val="02000500000000000000"/>
    <w:charset w:val="00"/>
    <w:family w:val="swiss"/>
    <w:pitch w:val="variable"/>
    <w:sig w:usb0="002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Franklin Gothic Medium">
    <w:panose1 w:val="020B0603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4D96F" w14:textId="6E8A3095" w:rsidR="00C26FE8" w:rsidRPr="00D732F8" w:rsidRDefault="00C26FE8" w:rsidP="007661C1">
    <w:pPr>
      <w:pStyle w:val="Footer"/>
      <w:spacing w:before="240"/>
      <w:rPr>
        <w:i/>
        <w:sz w:val="20"/>
      </w:rPr>
    </w:pPr>
    <w:r w:rsidRPr="00221D3F">
      <w:rPr>
        <w:rFonts w:ascii="Times New Roman" w:hAnsi="Times New Roman" w:cs="Times New Roman"/>
        <w:b/>
        <w:i/>
        <w:color w:val="2E74B5" w:themeColor="accent1" w:themeShade="BF"/>
        <w:sz w:val="18"/>
        <w:szCs w:val="20"/>
      </w:rPr>
      <w:t>Archives of Internal Medicine Research</w:t>
    </w:r>
    <w:r>
      <w:rPr>
        <w:rFonts w:ascii="Times New Roman" w:hAnsi="Times New Roman" w:cs="Times New Roman"/>
        <w:b/>
        <w:color w:val="2E74B5" w:themeColor="accent1" w:themeShade="BF"/>
        <w:sz w:val="18"/>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50CB82" w14:textId="77777777" w:rsidR="00EA03B6" w:rsidRDefault="00EA03B6" w:rsidP="00A62EFF">
      <w:pPr>
        <w:spacing w:after="0" w:line="240" w:lineRule="auto"/>
      </w:pPr>
      <w:r>
        <w:separator/>
      </w:r>
    </w:p>
  </w:footnote>
  <w:footnote w:type="continuationSeparator" w:id="0">
    <w:p w14:paraId="5EC6A3DC" w14:textId="77777777" w:rsidR="00EA03B6" w:rsidRDefault="00EA03B6" w:rsidP="00A62E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38246" w14:textId="75A03799" w:rsidR="00C26FE8" w:rsidRPr="00E51D57" w:rsidRDefault="00C26FE8" w:rsidP="00A11E71">
    <w:pPr>
      <w:pStyle w:val="Header"/>
      <w:rPr>
        <w:rFonts w:ascii="Times New Roman" w:hAnsi="Times New Roman" w:cs="Times New Roman"/>
        <w:b/>
        <w:bCs/>
        <w:i/>
        <w:color w:val="2E74B6"/>
        <w:sz w:val="18"/>
        <w:szCs w:val="20"/>
        <w:lang w:val="fr-FR"/>
      </w:rPr>
    </w:pPr>
    <w:r w:rsidRPr="002700F9">
      <w:rPr>
        <w:rFonts w:ascii="Times New Roman" w:hAnsi="Times New Roman" w:cs="Times New Roman"/>
        <w:b/>
        <w:i/>
        <w:color w:val="2E74B5" w:themeColor="accent1" w:themeShade="BF"/>
        <w:sz w:val="18"/>
        <w:szCs w:val="20"/>
      </w:rPr>
      <w:t xml:space="preserve"> Arch Intern Med Res</w:t>
    </w:r>
    <w:r>
      <w:rPr>
        <w:rFonts w:ascii="Times New Roman" w:hAnsi="Times New Roman" w:cs="Times New Roman"/>
        <w:b/>
        <w:i/>
        <w:color w:val="2E74B5" w:themeColor="accent1" w:themeShade="BF"/>
        <w:sz w:val="18"/>
        <w:szCs w:val="20"/>
      </w:rPr>
      <w:t xml:space="preserve"> 202</w:t>
    </w:r>
    <w:r w:rsidR="009A20FD">
      <w:rPr>
        <w:rFonts w:ascii="Times New Roman" w:hAnsi="Times New Roman" w:cs="Times New Roman"/>
        <w:b/>
        <w:i/>
        <w:color w:val="2E74B5" w:themeColor="accent1" w:themeShade="BF"/>
        <w:sz w:val="18"/>
        <w:szCs w:val="20"/>
      </w:rPr>
      <w:t>6</w:t>
    </w:r>
    <w:r>
      <w:rPr>
        <w:rFonts w:ascii="Times New Roman" w:hAnsi="Times New Roman" w:cs="Times New Roman"/>
        <w:b/>
        <w:i/>
        <w:color w:val="2E74B5" w:themeColor="accent1" w:themeShade="BF"/>
        <w:sz w:val="18"/>
        <w:szCs w:val="20"/>
      </w:rPr>
      <w:t xml:space="preserve">; </w:t>
    </w:r>
    <w:r w:rsidR="00042180">
      <w:rPr>
        <w:rFonts w:ascii="Times New Roman" w:hAnsi="Times New Roman" w:cs="Times New Roman"/>
        <w:b/>
        <w:i/>
        <w:color w:val="2E74B5" w:themeColor="accent1" w:themeShade="BF"/>
        <w:sz w:val="18"/>
        <w:szCs w:val="20"/>
      </w:rPr>
      <w:t>9</w:t>
    </w:r>
    <w:r>
      <w:rPr>
        <w:rFonts w:ascii="Times New Roman" w:hAnsi="Times New Roman" w:cs="Times New Roman"/>
        <w:b/>
        <w:i/>
        <w:color w:val="2E74B5" w:themeColor="accent1" w:themeShade="BF"/>
        <w:sz w:val="18"/>
        <w:szCs w:val="20"/>
      </w:rPr>
      <w:t xml:space="preserve"> (</w:t>
    </w:r>
    <w:r w:rsidR="0054256C">
      <w:rPr>
        <w:rFonts w:ascii="Times New Roman" w:hAnsi="Times New Roman" w:cs="Times New Roman"/>
        <w:b/>
        <w:i/>
        <w:color w:val="2E74B5" w:themeColor="accent1" w:themeShade="BF"/>
        <w:sz w:val="18"/>
        <w:szCs w:val="20"/>
      </w:rPr>
      <w:t>3</w:t>
    </w:r>
    <w:r>
      <w:rPr>
        <w:rFonts w:ascii="Times New Roman" w:hAnsi="Times New Roman" w:cs="Times New Roman"/>
        <w:b/>
        <w:i/>
        <w:color w:val="2E74B5" w:themeColor="accent1" w:themeShade="BF"/>
        <w:sz w:val="18"/>
        <w:szCs w:val="20"/>
      </w:rPr>
      <w:t xml:space="preserve">): </w:t>
    </w:r>
    <w:r w:rsidR="00ED02E3">
      <w:rPr>
        <w:rFonts w:ascii="Times New Roman" w:hAnsi="Times New Roman" w:cs="Times New Roman"/>
        <w:b/>
        <w:i/>
        <w:color w:val="2E74B5" w:themeColor="accent1" w:themeShade="BF"/>
        <w:sz w:val="18"/>
        <w:szCs w:val="20"/>
      </w:rPr>
      <w:t>325</w:t>
    </w:r>
    <w:r>
      <w:rPr>
        <w:rFonts w:ascii="Times New Roman" w:hAnsi="Times New Roman" w:cs="Times New Roman"/>
        <w:b/>
        <w:i/>
        <w:color w:val="2E74B5" w:themeColor="accent1" w:themeShade="BF"/>
        <w:sz w:val="18"/>
        <w:szCs w:val="20"/>
      </w:rPr>
      <w:t>-</w:t>
    </w:r>
    <w:r w:rsidR="00EB42B2">
      <w:rPr>
        <w:rFonts w:ascii="Times New Roman" w:hAnsi="Times New Roman" w:cs="Times New Roman"/>
        <w:b/>
        <w:i/>
        <w:color w:val="2E74B5" w:themeColor="accent1" w:themeShade="BF"/>
        <w:sz w:val="18"/>
        <w:szCs w:val="20"/>
      </w:rPr>
      <w:t>330</w:t>
    </w:r>
    <w:r w:rsidRPr="00E51D57">
      <w:rPr>
        <w:rFonts w:ascii="Times New Roman" w:hAnsi="Times New Roman" w:cs="Times New Roman"/>
        <w:b/>
        <w:i/>
        <w:color w:val="2E74B5" w:themeColor="accent1" w:themeShade="BF"/>
        <w:sz w:val="18"/>
        <w:szCs w:val="20"/>
        <w:lang w:val="fr-FR"/>
      </w:rPr>
      <w:tab/>
    </w:r>
    <w:r w:rsidRPr="00E51D57">
      <w:rPr>
        <w:rFonts w:ascii="Times New Roman" w:hAnsi="Times New Roman" w:cs="Times New Roman"/>
        <w:b/>
        <w:i/>
        <w:color w:val="2E74B5" w:themeColor="accent1" w:themeShade="BF"/>
        <w:sz w:val="18"/>
        <w:szCs w:val="20"/>
        <w:lang w:val="fr-FR"/>
      </w:rPr>
      <w:tab/>
    </w:r>
    <w:r>
      <w:rPr>
        <w:rFonts w:ascii="Times New Roman" w:hAnsi="Times New Roman" w:cs="Times New Roman"/>
        <w:b/>
        <w:bCs/>
        <w:color w:val="2E74B6"/>
        <w:sz w:val="18"/>
        <w:szCs w:val="20"/>
      </w:rPr>
      <w:t xml:space="preserve">DOI: </w:t>
    </w:r>
    <w:r>
      <w:rPr>
        <w:rFonts w:ascii="Times New Roman" w:hAnsi="Times New Roman" w:cs="Times New Roman"/>
        <w:b/>
        <w:bCs/>
        <w:i/>
        <w:color w:val="2E74B6"/>
        <w:sz w:val="18"/>
        <w:szCs w:val="20"/>
      </w:rPr>
      <w:t>10.26502/aimr.0</w:t>
    </w:r>
    <w:r w:rsidR="00ED02E3">
      <w:rPr>
        <w:rFonts w:ascii="Times New Roman" w:hAnsi="Times New Roman" w:cs="Times New Roman"/>
        <w:b/>
        <w:bCs/>
        <w:i/>
        <w:color w:val="2E74B6"/>
        <w:sz w:val="18"/>
        <w:szCs w:val="20"/>
      </w:rPr>
      <w:t>259</w:t>
    </w:r>
  </w:p>
  <w:p w14:paraId="4F996D9A" w14:textId="77777777" w:rsidR="00C26FE8" w:rsidRPr="00E51D57" w:rsidRDefault="00C26FE8" w:rsidP="00A11E71">
    <w:pPr>
      <w:pStyle w:val="Header"/>
      <w:rPr>
        <w:rFonts w:ascii="Times New Roman" w:hAnsi="Times New Roman" w:cs="Times New Roman"/>
        <w:b/>
        <w:bCs/>
        <w:i/>
        <w:color w:val="2E74B6"/>
        <w:sz w:val="18"/>
        <w:szCs w:val="20"/>
        <w:lang w:val="fr-FR"/>
      </w:rPr>
    </w:pPr>
  </w:p>
  <w:p w14:paraId="4C0E934C" w14:textId="77777777" w:rsidR="00C26FE8" w:rsidRPr="00E51D57" w:rsidRDefault="00C26FE8" w:rsidP="00A11E71">
    <w:pPr>
      <w:pStyle w:val="Header"/>
      <w:rPr>
        <w:i/>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C0005"/>
    <w:multiLevelType w:val="hybridMultilevel"/>
    <w:tmpl w:val="D550096C"/>
    <w:lvl w:ilvl="0" w:tplc="86063208">
      <w:start w:val="1"/>
      <w:numFmt w:val="decimal"/>
      <w:lvlText w:val="%1."/>
      <w:lvlJc w:val="left"/>
      <w:pPr>
        <w:ind w:left="785" w:hanging="360"/>
      </w:pPr>
      <w:rPr>
        <w:rFonts w:hint="default"/>
      </w:rPr>
    </w:lvl>
    <w:lvl w:ilvl="1" w:tplc="40090019" w:tentative="1">
      <w:start w:val="1"/>
      <w:numFmt w:val="lowerLetter"/>
      <w:lvlText w:val="%2."/>
      <w:lvlJc w:val="left"/>
      <w:pPr>
        <w:ind w:left="1505" w:hanging="360"/>
      </w:pPr>
    </w:lvl>
    <w:lvl w:ilvl="2" w:tplc="4009001B" w:tentative="1">
      <w:start w:val="1"/>
      <w:numFmt w:val="lowerRoman"/>
      <w:lvlText w:val="%3."/>
      <w:lvlJc w:val="right"/>
      <w:pPr>
        <w:ind w:left="2225" w:hanging="180"/>
      </w:pPr>
    </w:lvl>
    <w:lvl w:ilvl="3" w:tplc="4009000F" w:tentative="1">
      <w:start w:val="1"/>
      <w:numFmt w:val="decimal"/>
      <w:lvlText w:val="%4."/>
      <w:lvlJc w:val="left"/>
      <w:pPr>
        <w:ind w:left="2945" w:hanging="360"/>
      </w:pPr>
    </w:lvl>
    <w:lvl w:ilvl="4" w:tplc="40090019" w:tentative="1">
      <w:start w:val="1"/>
      <w:numFmt w:val="lowerLetter"/>
      <w:lvlText w:val="%5."/>
      <w:lvlJc w:val="left"/>
      <w:pPr>
        <w:ind w:left="3665" w:hanging="360"/>
      </w:pPr>
    </w:lvl>
    <w:lvl w:ilvl="5" w:tplc="4009001B" w:tentative="1">
      <w:start w:val="1"/>
      <w:numFmt w:val="lowerRoman"/>
      <w:lvlText w:val="%6."/>
      <w:lvlJc w:val="right"/>
      <w:pPr>
        <w:ind w:left="4385" w:hanging="180"/>
      </w:pPr>
    </w:lvl>
    <w:lvl w:ilvl="6" w:tplc="4009000F" w:tentative="1">
      <w:start w:val="1"/>
      <w:numFmt w:val="decimal"/>
      <w:lvlText w:val="%7."/>
      <w:lvlJc w:val="left"/>
      <w:pPr>
        <w:ind w:left="5105" w:hanging="360"/>
      </w:pPr>
    </w:lvl>
    <w:lvl w:ilvl="7" w:tplc="40090019" w:tentative="1">
      <w:start w:val="1"/>
      <w:numFmt w:val="lowerLetter"/>
      <w:lvlText w:val="%8."/>
      <w:lvlJc w:val="left"/>
      <w:pPr>
        <w:ind w:left="5825" w:hanging="360"/>
      </w:pPr>
    </w:lvl>
    <w:lvl w:ilvl="8" w:tplc="4009001B" w:tentative="1">
      <w:start w:val="1"/>
      <w:numFmt w:val="lowerRoman"/>
      <w:lvlText w:val="%9."/>
      <w:lvlJc w:val="right"/>
      <w:pPr>
        <w:ind w:left="6545" w:hanging="180"/>
      </w:pPr>
    </w:lvl>
  </w:abstractNum>
  <w:abstractNum w:abstractNumId="1" w15:restartNumberingAfterBreak="0">
    <w:nsid w:val="074502F3"/>
    <w:multiLevelType w:val="hybridMultilevel"/>
    <w:tmpl w:val="9236B7E0"/>
    <w:lvl w:ilvl="0" w:tplc="DE22694A">
      <w:numFmt w:val="bullet"/>
      <w:lvlText w:val="•"/>
      <w:lvlJc w:val="left"/>
      <w:pPr>
        <w:ind w:left="720" w:hanging="360"/>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08BB2EAC"/>
    <w:multiLevelType w:val="hybridMultilevel"/>
    <w:tmpl w:val="F59E4CAA"/>
    <w:lvl w:ilvl="0" w:tplc="82EAEDF8">
      <w:start w:val="1"/>
      <w:numFmt w:val="decimal"/>
      <w:lvlText w:val="%1."/>
      <w:lvlJc w:val="left"/>
      <w:pPr>
        <w:ind w:left="785" w:hanging="360"/>
      </w:pPr>
      <w:rPr>
        <w:rFonts w:hint="default"/>
      </w:rPr>
    </w:lvl>
    <w:lvl w:ilvl="1" w:tplc="40090019" w:tentative="1">
      <w:start w:val="1"/>
      <w:numFmt w:val="lowerLetter"/>
      <w:lvlText w:val="%2."/>
      <w:lvlJc w:val="left"/>
      <w:pPr>
        <w:ind w:left="1505" w:hanging="360"/>
      </w:pPr>
    </w:lvl>
    <w:lvl w:ilvl="2" w:tplc="4009001B" w:tentative="1">
      <w:start w:val="1"/>
      <w:numFmt w:val="lowerRoman"/>
      <w:lvlText w:val="%3."/>
      <w:lvlJc w:val="right"/>
      <w:pPr>
        <w:ind w:left="2225" w:hanging="180"/>
      </w:pPr>
    </w:lvl>
    <w:lvl w:ilvl="3" w:tplc="4009000F" w:tentative="1">
      <w:start w:val="1"/>
      <w:numFmt w:val="decimal"/>
      <w:lvlText w:val="%4."/>
      <w:lvlJc w:val="left"/>
      <w:pPr>
        <w:ind w:left="2945" w:hanging="360"/>
      </w:pPr>
    </w:lvl>
    <w:lvl w:ilvl="4" w:tplc="40090019" w:tentative="1">
      <w:start w:val="1"/>
      <w:numFmt w:val="lowerLetter"/>
      <w:lvlText w:val="%5."/>
      <w:lvlJc w:val="left"/>
      <w:pPr>
        <w:ind w:left="3665" w:hanging="360"/>
      </w:pPr>
    </w:lvl>
    <w:lvl w:ilvl="5" w:tplc="4009001B" w:tentative="1">
      <w:start w:val="1"/>
      <w:numFmt w:val="lowerRoman"/>
      <w:lvlText w:val="%6."/>
      <w:lvlJc w:val="right"/>
      <w:pPr>
        <w:ind w:left="4385" w:hanging="180"/>
      </w:pPr>
    </w:lvl>
    <w:lvl w:ilvl="6" w:tplc="4009000F" w:tentative="1">
      <w:start w:val="1"/>
      <w:numFmt w:val="decimal"/>
      <w:lvlText w:val="%7."/>
      <w:lvlJc w:val="left"/>
      <w:pPr>
        <w:ind w:left="5105" w:hanging="360"/>
      </w:pPr>
    </w:lvl>
    <w:lvl w:ilvl="7" w:tplc="40090019" w:tentative="1">
      <w:start w:val="1"/>
      <w:numFmt w:val="lowerLetter"/>
      <w:lvlText w:val="%8."/>
      <w:lvlJc w:val="left"/>
      <w:pPr>
        <w:ind w:left="5825" w:hanging="360"/>
      </w:pPr>
    </w:lvl>
    <w:lvl w:ilvl="8" w:tplc="4009001B" w:tentative="1">
      <w:start w:val="1"/>
      <w:numFmt w:val="lowerRoman"/>
      <w:lvlText w:val="%9."/>
      <w:lvlJc w:val="right"/>
      <w:pPr>
        <w:ind w:left="6545" w:hanging="180"/>
      </w:pPr>
    </w:lvl>
  </w:abstractNum>
  <w:abstractNum w:abstractNumId="3" w15:restartNumberingAfterBreak="0">
    <w:nsid w:val="08CA67FF"/>
    <w:multiLevelType w:val="hybridMultilevel"/>
    <w:tmpl w:val="C9544FF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10640FF6"/>
    <w:multiLevelType w:val="hybridMultilevel"/>
    <w:tmpl w:val="96A6C57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10C17C03"/>
    <w:multiLevelType w:val="hybridMultilevel"/>
    <w:tmpl w:val="DE2CF4DA"/>
    <w:lvl w:ilvl="0" w:tplc="1BECA1A6">
      <w:start w:val="1"/>
      <w:numFmt w:val="decimal"/>
      <w:lvlText w:val="%1."/>
      <w:lvlJc w:val="left"/>
      <w:pPr>
        <w:ind w:left="785" w:hanging="360"/>
      </w:pPr>
      <w:rPr>
        <w:rFonts w:hint="default"/>
      </w:rPr>
    </w:lvl>
    <w:lvl w:ilvl="1" w:tplc="40090019" w:tentative="1">
      <w:start w:val="1"/>
      <w:numFmt w:val="lowerLetter"/>
      <w:lvlText w:val="%2."/>
      <w:lvlJc w:val="left"/>
      <w:pPr>
        <w:ind w:left="1505" w:hanging="360"/>
      </w:pPr>
    </w:lvl>
    <w:lvl w:ilvl="2" w:tplc="4009001B" w:tentative="1">
      <w:start w:val="1"/>
      <w:numFmt w:val="lowerRoman"/>
      <w:lvlText w:val="%3."/>
      <w:lvlJc w:val="right"/>
      <w:pPr>
        <w:ind w:left="2225" w:hanging="180"/>
      </w:pPr>
    </w:lvl>
    <w:lvl w:ilvl="3" w:tplc="4009000F" w:tentative="1">
      <w:start w:val="1"/>
      <w:numFmt w:val="decimal"/>
      <w:lvlText w:val="%4."/>
      <w:lvlJc w:val="left"/>
      <w:pPr>
        <w:ind w:left="2945" w:hanging="360"/>
      </w:pPr>
    </w:lvl>
    <w:lvl w:ilvl="4" w:tplc="40090019" w:tentative="1">
      <w:start w:val="1"/>
      <w:numFmt w:val="lowerLetter"/>
      <w:lvlText w:val="%5."/>
      <w:lvlJc w:val="left"/>
      <w:pPr>
        <w:ind w:left="3665" w:hanging="360"/>
      </w:pPr>
    </w:lvl>
    <w:lvl w:ilvl="5" w:tplc="4009001B" w:tentative="1">
      <w:start w:val="1"/>
      <w:numFmt w:val="lowerRoman"/>
      <w:lvlText w:val="%6."/>
      <w:lvlJc w:val="right"/>
      <w:pPr>
        <w:ind w:left="4385" w:hanging="180"/>
      </w:pPr>
    </w:lvl>
    <w:lvl w:ilvl="6" w:tplc="4009000F" w:tentative="1">
      <w:start w:val="1"/>
      <w:numFmt w:val="decimal"/>
      <w:lvlText w:val="%7."/>
      <w:lvlJc w:val="left"/>
      <w:pPr>
        <w:ind w:left="5105" w:hanging="360"/>
      </w:pPr>
    </w:lvl>
    <w:lvl w:ilvl="7" w:tplc="40090019" w:tentative="1">
      <w:start w:val="1"/>
      <w:numFmt w:val="lowerLetter"/>
      <w:lvlText w:val="%8."/>
      <w:lvlJc w:val="left"/>
      <w:pPr>
        <w:ind w:left="5825" w:hanging="360"/>
      </w:pPr>
    </w:lvl>
    <w:lvl w:ilvl="8" w:tplc="4009001B" w:tentative="1">
      <w:start w:val="1"/>
      <w:numFmt w:val="lowerRoman"/>
      <w:lvlText w:val="%9."/>
      <w:lvlJc w:val="right"/>
      <w:pPr>
        <w:ind w:left="6545" w:hanging="180"/>
      </w:pPr>
    </w:lvl>
  </w:abstractNum>
  <w:abstractNum w:abstractNumId="6" w15:restartNumberingAfterBreak="0">
    <w:nsid w:val="14622A90"/>
    <w:multiLevelType w:val="hybridMultilevel"/>
    <w:tmpl w:val="F604B70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14681B2C"/>
    <w:multiLevelType w:val="hybridMultilevel"/>
    <w:tmpl w:val="2560379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151E610C"/>
    <w:multiLevelType w:val="hybridMultilevel"/>
    <w:tmpl w:val="F9909746"/>
    <w:lvl w:ilvl="0" w:tplc="0AE8D076">
      <w:start w:val="1"/>
      <w:numFmt w:val="decimal"/>
      <w:lvlText w:val="%1."/>
      <w:lvlJc w:val="left"/>
      <w:pPr>
        <w:ind w:left="785" w:hanging="360"/>
      </w:pPr>
      <w:rPr>
        <w:rFonts w:hint="default"/>
      </w:rPr>
    </w:lvl>
    <w:lvl w:ilvl="1" w:tplc="40090019" w:tentative="1">
      <w:start w:val="1"/>
      <w:numFmt w:val="lowerLetter"/>
      <w:lvlText w:val="%2."/>
      <w:lvlJc w:val="left"/>
      <w:pPr>
        <w:ind w:left="1505" w:hanging="360"/>
      </w:pPr>
    </w:lvl>
    <w:lvl w:ilvl="2" w:tplc="4009001B" w:tentative="1">
      <w:start w:val="1"/>
      <w:numFmt w:val="lowerRoman"/>
      <w:lvlText w:val="%3."/>
      <w:lvlJc w:val="right"/>
      <w:pPr>
        <w:ind w:left="2225" w:hanging="180"/>
      </w:pPr>
    </w:lvl>
    <w:lvl w:ilvl="3" w:tplc="4009000F" w:tentative="1">
      <w:start w:val="1"/>
      <w:numFmt w:val="decimal"/>
      <w:lvlText w:val="%4."/>
      <w:lvlJc w:val="left"/>
      <w:pPr>
        <w:ind w:left="2945" w:hanging="360"/>
      </w:pPr>
    </w:lvl>
    <w:lvl w:ilvl="4" w:tplc="40090019" w:tentative="1">
      <w:start w:val="1"/>
      <w:numFmt w:val="lowerLetter"/>
      <w:lvlText w:val="%5."/>
      <w:lvlJc w:val="left"/>
      <w:pPr>
        <w:ind w:left="3665" w:hanging="360"/>
      </w:pPr>
    </w:lvl>
    <w:lvl w:ilvl="5" w:tplc="4009001B" w:tentative="1">
      <w:start w:val="1"/>
      <w:numFmt w:val="lowerRoman"/>
      <w:lvlText w:val="%6."/>
      <w:lvlJc w:val="right"/>
      <w:pPr>
        <w:ind w:left="4385" w:hanging="180"/>
      </w:pPr>
    </w:lvl>
    <w:lvl w:ilvl="6" w:tplc="4009000F" w:tentative="1">
      <w:start w:val="1"/>
      <w:numFmt w:val="decimal"/>
      <w:lvlText w:val="%7."/>
      <w:lvlJc w:val="left"/>
      <w:pPr>
        <w:ind w:left="5105" w:hanging="360"/>
      </w:pPr>
    </w:lvl>
    <w:lvl w:ilvl="7" w:tplc="40090019" w:tentative="1">
      <w:start w:val="1"/>
      <w:numFmt w:val="lowerLetter"/>
      <w:lvlText w:val="%8."/>
      <w:lvlJc w:val="left"/>
      <w:pPr>
        <w:ind w:left="5825" w:hanging="360"/>
      </w:pPr>
    </w:lvl>
    <w:lvl w:ilvl="8" w:tplc="4009001B" w:tentative="1">
      <w:start w:val="1"/>
      <w:numFmt w:val="lowerRoman"/>
      <w:lvlText w:val="%9."/>
      <w:lvlJc w:val="right"/>
      <w:pPr>
        <w:ind w:left="6545" w:hanging="180"/>
      </w:pPr>
    </w:lvl>
  </w:abstractNum>
  <w:abstractNum w:abstractNumId="9" w15:restartNumberingAfterBreak="0">
    <w:nsid w:val="156F7AA5"/>
    <w:multiLevelType w:val="hybridMultilevel"/>
    <w:tmpl w:val="E4149850"/>
    <w:lvl w:ilvl="0" w:tplc="A3B6ED30">
      <w:start w:val="1"/>
      <w:numFmt w:val="decimal"/>
      <w:lvlText w:val="%1."/>
      <w:lvlJc w:val="left"/>
      <w:pPr>
        <w:ind w:left="785" w:hanging="360"/>
      </w:pPr>
      <w:rPr>
        <w:rFonts w:hint="default"/>
      </w:rPr>
    </w:lvl>
    <w:lvl w:ilvl="1" w:tplc="40090019" w:tentative="1">
      <w:start w:val="1"/>
      <w:numFmt w:val="lowerLetter"/>
      <w:lvlText w:val="%2."/>
      <w:lvlJc w:val="left"/>
      <w:pPr>
        <w:ind w:left="1505" w:hanging="360"/>
      </w:pPr>
    </w:lvl>
    <w:lvl w:ilvl="2" w:tplc="4009001B" w:tentative="1">
      <w:start w:val="1"/>
      <w:numFmt w:val="lowerRoman"/>
      <w:lvlText w:val="%3."/>
      <w:lvlJc w:val="right"/>
      <w:pPr>
        <w:ind w:left="2225" w:hanging="180"/>
      </w:pPr>
    </w:lvl>
    <w:lvl w:ilvl="3" w:tplc="4009000F" w:tentative="1">
      <w:start w:val="1"/>
      <w:numFmt w:val="decimal"/>
      <w:lvlText w:val="%4."/>
      <w:lvlJc w:val="left"/>
      <w:pPr>
        <w:ind w:left="2945" w:hanging="360"/>
      </w:pPr>
    </w:lvl>
    <w:lvl w:ilvl="4" w:tplc="40090019" w:tentative="1">
      <w:start w:val="1"/>
      <w:numFmt w:val="lowerLetter"/>
      <w:lvlText w:val="%5."/>
      <w:lvlJc w:val="left"/>
      <w:pPr>
        <w:ind w:left="3665" w:hanging="360"/>
      </w:pPr>
    </w:lvl>
    <w:lvl w:ilvl="5" w:tplc="4009001B" w:tentative="1">
      <w:start w:val="1"/>
      <w:numFmt w:val="lowerRoman"/>
      <w:lvlText w:val="%6."/>
      <w:lvlJc w:val="right"/>
      <w:pPr>
        <w:ind w:left="4385" w:hanging="180"/>
      </w:pPr>
    </w:lvl>
    <w:lvl w:ilvl="6" w:tplc="4009000F" w:tentative="1">
      <w:start w:val="1"/>
      <w:numFmt w:val="decimal"/>
      <w:lvlText w:val="%7."/>
      <w:lvlJc w:val="left"/>
      <w:pPr>
        <w:ind w:left="5105" w:hanging="360"/>
      </w:pPr>
    </w:lvl>
    <w:lvl w:ilvl="7" w:tplc="40090019" w:tentative="1">
      <w:start w:val="1"/>
      <w:numFmt w:val="lowerLetter"/>
      <w:lvlText w:val="%8."/>
      <w:lvlJc w:val="left"/>
      <w:pPr>
        <w:ind w:left="5825" w:hanging="360"/>
      </w:pPr>
    </w:lvl>
    <w:lvl w:ilvl="8" w:tplc="4009001B" w:tentative="1">
      <w:start w:val="1"/>
      <w:numFmt w:val="lowerRoman"/>
      <w:lvlText w:val="%9."/>
      <w:lvlJc w:val="right"/>
      <w:pPr>
        <w:ind w:left="6545" w:hanging="180"/>
      </w:pPr>
    </w:lvl>
  </w:abstractNum>
  <w:abstractNum w:abstractNumId="10" w15:restartNumberingAfterBreak="0">
    <w:nsid w:val="19091598"/>
    <w:multiLevelType w:val="hybridMultilevel"/>
    <w:tmpl w:val="4F70E35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1AEA403E"/>
    <w:multiLevelType w:val="hybridMultilevel"/>
    <w:tmpl w:val="C076E09C"/>
    <w:lvl w:ilvl="0" w:tplc="1F4636DA">
      <w:numFmt w:val="bullet"/>
      <w:lvlText w:val="•"/>
      <w:lvlJc w:val="left"/>
      <w:pPr>
        <w:ind w:left="1080" w:hanging="720"/>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15:restartNumberingAfterBreak="0">
    <w:nsid w:val="24371778"/>
    <w:multiLevelType w:val="hybridMultilevel"/>
    <w:tmpl w:val="218677B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250A245F"/>
    <w:multiLevelType w:val="hybridMultilevel"/>
    <w:tmpl w:val="046AB7BC"/>
    <w:lvl w:ilvl="0" w:tplc="47285524">
      <w:start w:val="1"/>
      <w:numFmt w:val="decimal"/>
      <w:pStyle w:val="MDPI71References"/>
      <w:lvlText w:val="%1."/>
      <w:lvlJc w:val="left"/>
      <w:pPr>
        <w:ind w:left="780" w:hanging="420"/>
      </w:pPr>
      <w:rPr>
        <w:rFonts w:ascii="Times New Roman" w:eastAsia="Times New Roman" w:hAnsi="Times New Roman" w:cs="Times New Roman"/>
      </w:rPr>
    </w:lvl>
    <w:lvl w:ilvl="1" w:tplc="77600E32" w:tentative="1">
      <w:start w:val="1"/>
      <w:numFmt w:val="lowerLetter"/>
      <w:lvlText w:val="%2."/>
      <w:lvlJc w:val="left"/>
      <w:pPr>
        <w:ind w:left="1440" w:hanging="360"/>
      </w:pPr>
    </w:lvl>
    <w:lvl w:ilvl="2" w:tplc="02389692" w:tentative="1">
      <w:start w:val="1"/>
      <w:numFmt w:val="lowerRoman"/>
      <w:lvlText w:val="%3."/>
      <w:lvlJc w:val="right"/>
      <w:pPr>
        <w:ind w:left="2160" w:hanging="180"/>
      </w:pPr>
    </w:lvl>
    <w:lvl w:ilvl="3" w:tplc="F89E8F3A" w:tentative="1">
      <w:start w:val="1"/>
      <w:numFmt w:val="decimal"/>
      <w:lvlText w:val="%4."/>
      <w:lvlJc w:val="left"/>
      <w:pPr>
        <w:ind w:left="2880" w:hanging="360"/>
      </w:pPr>
    </w:lvl>
    <w:lvl w:ilvl="4" w:tplc="12A479D6" w:tentative="1">
      <w:start w:val="1"/>
      <w:numFmt w:val="lowerLetter"/>
      <w:lvlText w:val="%5."/>
      <w:lvlJc w:val="left"/>
      <w:pPr>
        <w:ind w:left="3600" w:hanging="360"/>
      </w:pPr>
    </w:lvl>
    <w:lvl w:ilvl="5" w:tplc="772C3C12" w:tentative="1">
      <w:start w:val="1"/>
      <w:numFmt w:val="lowerRoman"/>
      <w:lvlText w:val="%6."/>
      <w:lvlJc w:val="right"/>
      <w:pPr>
        <w:ind w:left="4320" w:hanging="180"/>
      </w:pPr>
    </w:lvl>
    <w:lvl w:ilvl="6" w:tplc="D6003886" w:tentative="1">
      <w:start w:val="1"/>
      <w:numFmt w:val="decimal"/>
      <w:lvlText w:val="%7."/>
      <w:lvlJc w:val="left"/>
      <w:pPr>
        <w:ind w:left="5040" w:hanging="360"/>
      </w:pPr>
    </w:lvl>
    <w:lvl w:ilvl="7" w:tplc="F524F1FE" w:tentative="1">
      <w:start w:val="1"/>
      <w:numFmt w:val="lowerLetter"/>
      <w:lvlText w:val="%8."/>
      <w:lvlJc w:val="left"/>
      <w:pPr>
        <w:ind w:left="5760" w:hanging="360"/>
      </w:pPr>
    </w:lvl>
    <w:lvl w:ilvl="8" w:tplc="58D8AB84" w:tentative="1">
      <w:start w:val="1"/>
      <w:numFmt w:val="lowerRoman"/>
      <w:lvlText w:val="%9."/>
      <w:lvlJc w:val="right"/>
      <w:pPr>
        <w:ind w:left="6480" w:hanging="180"/>
      </w:pPr>
    </w:lvl>
  </w:abstractNum>
  <w:abstractNum w:abstractNumId="14" w15:restartNumberingAfterBreak="0">
    <w:nsid w:val="268622E3"/>
    <w:multiLevelType w:val="hybridMultilevel"/>
    <w:tmpl w:val="1D280A2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283D7303"/>
    <w:multiLevelType w:val="hybridMultilevel"/>
    <w:tmpl w:val="FFB8D3E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15:restartNumberingAfterBreak="0">
    <w:nsid w:val="2FEC30B1"/>
    <w:multiLevelType w:val="hybridMultilevel"/>
    <w:tmpl w:val="6E58A58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 w15:restartNumberingAfterBreak="0">
    <w:nsid w:val="344F0AD0"/>
    <w:multiLevelType w:val="hybridMultilevel"/>
    <w:tmpl w:val="20304A5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6D25560"/>
    <w:multiLevelType w:val="hybridMultilevel"/>
    <w:tmpl w:val="A6D83094"/>
    <w:lvl w:ilvl="0" w:tplc="88988E82">
      <w:start w:val="1"/>
      <w:numFmt w:val="decimal"/>
      <w:lvlText w:val="%1."/>
      <w:lvlJc w:val="left"/>
      <w:pPr>
        <w:ind w:left="785" w:hanging="360"/>
      </w:pPr>
      <w:rPr>
        <w:rFonts w:hint="default"/>
      </w:rPr>
    </w:lvl>
    <w:lvl w:ilvl="1" w:tplc="40090019" w:tentative="1">
      <w:start w:val="1"/>
      <w:numFmt w:val="lowerLetter"/>
      <w:lvlText w:val="%2."/>
      <w:lvlJc w:val="left"/>
      <w:pPr>
        <w:ind w:left="1505" w:hanging="360"/>
      </w:pPr>
    </w:lvl>
    <w:lvl w:ilvl="2" w:tplc="4009001B" w:tentative="1">
      <w:start w:val="1"/>
      <w:numFmt w:val="lowerRoman"/>
      <w:lvlText w:val="%3."/>
      <w:lvlJc w:val="right"/>
      <w:pPr>
        <w:ind w:left="2225" w:hanging="180"/>
      </w:pPr>
    </w:lvl>
    <w:lvl w:ilvl="3" w:tplc="4009000F" w:tentative="1">
      <w:start w:val="1"/>
      <w:numFmt w:val="decimal"/>
      <w:lvlText w:val="%4."/>
      <w:lvlJc w:val="left"/>
      <w:pPr>
        <w:ind w:left="2945" w:hanging="360"/>
      </w:pPr>
    </w:lvl>
    <w:lvl w:ilvl="4" w:tplc="40090019" w:tentative="1">
      <w:start w:val="1"/>
      <w:numFmt w:val="lowerLetter"/>
      <w:lvlText w:val="%5."/>
      <w:lvlJc w:val="left"/>
      <w:pPr>
        <w:ind w:left="3665" w:hanging="360"/>
      </w:pPr>
    </w:lvl>
    <w:lvl w:ilvl="5" w:tplc="4009001B" w:tentative="1">
      <w:start w:val="1"/>
      <w:numFmt w:val="lowerRoman"/>
      <w:lvlText w:val="%6."/>
      <w:lvlJc w:val="right"/>
      <w:pPr>
        <w:ind w:left="4385" w:hanging="180"/>
      </w:pPr>
    </w:lvl>
    <w:lvl w:ilvl="6" w:tplc="4009000F" w:tentative="1">
      <w:start w:val="1"/>
      <w:numFmt w:val="decimal"/>
      <w:lvlText w:val="%7."/>
      <w:lvlJc w:val="left"/>
      <w:pPr>
        <w:ind w:left="5105" w:hanging="360"/>
      </w:pPr>
    </w:lvl>
    <w:lvl w:ilvl="7" w:tplc="40090019" w:tentative="1">
      <w:start w:val="1"/>
      <w:numFmt w:val="lowerLetter"/>
      <w:lvlText w:val="%8."/>
      <w:lvlJc w:val="left"/>
      <w:pPr>
        <w:ind w:left="5825" w:hanging="360"/>
      </w:pPr>
    </w:lvl>
    <w:lvl w:ilvl="8" w:tplc="4009001B" w:tentative="1">
      <w:start w:val="1"/>
      <w:numFmt w:val="lowerRoman"/>
      <w:lvlText w:val="%9."/>
      <w:lvlJc w:val="right"/>
      <w:pPr>
        <w:ind w:left="6545" w:hanging="180"/>
      </w:pPr>
    </w:lvl>
  </w:abstractNum>
  <w:abstractNum w:abstractNumId="19" w15:restartNumberingAfterBreak="0">
    <w:nsid w:val="37546024"/>
    <w:multiLevelType w:val="hybridMultilevel"/>
    <w:tmpl w:val="FB2EBAA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15:restartNumberingAfterBreak="0">
    <w:nsid w:val="376261C0"/>
    <w:multiLevelType w:val="hybridMultilevel"/>
    <w:tmpl w:val="87C0755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15:restartNumberingAfterBreak="0">
    <w:nsid w:val="39A8152A"/>
    <w:multiLevelType w:val="hybridMultilevel"/>
    <w:tmpl w:val="586485E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2" w15:restartNumberingAfterBreak="0">
    <w:nsid w:val="3B543DC7"/>
    <w:multiLevelType w:val="hybridMultilevel"/>
    <w:tmpl w:val="2A36A27E"/>
    <w:lvl w:ilvl="0" w:tplc="868047F0">
      <w:start w:val="1"/>
      <w:numFmt w:val="decimal"/>
      <w:lvlText w:val="%1."/>
      <w:lvlJc w:val="left"/>
      <w:pPr>
        <w:ind w:left="785" w:hanging="360"/>
      </w:pPr>
      <w:rPr>
        <w:rFonts w:hint="default"/>
      </w:rPr>
    </w:lvl>
    <w:lvl w:ilvl="1" w:tplc="40090019" w:tentative="1">
      <w:start w:val="1"/>
      <w:numFmt w:val="lowerLetter"/>
      <w:lvlText w:val="%2."/>
      <w:lvlJc w:val="left"/>
      <w:pPr>
        <w:ind w:left="1505" w:hanging="360"/>
      </w:pPr>
    </w:lvl>
    <w:lvl w:ilvl="2" w:tplc="4009001B" w:tentative="1">
      <w:start w:val="1"/>
      <w:numFmt w:val="lowerRoman"/>
      <w:lvlText w:val="%3."/>
      <w:lvlJc w:val="right"/>
      <w:pPr>
        <w:ind w:left="2225" w:hanging="180"/>
      </w:pPr>
    </w:lvl>
    <w:lvl w:ilvl="3" w:tplc="4009000F" w:tentative="1">
      <w:start w:val="1"/>
      <w:numFmt w:val="decimal"/>
      <w:lvlText w:val="%4."/>
      <w:lvlJc w:val="left"/>
      <w:pPr>
        <w:ind w:left="2945" w:hanging="360"/>
      </w:pPr>
    </w:lvl>
    <w:lvl w:ilvl="4" w:tplc="40090019" w:tentative="1">
      <w:start w:val="1"/>
      <w:numFmt w:val="lowerLetter"/>
      <w:lvlText w:val="%5."/>
      <w:lvlJc w:val="left"/>
      <w:pPr>
        <w:ind w:left="3665" w:hanging="360"/>
      </w:pPr>
    </w:lvl>
    <w:lvl w:ilvl="5" w:tplc="4009001B" w:tentative="1">
      <w:start w:val="1"/>
      <w:numFmt w:val="lowerRoman"/>
      <w:lvlText w:val="%6."/>
      <w:lvlJc w:val="right"/>
      <w:pPr>
        <w:ind w:left="4385" w:hanging="180"/>
      </w:pPr>
    </w:lvl>
    <w:lvl w:ilvl="6" w:tplc="4009000F" w:tentative="1">
      <w:start w:val="1"/>
      <w:numFmt w:val="decimal"/>
      <w:lvlText w:val="%7."/>
      <w:lvlJc w:val="left"/>
      <w:pPr>
        <w:ind w:left="5105" w:hanging="360"/>
      </w:pPr>
    </w:lvl>
    <w:lvl w:ilvl="7" w:tplc="40090019" w:tentative="1">
      <w:start w:val="1"/>
      <w:numFmt w:val="lowerLetter"/>
      <w:lvlText w:val="%8."/>
      <w:lvlJc w:val="left"/>
      <w:pPr>
        <w:ind w:left="5825" w:hanging="360"/>
      </w:pPr>
    </w:lvl>
    <w:lvl w:ilvl="8" w:tplc="4009001B" w:tentative="1">
      <w:start w:val="1"/>
      <w:numFmt w:val="lowerRoman"/>
      <w:lvlText w:val="%9."/>
      <w:lvlJc w:val="right"/>
      <w:pPr>
        <w:ind w:left="6545" w:hanging="180"/>
      </w:pPr>
    </w:lvl>
  </w:abstractNum>
  <w:abstractNum w:abstractNumId="23" w15:restartNumberingAfterBreak="0">
    <w:nsid w:val="3DE54C9C"/>
    <w:multiLevelType w:val="hybridMultilevel"/>
    <w:tmpl w:val="62D4D45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4" w15:restartNumberingAfterBreak="0">
    <w:nsid w:val="43280E1A"/>
    <w:multiLevelType w:val="hybridMultilevel"/>
    <w:tmpl w:val="6212C1B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15:restartNumberingAfterBreak="0">
    <w:nsid w:val="4487293A"/>
    <w:multiLevelType w:val="hybridMultilevel"/>
    <w:tmpl w:val="BADE715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6" w15:restartNumberingAfterBreak="0">
    <w:nsid w:val="45953484"/>
    <w:multiLevelType w:val="hybridMultilevel"/>
    <w:tmpl w:val="E7C8A66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7" w15:restartNumberingAfterBreak="0">
    <w:nsid w:val="47A833F3"/>
    <w:multiLevelType w:val="hybridMultilevel"/>
    <w:tmpl w:val="6806051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8" w15:restartNumberingAfterBreak="0">
    <w:nsid w:val="47E7259A"/>
    <w:multiLevelType w:val="hybridMultilevel"/>
    <w:tmpl w:val="6D0CF40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9" w15:restartNumberingAfterBreak="0">
    <w:nsid w:val="4B4560E3"/>
    <w:multiLevelType w:val="hybridMultilevel"/>
    <w:tmpl w:val="43AEBCD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0" w15:restartNumberingAfterBreak="0">
    <w:nsid w:val="4BDA3F70"/>
    <w:multiLevelType w:val="hybridMultilevel"/>
    <w:tmpl w:val="0002B86A"/>
    <w:lvl w:ilvl="0" w:tplc="2F683066">
      <w:numFmt w:val="bullet"/>
      <w:lvlText w:val="•"/>
      <w:lvlJc w:val="left"/>
      <w:pPr>
        <w:ind w:left="1080" w:hanging="720"/>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1" w15:restartNumberingAfterBreak="0">
    <w:nsid w:val="4CC85881"/>
    <w:multiLevelType w:val="hybridMultilevel"/>
    <w:tmpl w:val="5AD40A06"/>
    <w:lvl w:ilvl="0" w:tplc="774E5EC6">
      <w:numFmt w:val="bullet"/>
      <w:lvlText w:val="•"/>
      <w:lvlJc w:val="left"/>
      <w:pPr>
        <w:ind w:left="1080" w:hanging="720"/>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2" w15:restartNumberingAfterBreak="0">
    <w:nsid w:val="53174FC7"/>
    <w:multiLevelType w:val="hybridMultilevel"/>
    <w:tmpl w:val="B03EE7D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3" w15:restartNumberingAfterBreak="0">
    <w:nsid w:val="5783774B"/>
    <w:multiLevelType w:val="hybridMultilevel"/>
    <w:tmpl w:val="80F49A5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4" w15:restartNumberingAfterBreak="0">
    <w:nsid w:val="584A5F99"/>
    <w:multiLevelType w:val="hybridMultilevel"/>
    <w:tmpl w:val="95461BE4"/>
    <w:lvl w:ilvl="0" w:tplc="FCD41142">
      <w:start w:val="1"/>
      <w:numFmt w:val="decimal"/>
      <w:lvlText w:val="%1."/>
      <w:lvlJc w:val="left"/>
      <w:pPr>
        <w:ind w:left="785" w:hanging="360"/>
      </w:pPr>
      <w:rPr>
        <w:rFonts w:hint="default"/>
      </w:rPr>
    </w:lvl>
    <w:lvl w:ilvl="1" w:tplc="40090019" w:tentative="1">
      <w:start w:val="1"/>
      <w:numFmt w:val="lowerLetter"/>
      <w:lvlText w:val="%2."/>
      <w:lvlJc w:val="left"/>
      <w:pPr>
        <w:ind w:left="1505" w:hanging="360"/>
      </w:pPr>
    </w:lvl>
    <w:lvl w:ilvl="2" w:tplc="4009001B" w:tentative="1">
      <w:start w:val="1"/>
      <w:numFmt w:val="lowerRoman"/>
      <w:lvlText w:val="%3."/>
      <w:lvlJc w:val="right"/>
      <w:pPr>
        <w:ind w:left="2225" w:hanging="180"/>
      </w:pPr>
    </w:lvl>
    <w:lvl w:ilvl="3" w:tplc="4009000F" w:tentative="1">
      <w:start w:val="1"/>
      <w:numFmt w:val="decimal"/>
      <w:lvlText w:val="%4."/>
      <w:lvlJc w:val="left"/>
      <w:pPr>
        <w:ind w:left="2945" w:hanging="360"/>
      </w:pPr>
    </w:lvl>
    <w:lvl w:ilvl="4" w:tplc="40090019" w:tentative="1">
      <w:start w:val="1"/>
      <w:numFmt w:val="lowerLetter"/>
      <w:lvlText w:val="%5."/>
      <w:lvlJc w:val="left"/>
      <w:pPr>
        <w:ind w:left="3665" w:hanging="360"/>
      </w:pPr>
    </w:lvl>
    <w:lvl w:ilvl="5" w:tplc="4009001B" w:tentative="1">
      <w:start w:val="1"/>
      <w:numFmt w:val="lowerRoman"/>
      <w:lvlText w:val="%6."/>
      <w:lvlJc w:val="right"/>
      <w:pPr>
        <w:ind w:left="4385" w:hanging="180"/>
      </w:pPr>
    </w:lvl>
    <w:lvl w:ilvl="6" w:tplc="4009000F" w:tentative="1">
      <w:start w:val="1"/>
      <w:numFmt w:val="decimal"/>
      <w:lvlText w:val="%7."/>
      <w:lvlJc w:val="left"/>
      <w:pPr>
        <w:ind w:left="5105" w:hanging="360"/>
      </w:pPr>
    </w:lvl>
    <w:lvl w:ilvl="7" w:tplc="40090019" w:tentative="1">
      <w:start w:val="1"/>
      <w:numFmt w:val="lowerLetter"/>
      <w:lvlText w:val="%8."/>
      <w:lvlJc w:val="left"/>
      <w:pPr>
        <w:ind w:left="5825" w:hanging="360"/>
      </w:pPr>
    </w:lvl>
    <w:lvl w:ilvl="8" w:tplc="4009001B" w:tentative="1">
      <w:start w:val="1"/>
      <w:numFmt w:val="lowerRoman"/>
      <w:lvlText w:val="%9."/>
      <w:lvlJc w:val="right"/>
      <w:pPr>
        <w:ind w:left="6545" w:hanging="180"/>
      </w:pPr>
    </w:lvl>
  </w:abstractNum>
  <w:abstractNum w:abstractNumId="35" w15:restartNumberingAfterBreak="0">
    <w:nsid w:val="5BF044BB"/>
    <w:multiLevelType w:val="hybridMultilevel"/>
    <w:tmpl w:val="43E285B8"/>
    <w:lvl w:ilvl="0" w:tplc="14961E4A">
      <w:numFmt w:val="bullet"/>
      <w:lvlText w:val="•"/>
      <w:lvlJc w:val="left"/>
      <w:pPr>
        <w:ind w:left="1080" w:hanging="720"/>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6" w15:restartNumberingAfterBreak="0">
    <w:nsid w:val="5EAE7A28"/>
    <w:multiLevelType w:val="hybridMultilevel"/>
    <w:tmpl w:val="483EFA3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7" w15:restartNumberingAfterBreak="0">
    <w:nsid w:val="68526D71"/>
    <w:multiLevelType w:val="hybridMultilevel"/>
    <w:tmpl w:val="D0D896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A52609F"/>
    <w:multiLevelType w:val="hybridMultilevel"/>
    <w:tmpl w:val="164A7D1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9" w15:restartNumberingAfterBreak="0">
    <w:nsid w:val="7C842852"/>
    <w:multiLevelType w:val="hybridMultilevel"/>
    <w:tmpl w:val="FFA89DF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0" w15:restartNumberingAfterBreak="0">
    <w:nsid w:val="7FDD05D8"/>
    <w:multiLevelType w:val="hybridMultilevel"/>
    <w:tmpl w:val="0FE07B80"/>
    <w:lvl w:ilvl="0" w:tplc="E49482FA">
      <w:start w:val="1"/>
      <w:numFmt w:val="decimal"/>
      <w:lvlText w:val="%1."/>
      <w:lvlJc w:val="left"/>
      <w:pPr>
        <w:ind w:left="785" w:hanging="360"/>
      </w:pPr>
      <w:rPr>
        <w:rFonts w:hint="default"/>
      </w:rPr>
    </w:lvl>
    <w:lvl w:ilvl="1" w:tplc="40090019" w:tentative="1">
      <w:start w:val="1"/>
      <w:numFmt w:val="lowerLetter"/>
      <w:lvlText w:val="%2."/>
      <w:lvlJc w:val="left"/>
      <w:pPr>
        <w:ind w:left="1505" w:hanging="360"/>
      </w:pPr>
    </w:lvl>
    <w:lvl w:ilvl="2" w:tplc="4009001B" w:tentative="1">
      <w:start w:val="1"/>
      <w:numFmt w:val="lowerRoman"/>
      <w:lvlText w:val="%3."/>
      <w:lvlJc w:val="right"/>
      <w:pPr>
        <w:ind w:left="2225" w:hanging="180"/>
      </w:pPr>
    </w:lvl>
    <w:lvl w:ilvl="3" w:tplc="4009000F" w:tentative="1">
      <w:start w:val="1"/>
      <w:numFmt w:val="decimal"/>
      <w:lvlText w:val="%4."/>
      <w:lvlJc w:val="left"/>
      <w:pPr>
        <w:ind w:left="2945" w:hanging="360"/>
      </w:pPr>
    </w:lvl>
    <w:lvl w:ilvl="4" w:tplc="40090019" w:tentative="1">
      <w:start w:val="1"/>
      <w:numFmt w:val="lowerLetter"/>
      <w:lvlText w:val="%5."/>
      <w:lvlJc w:val="left"/>
      <w:pPr>
        <w:ind w:left="3665" w:hanging="360"/>
      </w:pPr>
    </w:lvl>
    <w:lvl w:ilvl="5" w:tplc="4009001B" w:tentative="1">
      <w:start w:val="1"/>
      <w:numFmt w:val="lowerRoman"/>
      <w:lvlText w:val="%6."/>
      <w:lvlJc w:val="right"/>
      <w:pPr>
        <w:ind w:left="4385" w:hanging="180"/>
      </w:pPr>
    </w:lvl>
    <w:lvl w:ilvl="6" w:tplc="4009000F" w:tentative="1">
      <w:start w:val="1"/>
      <w:numFmt w:val="decimal"/>
      <w:lvlText w:val="%7."/>
      <w:lvlJc w:val="left"/>
      <w:pPr>
        <w:ind w:left="5105" w:hanging="360"/>
      </w:pPr>
    </w:lvl>
    <w:lvl w:ilvl="7" w:tplc="40090019" w:tentative="1">
      <w:start w:val="1"/>
      <w:numFmt w:val="lowerLetter"/>
      <w:lvlText w:val="%8."/>
      <w:lvlJc w:val="left"/>
      <w:pPr>
        <w:ind w:left="5825" w:hanging="360"/>
      </w:pPr>
    </w:lvl>
    <w:lvl w:ilvl="8" w:tplc="4009001B" w:tentative="1">
      <w:start w:val="1"/>
      <w:numFmt w:val="lowerRoman"/>
      <w:lvlText w:val="%9."/>
      <w:lvlJc w:val="right"/>
      <w:pPr>
        <w:ind w:left="6545" w:hanging="180"/>
      </w:pPr>
    </w:lvl>
  </w:abstractNum>
  <w:num w:numId="1" w16cid:durableId="1762868325">
    <w:abstractNumId w:val="13"/>
  </w:num>
  <w:num w:numId="2" w16cid:durableId="224924319">
    <w:abstractNumId w:val="10"/>
  </w:num>
  <w:num w:numId="3" w16cid:durableId="1776945922">
    <w:abstractNumId w:val="39"/>
  </w:num>
  <w:num w:numId="4" w16cid:durableId="627197771">
    <w:abstractNumId w:val="24"/>
  </w:num>
  <w:num w:numId="5" w16cid:durableId="1874345883">
    <w:abstractNumId w:val="1"/>
  </w:num>
  <w:num w:numId="6" w16cid:durableId="1994990649">
    <w:abstractNumId w:val="26"/>
  </w:num>
  <w:num w:numId="7" w16cid:durableId="108471266">
    <w:abstractNumId w:val="32"/>
  </w:num>
  <w:num w:numId="8" w16cid:durableId="603727170">
    <w:abstractNumId w:val="30"/>
  </w:num>
  <w:num w:numId="9" w16cid:durableId="974992919">
    <w:abstractNumId w:val="29"/>
  </w:num>
  <w:num w:numId="10" w16cid:durableId="693187251">
    <w:abstractNumId w:val="0"/>
  </w:num>
  <w:num w:numId="11" w16cid:durableId="956720353">
    <w:abstractNumId w:val="28"/>
  </w:num>
  <w:num w:numId="12" w16cid:durableId="1849830160">
    <w:abstractNumId w:val="23"/>
  </w:num>
  <w:num w:numId="13" w16cid:durableId="1263295588">
    <w:abstractNumId w:val="18"/>
  </w:num>
  <w:num w:numId="14" w16cid:durableId="215627726">
    <w:abstractNumId w:val="17"/>
  </w:num>
  <w:num w:numId="15" w16cid:durableId="1539274815">
    <w:abstractNumId w:val="37"/>
  </w:num>
  <w:num w:numId="16" w16cid:durableId="900364880">
    <w:abstractNumId w:val="14"/>
  </w:num>
  <w:num w:numId="17" w16cid:durableId="1614825159">
    <w:abstractNumId w:val="6"/>
  </w:num>
  <w:num w:numId="18" w16cid:durableId="852064401">
    <w:abstractNumId w:val="16"/>
  </w:num>
  <w:num w:numId="19" w16cid:durableId="729813747">
    <w:abstractNumId w:val="20"/>
  </w:num>
  <w:num w:numId="20" w16cid:durableId="2105804234">
    <w:abstractNumId w:val="9"/>
  </w:num>
  <w:num w:numId="21" w16cid:durableId="1572275193">
    <w:abstractNumId w:val="3"/>
  </w:num>
  <w:num w:numId="22" w16cid:durableId="1337608073">
    <w:abstractNumId w:val="11"/>
  </w:num>
  <w:num w:numId="23" w16cid:durableId="366177084">
    <w:abstractNumId w:val="19"/>
  </w:num>
  <w:num w:numId="24" w16cid:durableId="182476855">
    <w:abstractNumId w:val="40"/>
  </w:num>
  <w:num w:numId="25" w16cid:durableId="100033417">
    <w:abstractNumId w:val="25"/>
  </w:num>
  <w:num w:numId="26" w16cid:durableId="2075354872">
    <w:abstractNumId w:val="7"/>
  </w:num>
  <w:num w:numId="27" w16cid:durableId="2139184208">
    <w:abstractNumId w:val="22"/>
  </w:num>
  <w:num w:numId="28" w16cid:durableId="62028489">
    <w:abstractNumId w:val="4"/>
  </w:num>
  <w:num w:numId="29" w16cid:durableId="1852404225">
    <w:abstractNumId w:val="33"/>
  </w:num>
  <w:num w:numId="30" w16cid:durableId="319425132">
    <w:abstractNumId w:val="8"/>
  </w:num>
  <w:num w:numId="31" w16cid:durableId="2071801961">
    <w:abstractNumId w:val="36"/>
  </w:num>
  <w:num w:numId="32" w16cid:durableId="187838291">
    <w:abstractNumId w:val="31"/>
  </w:num>
  <w:num w:numId="33" w16cid:durableId="2005161667">
    <w:abstractNumId w:val="27"/>
  </w:num>
  <w:num w:numId="34" w16cid:durableId="69810743">
    <w:abstractNumId w:val="5"/>
  </w:num>
  <w:num w:numId="35" w16cid:durableId="88695822">
    <w:abstractNumId w:val="21"/>
  </w:num>
  <w:num w:numId="36" w16cid:durableId="2011445872">
    <w:abstractNumId w:val="12"/>
  </w:num>
  <w:num w:numId="37" w16cid:durableId="21830779">
    <w:abstractNumId w:val="2"/>
  </w:num>
  <w:num w:numId="38" w16cid:durableId="1435399285">
    <w:abstractNumId w:val="38"/>
  </w:num>
  <w:num w:numId="39" w16cid:durableId="752358564">
    <w:abstractNumId w:val="35"/>
  </w:num>
  <w:num w:numId="40" w16cid:durableId="1438014831">
    <w:abstractNumId w:val="15"/>
  </w:num>
  <w:num w:numId="41" w16cid:durableId="950935506">
    <w:abstractNumId w:val="3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206D3"/>
    <w:rsid w:val="00000819"/>
    <w:rsid w:val="00000A22"/>
    <w:rsid w:val="000014F4"/>
    <w:rsid w:val="000027C2"/>
    <w:rsid w:val="00002C3E"/>
    <w:rsid w:val="00002C88"/>
    <w:rsid w:val="00003843"/>
    <w:rsid w:val="000039C4"/>
    <w:rsid w:val="00003B09"/>
    <w:rsid w:val="00003D4D"/>
    <w:rsid w:val="00003F7C"/>
    <w:rsid w:val="00004246"/>
    <w:rsid w:val="000042C6"/>
    <w:rsid w:val="00004314"/>
    <w:rsid w:val="00004465"/>
    <w:rsid w:val="00004F02"/>
    <w:rsid w:val="000058B2"/>
    <w:rsid w:val="0000627B"/>
    <w:rsid w:val="00006468"/>
    <w:rsid w:val="00006A82"/>
    <w:rsid w:val="000073D6"/>
    <w:rsid w:val="00010D3D"/>
    <w:rsid w:val="000111B7"/>
    <w:rsid w:val="000117A2"/>
    <w:rsid w:val="00011E48"/>
    <w:rsid w:val="00012B82"/>
    <w:rsid w:val="0001306E"/>
    <w:rsid w:val="0001371B"/>
    <w:rsid w:val="00013FA9"/>
    <w:rsid w:val="00015554"/>
    <w:rsid w:val="00015D3F"/>
    <w:rsid w:val="00016FAB"/>
    <w:rsid w:val="000170DE"/>
    <w:rsid w:val="00017935"/>
    <w:rsid w:val="00017AB2"/>
    <w:rsid w:val="000211FC"/>
    <w:rsid w:val="00021E53"/>
    <w:rsid w:val="00021E7D"/>
    <w:rsid w:val="00021F19"/>
    <w:rsid w:val="000233E6"/>
    <w:rsid w:val="00023F64"/>
    <w:rsid w:val="000243A4"/>
    <w:rsid w:val="000245B1"/>
    <w:rsid w:val="000248E5"/>
    <w:rsid w:val="00024A98"/>
    <w:rsid w:val="00025EF7"/>
    <w:rsid w:val="00027B75"/>
    <w:rsid w:val="00030F57"/>
    <w:rsid w:val="00031232"/>
    <w:rsid w:val="00031954"/>
    <w:rsid w:val="00031D3E"/>
    <w:rsid w:val="0003349E"/>
    <w:rsid w:val="0003363B"/>
    <w:rsid w:val="00033A45"/>
    <w:rsid w:val="00033FBD"/>
    <w:rsid w:val="00034722"/>
    <w:rsid w:val="000348C4"/>
    <w:rsid w:val="00034CBA"/>
    <w:rsid w:val="000359EB"/>
    <w:rsid w:val="000360AA"/>
    <w:rsid w:val="00036866"/>
    <w:rsid w:val="00036E59"/>
    <w:rsid w:val="000379C9"/>
    <w:rsid w:val="000409AA"/>
    <w:rsid w:val="00040D9A"/>
    <w:rsid w:val="0004154F"/>
    <w:rsid w:val="000418D2"/>
    <w:rsid w:val="00042180"/>
    <w:rsid w:val="00042405"/>
    <w:rsid w:val="000424B8"/>
    <w:rsid w:val="00042806"/>
    <w:rsid w:val="0004296B"/>
    <w:rsid w:val="000430BA"/>
    <w:rsid w:val="00045135"/>
    <w:rsid w:val="00045249"/>
    <w:rsid w:val="000452C3"/>
    <w:rsid w:val="000454BB"/>
    <w:rsid w:val="000461C9"/>
    <w:rsid w:val="0004635C"/>
    <w:rsid w:val="00046AD9"/>
    <w:rsid w:val="00046C46"/>
    <w:rsid w:val="00046F68"/>
    <w:rsid w:val="000516EE"/>
    <w:rsid w:val="000528D1"/>
    <w:rsid w:val="00052B28"/>
    <w:rsid w:val="0005403B"/>
    <w:rsid w:val="000542A9"/>
    <w:rsid w:val="000544C1"/>
    <w:rsid w:val="00054CEB"/>
    <w:rsid w:val="000550A0"/>
    <w:rsid w:val="00055257"/>
    <w:rsid w:val="00055821"/>
    <w:rsid w:val="00055899"/>
    <w:rsid w:val="00055D42"/>
    <w:rsid w:val="000560B6"/>
    <w:rsid w:val="0005645E"/>
    <w:rsid w:val="0006037E"/>
    <w:rsid w:val="00060EF6"/>
    <w:rsid w:val="0006226B"/>
    <w:rsid w:val="000645FD"/>
    <w:rsid w:val="00065BB2"/>
    <w:rsid w:val="00066B5D"/>
    <w:rsid w:val="00067288"/>
    <w:rsid w:val="00067866"/>
    <w:rsid w:val="000678FD"/>
    <w:rsid w:val="000701EE"/>
    <w:rsid w:val="000703AC"/>
    <w:rsid w:val="0007111A"/>
    <w:rsid w:val="000715E6"/>
    <w:rsid w:val="00072335"/>
    <w:rsid w:val="0007248D"/>
    <w:rsid w:val="0007328B"/>
    <w:rsid w:val="00073328"/>
    <w:rsid w:val="00073738"/>
    <w:rsid w:val="00073912"/>
    <w:rsid w:val="00073C4D"/>
    <w:rsid w:val="00074519"/>
    <w:rsid w:val="00074714"/>
    <w:rsid w:val="00074970"/>
    <w:rsid w:val="00074E9C"/>
    <w:rsid w:val="00075A13"/>
    <w:rsid w:val="00075ACF"/>
    <w:rsid w:val="00076198"/>
    <w:rsid w:val="00076747"/>
    <w:rsid w:val="00076D54"/>
    <w:rsid w:val="00077403"/>
    <w:rsid w:val="000779E5"/>
    <w:rsid w:val="00077D95"/>
    <w:rsid w:val="00080D91"/>
    <w:rsid w:val="000814F4"/>
    <w:rsid w:val="0008166A"/>
    <w:rsid w:val="000816D8"/>
    <w:rsid w:val="00081CA4"/>
    <w:rsid w:val="00082309"/>
    <w:rsid w:val="0008240C"/>
    <w:rsid w:val="0008336E"/>
    <w:rsid w:val="0008357F"/>
    <w:rsid w:val="00083805"/>
    <w:rsid w:val="00084A8B"/>
    <w:rsid w:val="00084E11"/>
    <w:rsid w:val="000850DD"/>
    <w:rsid w:val="00085E13"/>
    <w:rsid w:val="00086B40"/>
    <w:rsid w:val="00087181"/>
    <w:rsid w:val="0008751F"/>
    <w:rsid w:val="0008798F"/>
    <w:rsid w:val="00087E13"/>
    <w:rsid w:val="000903D9"/>
    <w:rsid w:val="00091539"/>
    <w:rsid w:val="0009194D"/>
    <w:rsid w:val="000924CB"/>
    <w:rsid w:val="000927EE"/>
    <w:rsid w:val="00092F7A"/>
    <w:rsid w:val="0009331F"/>
    <w:rsid w:val="000933A4"/>
    <w:rsid w:val="00093431"/>
    <w:rsid w:val="0009378E"/>
    <w:rsid w:val="00094CEA"/>
    <w:rsid w:val="000955EB"/>
    <w:rsid w:val="000956DA"/>
    <w:rsid w:val="00095B58"/>
    <w:rsid w:val="00095C07"/>
    <w:rsid w:val="00096705"/>
    <w:rsid w:val="00096DD0"/>
    <w:rsid w:val="00097A7D"/>
    <w:rsid w:val="000A07C0"/>
    <w:rsid w:val="000A104A"/>
    <w:rsid w:val="000A1241"/>
    <w:rsid w:val="000A1821"/>
    <w:rsid w:val="000A1AAC"/>
    <w:rsid w:val="000A1D9F"/>
    <w:rsid w:val="000A2B48"/>
    <w:rsid w:val="000A3563"/>
    <w:rsid w:val="000A35E6"/>
    <w:rsid w:val="000A3E07"/>
    <w:rsid w:val="000A3EEB"/>
    <w:rsid w:val="000A3F8D"/>
    <w:rsid w:val="000A465D"/>
    <w:rsid w:val="000A5064"/>
    <w:rsid w:val="000A56A4"/>
    <w:rsid w:val="000A5DBB"/>
    <w:rsid w:val="000A615A"/>
    <w:rsid w:val="000A65C7"/>
    <w:rsid w:val="000A68E0"/>
    <w:rsid w:val="000A6B60"/>
    <w:rsid w:val="000A784A"/>
    <w:rsid w:val="000B0CB7"/>
    <w:rsid w:val="000B1173"/>
    <w:rsid w:val="000B1C71"/>
    <w:rsid w:val="000B224B"/>
    <w:rsid w:val="000B25CD"/>
    <w:rsid w:val="000B2916"/>
    <w:rsid w:val="000B345F"/>
    <w:rsid w:val="000B3922"/>
    <w:rsid w:val="000B3AE0"/>
    <w:rsid w:val="000B3B14"/>
    <w:rsid w:val="000B4C45"/>
    <w:rsid w:val="000B4F18"/>
    <w:rsid w:val="000B511B"/>
    <w:rsid w:val="000B5730"/>
    <w:rsid w:val="000B5F97"/>
    <w:rsid w:val="000B7BC1"/>
    <w:rsid w:val="000B7CC0"/>
    <w:rsid w:val="000B7CD8"/>
    <w:rsid w:val="000C05CA"/>
    <w:rsid w:val="000C1527"/>
    <w:rsid w:val="000C1CA1"/>
    <w:rsid w:val="000C22C5"/>
    <w:rsid w:val="000C3CEE"/>
    <w:rsid w:val="000C44A1"/>
    <w:rsid w:val="000C4734"/>
    <w:rsid w:val="000C5D85"/>
    <w:rsid w:val="000C6458"/>
    <w:rsid w:val="000C677F"/>
    <w:rsid w:val="000C6A6F"/>
    <w:rsid w:val="000C6CEC"/>
    <w:rsid w:val="000C6FB1"/>
    <w:rsid w:val="000C705C"/>
    <w:rsid w:val="000C733F"/>
    <w:rsid w:val="000C7720"/>
    <w:rsid w:val="000C7759"/>
    <w:rsid w:val="000C78F7"/>
    <w:rsid w:val="000C7D39"/>
    <w:rsid w:val="000D02AF"/>
    <w:rsid w:val="000D034D"/>
    <w:rsid w:val="000D050F"/>
    <w:rsid w:val="000D0BCE"/>
    <w:rsid w:val="000D0DB7"/>
    <w:rsid w:val="000D3A0D"/>
    <w:rsid w:val="000D4372"/>
    <w:rsid w:val="000D5133"/>
    <w:rsid w:val="000D5502"/>
    <w:rsid w:val="000D5CD9"/>
    <w:rsid w:val="000D6111"/>
    <w:rsid w:val="000D6AB4"/>
    <w:rsid w:val="000D6F86"/>
    <w:rsid w:val="000D6FF6"/>
    <w:rsid w:val="000D71B3"/>
    <w:rsid w:val="000D75CE"/>
    <w:rsid w:val="000D7888"/>
    <w:rsid w:val="000D7C7B"/>
    <w:rsid w:val="000D7C8D"/>
    <w:rsid w:val="000E02AD"/>
    <w:rsid w:val="000E0452"/>
    <w:rsid w:val="000E0B3E"/>
    <w:rsid w:val="000E111C"/>
    <w:rsid w:val="000E11F6"/>
    <w:rsid w:val="000E2041"/>
    <w:rsid w:val="000E23A3"/>
    <w:rsid w:val="000E2553"/>
    <w:rsid w:val="000E3324"/>
    <w:rsid w:val="000E35CE"/>
    <w:rsid w:val="000E362E"/>
    <w:rsid w:val="000E36C6"/>
    <w:rsid w:val="000E3920"/>
    <w:rsid w:val="000E3C89"/>
    <w:rsid w:val="000E3CFA"/>
    <w:rsid w:val="000E4F3B"/>
    <w:rsid w:val="000E5A9E"/>
    <w:rsid w:val="000E65FB"/>
    <w:rsid w:val="000E75A8"/>
    <w:rsid w:val="000E76E3"/>
    <w:rsid w:val="000F09DF"/>
    <w:rsid w:val="000F0A37"/>
    <w:rsid w:val="000F1151"/>
    <w:rsid w:val="000F1561"/>
    <w:rsid w:val="000F16BD"/>
    <w:rsid w:val="000F1866"/>
    <w:rsid w:val="000F1B48"/>
    <w:rsid w:val="000F2527"/>
    <w:rsid w:val="000F2A4F"/>
    <w:rsid w:val="000F2E61"/>
    <w:rsid w:val="000F32DB"/>
    <w:rsid w:val="000F3994"/>
    <w:rsid w:val="000F3D7D"/>
    <w:rsid w:val="000F496A"/>
    <w:rsid w:val="000F510E"/>
    <w:rsid w:val="000F5D1E"/>
    <w:rsid w:val="000F6441"/>
    <w:rsid w:val="000F7744"/>
    <w:rsid w:val="000F7B23"/>
    <w:rsid w:val="000F7E01"/>
    <w:rsid w:val="000F7F42"/>
    <w:rsid w:val="0010097D"/>
    <w:rsid w:val="00101318"/>
    <w:rsid w:val="00101385"/>
    <w:rsid w:val="00101694"/>
    <w:rsid w:val="00102145"/>
    <w:rsid w:val="001030D0"/>
    <w:rsid w:val="001034E5"/>
    <w:rsid w:val="00103B74"/>
    <w:rsid w:val="001040FB"/>
    <w:rsid w:val="001047E7"/>
    <w:rsid w:val="00104D75"/>
    <w:rsid w:val="00105840"/>
    <w:rsid w:val="00106473"/>
    <w:rsid w:val="0010664E"/>
    <w:rsid w:val="001067FC"/>
    <w:rsid w:val="00107422"/>
    <w:rsid w:val="00107C9E"/>
    <w:rsid w:val="00107D24"/>
    <w:rsid w:val="001100FC"/>
    <w:rsid w:val="0011096A"/>
    <w:rsid w:val="00110F12"/>
    <w:rsid w:val="0011157E"/>
    <w:rsid w:val="00111585"/>
    <w:rsid w:val="00112B45"/>
    <w:rsid w:val="00113090"/>
    <w:rsid w:val="001131A9"/>
    <w:rsid w:val="001138C1"/>
    <w:rsid w:val="001138ED"/>
    <w:rsid w:val="00113B53"/>
    <w:rsid w:val="00113F03"/>
    <w:rsid w:val="00114324"/>
    <w:rsid w:val="00114DDE"/>
    <w:rsid w:val="001157E1"/>
    <w:rsid w:val="001162F1"/>
    <w:rsid w:val="0011783D"/>
    <w:rsid w:val="00117908"/>
    <w:rsid w:val="001209FE"/>
    <w:rsid w:val="00120CF6"/>
    <w:rsid w:val="00121591"/>
    <w:rsid w:val="00122156"/>
    <w:rsid w:val="001224A5"/>
    <w:rsid w:val="001232AD"/>
    <w:rsid w:val="001239BA"/>
    <w:rsid w:val="00123CC1"/>
    <w:rsid w:val="00123E3E"/>
    <w:rsid w:val="00123F5F"/>
    <w:rsid w:val="00124D87"/>
    <w:rsid w:val="00125FA3"/>
    <w:rsid w:val="001264A3"/>
    <w:rsid w:val="001272EA"/>
    <w:rsid w:val="00127F18"/>
    <w:rsid w:val="00130743"/>
    <w:rsid w:val="00130B36"/>
    <w:rsid w:val="00130FD0"/>
    <w:rsid w:val="001323BB"/>
    <w:rsid w:val="001323F3"/>
    <w:rsid w:val="001325BC"/>
    <w:rsid w:val="001325E0"/>
    <w:rsid w:val="00132AB0"/>
    <w:rsid w:val="00133C1D"/>
    <w:rsid w:val="00133F7E"/>
    <w:rsid w:val="0013546E"/>
    <w:rsid w:val="00135C3B"/>
    <w:rsid w:val="00135D86"/>
    <w:rsid w:val="00135E4F"/>
    <w:rsid w:val="00136B21"/>
    <w:rsid w:val="0013793C"/>
    <w:rsid w:val="00137C14"/>
    <w:rsid w:val="001407B2"/>
    <w:rsid w:val="00141236"/>
    <w:rsid w:val="00141910"/>
    <w:rsid w:val="00141AE9"/>
    <w:rsid w:val="00141E81"/>
    <w:rsid w:val="00143CB7"/>
    <w:rsid w:val="001449F3"/>
    <w:rsid w:val="00145211"/>
    <w:rsid w:val="001455E8"/>
    <w:rsid w:val="00145D2B"/>
    <w:rsid w:val="00146ADE"/>
    <w:rsid w:val="00146BEA"/>
    <w:rsid w:val="00146CC4"/>
    <w:rsid w:val="0014753A"/>
    <w:rsid w:val="001477FB"/>
    <w:rsid w:val="00150645"/>
    <w:rsid w:val="00150B41"/>
    <w:rsid w:val="00150ED0"/>
    <w:rsid w:val="00150F46"/>
    <w:rsid w:val="0015115B"/>
    <w:rsid w:val="00151435"/>
    <w:rsid w:val="00151812"/>
    <w:rsid w:val="00151E8B"/>
    <w:rsid w:val="00152517"/>
    <w:rsid w:val="001527E9"/>
    <w:rsid w:val="00152949"/>
    <w:rsid w:val="001539A4"/>
    <w:rsid w:val="00153C14"/>
    <w:rsid w:val="00153FFB"/>
    <w:rsid w:val="0015571D"/>
    <w:rsid w:val="00155E12"/>
    <w:rsid w:val="00156405"/>
    <w:rsid w:val="00156636"/>
    <w:rsid w:val="00156C45"/>
    <w:rsid w:val="00156FF0"/>
    <w:rsid w:val="001574FC"/>
    <w:rsid w:val="001579D6"/>
    <w:rsid w:val="00157C88"/>
    <w:rsid w:val="0016001C"/>
    <w:rsid w:val="0016023A"/>
    <w:rsid w:val="00160DA4"/>
    <w:rsid w:val="0016106B"/>
    <w:rsid w:val="0016195F"/>
    <w:rsid w:val="00161A5D"/>
    <w:rsid w:val="00161ED0"/>
    <w:rsid w:val="00162211"/>
    <w:rsid w:val="00162D1E"/>
    <w:rsid w:val="00163787"/>
    <w:rsid w:val="0016481F"/>
    <w:rsid w:val="00166084"/>
    <w:rsid w:val="00166B45"/>
    <w:rsid w:val="00166B8A"/>
    <w:rsid w:val="00167DC8"/>
    <w:rsid w:val="00170949"/>
    <w:rsid w:val="001714C5"/>
    <w:rsid w:val="00171BEB"/>
    <w:rsid w:val="001721DA"/>
    <w:rsid w:val="00172866"/>
    <w:rsid w:val="00172B57"/>
    <w:rsid w:val="00173199"/>
    <w:rsid w:val="00173632"/>
    <w:rsid w:val="001736F5"/>
    <w:rsid w:val="001739C1"/>
    <w:rsid w:val="00173E42"/>
    <w:rsid w:val="00174419"/>
    <w:rsid w:val="00174954"/>
    <w:rsid w:val="001753DE"/>
    <w:rsid w:val="00175412"/>
    <w:rsid w:val="0017559A"/>
    <w:rsid w:val="00175A0F"/>
    <w:rsid w:val="00175C7E"/>
    <w:rsid w:val="00176007"/>
    <w:rsid w:val="001767B7"/>
    <w:rsid w:val="00176D11"/>
    <w:rsid w:val="0017727D"/>
    <w:rsid w:val="001778AF"/>
    <w:rsid w:val="00177AAB"/>
    <w:rsid w:val="00180009"/>
    <w:rsid w:val="00180397"/>
    <w:rsid w:val="00180458"/>
    <w:rsid w:val="0018063E"/>
    <w:rsid w:val="00181317"/>
    <w:rsid w:val="00181413"/>
    <w:rsid w:val="001819C2"/>
    <w:rsid w:val="00181D19"/>
    <w:rsid w:val="00182039"/>
    <w:rsid w:val="00182177"/>
    <w:rsid w:val="0018386D"/>
    <w:rsid w:val="00183C2B"/>
    <w:rsid w:val="00183EA2"/>
    <w:rsid w:val="00183EDC"/>
    <w:rsid w:val="0018414F"/>
    <w:rsid w:val="0018494D"/>
    <w:rsid w:val="00184B6E"/>
    <w:rsid w:val="00184F93"/>
    <w:rsid w:val="00185380"/>
    <w:rsid w:val="00185686"/>
    <w:rsid w:val="0018596B"/>
    <w:rsid w:val="00185AED"/>
    <w:rsid w:val="00185B68"/>
    <w:rsid w:val="0018678C"/>
    <w:rsid w:val="00186880"/>
    <w:rsid w:val="00186896"/>
    <w:rsid w:val="00186D6C"/>
    <w:rsid w:val="001876E7"/>
    <w:rsid w:val="001877A6"/>
    <w:rsid w:val="00187ABE"/>
    <w:rsid w:val="00190470"/>
    <w:rsid w:val="00190FB5"/>
    <w:rsid w:val="0019199A"/>
    <w:rsid w:val="001925C4"/>
    <w:rsid w:val="00192B83"/>
    <w:rsid w:val="00194140"/>
    <w:rsid w:val="00194F21"/>
    <w:rsid w:val="00195729"/>
    <w:rsid w:val="00196AF7"/>
    <w:rsid w:val="00196ED7"/>
    <w:rsid w:val="001974C3"/>
    <w:rsid w:val="00197EFC"/>
    <w:rsid w:val="00197F0B"/>
    <w:rsid w:val="001A0008"/>
    <w:rsid w:val="001A00AC"/>
    <w:rsid w:val="001A033D"/>
    <w:rsid w:val="001A0954"/>
    <w:rsid w:val="001A09BF"/>
    <w:rsid w:val="001A142B"/>
    <w:rsid w:val="001A205E"/>
    <w:rsid w:val="001A2CD2"/>
    <w:rsid w:val="001A34FB"/>
    <w:rsid w:val="001A385B"/>
    <w:rsid w:val="001A4421"/>
    <w:rsid w:val="001A4D2C"/>
    <w:rsid w:val="001A59B7"/>
    <w:rsid w:val="001A5AF2"/>
    <w:rsid w:val="001A6AF2"/>
    <w:rsid w:val="001A6C83"/>
    <w:rsid w:val="001A6E91"/>
    <w:rsid w:val="001A6ED4"/>
    <w:rsid w:val="001A7548"/>
    <w:rsid w:val="001A7C42"/>
    <w:rsid w:val="001A7F31"/>
    <w:rsid w:val="001B0271"/>
    <w:rsid w:val="001B0592"/>
    <w:rsid w:val="001B07F9"/>
    <w:rsid w:val="001B08F3"/>
    <w:rsid w:val="001B0A6D"/>
    <w:rsid w:val="001B0F68"/>
    <w:rsid w:val="001B1216"/>
    <w:rsid w:val="001B2446"/>
    <w:rsid w:val="001B303E"/>
    <w:rsid w:val="001B3043"/>
    <w:rsid w:val="001B3370"/>
    <w:rsid w:val="001B3C11"/>
    <w:rsid w:val="001B4CAC"/>
    <w:rsid w:val="001B5ED4"/>
    <w:rsid w:val="001B6DF1"/>
    <w:rsid w:val="001B6DF7"/>
    <w:rsid w:val="001C002B"/>
    <w:rsid w:val="001C18C5"/>
    <w:rsid w:val="001C286F"/>
    <w:rsid w:val="001C293C"/>
    <w:rsid w:val="001C3B9C"/>
    <w:rsid w:val="001C45A0"/>
    <w:rsid w:val="001C4654"/>
    <w:rsid w:val="001C4719"/>
    <w:rsid w:val="001C4FFF"/>
    <w:rsid w:val="001C5602"/>
    <w:rsid w:val="001C59DF"/>
    <w:rsid w:val="001C5D01"/>
    <w:rsid w:val="001C6185"/>
    <w:rsid w:val="001C7428"/>
    <w:rsid w:val="001C78E9"/>
    <w:rsid w:val="001C7BA7"/>
    <w:rsid w:val="001D0653"/>
    <w:rsid w:val="001D09FC"/>
    <w:rsid w:val="001D10C0"/>
    <w:rsid w:val="001D15B0"/>
    <w:rsid w:val="001D1869"/>
    <w:rsid w:val="001D1C2E"/>
    <w:rsid w:val="001D21FC"/>
    <w:rsid w:val="001D27E8"/>
    <w:rsid w:val="001D2947"/>
    <w:rsid w:val="001D2988"/>
    <w:rsid w:val="001D370D"/>
    <w:rsid w:val="001D37F9"/>
    <w:rsid w:val="001D56C6"/>
    <w:rsid w:val="001D5B81"/>
    <w:rsid w:val="001D5F17"/>
    <w:rsid w:val="001D6207"/>
    <w:rsid w:val="001D679D"/>
    <w:rsid w:val="001D6819"/>
    <w:rsid w:val="001D6D8E"/>
    <w:rsid w:val="001D75F9"/>
    <w:rsid w:val="001E005C"/>
    <w:rsid w:val="001E0956"/>
    <w:rsid w:val="001E1C56"/>
    <w:rsid w:val="001E2353"/>
    <w:rsid w:val="001E2BBF"/>
    <w:rsid w:val="001E4813"/>
    <w:rsid w:val="001E55E4"/>
    <w:rsid w:val="001E57C2"/>
    <w:rsid w:val="001E6D97"/>
    <w:rsid w:val="001E7D02"/>
    <w:rsid w:val="001E7D24"/>
    <w:rsid w:val="001E7F11"/>
    <w:rsid w:val="001F03BC"/>
    <w:rsid w:val="001F0D33"/>
    <w:rsid w:val="001F0F68"/>
    <w:rsid w:val="001F13DB"/>
    <w:rsid w:val="001F143C"/>
    <w:rsid w:val="001F18EF"/>
    <w:rsid w:val="001F1CDF"/>
    <w:rsid w:val="001F3010"/>
    <w:rsid w:val="001F32E3"/>
    <w:rsid w:val="001F4118"/>
    <w:rsid w:val="001F47C6"/>
    <w:rsid w:val="001F4BC7"/>
    <w:rsid w:val="001F500B"/>
    <w:rsid w:val="001F53F0"/>
    <w:rsid w:val="001F581C"/>
    <w:rsid w:val="001F6C70"/>
    <w:rsid w:val="001F71BD"/>
    <w:rsid w:val="001F76AD"/>
    <w:rsid w:val="001F7A2B"/>
    <w:rsid w:val="002001C2"/>
    <w:rsid w:val="00200577"/>
    <w:rsid w:val="00200745"/>
    <w:rsid w:val="00200EDE"/>
    <w:rsid w:val="00200F05"/>
    <w:rsid w:val="002016FC"/>
    <w:rsid w:val="002018CE"/>
    <w:rsid w:val="0020191F"/>
    <w:rsid w:val="00201A1E"/>
    <w:rsid w:val="00201ED6"/>
    <w:rsid w:val="00202395"/>
    <w:rsid w:val="002026B0"/>
    <w:rsid w:val="00203442"/>
    <w:rsid w:val="00203B5A"/>
    <w:rsid w:val="00204693"/>
    <w:rsid w:val="00204A13"/>
    <w:rsid w:val="00205B21"/>
    <w:rsid w:val="00206014"/>
    <w:rsid w:val="00206255"/>
    <w:rsid w:val="00206B48"/>
    <w:rsid w:val="00207135"/>
    <w:rsid w:val="00207656"/>
    <w:rsid w:val="0021095A"/>
    <w:rsid w:val="00210AFD"/>
    <w:rsid w:val="002113BB"/>
    <w:rsid w:val="00211647"/>
    <w:rsid w:val="002118DB"/>
    <w:rsid w:val="00211A69"/>
    <w:rsid w:val="00211DD3"/>
    <w:rsid w:val="00211E4A"/>
    <w:rsid w:val="002123F7"/>
    <w:rsid w:val="002129E4"/>
    <w:rsid w:val="002134BB"/>
    <w:rsid w:val="00213A2E"/>
    <w:rsid w:val="00214347"/>
    <w:rsid w:val="00214511"/>
    <w:rsid w:val="00214796"/>
    <w:rsid w:val="00214849"/>
    <w:rsid w:val="002154A7"/>
    <w:rsid w:val="00215FB9"/>
    <w:rsid w:val="002166AE"/>
    <w:rsid w:val="00216B5C"/>
    <w:rsid w:val="00216CFE"/>
    <w:rsid w:val="00217F4B"/>
    <w:rsid w:val="00220294"/>
    <w:rsid w:val="00220879"/>
    <w:rsid w:val="002212C2"/>
    <w:rsid w:val="00221504"/>
    <w:rsid w:val="00221B15"/>
    <w:rsid w:val="00221D3F"/>
    <w:rsid w:val="00221D6B"/>
    <w:rsid w:val="00221EB8"/>
    <w:rsid w:val="00221ECA"/>
    <w:rsid w:val="00222A28"/>
    <w:rsid w:val="00223898"/>
    <w:rsid w:val="00224F56"/>
    <w:rsid w:val="00225162"/>
    <w:rsid w:val="00225AAA"/>
    <w:rsid w:val="0022616F"/>
    <w:rsid w:val="00226422"/>
    <w:rsid w:val="0022665F"/>
    <w:rsid w:val="00226A18"/>
    <w:rsid w:val="002272AA"/>
    <w:rsid w:val="00227A78"/>
    <w:rsid w:val="00230801"/>
    <w:rsid w:val="00230D3E"/>
    <w:rsid w:val="00231241"/>
    <w:rsid w:val="00233722"/>
    <w:rsid w:val="00234B46"/>
    <w:rsid w:val="00235E0B"/>
    <w:rsid w:val="002361D1"/>
    <w:rsid w:val="00236300"/>
    <w:rsid w:val="002365B4"/>
    <w:rsid w:val="0023695D"/>
    <w:rsid w:val="00236DC8"/>
    <w:rsid w:val="00237A2E"/>
    <w:rsid w:val="00240032"/>
    <w:rsid w:val="00240670"/>
    <w:rsid w:val="00240FEE"/>
    <w:rsid w:val="002422E8"/>
    <w:rsid w:val="002422F4"/>
    <w:rsid w:val="002428B8"/>
    <w:rsid w:val="002428E4"/>
    <w:rsid w:val="00243EBC"/>
    <w:rsid w:val="00243F4F"/>
    <w:rsid w:val="0024486F"/>
    <w:rsid w:val="002448AD"/>
    <w:rsid w:val="0024495B"/>
    <w:rsid w:val="00245B0B"/>
    <w:rsid w:val="00245FA8"/>
    <w:rsid w:val="002461DF"/>
    <w:rsid w:val="00246240"/>
    <w:rsid w:val="00247FBE"/>
    <w:rsid w:val="0025021A"/>
    <w:rsid w:val="00250346"/>
    <w:rsid w:val="00250B34"/>
    <w:rsid w:val="002515FC"/>
    <w:rsid w:val="00251C66"/>
    <w:rsid w:val="00251FD6"/>
    <w:rsid w:val="00252A67"/>
    <w:rsid w:val="00253F20"/>
    <w:rsid w:val="00253F9B"/>
    <w:rsid w:val="0025409E"/>
    <w:rsid w:val="00254639"/>
    <w:rsid w:val="00254641"/>
    <w:rsid w:val="002549AC"/>
    <w:rsid w:val="00254A3B"/>
    <w:rsid w:val="00255ADC"/>
    <w:rsid w:val="00255D81"/>
    <w:rsid w:val="00255E57"/>
    <w:rsid w:val="00256BF6"/>
    <w:rsid w:val="00257351"/>
    <w:rsid w:val="0025799F"/>
    <w:rsid w:val="002600BC"/>
    <w:rsid w:val="00260369"/>
    <w:rsid w:val="0026188A"/>
    <w:rsid w:val="00261A46"/>
    <w:rsid w:val="00261DCD"/>
    <w:rsid w:val="00262D42"/>
    <w:rsid w:val="0026427A"/>
    <w:rsid w:val="00264538"/>
    <w:rsid w:val="0026453F"/>
    <w:rsid w:val="00264AEA"/>
    <w:rsid w:val="00264ECC"/>
    <w:rsid w:val="00266622"/>
    <w:rsid w:val="002700F9"/>
    <w:rsid w:val="00270294"/>
    <w:rsid w:val="00270499"/>
    <w:rsid w:val="00271D40"/>
    <w:rsid w:val="00272027"/>
    <w:rsid w:val="00272FA9"/>
    <w:rsid w:val="00273697"/>
    <w:rsid w:val="00273793"/>
    <w:rsid w:val="00274519"/>
    <w:rsid w:val="00274818"/>
    <w:rsid w:val="00274A92"/>
    <w:rsid w:val="0027550B"/>
    <w:rsid w:val="0027565E"/>
    <w:rsid w:val="00275967"/>
    <w:rsid w:val="00275A06"/>
    <w:rsid w:val="00275A52"/>
    <w:rsid w:val="00275E73"/>
    <w:rsid w:val="00276376"/>
    <w:rsid w:val="0027648F"/>
    <w:rsid w:val="002769DC"/>
    <w:rsid w:val="00276D4D"/>
    <w:rsid w:val="0027718D"/>
    <w:rsid w:val="002801CD"/>
    <w:rsid w:val="00280248"/>
    <w:rsid w:val="002804B3"/>
    <w:rsid w:val="00280A40"/>
    <w:rsid w:val="00280CA3"/>
    <w:rsid w:val="00280F43"/>
    <w:rsid w:val="00281023"/>
    <w:rsid w:val="00281B6E"/>
    <w:rsid w:val="0028229E"/>
    <w:rsid w:val="0028255D"/>
    <w:rsid w:val="00283033"/>
    <w:rsid w:val="0028340F"/>
    <w:rsid w:val="00284359"/>
    <w:rsid w:val="00284484"/>
    <w:rsid w:val="002845E7"/>
    <w:rsid w:val="002853F9"/>
    <w:rsid w:val="00285E39"/>
    <w:rsid w:val="00286AE2"/>
    <w:rsid w:val="00287073"/>
    <w:rsid w:val="0028716F"/>
    <w:rsid w:val="002872E2"/>
    <w:rsid w:val="002879F6"/>
    <w:rsid w:val="00287BA7"/>
    <w:rsid w:val="00287BAA"/>
    <w:rsid w:val="0029012A"/>
    <w:rsid w:val="0029090B"/>
    <w:rsid w:val="00290947"/>
    <w:rsid w:val="002909E0"/>
    <w:rsid w:val="00290A27"/>
    <w:rsid w:val="002924E6"/>
    <w:rsid w:val="00292975"/>
    <w:rsid w:val="00292C60"/>
    <w:rsid w:val="00293D98"/>
    <w:rsid w:val="00294A72"/>
    <w:rsid w:val="00294A7C"/>
    <w:rsid w:val="00294B05"/>
    <w:rsid w:val="002952DE"/>
    <w:rsid w:val="00295676"/>
    <w:rsid w:val="00295CD7"/>
    <w:rsid w:val="00295EB4"/>
    <w:rsid w:val="00296ADA"/>
    <w:rsid w:val="002971DF"/>
    <w:rsid w:val="002973FB"/>
    <w:rsid w:val="002975D2"/>
    <w:rsid w:val="002976F1"/>
    <w:rsid w:val="002977D1"/>
    <w:rsid w:val="002A044D"/>
    <w:rsid w:val="002A27DA"/>
    <w:rsid w:val="002A363E"/>
    <w:rsid w:val="002A36E3"/>
    <w:rsid w:val="002A3A91"/>
    <w:rsid w:val="002A4F83"/>
    <w:rsid w:val="002A5BDD"/>
    <w:rsid w:val="002A5C20"/>
    <w:rsid w:val="002A5FE3"/>
    <w:rsid w:val="002A5FFB"/>
    <w:rsid w:val="002A60D2"/>
    <w:rsid w:val="002A68C7"/>
    <w:rsid w:val="002A7628"/>
    <w:rsid w:val="002A78F2"/>
    <w:rsid w:val="002B0EC1"/>
    <w:rsid w:val="002B1982"/>
    <w:rsid w:val="002B1E4B"/>
    <w:rsid w:val="002B247D"/>
    <w:rsid w:val="002B3B7E"/>
    <w:rsid w:val="002B3FB5"/>
    <w:rsid w:val="002B4E76"/>
    <w:rsid w:val="002B5662"/>
    <w:rsid w:val="002B5A8A"/>
    <w:rsid w:val="002B5FF8"/>
    <w:rsid w:val="002B7679"/>
    <w:rsid w:val="002B7EC8"/>
    <w:rsid w:val="002C0114"/>
    <w:rsid w:val="002C0359"/>
    <w:rsid w:val="002C0643"/>
    <w:rsid w:val="002C0953"/>
    <w:rsid w:val="002C0C48"/>
    <w:rsid w:val="002C0F38"/>
    <w:rsid w:val="002C1339"/>
    <w:rsid w:val="002C15C0"/>
    <w:rsid w:val="002C1AA8"/>
    <w:rsid w:val="002C2195"/>
    <w:rsid w:val="002C2D8F"/>
    <w:rsid w:val="002C2F5C"/>
    <w:rsid w:val="002C3345"/>
    <w:rsid w:val="002C36B9"/>
    <w:rsid w:val="002C3A2D"/>
    <w:rsid w:val="002C3C42"/>
    <w:rsid w:val="002C4E14"/>
    <w:rsid w:val="002C5262"/>
    <w:rsid w:val="002C54A0"/>
    <w:rsid w:val="002C592B"/>
    <w:rsid w:val="002C5EC0"/>
    <w:rsid w:val="002C5EE7"/>
    <w:rsid w:val="002C6294"/>
    <w:rsid w:val="002C6C06"/>
    <w:rsid w:val="002C7530"/>
    <w:rsid w:val="002C7903"/>
    <w:rsid w:val="002C7A95"/>
    <w:rsid w:val="002C7A9A"/>
    <w:rsid w:val="002C7E51"/>
    <w:rsid w:val="002D0274"/>
    <w:rsid w:val="002D0C50"/>
    <w:rsid w:val="002D19E8"/>
    <w:rsid w:val="002D1E2C"/>
    <w:rsid w:val="002D2DF9"/>
    <w:rsid w:val="002D3089"/>
    <w:rsid w:val="002D3212"/>
    <w:rsid w:val="002D440C"/>
    <w:rsid w:val="002D4E0E"/>
    <w:rsid w:val="002D4EDF"/>
    <w:rsid w:val="002D5182"/>
    <w:rsid w:val="002D54A0"/>
    <w:rsid w:val="002D5D80"/>
    <w:rsid w:val="002D66C4"/>
    <w:rsid w:val="002D6E11"/>
    <w:rsid w:val="002D727D"/>
    <w:rsid w:val="002D7D07"/>
    <w:rsid w:val="002E04B1"/>
    <w:rsid w:val="002E08B7"/>
    <w:rsid w:val="002E191F"/>
    <w:rsid w:val="002E19CF"/>
    <w:rsid w:val="002E1BE4"/>
    <w:rsid w:val="002E2FAB"/>
    <w:rsid w:val="002E38F5"/>
    <w:rsid w:val="002E3C82"/>
    <w:rsid w:val="002E416A"/>
    <w:rsid w:val="002E44E7"/>
    <w:rsid w:val="002E4921"/>
    <w:rsid w:val="002E4F6F"/>
    <w:rsid w:val="002E540D"/>
    <w:rsid w:val="002E5DD1"/>
    <w:rsid w:val="002E62F8"/>
    <w:rsid w:val="002E695A"/>
    <w:rsid w:val="002E6D29"/>
    <w:rsid w:val="002E700A"/>
    <w:rsid w:val="002E705B"/>
    <w:rsid w:val="002E7122"/>
    <w:rsid w:val="002E7803"/>
    <w:rsid w:val="002E7839"/>
    <w:rsid w:val="002E7FE9"/>
    <w:rsid w:val="002F0041"/>
    <w:rsid w:val="002F0511"/>
    <w:rsid w:val="002F0DB5"/>
    <w:rsid w:val="002F0EFF"/>
    <w:rsid w:val="002F12CB"/>
    <w:rsid w:val="002F19A6"/>
    <w:rsid w:val="002F21B2"/>
    <w:rsid w:val="002F2AA5"/>
    <w:rsid w:val="002F2E0E"/>
    <w:rsid w:val="002F2E26"/>
    <w:rsid w:val="002F3047"/>
    <w:rsid w:val="002F32B3"/>
    <w:rsid w:val="002F37BC"/>
    <w:rsid w:val="002F3953"/>
    <w:rsid w:val="002F4090"/>
    <w:rsid w:val="002F40EA"/>
    <w:rsid w:val="002F4A85"/>
    <w:rsid w:val="002F4FF1"/>
    <w:rsid w:val="002F5948"/>
    <w:rsid w:val="002F5F76"/>
    <w:rsid w:val="002F6081"/>
    <w:rsid w:val="002F6083"/>
    <w:rsid w:val="002F6657"/>
    <w:rsid w:val="002F6D94"/>
    <w:rsid w:val="002F6E32"/>
    <w:rsid w:val="002F70D9"/>
    <w:rsid w:val="002F72A5"/>
    <w:rsid w:val="002F752C"/>
    <w:rsid w:val="002F753E"/>
    <w:rsid w:val="002F78C5"/>
    <w:rsid w:val="002F7D71"/>
    <w:rsid w:val="002F7E6C"/>
    <w:rsid w:val="003002C1"/>
    <w:rsid w:val="0030034E"/>
    <w:rsid w:val="00300CA8"/>
    <w:rsid w:val="00301920"/>
    <w:rsid w:val="00301A20"/>
    <w:rsid w:val="00301E66"/>
    <w:rsid w:val="00301EBA"/>
    <w:rsid w:val="00302297"/>
    <w:rsid w:val="0030254A"/>
    <w:rsid w:val="0030288C"/>
    <w:rsid w:val="00302D29"/>
    <w:rsid w:val="00302E8D"/>
    <w:rsid w:val="00303112"/>
    <w:rsid w:val="0030366C"/>
    <w:rsid w:val="00304251"/>
    <w:rsid w:val="003044F2"/>
    <w:rsid w:val="00304F45"/>
    <w:rsid w:val="00305232"/>
    <w:rsid w:val="003058E7"/>
    <w:rsid w:val="00305B44"/>
    <w:rsid w:val="003060B9"/>
    <w:rsid w:val="003061C0"/>
    <w:rsid w:val="003064DB"/>
    <w:rsid w:val="00306A8A"/>
    <w:rsid w:val="00306E25"/>
    <w:rsid w:val="003073CE"/>
    <w:rsid w:val="00307ABB"/>
    <w:rsid w:val="0031036F"/>
    <w:rsid w:val="00310E04"/>
    <w:rsid w:val="003112A1"/>
    <w:rsid w:val="003118D6"/>
    <w:rsid w:val="0031190E"/>
    <w:rsid w:val="00311CE7"/>
    <w:rsid w:val="00311D4E"/>
    <w:rsid w:val="00311DA7"/>
    <w:rsid w:val="00311E19"/>
    <w:rsid w:val="00312AFB"/>
    <w:rsid w:val="0031319B"/>
    <w:rsid w:val="0031456B"/>
    <w:rsid w:val="0031487E"/>
    <w:rsid w:val="00314D81"/>
    <w:rsid w:val="00314F74"/>
    <w:rsid w:val="00315642"/>
    <w:rsid w:val="003167C9"/>
    <w:rsid w:val="00316BD7"/>
    <w:rsid w:val="00316BEF"/>
    <w:rsid w:val="00316DF7"/>
    <w:rsid w:val="00316E94"/>
    <w:rsid w:val="00316F56"/>
    <w:rsid w:val="00317717"/>
    <w:rsid w:val="00317DB9"/>
    <w:rsid w:val="00320671"/>
    <w:rsid w:val="003206D3"/>
    <w:rsid w:val="00320FF5"/>
    <w:rsid w:val="00321311"/>
    <w:rsid w:val="0032179C"/>
    <w:rsid w:val="003226B8"/>
    <w:rsid w:val="00322C16"/>
    <w:rsid w:val="0032322F"/>
    <w:rsid w:val="00323DF7"/>
    <w:rsid w:val="003262E3"/>
    <w:rsid w:val="003272E1"/>
    <w:rsid w:val="00327581"/>
    <w:rsid w:val="00330077"/>
    <w:rsid w:val="00332079"/>
    <w:rsid w:val="00332909"/>
    <w:rsid w:val="003329FA"/>
    <w:rsid w:val="00332B5E"/>
    <w:rsid w:val="00332B7C"/>
    <w:rsid w:val="00333165"/>
    <w:rsid w:val="003333F2"/>
    <w:rsid w:val="003342A2"/>
    <w:rsid w:val="00334991"/>
    <w:rsid w:val="00335512"/>
    <w:rsid w:val="003356BB"/>
    <w:rsid w:val="00335BD8"/>
    <w:rsid w:val="00336B0D"/>
    <w:rsid w:val="00336F47"/>
    <w:rsid w:val="00337D9B"/>
    <w:rsid w:val="00337E11"/>
    <w:rsid w:val="00337E95"/>
    <w:rsid w:val="00340B7D"/>
    <w:rsid w:val="00340D27"/>
    <w:rsid w:val="00341BD9"/>
    <w:rsid w:val="003420F8"/>
    <w:rsid w:val="00342119"/>
    <w:rsid w:val="003422C1"/>
    <w:rsid w:val="0034266A"/>
    <w:rsid w:val="00342D6F"/>
    <w:rsid w:val="00342F55"/>
    <w:rsid w:val="003438C8"/>
    <w:rsid w:val="00343CEB"/>
    <w:rsid w:val="0034419E"/>
    <w:rsid w:val="00344B90"/>
    <w:rsid w:val="00344DF4"/>
    <w:rsid w:val="00345398"/>
    <w:rsid w:val="00345676"/>
    <w:rsid w:val="00345854"/>
    <w:rsid w:val="00345961"/>
    <w:rsid w:val="00346531"/>
    <w:rsid w:val="003470B3"/>
    <w:rsid w:val="00347203"/>
    <w:rsid w:val="00347ADF"/>
    <w:rsid w:val="003500F0"/>
    <w:rsid w:val="003505A2"/>
    <w:rsid w:val="00350AF9"/>
    <w:rsid w:val="00351093"/>
    <w:rsid w:val="0035137A"/>
    <w:rsid w:val="00352912"/>
    <w:rsid w:val="0035535C"/>
    <w:rsid w:val="00355B61"/>
    <w:rsid w:val="00355EAD"/>
    <w:rsid w:val="00356027"/>
    <w:rsid w:val="00356254"/>
    <w:rsid w:val="003567F1"/>
    <w:rsid w:val="00356A2C"/>
    <w:rsid w:val="0035782E"/>
    <w:rsid w:val="00357A82"/>
    <w:rsid w:val="00357AD7"/>
    <w:rsid w:val="00357BF0"/>
    <w:rsid w:val="00357E2C"/>
    <w:rsid w:val="0036059A"/>
    <w:rsid w:val="00360AF8"/>
    <w:rsid w:val="00361437"/>
    <w:rsid w:val="003628A1"/>
    <w:rsid w:val="00362CFD"/>
    <w:rsid w:val="00362D44"/>
    <w:rsid w:val="003634FA"/>
    <w:rsid w:val="0036389E"/>
    <w:rsid w:val="00363FEA"/>
    <w:rsid w:val="00364C69"/>
    <w:rsid w:val="00364E56"/>
    <w:rsid w:val="00365ADC"/>
    <w:rsid w:val="00365F87"/>
    <w:rsid w:val="00365FBE"/>
    <w:rsid w:val="003665FD"/>
    <w:rsid w:val="0037113F"/>
    <w:rsid w:val="00371574"/>
    <w:rsid w:val="003716E9"/>
    <w:rsid w:val="00371F8D"/>
    <w:rsid w:val="00372287"/>
    <w:rsid w:val="003722AE"/>
    <w:rsid w:val="00372E11"/>
    <w:rsid w:val="00373172"/>
    <w:rsid w:val="00373AB5"/>
    <w:rsid w:val="00374580"/>
    <w:rsid w:val="003745E4"/>
    <w:rsid w:val="00375AB5"/>
    <w:rsid w:val="00375F10"/>
    <w:rsid w:val="003768F8"/>
    <w:rsid w:val="0037704B"/>
    <w:rsid w:val="003808AF"/>
    <w:rsid w:val="00380929"/>
    <w:rsid w:val="00380AF1"/>
    <w:rsid w:val="00381C52"/>
    <w:rsid w:val="00381F64"/>
    <w:rsid w:val="00381FB1"/>
    <w:rsid w:val="00382E22"/>
    <w:rsid w:val="00382F8D"/>
    <w:rsid w:val="00383036"/>
    <w:rsid w:val="003830A7"/>
    <w:rsid w:val="0038329B"/>
    <w:rsid w:val="00383493"/>
    <w:rsid w:val="00383773"/>
    <w:rsid w:val="003838C2"/>
    <w:rsid w:val="0038439F"/>
    <w:rsid w:val="0038470D"/>
    <w:rsid w:val="00384C44"/>
    <w:rsid w:val="00385608"/>
    <w:rsid w:val="00385664"/>
    <w:rsid w:val="003856C1"/>
    <w:rsid w:val="00385E05"/>
    <w:rsid w:val="00386FAF"/>
    <w:rsid w:val="00387B8F"/>
    <w:rsid w:val="00387BE6"/>
    <w:rsid w:val="00390137"/>
    <w:rsid w:val="0039046C"/>
    <w:rsid w:val="00391266"/>
    <w:rsid w:val="00391591"/>
    <w:rsid w:val="003916E7"/>
    <w:rsid w:val="00391742"/>
    <w:rsid w:val="003917E9"/>
    <w:rsid w:val="00391C66"/>
    <w:rsid w:val="00392899"/>
    <w:rsid w:val="00393855"/>
    <w:rsid w:val="00393994"/>
    <w:rsid w:val="00393C0F"/>
    <w:rsid w:val="003954C3"/>
    <w:rsid w:val="00395B1C"/>
    <w:rsid w:val="00396467"/>
    <w:rsid w:val="00396E56"/>
    <w:rsid w:val="003A03A6"/>
    <w:rsid w:val="003A0668"/>
    <w:rsid w:val="003A0EDC"/>
    <w:rsid w:val="003A0F4C"/>
    <w:rsid w:val="003A1212"/>
    <w:rsid w:val="003A169C"/>
    <w:rsid w:val="003A1809"/>
    <w:rsid w:val="003A20A6"/>
    <w:rsid w:val="003A2399"/>
    <w:rsid w:val="003A33A2"/>
    <w:rsid w:val="003A3C79"/>
    <w:rsid w:val="003A42AB"/>
    <w:rsid w:val="003A49F2"/>
    <w:rsid w:val="003A4F7F"/>
    <w:rsid w:val="003A6A71"/>
    <w:rsid w:val="003B0067"/>
    <w:rsid w:val="003B0EBE"/>
    <w:rsid w:val="003B0FB9"/>
    <w:rsid w:val="003B11B7"/>
    <w:rsid w:val="003B11CC"/>
    <w:rsid w:val="003B1762"/>
    <w:rsid w:val="003B1A07"/>
    <w:rsid w:val="003B1D1C"/>
    <w:rsid w:val="003B1E1F"/>
    <w:rsid w:val="003B2410"/>
    <w:rsid w:val="003B264D"/>
    <w:rsid w:val="003B26BC"/>
    <w:rsid w:val="003B2FB4"/>
    <w:rsid w:val="003B5B0D"/>
    <w:rsid w:val="003B5CD8"/>
    <w:rsid w:val="003B5FB2"/>
    <w:rsid w:val="003B62EA"/>
    <w:rsid w:val="003B6D6B"/>
    <w:rsid w:val="003B731D"/>
    <w:rsid w:val="003B73E6"/>
    <w:rsid w:val="003C0097"/>
    <w:rsid w:val="003C03D7"/>
    <w:rsid w:val="003C0C89"/>
    <w:rsid w:val="003C1353"/>
    <w:rsid w:val="003C173B"/>
    <w:rsid w:val="003C1822"/>
    <w:rsid w:val="003C1F11"/>
    <w:rsid w:val="003C21DC"/>
    <w:rsid w:val="003C24F1"/>
    <w:rsid w:val="003C2B88"/>
    <w:rsid w:val="003C3428"/>
    <w:rsid w:val="003C3F9C"/>
    <w:rsid w:val="003C4CCB"/>
    <w:rsid w:val="003C51EB"/>
    <w:rsid w:val="003C539D"/>
    <w:rsid w:val="003C5489"/>
    <w:rsid w:val="003C5AE2"/>
    <w:rsid w:val="003C60CA"/>
    <w:rsid w:val="003C6205"/>
    <w:rsid w:val="003C6206"/>
    <w:rsid w:val="003C6850"/>
    <w:rsid w:val="003C69E7"/>
    <w:rsid w:val="003C7BD8"/>
    <w:rsid w:val="003D0469"/>
    <w:rsid w:val="003D056D"/>
    <w:rsid w:val="003D1A0B"/>
    <w:rsid w:val="003D1B96"/>
    <w:rsid w:val="003D1BB9"/>
    <w:rsid w:val="003D2251"/>
    <w:rsid w:val="003D22E1"/>
    <w:rsid w:val="003D268D"/>
    <w:rsid w:val="003D36EC"/>
    <w:rsid w:val="003D3841"/>
    <w:rsid w:val="003D432E"/>
    <w:rsid w:val="003D45E5"/>
    <w:rsid w:val="003D4B72"/>
    <w:rsid w:val="003D50C8"/>
    <w:rsid w:val="003D50CC"/>
    <w:rsid w:val="003D5B29"/>
    <w:rsid w:val="003D600C"/>
    <w:rsid w:val="003D6B47"/>
    <w:rsid w:val="003D6EB3"/>
    <w:rsid w:val="003D79B3"/>
    <w:rsid w:val="003D7A3D"/>
    <w:rsid w:val="003D7F48"/>
    <w:rsid w:val="003E0D63"/>
    <w:rsid w:val="003E0FD0"/>
    <w:rsid w:val="003E2006"/>
    <w:rsid w:val="003E28D9"/>
    <w:rsid w:val="003E2C41"/>
    <w:rsid w:val="003E3024"/>
    <w:rsid w:val="003E3150"/>
    <w:rsid w:val="003E368D"/>
    <w:rsid w:val="003E3DF7"/>
    <w:rsid w:val="003E40A9"/>
    <w:rsid w:val="003E44B4"/>
    <w:rsid w:val="003E4CAA"/>
    <w:rsid w:val="003E4EDD"/>
    <w:rsid w:val="003E5341"/>
    <w:rsid w:val="003E63D5"/>
    <w:rsid w:val="003E6B0E"/>
    <w:rsid w:val="003E78C4"/>
    <w:rsid w:val="003E78E3"/>
    <w:rsid w:val="003F0063"/>
    <w:rsid w:val="003F0406"/>
    <w:rsid w:val="003F0F91"/>
    <w:rsid w:val="003F121A"/>
    <w:rsid w:val="003F1262"/>
    <w:rsid w:val="003F12AC"/>
    <w:rsid w:val="003F21BF"/>
    <w:rsid w:val="003F2E46"/>
    <w:rsid w:val="003F2F71"/>
    <w:rsid w:val="003F34D7"/>
    <w:rsid w:val="003F3B22"/>
    <w:rsid w:val="003F4040"/>
    <w:rsid w:val="003F40BA"/>
    <w:rsid w:val="003F4148"/>
    <w:rsid w:val="003F4B2D"/>
    <w:rsid w:val="003F4EAD"/>
    <w:rsid w:val="003F500B"/>
    <w:rsid w:val="003F579C"/>
    <w:rsid w:val="003F6ABC"/>
    <w:rsid w:val="003F6E30"/>
    <w:rsid w:val="003F6F2E"/>
    <w:rsid w:val="003F71B7"/>
    <w:rsid w:val="003F72A8"/>
    <w:rsid w:val="003F762D"/>
    <w:rsid w:val="003F768F"/>
    <w:rsid w:val="003F7807"/>
    <w:rsid w:val="003F78CF"/>
    <w:rsid w:val="003F7904"/>
    <w:rsid w:val="0040088D"/>
    <w:rsid w:val="00400A56"/>
    <w:rsid w:val="0040120D"/>
    <w:rsid w:val="00401D36"/>
    <w:rsid w:val="004026C5"/>
    <w:rsid w:val="00403104"/>
    <w:rsid w:val="00404C24"/>
    <w:rsid w:val="00404F74"/>
    <w:rsid w:val="004062F6"/>
    <w:rsid w:val="00406C8B"/>
    <w:rsid w:val="00407035"/>
    <w:rsid w:val="00407206"/>
    <w:rsid w:val="004100A4"/>
    <w:rsid w:val="00410D1E"/>
    <w:rsid w:val="00410EDA"/>
    <w:rsid w:val="0041109C"/>
    <w:rsid w:val="0041119C"/>
    <w:rsid w:val="00411589"/>
    <w:rsid w:val="00411A50"/>
    <w:rsid w:val="0041288A"/>
    <w:rsid w:val="00413B6A"/>
    <w:rsid w:val="00413ED1"/>
    <w:rsid w:val="00414280"/>
    <w:rsid w:val="00414B2C"/>
    <w:rsid w:val="004158C0"/>
    <w:rsid w:val="00415ED0"/>
    <w:rsid w:val="00416507"/>
    <w:rsid w:val="004173D0"/>
    <w:rsid w:val="00417642"/>
    <w:rsid w:val="0041781A"/>
    <w:rsid w:val="004200D9"/>
    <w:rsid w:val="004201AD"/>
    <w:rsid w:val="00420783"/>
    <w:rsid w:val="00420956"/>
    <w:rsid w:val="004209CE"/>
    <w:rsid w:val="00420E66"/>
    <w:rsid w:val="004211B2"/>
    <w:rsid w:val="0042134D"/>
    <w:rsid w:val="00421FAE"/>
    <w:rsid w:val="004225D5"/>
    <w:rsid w:val="00423242"/>
    <w:rsid w:val="004232E2"/>
    <w:rsid w:val="00423E3A"/>
    <w:rsid w:val="00424D61"/>
    <w:rsid w:val="004251F5"/>
    <w:rsid w:val="00425927"/>
    <w:rsid w:val="0042597C"/>
    <w:rsid w:val="004260BC"/>
    <w:rsid w:val="0042693E"/>
    <w:rsid w:val="00427654"/>
    <w:rsid w:val="00427830"/>
    <w:rsid w:val="00430B5B"/>
    <w:rsid w:val="00430FCE"/>
    <w:rsid w:val="0043132D"/>
    <w:rsid w:val="0043139F"/>
    <w:rsid w:val="00432404"/>
    <w:rsid w:val="00432D65"/>
    <w:rsid w:val="00432F5E"/>
    <w:rsid w:val="004339AA"/>
    <w:rsid w:val="00433A6D"/>
    <w:rsid w:val="00434D8A"/>
    <w:rsid w:val="0043550A"/>
    <w:rsid w:val="004365A4"/>
    <w:rsid w:val="00436A25"/>
    <w:rsid w:val="00436D86"/>
    <w:rsid w:val="0043765B"/>
    <w:rsid w:val="00437950"/>
    <w:rsid w:val="00440788"/>
    <w:rsid w:val="0044082B"/>
    <w:rsid w:val="0044207E"/>
    <w:rsid w:val="004420C2"/>
    <w:rsid w:val="00442807"/>
    <w:rsid w:val="00442EB4"/>
    <w:rsid w:val="00443318"/>
    <w:rsid w:val="004434E7"/>
    <w:rsid w:val="00443E24"/>
    <w:rsid w:val="00444385"/>
    <w:rsid w:val="00444A8F"/>
    <w:rsid w:val="00444C0B"/>
    <w:rsid w:val="00446A50"/>
    <w:rsid w:val="00446C83"/>
    <w:rsid w:val="0044716B"/>
    <w:rsid w:val="00447304"/>
    <w:rsid w:val="00447F14"/>
    <w:rsid w:val="0045002B"/>
    <w:rsid w:val="0045067B"/>
    <w:rsid w:val="004508D2"/>
    <w:rsid w:val="00450B09"/>
    <w:rsid w:val="00452CE5"/>
    <w:rsid w:val="00452FA7"/>
    <w:rsid w:val="00453A4A"/>
    <w:rsid w:val="00454283"/>
    <w:rsid w:val="004549F9"/>
    <w:rsid w:val="00454D1F"/>
    <w:rsid w:val="00455E16"/>
    <w:rsid w:val="00455FB2"/>
    <w:rsid w:val="004565EC"/>
    <w:rsid w:val="00456BA6"/>
    <w:rsid w:val="00457D91"/>
    <w:rsid w:val="004614D9"/>
    <w:rsid w:val="00461816"/>
    <w:rsid w:val="004625AE"/>
    <w:rsid w:val="00462982"/>
    <w:rsid w:val="00462D79"/>
    <w:rsid w:val="00462DCD"/>
    <w:rsid w:val="00462F9A"/>
    <w:rsid w:val="00463AA5"/>
    <w:rsid w:val="00464AEF"/>
    <w:rsid w:val="00465572"/>
    <w:rsid w:val="0046590E"/>
    <w:rsid w:val="00465C11"/>
    <w:rsid w:val="00465E0C"/>
    <w:rsid w:val="0046609D"/>
    <w:rsid w:val="00466584"/>
    <w:rsid w:val="004669DB"/>
    <w:rsid w:val="00466E38"/>
    <w:rsid w:val="004671E0"/>
    <w:rsid w:val="004674DD"/>
    <w:rsid w:val="004676E6"/>
    <w:rsid w:val="00467B92"/>
    <w:rsid w:val="00467D9F"/>
    <w:rsid w:val="00470C66"/>
    <w:rsid w:val="00470DD1"/>
    <w:rsid w:val="00470FAC"/>
    <w:rsid w:val="00471280"/>
    <w:rsid w:val="0047179F"/>
    <w:rsid w:val="00471D1B"/>
    <w:rsid w:val="0047242D"/>
    <w:rsid w:val="00473711"/>
    <w:rsid w:val="00474A1E"/>
    <w:rsid w:val="00475039"/>
    <w:rsid w:val="00475105"/>
    <w:rsid w:val="0047536E"/>
    <w:rsid w:val="00475ECF"/>
    <w:rsid w:val="00476254"/>
    <w:rsid w:val="004777BA"/>
    <w:rsid w:val="00477A7E"/>
    <w:rsid w:val="004803FC"/>
    <w:rsid w:val="00480E80"/>
    <w:rsid w:val="00481797"/>
    <w:rsid w:val="004821DA"/>
    <w:rsid w:val="00482516"/>
    <w:rsid w:val="00482632"/>
    <w:rsid w:val="00483451"/>
    <w:rsid w:val="00483C21"/>
    <w:rsid w:val="004841E2"/>
    <w:rsid w:val="00486685"/>
    <w:rsid w:val="00486B0B"/>
    <w:rsid w:val="00486ED6"/>
    <w:rsid w:val="00486F38"/>
    <w:rsid w:val="00487355"/>
    <w:rsid w:val="00490EBF"/>
    <w:rsid w:val="004920B2"/>
    <w:rsid w:val="0049397B"/>
    <w:rsid w:val="00493B33"/>
    <w:rsid w:val="00493CD0"/>
    <w:rsid w:val="004941A6"/>
    <w:rsid w:val="004945B2"/>
    <w:rsid w:val="0049466B"/>
    <w:rsid w:val="004946A0"/>
    <w:rsid w:val="00495C63"/>
    <w:rsid w:val="00495E6D"/>
    <w:rsid w:val="00496C9A"/>
    <w:rsid w:val="00496EA9"/>
    <w:rsid w:val="00497BB1"/>
    <w:rsid w:val="004A0346"/>
    <w:rsid w:val="004A1286"/>
    <w:rsid w:val="004A1653"/>
    <w:rsid w:val="004A169E"/>
    <w:rsid w:val="004A31FF"/>
    <w:rsid w:val="004A32BC"/>
    <w:rsid w:val="004A3A41"/>
    <w:rsid w:val="004A3ABB"/>
    <w:rsid w:val="004A5D11"/>
    <w:rsid w:val="004A66C6"/>
    <w:rsid w:val="004A6880"/>
    <w:rsid w:val="004A69B9"/>
    <w:rsid w:val="004A7EB6"/>
    <w:rsid w:val="004A7FD4"/>
    <w:rsid w:val="004B025E"/>
    <w:rsid w:val="004B0CAC"/>
    <w:rsid w:val="004B0E96"/>
    <w:rsid w:val="004B1577"/>
    <w:rsid w:val="004B1C86"/>
    <w:rsid w:val="004B1E14"/>
    <w:rsid w:val="004B2B17"/>
    <w:rsid w:val="004B31DF"/>
    <w:rsid w:val="004B36A7"/>
    <w:rsid w:val="004B3E96"/>
    <w:rsid w:val="004B4128"/>
    <w:rsid w:val="004B4F0C"/>
    <w:rsid w:val="004B5E08"/>
    <w:rsid w:val="004B7021"/>
    <w:rsid w:val="004B7114"/>
    <w:rsid w:val="004C02D7"/>
    <w:rsid w:val="004C0AC4"/>
    <w:rsid w:val="004C14A7"/>
    <w:rsid w:val="004C163E"/>
    <w:rsid w:val="004C173C"/>
    <w:rsid w:val="004C228F"/>
    <w:rsid w:val="004C35F3"/>
    <w:rsid w:val="004C4392"/>
    <w:rsid w:val="004C5333"/>
    <w:rsid w:val="004C5F9A"/>
    <w:rsid w:val="004C6038"/>
    <w:rsid w:val="004C67D7"/>
    <w:rsid w:val="004C694C"/>
    <w:rsid w:val="004C6BAB"/>
    <w:rsid w:val="004C6C46"/>
    <w:rsid w:val="004C72EA"/>
    <w:rsid w:val="004C7A0A"/>
    <w:rsid w:val="004C7EE5"/>
    <w:rsid w:val="004D0CA0"/>
    <w:rsid w:val="004D2E57"/>
    <w:rsid w:val="004D385E"/>
    <w:rsid w:val="004D386D"/>
    <w:rsid w:val="004D5024"/>
    <w:rsid w:val="004D530A"/>
    <w:rsid w:val="004D62DB"/>
    <w:rsid w:val="004D67B5"/>
    <w:rsid w:val="004D6AA7"/>
    <w:rsid w:val="004D6FFE"/>
    <w:rsid w:val="004D7322"/>
    <w:rsid w:val="004D7F4F"/>
    <w:rsid w:val="004E037F"/>
    <w:rsid w:val="004E15BB"/>
    <w:rsid w:val="004E1C37"/>
    <w:rsid w:val="004E1D69"/>
    <w:rsid w:val="004E1D6C"/>
    <w:rsid w:val="004E251A"/>
    <w:rsid w:val="004E27F1"/>
    <w:rsid w:val="004E3C28"/>
    <w:rsid w:val="004E3F30"/>
    <w:rsid w:val="004E4B27"/>
    <w:rsid w:val="004E4E78"/>
    <w:rsid w:val="004E5089"/>
    <w:rsid w:val="004E5B03"/>
    <w:rsid w:val="004E6752"/>
    <w:rsid w:val="004E6A12"/>
    <w:rsid w:val="004E70CA"/>
    <w:rsid w:val="004E7BD8"/>
    <w:rsid w:val="004F0085"/>
    <w:rsid w:val="004F09DC"/>
    <w:rsid w:val="004F1000"/>
    <w:rsid w:val="004F150D"/>
    <w:rsid w:val="004F20A4"/>
    <w:rsid w:val="004F28BE"/>
    <w:rsid w:val="004F2ED4"/>
    <w:rsid w:val="004F2F38"/>
    <w:rsid w:val="004F3079"/>
    <w:rsid w:val="004F31F4"/>
    <w:rsid w:val="004F3494"/>
    <w:rsid w:val="004F3EFB"/>
    <w:rsid w:val="004F4A58"/>
    <w:rsid w:val="004F4BCF"/>
    <w:rsid w:val="004F55E5"/>
    <w:rsid w:val="004F670E"/>
    <w:rsid w:val="004F682C"/>
    <w:rsid w:val="004F698C"/>
    <w:rsid w:val="004F6AF5"/>
    <w:rsid w:val="004F7190"/>
    <w:rsid w:val="004F7FEE"/>
    <w:rsid w:val="005002DC"/>
    <w:rsid w:val="00500568"/>
    <w:rsid w:val="00500697"/>
    <w:rsid w:val="00500A8F"/>
    <w:rsid w:val="005010C5"/>
    <w:rsid w:val="005030C9"/>
    <w:rsid w:val="005031FA"/>
    <w:rsid w:val="00503921"/>
    <w:rsid w:val="005047C7"/>
    <w:rsid w:val="005048D9"/>
    <w:rsid w:val="00504E74"/>
    <w:rsid w:val="005055F9"/>
    <w:rsid w:val="00505AE6"/>
    <w:rsid w:val="00505E1F"/>
    <w:rsid w:val="00505FC4"/>
    <w:rsid w:val="00506E19"/>
    <w:rsid w:val="00507178"/>
    <w:rsid w:val="005072E7"/>
    <w:rsid w:val="005075E0"/>
    <w:rsid w:val="00507A89"/>
    <w:rsid w:val="005106E3"/>
    <w:rsid w:val="0051080F"/>
    <w:rsid w:val="00510B75"/>
    <w:rsid w:val="00511A2A"/>
    <w:rsid w:val="00511A7A"/>
    <w:rsid w:val="00512CBB"/>
    <w:rsid w:val="005139B7"/>
    <w:rsid w:val="00513D44"/>
    <w:rsid w:val="00513DC8"/>
    <w:rsid w:val="0051525F"/>
    <w:rsid w:val="00515503"/>
    <w:rsid w:val="005172C3"/>
    <w:rsid w:val="00517323"/>
    <w:rsid w:val="0051787F"/>
    <w:rsid w:val="00517898"/>
    <w:rsid w:val="00517E04"/>
    <w:rsid w:val="00520451"/>
    <w:rsid w:val="0052047D"/>
    <w:rsid w:val="005207E7"/>
    <w:rsid w:val="00520F21"/>
    <w:rsid w:val="005216C2"/>
    <w:rsid w:val="00522AE6"/>
    <w:rsid w:val="00522C0F"/>
    <w:rsid w:val="00522DEC"/>
    <w:rsid w:val="005233CB"/>
    <w:rsid w:val="005233EA"/>
    <w:rsid w:val="005237D5"/>
    <w:rsid w:val="00523A8F"/>
    <w:rsid w:val="00524F38"/>
    <w:rsid w:val="0052505E"/>
    <w:rsid w:val="00525642"/>
    <w:rsid w:val="00525A96"/>
    <w:rsid w:val="00525CCD"/>
    <w:rsid w:val="00526464"/>
    <w:rsid w:val="005268FD"/>
    <w:rsid w:val="00526D03"/>
    <w:rsid w:val="00526ECE"/>
    <w:rsid w:val="005272A3"/>
    <w:rsid w:val="00530676"/>
    <w:rsid w:val="00530787"/>
    <w:rsid w:val="005308BF"/>
    <w:rsid w:val="00530A28"/>
    <w:rsid w:val="00530B07"/>
    <w:rsid w:val="00530E5A"/>
    <w:rsid w:val="00531071"/>
    <w:rsid w:val="0053130D"/>
    <w:rsid w:val="00531CF9"/>
    <w:rsid w:val="00532266"/>
    <w:rsid w:val="0053227C"/>
    <w:rsid w:val="00532549"/>
    <w:rsid w:val="00532605"/>
    <w:rsid w:val="00532628"/>
    <w:rsid w:val="00532B10"/>
    <w:rsid w:val="00532D25"/>
    <w:rsid w:val="00534088"/>
    <w:rsid w:val="005349C5"/>
    <w:rsid w:val="00534DB9"/>
    <w:rsid w:val="00535C3A"/>
    <w:rsid w:val="00536C20"/>
    <w:rsid w:val="00536C74"/>
    <w:rsid w:val="00536EE8"/>
    <w:rsid w:val="0054016E"/>
    <w:rsid w:val="005419BB"/>
    <w:rsid w:val="005421E3"/>
    <w:rsid w:val="0054256C"/>
    <w:rsid w:val="00543695"/>
    <w:rsid w:val="00543918"/>
    <w:rsid w:val="00543AE7"/>
    <w:rsid w:val="00543D8A"/>
    <w:rsid w:val="005442E6"/>
    <w:rsid w:val="005444D5"/>
    <w:rsid w:val="005448B8"/>
    <w:rsid w:val="005453A9"/>
    <w:rsid w:val="005454D9"/>
    <w:rsid w:val="00545B62"/>
    <w:rsid w:val="0054618D"/>
    <w:rsid w:val="005462DC"/>
    <w:rsid w:val="00546783"/>
    <w:rsid w:val="0055080A"/>
    <w:rsid w:val="00550B78"/>
    <w:rsid w:val="005516FF"/>
    <w:rsid w:val="00551D5C"/>
    <w:rsid w:val="00552033"/>
    <w:rsid w:val="005522E2"/>
    <w:rsid w:val="005523E2"/>
    <w:rsid w:val="0055350A"/>
    <w:rsid w:val="00553695"/>
    <w:rsid w:val="00555231"/>
    <w:rsid w:val="00555471"/>
    <w:rsid w:val="00555EF3"/>
    <w:rsid w:val="005560AE"/>
    <w:rsid w:val="00556600"/>
    <w:rsid w:val="00556D0E"/>
    <w:rsid w:val="00557098"/>
    <w:rsid w:val="00557104"/>
    <w:rsid w:val="005576DF"/>
    <w:rsid w:val="005578D0"/>
    <w:rsid w:val="00557EF3"/>
    <w:rsid w:val="00560175"/>
    <w:rsid w:val="00560235"/>
    <w:rsid w:val="00561C8E"/>
    <w:rsid w:val="0056204C"/>
    <w:rsid w:val="00562A64"/>
    <w:rsid w:val="00562D95"/>
    <w:rsid w:val="005639DE"/>
    <w:rsid w:val="005648DB"/>
    <w:rsid w:val="00564E4E"/>
    <w:rsid w:val="0056510E"/>
    <w:rsid w:val="00565A7E"/>
    <w:rsid w:val="00565DDC"/>
    <w:rsid w:val="00565FE9"/>
    <w:rsid w:val="00566228"/>
    <w:rsid w:val="00566DC7"/>
    <w:rsid w:val="00567B43"/>
    <w:rsid w:val="005707D4"/>
    <w:rsid w:val="00570C29"/>
    <w:rsid w:val="00571BE7"/>
    <w:rsid w:val="00571CCF"/>
    <w:rsid w:val="00571DF3"/>
    <w:rsid w:val="00571E98"/>
    <w:rsid w:val="005720EA"/>
    <w:rsid w:val="0057295F"/>
    <w:rsid w:val="00572D2F"/>
    <w:rsid w:val="00573ED5"/>
    <w:rsid w:val="00574115"/>
    <w:rsid w:val="00575D35"/>
    <w:rsid w:val="005761EC"/>
    <w:rsid w:val="00576B6D"/>
    <w:rsid w:val="005772F5"/>
    <w:rsid w:val="005772FC"/>
    <w:rsid w:val="00577D9B"/>
    <w:rsid w:val="00580255"/>
    <w:rsid w:val="00580A4E"/>
    <w:rsid w:val="00580D6E"/>
    <w:rsid w:val="00580DB0"/>
    <w:rsid w:val="00581725"/>
    <w:rsid w:val="00581C62"/>
    <w:rsid w:val="00582394"/>
    <w:rsid w:val="005830DE"/>
    <w:rsid w:val="00583C63"/>
    <w:rsid w:val="00584D2B"/>
    <w:rsid w:val="00585780"/>
    <w:rsid w:val="00585AE4"/>
    <w:rsid w:val="00585D14"/>
    <w:rsid w:val="005863F6"/>
    <w:rsid w:val="00586F63"/>
    <w:rsid w:val="00586F7C"/>
    <w:rsid w:val="005875F5"/>
    <w:rsid w:val="00587BA5"/>
    <w:rsid w:val="00590511"/>
    <w:rsid w:val="005909B6"/>
    <w:rsid w:val="0059111A"/>
    <w:rsid w:val="00591A19"/>
    <w:rsid w:val="00591C8C"/>
    <w:rsid w:val="00592246"/>
    <w:rsid w:val="00592354"/>
    <w:rsid w:val="005923F0"/>
    <w:rsid w:val="00592D1D"/>
    <w:rsid w:val="00592E69"/>
    <w:rsid w:val="005943EA"/>
    <w:rsid w:val="00594B5F"/>
    <w:rsid w:val="00594FDB"/>
    <w:rsid w:val="0059578F"/>
    <w:rsid w:val="00595CF0"/>
    <w:rsid w:val="005963CF"/>
    <w:rsid w:val="00596792"/>
    <w:rsid w:val="0059718C"/>
    <w:rsid w:val="005A0217"/>
    <w:rsid w:val="005A028F"/>
    <w:rsid w:val="005A097B"/>
    <w:rsid w:val="005A29EB"/>
    <w:rsid w:val="005A3161"/>
    <w:rsid w:val="005A3484"/>
    <w:rsid w:val="005A3537"/>
    <w:rsid w:val="005A387C"/>
    <w:rsid w:val="005A3E11"/>
    <w:rsid w:val="005A40DC"/>
    <w:rsid w:val="005A488F"/>
    <w:rsid w:val="005A6259"/>
    <w:rsid w:val="005A627F"/>
    <w:rsid w:val="005A64C4"/>
    <w:rsid w:val="005A6F79"/>
    <w:rsid w:val="005A7980"/>
    <w:rsid w:val="005B0FB7"/>
    <w:rsid w:val="005B14D5"/>
    <w:rsid w:val="005B184B"/>
    <w:rsid w:val="005B1EA6"/>
    <w:rsid w:val="005B268F"/>
    <w:rsid w:val="005B35E6"/>
    <w:rsid w:val="005B3995"/>
    <w:rsid w:val="005B5459"/>
    <w:rsid w:val="005B5D85"/>
    <w:rsid w:val="005B6428"/>
    <w:rsid w:val="005B6979"/>
    <w:rsid w:val="005B77DE"/>
    <w:rsid w:val="005C0CB1"/>
    <w:rsid w:val="005C129B"/>
    <w:rsid w:val="005C1477"/>
    <w:rsid w:val="005C20FA"/>
    <w:rsid w:val="005C23D5"/>
    <w:rsid w:val="005C2AE0"/>
    <w:rsid w:val="005C2CE4"/>
    <w:rsid w:val="005C3B72"/>
    <w:rsid w:val="005C43F3"/>
    <w:rsid w:val="005C46B2"/>
    <w:rsid w:val="005C55E1"/>
    <w:rsid w:val="005C5840"/>
    <w:rsid w:val="005C5B22"/>
    <w:rsid w:val="005C621B"/>
    <w:rsid w:val="005C65B5"/>
    <w:rsid w:val="005C6D17"/>
    <w:rsid w:val="005C6FF6"/>
    <w:rsid w:val="005C73DB"/>
    <w:rsid w:val="005C755C"/>
    <w:rsid w:val="005C7EE8"/>
    <w:rsid w:val="005D05A0"/>
    <w:rsid w:val="005D0B75"/>
    <w:rsid w:val="005D0D03"/>
    <w:rsid w:val="005D1258"/>
    <w:rsid w:val="005D14F0"/>
    <w:rsid w:val="005D2227"/>
    <w:rsid w:val="005D2BC1"/>
    <w:rsid w:val="005D2C7F"/>
    <w:rsid w:val="005D2D6E"/>
    <w:rsid w:val="005D3BA2"/>
    <w:rsid w:val="005D3C2E"/>
    <w:rsid w:val="005D3CAE"/>
    <w:rsid w:val="005D4440"/>
    <w:rsid w:val="005D4614"/>
    <w:rsid w:val="005D4FB0"/>
    <w:rsid w:val="005D529A"/>
    <w:rsid w:val="005D59BC"/>
    <w:rsid w:val="005D63A7"/>
    <w:rsid w:val="005D67C8"/>
    <w:rsid w:val="005D7422"/>
    <w:rsid w:val="005E050E"/>
    <w:rsid w:val="005E1476"/>
    <w:rsid w:val="005E2281"/>
    <w:rsid w:val="005E22DB"/>
    <w:rsid w:val="005E2A3A"/>
    <w:rsid w:val="005E3189"/>
    <w:rsid w:val="005E31CD"/>
    <w:rsid w:val="005E3628"/>
    <w:rsid w:val="005E3651"/>
    <w:rsid w:val="005E3D05"/>
    <w:rsid w:val="005E3DEE"/>
    <w:rsid w:val="005E4015"/>
    <w:rsid w:val="005E4070"/>
    <w:rsid w:val="005E413F"/>
    <w:rsid w:val="005E4B50"/>
    <w:rsid w:val="005E4FC5"/>
    <w:rsid w:val="005E548E"/>
    <w:rsid w:val="005E59EA"/>
    <w:rsid w:val="005E6743"/>
    <w:rsid w:val="005E6A65"/>
    <w:rsid w:val="005E7792"/>
    <w:rsid w:val="005F0181"/>
    <w:rsid w:val="005F03A1"/>
    <w:rsid w:val="005F0D91"/>
    <w:rsid w:val="005F0EBF"/>
    <w:rsid w:val="005F326B"/>
    <w:rsid w:val="005F39F3"/>
    <w:rsid w:val="005F3B09"/>
    <w:rsid w:val="005F5F06"/>
    <w:rsid w:val="005F6EA0"/>
    <w:rsid w:val="005F7AAF"/>
    <w:rsid w:val="00601865"/>
    <w:rsid w:val="00601B0B"/>
    <w:rsid w:val="006025A3"/>
    <w:rsid w:val="00602D7D"/>
    <w:rsid w:val="00603485"/>
    <w:rsid w:val="00603A64"/>
    <w:rsid w:val="00603EF4"/>
    <w:rsid w:val="00604F19"/>
    <w:rsid w:val="00605D21"/>
    <w:rsid w:val="006073B6"/>
    <w:rsid w:val="0060792B"/>
    <w:rsid w:val="00610B09"/>
    <w:rsid w:val="00610CBD"/>
    <w:rsid w:val="00610F2D"/>
    <w:rsid w:val="006110A9"/>
    <w:rsid w:val="00611A2D"/>
    <w:rsid w:val="006132BE"/>
    <w:rsid w:val="00613315"/>
    <w:rsid w:val="00613333"/>
    <w:rsid w:val="006134C9"/>
    <w:rsid w:val="006152E6"/>
    <w:rsid w:val="00615693"/>
    <w:rsid w:val="00615722"/>
    <w:rsid w:val="00615916"/>
    <w:rsid w:val="00615A4B"/>
    <w:rsid w:val="00616383"/>
    <w:rsid w:val="00617003"/>
    <w:rsid w:val="00617100"/>
    <w:rsid w:val="00617169"/>
    <w:rsid w:val="00617A40"/>
    <w:rsid w:val="00617B44"/>
    <w:rsid w:val="0062021C"/>
    <w:rsid w:val="00620387"/>
    <w:rsid w:val="00620476"/>
    <w:rsid w:val="006208EC"/>
    <w:rsid w:val="00620D9E"/>
    <w:rsid w:val="00622037"/>
    <w:rsid w:val="0062340D"/>
    <w:rsid w:val="00623C8D"/>
    <w:rsid w:val="00624602"/>
    <w:rsid w:val="00624EE2"/>
    <w:rsid w:val="006252BF"/>
    <w:rsid w:val="0062567A"/>
    <w:rsid w:val="00626108"/>
    <w:rsid w:val="006263EB"/>
    <w:rsid w:val="006265C2"/>
    <w:rsid w:val="00626690"/>
    <w:rsid w:val="006276EE"/>
    <w:rsid w:val="006311F0"/>
    <w:rsid w:val="00631492"/>
    <w:rsid w:val="00631BD6"/>
    <w:rsid w:val="00631DA8"/>
    <w:rsid w:val="00632E2B"/>
    <w:rsid w:val="00634CE2"/>
    <w:rsid w:val="006352BE"/>
    <w:rsid w:val="00635B67"/>
    <w:rsid w:val="00635BAA"/>
    <w:rsid w:val="00635FA2"/>
    <w:rsid w:val="006369A6"/>
    <w:rsid w:val="00637583"/>
    <w:rsid w:val="00637625"/>
    <w:rsid w:val="00637AAC"/>
    <w:rsid w:val="00637C76"/>
    <w:rsid w:val="00637D67"/>
    <w:rsid w:val="00640D1B"/>
    <w:rsid w:val="00641999"/>
    <w:rsid w:val="00641C63"/>
    <w:rsid w:val="006426EA"/>
    <w:rsid w:val="0064405B"/>
    <w:rsid w:val="006448C9"/>
    <w:rsid w:val="006450B1"/>
    <w:rsid w:val="00645797"/>
    <w:rsid w:val="00645AB0"/>
    <w:rsid w:val="00647066"/>
    <w:rsid w:val="00647A03"/>
    <w:rsid w:val="006502C3"/>
    <w:rsid w:val="006508CB"/>
    <w:rsid w:val="00650E3D"/>
    <w:rsid w:val="00652007"/>
    <w:rsid w:val="006529BE"/>
    <w:rsid w:val="0065349B"/>
    <w:rsid w:val="00653820"/>
    <w:rsid w:val="00653A84"/>
    <w:rsid w:val="00653D61"/>
    <w:rsid w:val="00654AE5"/>
    <w:rsid w:val="00654B73"/>
    <w:rsid w:val="0065625C"/>
    <w:rsid w:val="0066226F"/>
    <w:rsid w:val="00662941"/>
    <w:rsid w:val="00662FC9"/>
    <w:rsid w:val="006643C2"/>
    <w:rsid w:val="00665C6A"/>
    <w:rsid w:val="006666C9"/>
    <w:rsid w:val="006669E4"/>
    <w:rsid w:val="00666BB9"/>
    <w:rsid w:val="00666F3B"/>
    <w:rsid w:val="0066746F"/>
    <w:rsid w:val="00667525"/>
    <w:rsid w:val="00667E35"/>
    <w:rsid w:val="0067044B"/>
    <w:rsid w:val="00670E18"/>
    <w:rsid w:val="00670F46"/>
    <w:rsid w:val="006710DE"/>
    <w:rsid w:val="00671154"/>
    <w:rsid w:val="006711F4"/>
    <w:rsid w:val="006712FB"/>
    <w:rsid w:val="006717ED"/>
    <w:rsid w:val="00671A1D"/>
    <w:rsid w:val="0067224C"/>
    <w:rsid w:val="0067245A"/>
    <w:rsid w:val="00672A23"/>
    <w:rsid w:val="00672CBC"/>
    <w:rsid w:val="00673227"/>
    <w:rsid w:val="00673822"/>
    <w:rsid w:val="00673ECF"/>
    <w:rsid w:val="00674173"/>
    <w:rsid w:val="00675307"/>
    <w:rsid w:val="00675CBD"/>
    <w:rsid w:val="00675DCA"/>
    <w:rsid w:val="00677060"/>
    <w:rsid w:val="0067753C"/>
    <w:rsid w:val="0067754A"/>
    <w:rsid w:val="00677939"/>
    <w:rsid w:val="00677958"/>
    <w:rsid w:val="00677C2C"/>
    <w:rsid w:val="00677F77"/>
    <w:rsid w:val="00680755"/>
    <w:rsid w:val="00680878"/>
    <w:rsid w:val="0068094F"/>
    <w:rsid w:val="00680BF6"/>
    <w:rsid w:val="00680F0B"/>
    <w:rsid w:val="00681BE8"/>
    <w:rsid w:val="0068228A"/>
    <w:rsid w:val="0068246C"/>
    <w:rsid w:val="006839AB"/>
    <w:rsid w:val="006841A2"/>
    <w:rsid w:val="006841E3"/>
    <w:rsid w:val="00684E60"/>
    <w:rsid w:val="00685196"/>
    <w:rsid w:val="00685250"/>
    <w:rsid w:val="006856DC"/>
    <w:rsid w:val="00686006"/>
    <w:rsid w:val="006870EA"/>
    <w:rsid w:val="006871CC"/>
    <w:rsid w:val="006879FC"/>
    <w:rsid w:val="00687B2D"/>
    <w:rsid w:val="00690152"/>
    <w:rsid w:val="006901CE"/>
    <w:rsid w:val="00690A50"/>
    <w:rsid w:val="00691423"/>
    <w:rsid w:val="00691852"/>
    <w:rsid w:val="006919C7"/>
    <w:rsid w:val="00691CF0"/>
    <w:rsid w:val="006922D6"/>
    <w:rsid w:val="00692497"/>
    <w:rsid w:val="006926FC"/>
    <w:rsid w:val="00692866"/>
    <w:rsid w:val="00692B40"/>
    <w:rsid w:val="00693CBD"/>
    <w:rsid w:val="0069516B"/>
    <w:rsid w:val="0069565B"/>
    <w:rsid w:val="0069593E"/>
    <w:rsid w:val="0069648D"/>
    <w:rsid w:val="00696DF9"/>
    <w:rsid w:val="00696FF7"/>
    <w:rsid w:val="00697148"/>
    <w:rsid w:val="00697239"/>
    <w:rsid w:val="0069742C"/>
    <w:rsid w:val="006A0708"/>
    <w:rsid w:val="006A0B89"/>
    <w:rsid w:val="006A1490"/>
    <w:rsid w:val="006A1596"/>
    <w:rsid w:val="006A18D6"/>
    <w:rsid w:val="006A1A4D"/>
    <w:rsid w:val="006A2A0D"/>
    <w:rsid w:val="006A309E"/>
    <w:rsid w:val="006A4A0B"/>
    <w:rsid w:val="006A4DE0"/>
    <w:rsid w:val="006A50F4"/>
    <w:rsid w:val="006A519B"/>
    <w:rsid w:val="006A6CDC"/>
    <w:rsid w:val="006A7104"/>
    <w:rsid w:val="006B09A7"/>
    <w:rsid w:val="006B0F2D"/>
    <w:rsid w:val="006B1937"/>
    <w:rsid w:val="006B1A17"/>
    <w:rsid w:val="006B1E4B"/>
    <w:rsid w:val="006B21A9"/>
    <w:rsid w:val="006B2AB8"/>
    <w:rsid w:val="006B2DA4"/>
    <w:rsid w:val="006B2E86"/>
    <w:rsid w:val="006B2FA0"/>
    <w:rsid w:val="006B3125"/>
    <w:rsid w:val="006B3973"/>
    <w:rsid w:val="006B41D4"/>
    <w:rsid w:val="006B426E"/>
    <w:rsid w:val="006B4383"/>
    <w:rsid w:val="006B4435"/>
    <w:rsid w:val="006B4541"/>
    <w:rsid w:val="006B4601"/>
    <w:rsid w:val="006B53AE"/>
    <w:rsid w:val="006B58BB"/>
    <w:rsid w:val="006B5CF5"/>
    <w:rsid w:val="006B5F72"/>
    <w:rsid w:val="006B6A8E"/>
    <w:rsid w:val="006B717B"/>
    <w:rsid w:val="006B738B"/>
    <w:rsid w:val="006B7B20"/>
    <w:rsid w:val="006B7C7D"/>
    <w:rsid w:val="006B7E94"/>
    <w:rsid w:val="006C016C"/>
    <w:rsid w:val="006C1459"/>
    <w:rsid w:val="006C150C"/>
    <w:rsid w:val="006C1AB3"/>
    <w:rsid w:val="006C1D3B"/>
    <w:rsid w:val="006C2936"/>
    <w:rsid w:val="006C2F7A"/>
    <w:rsid w:val="006C3D3C"/>
    <w:rsid w:val="006C3F56"/>
    <w:rsid w:val="006C4F1A"/>
    <w:rsid w:val="006C4F82"/>
    <w:rsid w:val="006C5E3B"/>
    <w:rsid w:val="006C66DB"/>
    <w:rsid w:val="006C6729"/>
    <w:rsid w:val="006C6F61"/>
    <w:rsid w:val="006D05F3"/>
    <w:rsid w:val="006D095D"/>
    <w:rsid w:val="006D1195"/>
    <w:rsid w:val="006D1C96"/>
    <w:rsid w:val="006D1D14"/>
    <w:rsid w:val="006D218E"/>
    <w:rsid w:val="006D250A"/>
    <w:rsid w:val="006D2FEE"/>
    <w:rsid w:val="006D3712"/>
    <w:rsid w:val="006D43ED"/>
    <w:rsid w:val="006D46FC"/>
    <w:rsid w:val="006D4910"/>
    <w:rsid w:val="006D5642"/>
    <w:rsid w:val="006D5988"/>
    <w:rsid w:val="006D5C87"/>
    <w:rsid w:val="006D5F82"/>
    <w:rsid w:val="006D60E3"/>
    <w:rsid w:val="006D6FE7"/>
    <w:rsid w:val="006D71CE"/>
    <w:rsid w:val="006D756A"/>
    <w:rsid w:val="006E0B1D"/>
    <w:rsid w:val="006E1216"/>
    <w:rsid w:val="006E25C1"/>
    <w:rsid w:val="006E28E6"/>
    <w:rsid w:val="006E3318"/>
    <w:rsid w:val="006E38FF"/>
    <w:rsid w:val="006E3F1A"/>
    <w:rsid w:val="006E5B91"/>
    <w:rsid w:val="006E6109"/>
    <w:rsid w:val="006E6169"/>
    <w:rsid w:val="006E6974"/>
    <w:rsid w:val="006E69D8"/>
    <w:rsid w:val="006F02C2"/>
    <w:rsid w:val="006F0D82"/>
    <w:rsid w:val="006F1029"/>
    <w:rsid w:val="006F170A"/>
    <w:rsid w:val="006F1F02"/>
    <w:rsid w:val="006F20FE"/>
    <w:rsid w:val="006F27EF"/>
    <w:rsid w:val="006F391D"/>
    <w:rsid w:val="006F3BDF"/>
    <w:rsid w:val="006F3E5E"/>
    <w:rsid w:val="006F41BF"/>
    <w:rsid w:val="006F44B4"/>
    <w:rsid w:val="006F45A2"/>
    <w:rsid w:val="006F520B"/>
    <w:rsid w:val="006F600E"/>
    <w:rsid w:val="006F6674"/>
    <w:rsid w:val="006F7F56"/>
    <w:rsid w:val="00700CD4"/>
    <w:rsid w:val="00700DA9"/>
    <w:rsid w:val="0070115D"/>
    <w:rsid w:val="00701183"/>
    <w:rsid w:val="007018D6"/>
    <w:rsid w:val="007022B5"/>
    <w:rsid w:val="00702673"/>
    <w:rsid w:val="00702679"/>
    <w:rsid w:val="00703146"/>
    <w:rsid w:val="00704C03"/>
    <w:rsid w:val="00704D76"/>
    <w:rsid w:val="007056BA"/>
    <w:rsid w:val="00706D71"/>
    <w:rsid w:val="00707C18"/>
    <w:rsid w:val="00710714"/>
    <w:rsid w:val="00710756"/>
    <w:rsid w:val="00711270"/>
    <w:rsid w:val="00713916"/>
    <w:rsid w:val="0071434D"/>
    <w:rsid w:val="007145FE"/>
    <w:rsid w:val="00714798"/>
    <w:rsid w:val="00714D66"/>
    <w:rsid w:val="007165F2"/>
    <w:rsid w:val="0071721E"/>
    <w:rsid w:val="0071738A"/>
    <w:rsid w:val="00717A54"/>
    <w:rsid w:val="00717E81"/>
    <w:rsid w:val="007209DF"/>
    <w:rsid w:val="0072163B"/>
    <w:rsid w:val="00721EF8"/>
    <w:rsid w:val="0072217C"/>
    <w:rsid w:val="00722305"/>
    <w:rsid w:val="00722EC8"/>
    <w:rsid w:val="0072321A"/>
    <w:rsid w:val="007238F1"/>
    <w:rsid w:val="00724025"/>
    <w:rsid w:val="00724B52"/>
    <w:rsid w:val="007262EA"/>
    <w:rsid w:val="007263AF"/>
    <w:rsid w:val="0072738E"/>
    <w:rsid w:val="007275CC"/>
    <w:rsid w:val="00727BB7"/>
    <w:rsid w:val="00727EDD"/>
    <w:rsid w:val="00730180"/>
    <w:rsid w:val="00730557"/>
    <w:rsid w:val="0073094E"/>
    <w:rsid w:val="00730BBC"/>
    <w:rsid w:val="0073189B"/>
    <w:rsid w:val="007319EB"/>
    <w:rsid w:val="00731AAE"/>
    <w:rsid w:val="00731D04"/>
    <w:rsid w:val="00731FF1"/>
    <w:rsid w:val="00732A4D"/>
    <w:rsid w:val="00732C6D"/>
    <w:rsid w:val="00733C56"/>
    <w:rsid w:val="00734463"/>
    <w:rsid w:val="00735586"/>
    <w:rsid w:val="0073640E"/>
    <w:rsid w:val="00736C65"/>
    <w:rsid w:val="00737030"/>
    <w:rsid w:val="0073714E"/>
    <w:rsid w:val="007371CC"/>
    <w:rsid w:val="00737D1E"/>
    <w:rsid w:val="00740ECD"/>
    <w:rsid w:val="00742406"/>
    <w:rsid w:val="00742C17"/>
    <w:rsid w:val="0074301A"/>
    <w:rsid w:val="0074308E"/>
    <w:rsid w:val="00743648"/>
    <w:rsid w:val="00743FE3"/>
    <w:rsid w:val="00744965"/>
    <w:rsid w:val="00744C67"/>
    <w:rsid w:val="00744D65"/>
    <w:rsid w:val="007461E1"/>
    <w:rsid w:val="00746EFB"/>
    <w:rsid w:val="00747625"/>
    <w:rsid w:val="00747BF6"/>
    <w:rsid w:val="00747CD7"/>
    <w:rsid w:val="007508CF"/>
    <w:rsid w:val="00750A21"/>
    <w:rsid w:val="00750A34"/>
    <w:rsid w:val="007519A8"/>
    <w:rsid w:val="00751B51"/>
    <w:rsid w:val="007524C4"/>
    <w:rsid w:val="007534E0"/>
    <w:rsid w:val="0075364E"/>
    <w:rsid w:val="00753B4D"/>
    <w:rsid w:val="00753F5E"/>
    <w:rsid w:val="00754421"/>
    <w:rsid w:val="007552DC"/>
    <w:rsid w:val="007557B8"/>
    <w:rsid w:val="00755AE3"/>
    <w:rsid w:val="0075654E"/>
    <w:rsid w:val="007575AB"/>
    <w:rsid w:val="00757E5C"/>
    <w:rsid w:val="00757ECE"/>
    <w:rsid w:val="00760D99"/>
    <w:rsid w:val="00762360"/>
    <w:rsid w:val="007624C0"/>
    <w:rsid w:val="007630BF"/>
    <w:rsid w:val="00763704"/>
    <w:rsid w:val="00764579"/>
    <w:rsid w:val="0076462D"/>
    <w:rsid w:val="00764BFA"/>
    <w:rsid w:val="0076502B"/>
    <w:rsid w:val="007652A2"/>
    <w:rsid w:val="00765C80"/>
    <w:rsid w:val="007661C1"/>
    <w:rsid w:val="00766544"/>
    <w:rsid w:val="0076714D"/>
    <w:rsid w:val="007671E1"/>
    <w:rsid w:val="0076733F"/>
    <w:rsid w:val="00767E0B"/>
    <w:rsid w:val="0077070A"/>
    <w:rsid w:val="007709EF"/>
    <w:rsid w:val="007720FE"/>
    <w:rsid w:val="00772297"/>
    <w:rsid w:val="00772303"/>
    <w:rsid w:val="00773CE1"/>
    <w:rsid w:val="00774C82"/>
    <w:rsid w:val="0077553B"/>
    <w:rsid w:val="0077596F"/>
    <w:rsid w:val="00775C63"/>
    <w:rsid w:val="00777F78"/>
    <w:rsid w:val="00780018"/>
    <w:rsid w:val="007809DC"/>
    <w:rsid w:val="00780C40"/>
    <w:rsid w:val="00780F13"/>
    <w:rsid w:val="00781E18"/>
    <w:rsid w:val="0078204E"/>
    <w:rsid w:val="00782275"/>
    <w:rsid w:val="0078276E"/>
    <w:rsid w:val="007829C0"/>
    <w:rsid w:val="00783B0E"/>
    <w:rsid w:val="007845C5"/>
    <w:rsid w:val="00784E45"/>
    <w:rsid w:val="00785344"/>
    <w:rsid w:val="007857EA"/>
    <w:rsid w:val="00785BB3"/>
    <w:rsid w:val="00785C05"/>
    <w:rsid w:val="00785C8D"/>
    <w:rsid w:val="0078601F"/>
    <w:rsid w:val="00786ADE"/>
    <w:rsid w:val="0078783D"/>
    <w:rsid w:val="00790A42"/>
    <w:rsid w:val="0079110F"/>
    <w:rsid w:val="00791676"/>
    <w:rsid w:val="007919F9"/>
    <w:rsid w:val="00792FD4"/>
    <w:rsid w:val="00793400"/>
    <w:rsid w:val="007938F3"/>
    <w:rsid w:val="00793BC4"/>
    <w:rsid w:val="00794677"/>
    <w:rsid w:val="00796E98"/>
    <w:rsid w:val="0079773D"/>
    <w:rsid w:val="00797AF9"/>
    <w:rsid w:val="00797B73"/>
    <w:rsid w:val="00797F1C"/>
    <w:rsid w:val="007A005C"/>
    <w:rsid w:val="007A0184"/>
    <w:rsid w:val="007A15E5"/>
    <w:rsid w:val="007A165A"/>
    <w:rsid w:val="007A169D"/>
    <w:rsid w:val="007A1890"/>
    <w:rsid w:val="007A19E8"/>
    <w:rsid w:val="007A1C6B"/>
    <w:rsid w:val="007A27F6"/>
    <w:rsid w:val="007A2C28"/>
    <w:rsid w:val="007A31FF"/>
    <w:rsid w:val="007A41BC"/>
    <w:rsid w:val="007A4492"/>
    <w:rsid w:val="007A4DAE"/>
    <w:rsid w:val="007A5FCD"/>
    <w:rsid w:val="007A670B"/>
    <w:rsid w:val="007A7AD0"/>
    <w:rsid w:val="007B005A"/>
    <w:rsid w:val="007B1412"/>
    <w:rsid w:val="007B1B49"/>
    <w:rsid w:val="007B2705"/>
    <w:rsid w:val="007B2F62"/>
    <w:rsid w:val="007B325F"/>
    <w:rsid w:val="007B3DB9"/>
    <w:rsid w:val="007B40CA"/>
    <w:rsid w:val="007B462F"/>
    <w:rsid w:val="007B5128"/>
    <w:rsid w:val="007B52B7"/>
    <w:rsid w:val="007B6297"/>
    <w:rsid w:val="007B74B1"/>
    <w:rsid w:val="007C02E4"/>
    <w:rsid w:val="007C03D4"/>
    <w:rsid w:val="007C12F7"/>
    <w:rsid w:val="007C1C41"/>
    <w:rsid w:val="007C256E"/>
    <w:rsid w:val="007C2758"/>
    <w:rsid w:val="007C2A9F"/>
    <w:rsid w:val="007C2EC2"/>
    <w:rsid w:val="007C3F5B"/>
    <w:rsid w:val="007C451E"/>
    <w:rsid w:val="007C5476"/>
    <w:rsid w:val="007C54C6"/>
    <w:rsid w:val="007C5AA8"/>
    <w:rsid w:val="007C5F58"/>
    <w:rsid w:val="007C615B"/>
    <w:rsid w:val="007C6764"/>
    <w:rsid w:val="007C6F3D"/>
    <w:rsid w:val="007C70D1"/>
    <w:rsid w:val="007D0365"/>
    <w:rsid w:val="007D057C"/>
    <w:rsid w:val="007D07BA"/>
    <w:rsid w:val="007D0A12"/>
    <w:rsid w:val="007D1C34"/>
    <w:rsid w:val="007D31A7"/>
    <w:rsid w:val="007D31D8"/>
    <w:rsid w:val="007D3EEA"/>
    <w:rsid w:val="007D40F7"/>
    <w:rsid w:val="007D515E"/>
    <w:rsid w:val="007D520D"/>
    <w:rsid w:val="007D5683"/>
    <w:rsid w:val="007D6D1D"/>
    <w:rsid w:val="007E060D"/>
    <w:rsid w:val="007E07A0"/>
    <w:rsid w:val="007E08F9"/>
    <w:rsid w:val="007E0CA5"/>
    <w:rsid w:val="007E0E25"/>
    <w:rsid w:val="007E120F"/>
    <w:rsid w:val="007E158A"/>
    <w:rsid w:val="007E1DD7"/>
    <w:rsid w:val="007E20D5"/>
    <w:rsid w:val="007E29B1"/>
    <w:rsid w:val="007E2AC5"/>
    <w:rsid w:val="007E364E"/>
    <w:rsid w:val="007E3D73"/>
    <w:rsid w:val="007E49E8"/>
    <w:rsid w:val="007E4F50"/>
    <w:rsid w:val="007E5606"/>
    <w:rsid w:val="007E5C22"/>
    <w:rsid w:val="007E6448"/>
    <w:rsid w:val="007E6A85"/>
    <w:rsid w:val="007E6B40"/>
    <w:rsid w:val="007E71B9"/>
    <w:rsid w:val="007F0789"/>
    <w:rsid w:val="007F1115"/>
    <w:rsid w:val="007F1600"/>
    <w:rsid w:val="007F2731"/>
    <w:rsid w:val="007F3B47"/>
    <w:rsid w:val="007F4B0C"/>
    <w:rsid w:val="007F55E2"/>
    <w:rsid w:val="007F564F"/>
    <w:rsid w:val="007F5ABA"/>
    <w:rsid w:val="007F6003"/>
    <w:rsid w:val="007F60DF"/>
    <w:rsid w:val="007F6217"/>
    <w:rsid w:val="007F6413"/>
    <w:rsid w:val="007F6435"/>
    <w:rsid w:val="007F6CC1"/>
    <w:rsid w:val="007F75BB"/>
    <w:rsid w:val="007F7955"/>
    <w:rsid w:val="007F79F0"/>
    <w:rsid w:val="007F7BF0"/>
    <w:rsid w:val="007F7CDB"/>
    <w:rsid w:val="008009A4"/>
    <w:rsid w:val="00800C50"/>
    <w:rsid w:val="0080155A"/>
    <w:rsid w:val="0080179C"/>
    <w:rsid w:val="00801D70"/>
    <w:rsid w:val="00802162"/>
    <w:rsid w:val="00802334"/>
    <w:rsid w:val="008023E7"/>
    <w:rsid w:val="00802A35"/>
    <w:rsid w:val="00802FF2"/>
    <w:rsid w:val="0080382D"/>
    <w:rsid w:val="00803937"/>
    <w:rsid w:val="00803CC0"/>
    <w:rsid w:val="008042A5"/>
    <w:rsid w:val="00804A87"/>
    <w:rsid w:val="00806D85"/>
    <w:rsid w:val="00806DBC"/>
    <w:rsid w:val="008072E5"/>
    <w:rsid w:val="008076B6"/>
    <w:rsid w:val="00810136"/>
    <w:rsid w:val="00810244"/>
    <w:rsid w:val="0081127A"/>
    <w:rsid w:val="00811425"/>
    <w:rsid w:val="00811540"/>
    <w:rsid w:val="00812504"/>
    <w:rsid w:val="00812868"/>
    <w:rsid w:val="00812D5C"/>
    <w:rsid w:val="00813133"/>
    <w:rsid w:val="00813235"/>
    <w:rsid w:val="0081383D"/>
    <w:rsid w:val="00813CC1"/>
    <w:rsid w:val="00814510"/>
    <w:rsid w:val="008145DE"/>
    <w:rsid w:val="00814C30"/>
    <w:rsid w:val="00814FFC"/>
    <w:rsid w:val="008151AA"/>
    <w:rsid w:val="008151B1"/>
    <w:rsid w:val="00815A9E"/>
    <w:rsid w:val="00815D8E"/>
    <w:rsid w:val="0081632D"/>
    <w:rsid w:val="0081670F"/>
    <w:rsid w:val="0081684E"/>
    <w:rsid w:val="008177F8"/>
    <w:rsid w:val="00817C73"/>
    <w:rsid w:val="00817FD6"/>
    <w:rsid w:val="008201BE"/>
    <w:rsid w:val="008204FA"/>
    <w:rsid w:val="00820FB8"/>
    <w:rsid w:val="00821506"/>
    <w:rsid w:val="00821558"/>
    <w:rsid w:val="00821836"/>
    <w:rsid w:val="00821E09"/>
    <w:rsid w:val="00822536"/>
    <w:rsid w:val="00822C51"/>
    <w:rsid w:val="00822FF4"/>
    <w:rsid w:val="00823D5C"/>
    <w:rsid w:val="00824275"/>
    <w:rsid w:val="00824487"/>
    <w:rsid w:val="00824B5B"/>
    <w:rsid w:val="00824D88"/>
    <w:rsid w:val="0082558A"/>
    <w:rsid w:val="00826863"/>
    <w:rsid w:val="008268DF"/>
    <w:rsid w:val="00826EAB"/>
    <w:rsid w:val="00827562"/>
    <w:rsid w:val="00830490"/>
    <w:rsid w:val="00831083"/>
    <w:rsid w:val="008317AD"/>
    <w:rsid w:val="00832A19"/>
    <w:rsid w:val="00833D64"/>
    <w:rsid w:val="00834636"/>
    <w:rsid w:val="0083687C"/>
    <w:rsid w:val="00836CE3"/>
    <w:rsid w:val="00836E69"/>
    <w:rsid w:val="008375FA"/>
    <w:rsid w:val="008404C1"/>
    <w:rsid w:val="00841812"/>
    <w:rsid w:val="00841EA7"/>
    <w:rsid w:val="00842C6B"/>
    <w:rsid w:val="00843076"/>
    <w:rsid w:val="008431DD"/>
    <w:rsid w:val="00843478"/>
    <w:rsid w:val="008439E2"/>
    <w:rsid w:val="00845645"/>
    <w:rsid w:val="00845D41"/>
    <w:rsid w:val="00846E67"/>
    <w:rsid w:val="008506BB"/>
    <w:rsid w:val="00850AEA"/>
    <w:rsid w:val="00850B4C"/>
    <w:rsid w:val="00850C7B"/>
    <w:rsid w:val="008510D4"/>
    <w:rsid w:val="00851391"/>
    <w:rsid w:val="00851679"/>
    <w:rsid w:val="00852137"/>
    <w:rsid w:val="008522A0"/>
    <w:rsid w:val="00853A0A"/>
    <w:rsid w:val="00853A6F"/>
    <w:rsid w:val="00854097"/>
    <w:rsid w:val="00854C8E"/>
    <w:rsid w:val="00855311"/>
    <w:rsid w:val="00856D5C"/>
    <w:rsid w:val="00857A7D"/>
    <w:rsid w:val="00857B10"/>
    <w:rsid w:val="00857CD4"/>
    <w:rsid w:val="0086024E"/>
    <w:rsid w:val="00860597"/>
    <w:rsid w:val="0086068A"/>
    <w:rsid w:val="00860763"/>
    <w:rsid w:val="008610E4"/>
    <w:rsid w:val="008612B1"/>
    <w:rsid w:val="00861C60"/>
    <w:rsid w:val="008636CA"/>
    <w:rsid w:val="00863F52"/>
    <w:rsid w:val="00864CD0"/>
    <w:rsid w:val="00864D93"/>
    <w:rsid w:val="00865652"/>
    <w:rsid w:val="0086616B"/>
    <w:rsid w:val="0086680C"/>
    <w:rsid w:val="008675DC"/>
    <w:rsid w:val="008678BB"/>
    <w:rsid w:val="00867DD6"/>
    <w:rsid w:val="00867FA0"/>
    <w:rsid w:val="0087098D"/>
    <w:rsid w:val="00870C7B"/>
    <w:rsid w:val="00872012"/>
    <w:rsid w:val="0087253B"/>
    <w:rsid w:val="00872763"/>
    <w:rsid w:val="008731F0"/>
    <w:rsid w:val="0087334F"/>
    <w:rsid w:val="00873718"/>
    <w:rsid w:val="00873DA3"/>
    <w:rsid w:val="00874757"/>
    <w:rsid w:val="00874D1C"/>
    <w:rsid w:val="00875649"/>
    <w:rsid w:val="00875A41"/>
    <w:rsid w:val="00875BEB"/>
    <w:rsid w:val="00875F64"/>
    <w:rsid w:val="00876121"/>
    <w:rsid w:val="00876B4E"/>
    <w:rsid w:val="00877126"/>
    <w:rsid w:val="008773AD"/>
    <w:rsid w:val="00877DEB"/>
    <w:rsid w:val="00877F4F"/>
    <w:rsid w:val="00880ED3"/>
    <w:rsid w:val="00881D95"/>
    <w:rsid w:val="008824D5"/>
    <w:rsid w:val="008836C2"/>
    <w:rsid w:val="008837BB"/>
    <w:rsid w:val="00883BBC"/>
    <w:rsid w:val="00884372"/>
    <w:rsid w:val="00884EC7"/>
    <w:rsid w:val="00885945"/>
    <w:rsid w:val="00885CD4"/>
    <w:rsid w:val="00886EA0"/>
    <w:rsid w:val="008870C2"/>
    <w:rsid w:val="00887AB7"/>
    <w:rsid w:val="00887DAD"/>
    <w:rsid w:val="00890081"/>
    <w:rsid w:val="008902F7"/>
    <w:rsid w:val="0089083A"/>
    <w:rsid w:val="008911CD"/>
    <w:rsid w:val="0089159B"/>
    <w:rsid w:val="0089284E"/>
    <w:rsid w:val="00892BF6"/>
    <w:rsid w:val="00893113"/>
    <w:rsid w:val="0089338B"/>
    <w:rsid w:val="00893585"/>
    <w:rsid w:val="00893874"/>
    <w:rsid w:val="008941FA"/>
    <w:rsid w:val="00894A5D"/>
    <w:rsid w:val="00894DE8"/>
    <w:rsid w:val="00894EED"/>
    <w:rsid w:val="00895791"/>
    <w:rsid w:val="00895ABE"/>
    <w:rsid w:val="00895B66"/>
    <w:rsid w:val="008964C9"/>
    <w:rsid w:val="008A0760"/>
    <w:rsid w:val="008A0D85"/>
    <w:rsid w:val="008A27AB"/>
    <w:rsid w:val="008A3251"/>
    <w:rsid w:val="008A368D"/>
    <w:rsid w:val="008A3BAD"/>
    <w:rsid w:val="008A3F67"/>
    <w:rsid w:val="008A4AE1"/>
    <w:rsid w:val="008A4E1F"/>
    <w:rsid w:val="008A5D90"/>
    <w:rsid w:val="008A5ECC"/>
    <w:rsid w:val="008A6937"/>
    <w:rsid w:val="008A740A"/>
    <w:rsid w:val="008A777A"/>
    <w:rsid w:val="008B0104"/>
    <w:rsid w:val="008B0E56"/>
    <w:rsid w:val="008B114E"/>
    <w:rsid w:val="008B209C"/>
    <w:rsid w:val="008B24A5"/>
    <w:rsid w:val="008B291F"/>
    <w:rsid w:val="008B32E1"/>
    <w:rsid w:val="008B3FB0"/>
    <w:rsid w:val="008B4093"/>
    <w:rsid w:val="008B5230"/>
    <w:rsid w:val="008B6B55"/>
    <w:rsid w:val="008B6D2C"/>
    <w:rsid w:val="008B78A7"/>
    <w:rsid w:val="008B7AF3"/>
    <w:rsid w:val="008B7DD5"/>
    <w:rsid w:val="008C0118"/>
    <w:rsid w:val="008C0685"/>
    <w:rsid w:val="008C114D"/>
    <w:rsid w:val="008C2770"/>
    <w:rsid w:val="008C28AD"/>
    <w:rsid w:val="008C2DCE"/>
    <w:rsid w:val="008C2F7E"/>
    <w:rsid w:val="008C47F0"/>
    <w:rsid w:val="008C5128"/>
    <w:rsid w:val="008C61C5"/>
    <w:rsid w:val="008C6391"/>
    <w:rsid w:val="008C66E3"/>
    <w:rsid w:val="008C6F5D"/>
    <w:rsid w:val="008D09F3"/>
    <w:rsid w:val="008D0E14"/>
    <w:rsid w:val="008D1A8F"/>
    <w:rsid w:val="008D2400"/>
    <w:rsid w:val="008D2E8D"/>
    <w:rsid w:val="008D32E3"/>
    <w:rsid w:val="008D33BD"/>
    <w:rsid w:val="008D4281"/>
    <w:rsid w:val="008D42D8"/>
    <w:rsid w:val="008D4AB9"/>
    <w:rsid w:val="008D4BA4"/>
    <w:rsid w:val="008D4D7C"/>
    <w:rsid w:val="008D4E75"/>
    <w:rsid w:val="008D5E0A"/>
    <w:rsid w:val="008D5E4C"/>
    <w:rsid w:val="008D6A06"/>
    <w:rsid w:val="008D790E"/>
    <w:rsid w:val="008D7ADE"/>
    <w:rsid w:val="008D7C92"/>
    <w:rsid w:val="008D7CFC"/>
    <w:rsid w:val="008D7ED7"/>
    <w:rsid w:val="008E0033"/>
    <w:rsid w:val="008E2182"/>
    <w:rsid w:val="008E2A95"/>
    <w:rsid w:val="008E2DE5"/>
    <w:rsid w:val="008E3203"/>
    <w:rsid w:val="008E335D"/>
    <w:rsid w:val="008E36A6"/>
    <w:rsid w:val="008E4AF0"/>
    <w:rsid w:val="008E4BE4"/>
    <w:rsid w:val="008E4DAE"/>
    <w:rsid w:val="008E589C"/>
    <w:rsid w:val="008E5A36"/>
    <w:rsid w:val="008E5DFE"/>
    <w:rsid w:val="008E6135"/>
    <w:rsid w:val="008E66FD"/>
    <w:rsid w:val="008E69A1"/>
    <w:rsid w:val="008E69B2"/>
    <w:rsid w:val="008E747D"/>
    <w:rsid w:val="008E76F6"/>
    <w:rsid w:val="008F0208"/>
    <w:rsid w:val="008F069D"/>
    <w:rsid w:val="008F174D"/>
    <w:rsid w:val="008F25C5"/>
    <w:rsid w:val="008F2AC5"/>
    <w:rsid w:val="008F2E7C"/>
    <w:rsid w:val="008F31A4"/>
    <w:rsid w:val="008F42F3"/>
    <w:rsid w:val="008F4F94"/>
    <w:rsid w:val="008F58F0"/>
    <w:rsid w:val="008F641D"/>
    <w:rsid w:val="008F6744"/>
    <w:rsid w:val="008F6A70"/>
    <w:rsid w:val="008F6E25"/>
    <w:rsid w:val="008F7148"/>
    <w:rsid w:val="008F7D31"/>
    <w:rsid w:val="0090003D"/>
    <w:rsid w:val="0090037E"/>
    <w:rsid w:val="00900B27"/>
    <w:rsid w:val="00900CCC"/>
    <w:rsid w:val="0090146C"/>
    <w:rsid w:val="00901C65"/>
    <w:rsid w:val="00901EE7"/>
    <w:rsid w:val="009022CD"/>
    <w:rsid w:val="009024AB"/>
    <w:rsid w:val="009031AF"/>
    <w:rsid w:val="00903771"/>
    <w:rsid w:val="009039F8"/>
    <w:rsid w:val="00903D24"/>
    <w:rsid w:val="00904555"/>
    <w:rsid w:val="00904937"/>
    <w:rsid w:val="00905405"/>
    <w:rsid w:val="00906188"/>
    <w:rsid w:val="009063CC"/>
    <w:rsid w:val="00906704"/>
    <w:rsid w:val="00906803"/>
    <w:rsid w:val="009074CB"/>
    <w:rsid w:val="009076CC"/>
    <w:rsid w:val="00907BA8"/>
    <w:rsid w:val="00907FB6"/>
    <w:rsid w:val="009106AF"/>
    <w:rsid w:val="009109AD"/>
    <w:rsid w:val="00910B58"/>
    <w:rsid w:val="00911503"/>
    <w:rsid w:val="009116FA"/>
    <w:rsid w:val="009117B4"/>
    <w:rsid w:val="0091189F"/>
    <w:rsid w:val="009118B8"/>
    <w:rsid w:val="009121CF"/>
    <w:rsid w:val="009127F0"/>
    <w:rsid w:val="00912FF1"/>
    <w:rsid w:val="00914D32"/>
    <w:rsid w:val="00914EEC"/>
    <w:rsid w:val="0091504C"/>
    <w:rsid w:val="009153F5"/>
    <w:rsid w:val="00915414"/>
    <w:rsid w:val="00915810"/>
    <w:rsid w:val="00915922"/>
    <w:rsid w:val="00916596"/>
    <w:rsid w:val="00916E17"/>
    <w:rsid w:val="00917503"/>
    <w:rsid w:val="00917CC9"/>
    <w:rsid w:val="00917E8D"/>
    <w:rsid w:val="009200BF"/>
    <w:rsid w:val="00920F7A"/>
    <w:rsid w:val="00920FAE"/>
    <w:rsid w:val="0092105C"/>
    <w:rsid w:val="00921965"/>
    <w:rsid w:val="00921B63"/>
    <w:rsid w:val="00921E31"/>
    <w:rsid w:val="00921E43"/>
    <w:rsid w:val="00921E8A"/>
    <w:rsid w:val="009220BA"/>
    <w:rsid w:val="0092231F"/>
    <w:rsid w:val="00922DB5"/>
    <w:rsid w:val="009234DC"/>
    <w:rsid w:val="00923C58"/>
    <w:rsid w:val="0092493E"/>
    <w:rsid w:val="00924A90"/>
    <w:rsid w:val="00924B2A"/>
    <w:rsid w:val="00925430"/>
    <w:rsid w:val="00926EAB"/>
    <w:rsid w:val="00927A00"/>
    <w:rsid w:val="0093017B"/>
    <w:rsid w:val="00930751"/>
    <w:rsid w:val="00930AED"/>
    <w:rsid w:val="00930F72"/>
    <w:rsid w:val="009315E5"/>
    <w:rsid w:val="009316D3"/>
    <w:rsid w:val="009319AD"/>
    <w:rsid w:val="009324D1"/>
    <w:rsid w:val="0093298C"/>
    <w:rsid w:val="009329EB"/>
    <w:rsid w:val="00932E9B"/>
    <w:rsid w:val="00933DDF"/>
    <w:rsid w:val="0093444E"/>
    <w:rsid w:val="00934CF2"/>
    <w:rsid w:val="00934F1D"/>
    <w:rsid w:val="00935056"/>
    <w:rsid w:val="009358B5"/>
    <w:rsid w:val="00935AE6"/>
    <w:rsid w:val="00935DAE"/>
    <w:rsid w:val="00935E8B"/>
    <w:rsid w:val="009360DD"/>
    <w:rsid w:val="00936216"/>
    <w:rsid w:val="0093663B"/>
    <w:rsid w:val="00937060"/>
    <w:rsid w:val="0093766C"/>
    <w:rsid w:val="0093783C"/>
    <w:rsid w:val="00937A61"/>
    <w:rsid w:val="009410AC"/>
    <w:rsid w:val="00941D3D"/>
    <w:rsid w:val="009422DC"/>
    <w:rsid w:val="00942739"/>
    <w:rsid w:val="009427CC"/>
    <w:rsid w:val="00942A57"/>
    <w:rsid w:val="009439B3"/>
    <w:rsid w:val="00944996"/>
    <w:rsid w:val="00945BC5"/>
    <w:rsid w:val="0094600B"/>
    <w:rsid w:val="009462D3"/>
    <w:rsid w:val="0094705E"/>
    <w:rsid w:val="009503DA"/>
    <w:rsid w:val="00950802"/>
    <w:rsid w:val="009510BF"/>
    <w:rsid w:val="00951A38"/>
    <w:rsid w:val="00952175"/>
    <w:rsid w:val="00952197"/>
    <w:rsid w:val="009522FA"/>
    <w:rsid w:val="0095353A"/>
    <w:rsid w:val="009545B9"/>
    <w:rsid w:val="00955133"/>
    <w:rsid w:val="00955480"/>
    <w:rsid w:val="00955A20"/>
    <w:rsid w:val="00955A52"/>
    <w:rsid w:val="00955B70"/>
    <w:rsid w:val="00955BC4"/>
    <w:rsid w:val="00955C58"/>
    <w:rsid w:val="00955FD1"/>
    <w:rsid w:val="009561F9"/>
    <w:rsid w:val="009562DC"/>
    <w:rsid w:val="00957164"/>
    <w:rsid w:val="00957199"/>
    <w:rsid w:val="00957FD9"/>
    <w:rsid w:val="00960192"/>
    <w:rsid w:val="009609A6"/>
    <w:rsid w:val="00960E49"/>
    <w:rsid w:val="00961071"/>
    <w:rsid w:val="009624D8"/>
    <w:rsid w:val="00962E72"/>
    <w:rsid w:val="00963054"/>
    <w:rsid w:val="00963644"/>
    <w:rsid w:val="00963AA3"/>
    <w:rsid w:val="00963D2F"/>
    <w:rsid w:val="00963DE2"/>
    <w:rsid w:val="0096476E"/>
    <w:rsid w:val="009649B2"/>
    <w:rsid w:val="00965546"/>
    <w:rsid w:val="00966217"/>
    <w:rsid w:val="009668F3"/>
    <w:rsid w:val="00966C32"/>
    <w:rsid w:val="0096772E"/>
    <w:rsid w:val="00970041"/>
    <w:rsid w:val="00970BAA"/>
    <w:rsid w:val="0097203C"/>
    <w:rsid w:val="00972511"/>
    <w:rsid w:val="0097274F"/>
    <w:rsid w:val="00972EB6"/>
    <w:rsid w:val="00973438"/>
    <w:rsid w:val="0097363A"/>
    <w:rsid w:val="00973D85"/>
    <w:rsid w:val="00974095"/>
    <w:rsid w:val="0097411B"/>
    <w:rsid w:val="0097445B"/>
    <w:rsid w:val="009754C9"/>
    <w:rsid w:val="00975889"/>
    <w:rsid w:val="0097601C"/>
    <w:rsid w:val="00976A5F"/>
    <w:rsid w:val="00977585"/>
    <w:rsid w:val="009776A0"/>
    <w:rsid w:val="00977F43"/>
    <w:rsid w:val="00980B4E"/>
    <w:rsid w:val="00981182"/>
    <w:rsid w:val="009817AE"/>
    <w:rsid w:val="00982078"/>
    <w:rsid w:val="009820AC"/>
    <w:rsid w:val="00982226"/>
    <w:rsid w:val="0098251F"/>
    <w:rsid w:val="00982727"/>
    <w:rsid w:val="00982B7C"/>
    <w:rsid w:val="00982FEB"/>
    <w:rsid w:val="009833CB"/>
    <w:rsid w:val="00983540"/>
    <w:rsid w:val="0098424B"/>
    <w:rsid w:val="009844C6"/>
    <w:rsid w:val="00985688"/>
    <w:rsid w:val="00985FFA"/>
    <w:rsid w:val="009860D8"/>
    <w:rsid w:val="009863D8"/>
    <w:rsid w:val="00986422"/>
    <w:rsid w:val="00986453"/>
    <w:rsid w:val="009868CE"/>
    <w:rsid w:val="00986A3A"/>
    <w:rsid w:val="00986A4F"/>
    <w:rsid w:val="00987278"/>
    <w:rsid w:val="00990854"/>
    <w:rsid w:val="00991C65"/>
    <w:rsid w:val="009922A2"/>
    <w:rsid w:val="00992598"/>
    <w:rsid w:val="00992AC2"/>
    <w:rsid w:val="0099336A"/>
    <w:rsid w:val="00993790"/>
    <w:rsid w:val="00993E8E"/>
    <w:rsid w:val="00994137"/>
    <w:rsid w:val="00994533"/>
    <w:rsid w:val="009951F1"/>
    <w:rsid w:val="0099629C"/>
    <w:rsid w:val="00996A0B"/>
    <w:rsid w:val="00997677"/>
    <w:rsid w:val="009A07FB"/>
    <w:rsid w:val="009A07FF"/>
    <w:rsid w:val="009A0FE5"/>
    <w:rsid w:val="009A1301"/>
    <w:rsid w:val="009A1C2E"/>
    <w:rsid w:val="009A2098"/>
    <w:rsid w:val="009A20FD"/>
    <w:rsid w:val="009A31FB"/>
    <w:rsid w:val="009A3A2C"/>
    <w:rsid w:val="009A3AEA"/>
    <w:rsid w:val="009A419B"/>
    <w:rsid w:val="009A45A5"/>
    <w:rsid w:val="009A4D6F"/>
    <w:rsid w:val="009A57F6"/>
    <w:rsid w:val="009A65CC"/>
    <w:rsid w:val="009A718E"/>
    <w:rsid w:val="009A7822"/>
    <w:rsid w:val="009B03FC"/>
    <w:rsid w:val="009B12F4"/>
    <w:rsid w:val="009B143D"/>
    <w:rsid w:val="009B1A2E"/>
    <w:rsid w:val="009B1BDE"/>
    <w:rsid w:val="009B1C15"/>
    <w:rsid w:val="009B27ED"/>
    <w:rsid w:val="009B380C"/>
    <w:rsid w:val="009B393D"/>
    <w:rsid w:val="009B3BC6"/>
    <w:rsid w:val="009B3FC7"/>
    <w:rsid w:val="009B431C"/>
    <w:rsid w:val="009B461A"/>
    <w:rsid w:val="009B467A"/>
    <w:rsid w:val="009B49BC"/>
    <w:rsid w:val="009B51DF"/>
    <w:rsid w:val="009B5953"/>
    <w:rsid w:val="009B5EC8"/>
    <w:rsid w:val="009B5ECA"/>
    <w:rsid w:val="009B6DBA"/>
    <w:rsid w:val="009B6DFF"/>
    <w:rsid w:val="009B7831"/>
    <w:rsid w:val="009B7837"/>
    <w:rsid w:val="009B7C15"/>
    <w:rsid w:val="009C05D7"/>
    <w:rsid w:val="009C069D"/>
    <w:rsid w:val="009C07BE"/>
    <w:rsid w:val="009C1776"/>
    <w:rsid w:val="009C1FAA"/>
    <w:rsid w:val="009C2302"/>
    <w:rsid w:val="009C28C7"/>
    <w:rsid w:val="009C2959"/>
    <w:rsid w:val="009C29BE"/>
    <w:rsid w:val="009C31D7"/>
    <w:rsid w:val="009C3250"/>
    <w:rsid w:val="009C34F5"/>
    <w:rsid w:val="009C373D"/>
    <w:rsid w:val="009C3CFB"/>
    <w:rsid w:val="009C4DA1"/>
    <w:rsid w:val="009C5379"/>
    <w:rsid w:val="009C5A0D"/>
    <w:rsid w:val="009C5E9B"/>
    <w:rsid w:val="009C5F12"/>
    <w:rsid w:val="009C662D"/>
    <w:rsid w:val="009C6F20"/>
    <w:rsid w:val="009C6FA8"/>
    <w:rsid w:val="009C7546"/>
    <w:rsid w:val="009C7970"/>
    <w:rsid w:val="009C7C9E"/>
    <w:rsid w:val="009C7E5D"/>
    <w:rsid w:val="009D012A"/>
    <w:rsid w:val="009D0463"/>
    <w:rsid w:val="009D061A"/>
    <w:rsid w:val="009D07A0"/>
    <w:rsid w:val="009D0AEA"/>
    <w:rsid w:val="009D0B6F"/>
    <w:rsid w:val="009D1194"/>
    <w:rsid w:val="009D1209"/>
    <w:rsid w:val="009D1222"/>
    <w:rsid w:val="009D29AD"/>
    <w:rsid w:val="009D30DD"/>
    <w:rsid w:val="009D34E9"/>
    <w:rsid w:val="009D386C"/>
    <w:rsid w:val="009D4756"/>
    <w:rsid w:val="009D4D87"/>
    <w:rsid w:val="009D610A"/>
    <w:rsid w:val="009D6D5B"/>
    <w:rsid w:val="009D779E"/>
    <w:rsid w:val="009D7E20"/>
    <w:rsid w:val="009E03EA"/>
    <w:rsid w:val="009E0623"/>
    <w:rsid w:val="009E095E"/>
    <w:rsid w:val="009E0D67"/>
    <w:rsid w:val="009E1651"/>
    <w:rsid w:val="009E16A0"/>
    <w:rsid w:val="009E1895"/>
    <w:rsid w:val="009E1A1C"/>
    <w:rsid w:val="009E1E47"/>
    <w:rsid w:val="009E245B"/>
    <w:rsid w:val="009E2586"/>
    <w:rsid w:val="009E28DD"/>
    <w:rsid w:val="009E2C2B"/>
    <w:rsid w:val="009E2DC9"/>
    <w:rsid w:val="009E306B"/>
    <w:rsid w:val="009E31E9"/>
    <w:rsid w:val="009E3DB8"/>
    <w:rsid w:val="009E5ACE"/>
    <w:rsid w:val="009E6D94"/>
    <w:rsid w:val="009E74ED"/>
    <w:rsid w:val="009E7D91"/>
    <w:rsid w:val="009E7E38"/>
    <w:rsid w:val="009F0891"/>
    <w:rsid w:val="009F0945"/>
    <w:rsid w:val="009F118C"/>
    <w:rsid w:val="009F11F3"/>
    <w:rsid w:val="009F1C35"/>
    <w:rsid w:val="009F1E24"/>
    <w:rsid w:val="009F2C7C"/>
    <w:rsid w:val="009F3E4B"/>
    <w:rsid w:val="009F51CC"/>
    <w:rsid w:val="009F5448"/>
    <w:rsid w:val="009F6394"/>
    <w:rsid w:val="009F6826"/>
    <w:rsid w:val="009F6E53"/>
    <w:rsid w:val="009F7C6F"/>
    <w:rsid w:val="00A00078"/>
    <w:rsid w:val="00A007FC"/>
    <w:rsid w:val="00A00850"/>
    <w:rsid w:val="00A01419"/>
    <w:rsid w:val="00A01428"/>
    <w:rsid w:val="00A025A1"/>
    <w:rsid w:val="00A02A3A"/>
    <w:rsid w:val="00A02C1A"/>
    <w:rsid w:val="00A034DD"/>
    <w:rsid w:val="00A0412D"/>
    <w:rsid w:val="00A04682"/>
    <w:rsid w:val="00A04DDD"/>
    <w:rsid w:val="00A06797"/>
    <w:rsid w:val="00A067ED"/>
    <w:rsid w:val="00A06941"/>
    <w:rsid w:val="00A07167"/>
    <w:rsid w:val="00A073DA"/>
    <w:rsid w:val="00A07C7C"/>
    <w:rsid w:val="00A100AA"/>
    <w:rsid w:val="00A119AC"/>
    <w:rsid w:val="00A11C35"/>
    <w:rsid w:val="00A11E71"/>
    <w:rsid w:val="00A126A2"/>
    <w:rsid w:val="00A13093"/>
    <w:rsid w:val="00A139E0"/>
    <w:rsid w:val="00A14B2F"/>
    <w:rsid w:val="00A1515F"/>
    <w:rsid w:val="00A153FD"/>
    <w:rsid w:val="00A15580"/>
    <w:rsid w:val="00A15931"/>
    <w:rsid w:val="00A15B9D"/>
    <w:rsid w:val="00A16AF4"/>
    <w:rsid w:val="00A16C28"/>
    <w:rsid w:val="00A176FF"/>
    <w:rsid w:val="00A208EC"/>
    <w:rsid w:val="00A20FD3"/>
    <w:rsid w:val="00A211AD"/>
    <w:rsid w:val="00A21265"/>
    <w:rsid w:val="00A21B51"/>
    <w:rsid w:val="00A21FA3"/>
    <w:rsid w:val="00A227A6"/>
    <w:rsid w:val="00A22939"/>
    <w:rsid w:val="00A236A9"/>
    <w:rsid w:val="00A23E53"/>
    <w:rsid w:val="00A23F09"/>
    <w:rsid w:val="00A2408C"/>
    <w:rsid w:val="00A248FF"/>
    <w:rsid w:val="00A25438"/>
    <w:rsid w:val="00A261E9"/>
    <w:rsid w:val="00A266B1"/>
    <w:rsid w:val="00A2690E"/>
    <w:rsid w:val="00A26B37"/>
    <w:rsid w:val="00A26E28"/>
    <w:rsid w:val="00A26F37"/>
    <w:rsid w:val="00A278AE"/>
    <w:rsid w:val="00A27CF5"/>
    <w:rsid w:val="00A30030"/>
    <w:rsid w:val="00A3079D"/>
    <w:rsid w:val="00A30B5B"/>
    <w:rsid w:val="00A317E9"/>
    <w:rsid w:val="00A3245D"/>
    <w:rsid w:val="00A32521"/>
    <w:rsid w:val="00A325A6"/>
    <w:rsid w:val="00A33890"/>
    <w:rsid w:val="00A33BCA"/>
    <w:rsid w:val="00A3401D"/>
    <w:rsid w:val="00A34BAE"/>
    <w:rsid w:val="00A34CBE"/>
    <w:rsid w:val="00A35B55"/>
    <w:rsid w:val="00A36B68"/>
    <w:rsid w:val="00A37A2A"/>
    <w:rsid w:val="00A41399"/>
    <w:rsid w:val="00A414B6"/>
    <w:rsid w:val="00A430F8"/>
    <w:rsid w:val="00A4337A"/>
    <w:rsid w:val="00A4350C"/>
    <w:rsid w:val="00A439EA"/>
    <w:rsid w:val="00A43A83"/>
    <w:rsid w:val="00A43C45"/>
    <w:rsid w:val="00A4529D"/>
    <w:rsid w:val="00A45A53"/>
    <w:rsid w:val="00A45A96"/>
    <w:rsid w:val="00A45C57"/>
    <w:rsid w:val="00A463C8"/>
    <w:rsid w:val="00A46B9E"/>
    <w:rsid w:val="00A47065"/>
    <w:rsid w:val="00A47206"/>
    <w:rsid w:val="00A474C4"/>
    <w:rsid w:val="00A50525"/>
    <w:rsid w:val="00A50674"/>
    <w:rsid w:val="00A51A52"/>
    <w:rsid w:val="00A51BCA"/>
    <w:rsid w:val="00A5280C"/>
    <w:rsid w:val="00A52DD1"/>
    <w:rsid w:val="00A52ED7"/>
    <w:rsid w:val="00A530C2"/>
    <w:rsid w:val="00A5313D"/>
    <w:rsid w:val="00A53166"/>
    <w:rsid w:val="00A5343B"/>
    <w:rsid w:val="00A538C9"/>
    <w:rsid w:val="00A54561"/>
    <w:rsid w:val="00A55EF0"/>
    <w:rsid w:val="00A565A5"/>
    <w:rsid w:val="00A574EC"/>
    <w:rsid w:val="00A609D0"/>
    <w:rsid w:val="00A60AC1"/>
    <w:rsid w:val="00A60F61"/>
    <w:rsid w:val="00A614FB"/>
    <w:rsid w:val="00A62331"/>
    <w:rsid w:val="00A62581"/>
    <w:rsid w:val="00A62E52"/>
    <w:rsid w:val="00A62E67"/>
    <w:rsid w:val="00A62EFF"/>
    <w:rsid w:val="00A63A9F"/>
    <w:rsid w:val="00A644AC"/>
    <w:rsid w:val="00A645BE"/>
    <w:rsid w:val="00A650C1"/>
    <w:rsid w:val="00A654DA"/>
    <w:rsid w:val="00A6553F"/>
    <w:rsid w:val="00A65F72"/>
    <w:rsid w:val="00A66181"/>
    <w:rsid w:val="00A66487"/>
    <w:rsid w:val="00A666A9"/>
    <w:rsid w:val="00A67454"/>
    <w:rsid w:val="00A67A87"/>
    <w:rsid w:val="00A70B52"/>
    <w:rsid w:val="00A70CC2"/>
    <w:rsid w:val="00A70E8A"/>
    <w:rsid w:val="00A7321C"/>
    <w:rsid w:val="00A732B5"/>
    <w:rsid w:val="00A734C4"/>
    <w:rsid w:val="00A73AC1"/>
    <w:rsid w:val="00A73B5C"/>
    <w:rsid w:val="00A74662"/>
    <w:rsid w:val="00A746B7"/>
    <w:rsid w:val="00A75CD5"/>
    <w:rsid w:val="00A77A69"/>
    <w:rsid w:val="00A8089F"/>
    <w:rsid w:val="00A80A6E"/>
    <w:rsid w:val="00A80B8F"/>
    <w:rsid w:val="00A80ECA"/>
    <w:rsid w:val="00A811FF"/>
    <w:rsid w:val="00A815A5"/>
    <w:rsid w:val="00A81753"/>
    <w:rsid w:val="00A81B67"/>
    <w:rsid w:val="00A81DD1"/>
    <w:rsid w:val="00A826EA"/>
    <w:rsid w:val="00A828B2"/>
    <w:rsid w:val="00A829A9"/>
    <w:rsid w:val="00A84460"/>
    <w:rsid w:val="00A84ACE"/>
    <w:rsid w:val="00A85274"/>
    <w:rsid w:val="00A85BCE"/>
    <w:rsid w:val="00A8626D"/>
    <w:rsid w:val="00A86542"/>
    <w:rsid w:val="00A86C03"/>
    <w:rsid w:val="00A8720A"/>
    <w:rsid w:val="00A876BB"/>
    <w:rsid w:val="00A87C14"/>
    <w:rsid w:val="00A901BB"/>
    <w:rsid w:val="00A909AF"/>
    <w:rsid w:val="00A90A12"/>
    <w:rsid w:val="00A90E13"/>
    <w:rsid w:val="00A913B0"/>
    <w:rsid w:val="00A91969"/>
    <w:rsid w:val="00A919EB"/>
    <w:rsid w:val="00A91A29"/>
    <w:rsid w:val="00A92AAE"/>
    <w:rsid w:val="00A92AFF"/>
    <w:rsid w:val="00A934C2"/>
    <w:rsid w:val="00A93CEB"/>
    <w:rsid w:val="00A957E0"/>
    <w:rsid w:val="00A95995"/>
    <w:rsid w:val="00A95EA8"/>
    <w:rsid w:val="00A961AA"/>
    <w:rsid w:val="00A96E3C"/>
    <w:rsid w:val="00A97264"/>
    <w:rsid w:val="00A9733B"/>
    <w:rsid w:val="00AA0075"/>
    <w:rsid w:val="00AA0469"/>
    <w:rsid w:val="00AA06B8"/>
    <w:rsid w:val="00AA142B"/>
    <w:rsid w:val="00AA18A7"/>
    <w:rsid w:val="00AA233D"/>
    <w:rsid w:val="00AA2428"/>
    <w:rsid w:val="00AA250B"/>
    <w:rsid w:val="00AA26C6"/>
    <w:rsid w:val="00AA2BC6"/>
    <w:rsid w:val="00AA37E3"/>
    <w:rsid w:val="00AA41F0"/>
    <w:rsid w:val="00AA4656"/>
    <w:rsid w:val="00AA4732"/>
    <w:rsid w:val="00AA4ECA"/>
    <w:rsid w:val="00AA5E60"/>
    <w:rsid w:val="00AA65F4"/>
    <w:rsid w:val="00AA670A"/>
    <w:rsid w:val="00AA7849"/>
    <w:rsid w:val="00AB0937"/>
    <w:rsid w:val="00AB1242"/>
    <w:rsid w:val="00AB15BD"/>
    <w:rsid w:val="00AB20EA"/>
    <w:rsid w:val="00AB2292"/>
    <w:rsid w:val="00AB2903"/>
    <w:rsid w:val="00AB31EA"/>
    <w:rsid w:val="00AB3E57"/>
    <w:rsid w:val="00AB4420"/>
    <w:rsid w:val="00AB4A0D"/>
    <w:rsid w:val="00AB4C02"/>
    <w:rsid w:val="00AB4C38"/>
    <w:rsid w:val="00AB4C50"/>
    <w:rsid w:val="00AB4E9C"/>
    <w:rsid w:val="00AB5DFB"/>
    <w:rsid w:val="00AB624C"/>
    <w:rsid w:val="00AB6AAD"/>
    <w:rsid w:val="00AB746E"/>
    <w:rsid w:val="00AB78A9"/>
    <w:rsid w:val="00AC11EC"/>
    <w:rsid w:val="00AC2841"/>
    <w:rsid w:val="00AC286F"/>
    <w:rsid w:val="00AC2E3B"/>
    <w:rsid w:val="00AC31E5"/>
    <w:rsid w:val="00AC3669"/>
    <w:rsid w:val="00AC4C56"/>
    <w:rsid w:val="00AC52C9"/>
    <w:rsid w:val="00AC54F9"/>
    <w:rsid w:val="00AC752D"/>
    <w:rsid w:val="00AD0494"/>
    <w:rsid w:val="00AD0BDD"/>
    <w:rsid w:val="00AD262F"/>
    <w:rsid w:val="00AD3311"/>
    <w:rsid w:val="00AD3F06"/>
    <w:rsid w:val="00AD445B"/>
    <w:rsid w:val="00AD4B8F"/>
    <w:rsid w:val="00AD5094"/>
    <w:rsid w:val="00AD52C3"/>
    <w:rsid w:val="00AD5A0A"/>
    <w:rsid w:val="00AD6417"/>
    <w:rsid w:val="00AD67E3"/>
    <w:rsid w:val="00AD6809"/>
    <w:rsid w:val="00AD7626"/>
    <w:rsid w:val="00AE08A8"/>
    <w:rsid w:val="00AE0A9C"/>
    <w:rsid w:val="00AE0B85"/>
    <w:rsid w:val="00AE0F1D"/>
    <w:rsid w:val="00AE0F29"/>
    <w:rsid w:val="00AE1143"/>
    <w:rsid w:val="00AE1911"/>
    <w:rsid w:val="00AE20E2"/>
    <w:rsid w:val="00AE2B06"/>
    <w:rsid w:val="00AE3FFB"/>
    <w:rsid w:val="00AE488B"/>
    <w:rsid w:val="00AE4C32"/>
    <w:rsid w:val="00AE4EEA"/>
    <w:rsid w:val="00AE6E1B"/>
    <w:rsid w:val="00AE745D"/>
    <w:rsid w:val="00AE7503"/>
    <w:rsid w:val="00AF10A8"/>
    <w:rsid w:val="00AF1663"/>
    <w:rsid w:val="00AF1CC2"/>
    <w:rsid w:val="00AF1CCB"/>
    <w:rsid w:val="00AF23ED"/>
    <w:rsid w:val="00AF357D"/>
    <w:rsid w:val="00AF39E1"/>
    <w:rsid w:val="00AF3AED"/>
    <w:rsid w:val="00AF3E79"/>
    <w:rsid w:val="00AF4207"/>
    <w:rsid w:val="00AF4982"/>
    <w:rsid w:val="00AF54E5"/>
    <w:rsid w:val="00AF5F98"/>
    <w:rsid w:val="00AF61AA"/>
    <w:rsid w:val="00AF74E8"/>
    <w:rsid w:val="00AF787B"/>
    <w:rsid w:val="00AF7943"/>
    <w:rsid w:val="00AF7BEB"/>
    <w:rsid w:val="00B00698"/>
    <w:rsid w:val="00B015E5"/>
    <w:rsid w:val="00B016B2"/>
    <w:rsid w:val="00B0281B"/>
    <w:rsid w:val="00B02EFC"/>
    <w:rsid w:val="00B04210"/>
    <w:rsid w:val="00B04B59"/>
    <w:rsid w:val="00B04E0F"/>
    <w:rsid w:val="00B0505F"/>
    <w:rsid w:val="00B0524C"/>
    <w:rsid w:val="00B0548B"/>
    <w:rsid w:val="00B057CD"/>
    <w:rsid w:val="00B06358"/>
    <w:rsid w:val="00B069F1"/>
    <w:rsid w:val="00B07234"/>
    <w:rsid w:val="00B07758"/>
    <w:rsid w:val="00B07BA6"/>
    <w:rsid w:val="00B102CB"/>
    <w:rsid w:val="00B10E73"/>
    <w:rsid w:val="00B11454"/>
    <w:rsid w:val="00B12300"/>
    <w:rsid w:val="00B1244C"/>
    <w:rsid w:val="00B127E2"/>
    <w:rsid w:val="00B12B3B"/>
    <w:rsid w:val="00B12EAB"/>
    <w:rsid w:val="00B12F03"/>
    <w:rsid w:val="00B13E57"/>
    <w:rsid w:val="00B14509"/>
    <w:rsid w:val="00B148CA"/>
    <w:rsid w:val="00B14D10"/>
    <w:rsid w:val="00B15277"/>
    <w:rsid w:val="00B15430"/>
    <w:rsid w:val="00B15459"/>
    <w:rsid w:val="00B155B0"/>
    <w:rsid w:val="00B15B92"/>
    <w:rsid w:val="00B15D65"/>
    <w:rsid w:val="00B16148"/>
    <w:rsid w:val="00B1646F"/>
    <w:rsid w:val="00B16546"/>
    <w:rsid w:val="00B16839"/>
    <w:rsid w:val="00B168A7"/>
    <w:rsid w:val="00B16A79"/>
    <w:rsid w:val="00B16D08"/>
    <w:rsid w:val="00B16D67"/>
    <w:rsid w:val="00B17046"/>
    <w:rsid w:val="00B209A6"/>
    <w:rsid w:val="00B2241B"/>
    <w:rsid w:val="00B22745"/>
    <w:rsid w:val="00B22B7F"/>
    <w:rsid w:val="00B2301F"/>
    <w:rsid w:val="00B230E2"/>
    <w:rsid w:val="00B24252"/>
    <w:rsid w:val="00B243D7"/>
    <w:rsid w:val="00B24C89"/>
    <w:rsid w:val="00B25106"/>
    <w:rsid w:val="00B25D17"/>
    <w:rsid w:val="00B26121"/>
    <w:rsid w:val="00B26691"/>
    <w:rsid w:val="00B26BD7"/>
    <w:rsid w:val="00B30B30"/>
    <w:rsid w:val="00B31440"/>
    <w:rsid w:val="00B31D35"/>
    <w:rsid w:val="00B31F03"/>
    <w:rsid w:val="00B3273E"/>
    <w:rsid w:val="00B337AB"/>
    <w:rsid w:val="00B340E0"/>
    <w:rsid w:val="00B34DBE"/>
    <w:rsid w:val="00B34F41"/>
    <w:rsid w:val="00B35FA6"/>
    <w:rsid w:val="00B363A5"/>
    <w:rsid w:val="00B37ADB"/>
    <w:rsid w:val="00B37E42"/>
    <w:rsid w:val="00B40358"/>
    <w:rsid w:val="00B40431"/>
    <w:rsid w:val="00B40EDE"/>
    <w:rsid w:val="00B4185F"/>
    <w:rsid w:val="00B4198E"/>
    <w:rsid w:val="00B4218F"/>
    <w:rsid w:val="00B425A3"/>
    <w:rsid w:val="00B4268C"/>
    <w:rsid w:val="00B42BA5"/>
    <w:rsid w:val="00B42D5F"/>
    <w:rsid w:val="00B4365B"/>
    <w:rsid w:val="00B442C7"/>
    <w:rsid w:val="00B44C52"/>
    <w:rsid w:val="00B4578B"/>
    <w:rsid w:val="00B46296"/>
    <w:rsid w:val="00B479E9"/>
    <w:rsid w:val="00B50761"/>
    <w:rsid w:val="00B50872"/>
    <w:rsid w:val="00B5181B"/>
    <w:rsid w:val="00B51A5F"/>
    <w:rsid w:val="00B5222B"/>
    <w:rsid w:val="00B524B6"/>
    <w:rsid w:val="00B53566"/>
    <w:rsid w:val="00B536FC"/>
    <w:rsid w:val="00B53B7B"/>
    <w:rsid w:val="00B53BF9"/>
    <w:rsid w:val="00B5596A"/>
    <w:rsid w:val="00B55D6B"/>
    <w:rsid w:val="00B55D92"/>
    <w:rsid w:val="00B56336"/>
    <w:rsid w:val="00B563D4"/>
    <w:rsid w:val="00B5659A"/>
    <w:rsid w:val="00B56AA0"/>
    <w:rsid w:val="00B56F0C"/>
    <w:rsid w:val="00B606C2"/>
    <w:rsid w:val="00B60A53"/>
    <w:rsid w:val="00B61D74"/>
    <w:rsid w:val="00B61DD5"/>
    <w:rsid w:val="00B621D6"/>
    <w:rsid w:val="00B622EF"/>
    <w:rsid w:val="00B62618"/>
    <w:rsid w:val="00B62691"/>
    <w:rsid w:val="00B627EA"/>
    <w:rsid w:val="00B650C7"/>
    <w:rsid w:val="00B6549F"/>
    <w:rsid w:val="00B65805"/>
    <w:rsid w:val="00B667A8"/>
    <w:rsid w:val="00B675A8"/>
    <w:rsid w:val="00B67948"/>
    <w:rsid w:val="00B703E9"/>
    <w:rsid w:val="00B705CD"/>
    <w:rsid w:val="00B71057"/>
    <w:rsid w:val="00B7162D"/>
    <w:rsid w:val="00B72C0C"/>
    <w:rsid w:val="00B72C8D"/>
    <w:rsid w:val="00B730E0"/>
    <w:rsid w:val="00B74B3F"/>
    <w:rsid w:val="00B74C8B"/>
    <w:rsid w:val="00B7686E"/>
    <w:rsid w:val="00B76CCE"/>
    <w:rsid w:val="00B77DE2"/>
    <w:rsid w:val="00B77F9B"/>
    <w:rsid w:val="00B80950"/>
    <w:rsid w:val="00B810DC"/>
    <w:rsid w:val="00B81226"/>
    <w:rsid w:val="00B81CCB"/>
    <w:rsid w:val="00B8207F"/>
    <w:rsid w:val="00B8281F"/>
    <w:rsid w:val="00B82B4F"/>
    <w:rsid w:val="00B82B92"/>
    <w:rsid w:val="00B8442F"/>
    <w:rsid w:val="00B8488D"/>
    <w:rsid w:val="00B8503E"/>
    <w:rsid w:val="00B8507F"/>
    <w:rsid w:val="00B8536E"/>
    <w:rsid w:val="00B856AE"/>
    <w:rsid w:val="00B85888"/>
    <w:rsid w:val="00B8595C"/>
    <w:rsid w:val="00B8705E"/>
    <w:rsid w:val="00B874E3"/>
    <w:rsid w:val="00B87636"/>
    <w:rsid w:val="00B87703"/>
    <w:rsid w:val="00B9043E"/>
    <w:rsid w:val="00B90606"/>
    <w:rsid w:val="00B91A47"/>
    <w:rsid w:val="00B923FB"/>
    <w:rsid w:val="00B930C2"/>
    <w:rsid w:val="00B9605E"/>
    <w:rsid w:val="00B96244"/>
    <w:rsid w:val="00B96292"/>
    <w:rsid w:val="00B97016"/>
    <w:rsid w:val="00B97148"/>
    <w:rsid w:val="00B97154"/>
    <w:rsid w:val="00B97F59"/>
    <w:rsid w:val="00B97FDE"/>
    <w:rsid w:val="00BA150A"/>
    <w:rsid w:val="00BA1BF4"/>
    <w:rsid w:val="00BA203B"/>
    <w:rsid w:val="00BA25F5"/>
    <w:rsid w:val="00BA3188"/>
    <w:rsid w:val="00BA389E"/>
    <w:rsid w:val="00BA434C"/>
    <w:rsid w:val="00BA4556"/>
    <w:rsid w:val="00BA4D58"/>
    <w:rsid w:val="00BA4E46"/>
    <w:rsid w:val="00BA5CE4"/>
    <w:rsid w:val="00BA61BF"/>
    <w:rsid w:val="00BA6C53"/>
    <w:rsid w:val="00BA6DAD"/>
    <w:rsid w:val="00BA6F7D"/>
    <w:rsid w:val="00BA7826"/>
    <w:rsid w:val="00BA782B"/>
    <w:rsid w:val="00BA7987"/>
    <w:rsid w:val="00BA7EE6"/>
    <w:rsid w:val="00BB0597"/>
    <w:rsid w:val="00BB09E6"/>
    <w:rsid w:val="00BB0BF3"/>
    <w:rsid w:val="00BB0FD8"/>
    <w:rsid w:val="00BB18C5"/>
    <w:rsid w:val="00BB1F60"/>
    <w:rsid w:val="00BB240B"/>
    <w:rsid w:val="00BB2CB9"/>
    <w:rsid w:val="00BB3370"/>
    <w:rsid w:val="00BB4BED"/>
    <w:rsid w:val="00BB4BF2"/>
    <w:rsid w:val="00BB5314"/>
    <w:rsid w:val="00BB58F1"/>
    <w:rsid w:val="00BB5CB8"/>
    <w:rsid w:val="00BB5DCB"/>
    <w:rsid w:val="00BB62E1"/>
    <w:rsid w:val="00BB6519"/>
    <w:rsid w:val="00BB6766"/>
    <w:rsid w:val="00BB71FD"/>
    <w:rsid w:val="00BC09B1"/>
    <w:rsid w:val="00BC0F98"/>
    <w:rsid w:val="00BC0FBC"/>
    <w:rsid w:val="00BC11DE"/>
    <w:rsid w:val="00BC19F4"/>
    <w:rsid w:val="00BC1BB3"/>
    <w:rsid w:val="00BC219E"/>
    <w:rsid w:val="00BC298C"/>
    <w:rsid w:val="00BC3EF3"/>
    <w:rsid w:val="00BC4976"/>
    <w:rsid w:val="00BC4C7F"/>
    <w:rsid w:val="00BC51EA"/>
    <w:rsid w:val="00BC5EA0"/>
    <w:rsid w:val="00BC6088"/>
    <w:rsid w:val="00BC677E"/>
    <w:rsid w:val="00BC6A93"/>
    <w:rsid w:val="00BC6F10"/>
    <w:rsid w:val="00BD0E41"/>
    <w:rsid w:val="00BD11FB"/>
    <w:rsid w:val="00BD222F"/>
    <w:rsid w:val="00BD247E"/>
    <w:rsid w:val="00BD254B"/>
    <w:rsid w:val="00BD2A84"/>
    <w:rsid w:val="00BD358A"/>
    <w:rsid w:val="00BD359E"/>
    <w:rsid w:val="00BD3606"/>
    <w:rsid w:val="00BD444A"/>
    <w:rsid w:val="00BD4D15"/>
    <w:rsid w:val="00BD506F"/>
    <w:rsid w:val="00BD6438"/>
    <w:rsid w:val="00BD6F39"/>
    <w:rsid w:val="00BD70DA"/>
    <w:rsid w:val="00BD7280"/>
    <w:rsid w:val="00BD7B72"/>
    <w:rsid w:val="00BE00F5"/>
    <w:rsid w:val="00BE012E"/>
    <w:rsid w:val="00BE02D5"/>
    <w:rsid w:val="00BE0914"/>
    <w:rsid w:val="00BE0ED6"/>
    <w:rsid w:val="00BE1807"/>
    <w:rsid w:val="00BE1A9F"/>
    <w:rsid w:val="00BE1C87"/>
    <w:rsid w:val="00BE1EDD"/>
    <w:rsid w:val="00BE3596"/>
    <w:rsid w:val="00BE36F4"/>
    <w:rsid w:val="00BE48B6"/>
    <w:rsid w:val="00BE498E"/>
    <w:rsid w:val="00BE5084"/>
    <w:rsid w:val="00BE51A0"/>
    <w:rsid w:val="00BE5380"/>
    <w:rsid w:val="00BE564D"/>
    <w:rsid w:val="00BE5EBB"/>
    <w:rsid w:val="00BE5FAD"/>
    <w:rsid w:val="00BE6AD9"/>
    <w:rsid w:val="00BE7C32"/>
    <w:rsid w:val="00BF066B"/>
    <w:rsid w:val="00BF0C0F"/>
    <w:rsid w:val="00BF0C59"/>
    <w:rsid w:val="00BF0FA7"/>
    <w:rsid w:val="00BF18A1"/>
    <w:rsid w:val="00BF1B62"/>
    <w:rsid w:val="00BF2076"/>
    <w:rsid w:val="00BF218C"/>
    <w:rsid w:val="00BF25B6"/>
    <w:rsid w:val="00BF288C"/>
    <w:rsid w:val="00BF3B65"/>
    <w:rsid w:val="00BF4951"/>
    <w:rsid w:val="00BF4A1F"/>
    <w:rsid w:val="00BF57A5"/>
    <w:rsid w:val="00BF5F26"/>
    <w:rsid w:val="00BF6466"/>
    <w:rsid w:val="00BF77AE"/>
    <w:rsid w:val="00BF7CCD"/>
    <w:rsid w:val="00BF7D27"/>
    <w:rsid w:val="00BF7D99"/>
    <w:rsid w:val="00BF7EBB"/>
    <w:rsid w:val="00C0082A"/>
    <w:rsid w:val="00C0116C"/>
    <w:rsid w:val="00C0136B"/>
    <w:rsid w:val="00C0168E"/>
    <w:rsid w:val="00C018CC"/>
    <w:rsid w:val="00C02A47"/>
    <w:rsid w:val="00C02CF1"/>
    <w:rsid w:val="00C03837"/>
    <w:rsid w:val="00C0468B"/>
    <w:rsid w:val="00C04CA5"/>
    <w:rsid w:val="00C04DE9"/>
    <w:rsid w:val="00C057AC"/>
    <w:rsid w:val="00C05986"/>
    <w:rsid w:val="00C05C4F"/>
    <w:rsid w:val="00C062D1"/>
    <w:rsid w:val="00C068CD"/>
    <w:rsid w:val="00C07012"/>
    <w:rsid w:val="00C070FA"/>
    <w:rsid w:val="00C07217"/>
    <w:rsid w:val="00C0762A"/>
    <w:rsid w:val="00C07662"/>
    <w:rsid w:val="00C07A01"/>
    <w:rsid w:val="00C07A87"/>
    <w:rsid w:val="00C07AE8"/>
    <w:rsid w:val="00C07B31"/>
    <w:rsid w:val="00C104D4"/>
    <w:rsid w:val="00C10B0B"/>
    <w:rsid w:val="00C10D5E"/>
    <w:rsid w:val="00C119FD"/>
    <w:rsid w:val="00C11B98"/>
    <w:rsid w:val="00C12008"/>
    <w:rsid w:val="00C133A5"/>
    <w:rsid w:val="00C1347B"/>
    <w:rsid w:val="00C13C6D"/>
    <w:rsid w:val="00C13EFF"/>
    <w:rsid w:val="00C142EB"/>
    <w:rsid w:val="00C14E8B"/>
    <w:rsid w:val="00C1558C"/>
    <w:rsid w:val="00C158F5"/>
    <w:rsid w:val="00C1658E"/>
    <w:rsid w:val="00C16E6A"/>
    <w:rsid w:val="00C17A40"/>
    <w:rsid w:val="00C17B85"/>
    <w:rsid w:val="00C20122"/>
    <w:rsid w:val="00C20CE8"/>
    <w:rsid w:val="00C21614"/>
    <w:rsid w:val="00C2221F"/>
    <w:rsid w:val="00C23A4F"/>
    <w:rsid w:val="00C23E79"/>
    <w:rsid w:val="00C24056"/>
    <w:rsid w:val="00C24472"/>
    <w:rsid w:val="00C2448D"/>
    <w:rsid w:val="00C247F5"/>
    <w:rsid w:val="00C249CA"/>
    <w:rsid w:val="00C25D8D"/>
    <w:rsid w:val="00C26549"/>
    <w:rsid w:val="00C26B03"/>
    <w:rsid w:val="00C26FE8"/>
    <w:rsid w:val="00C27A1E"/>
    <w:rsid w:val="00C305D9"/>
    <w:rsid w:val="00C306DB"/>
    <w:rsid w:val="00C3071A"/>
    <w:rsid w:val="00C30DDC"/>
    <w:rsid w:val="00C31885"/>
    <w:rsid w:val="00C31C68"/>
    <w:rsid w:val="00C327FC"/>
    <w:rsid w:val="00C32BB4"/>
    <w:rsid w:val="00C3480F"/>
    <w:rsid w:val="00C34838"/>
    <w:rsid w:val="00C35265"/>
    <w:rsid w:val="00C352FE"/>
    <w:rsid w:val="00C35C57"/>
    <w:rsid w:val="00C35FD1"/>
    <w:rsid w:val="00C36B3B"/>
    <w:rsid w:val="00C36C3F"/>
    <w:rsid w:val="00C377E4"/>
    <w:rsid w:val="00C400DC"/>
    <w:rsid w:val="00C405E4"/>
    <w:rsid w:val="00C40A19"/>
    <w:rsid w:val="00C40F15"/>
    <w:rsid w:val="00C413E7"/>
    <w:rsid w:val="00C42194"/>
    <w:rsid w:val="00C42B30"/>
    <w:rsid w:val="00C430D0"/>
    <w:rsid w:val="00C448B1"/>
    <w:rsid w:val="00C46B6B"/>
    <w:rsid w:val="00C4749D"/>
    <w:rsid w:val="00C501B4"/>
    <w:rsid w:val="00C50920"/>
    <w:rsid w:val="00C511C1"/>
    <w:rsid w:val="00C51AB3"/>
    <w:rsid w:val="00C51E8E"/>
    <w:rsid w:val="00C52771"/>
    <w:rsid w:val="00C52871"/>
    <w:rsid w:val="00C52DD5"/>
    <w:rsid w:val="00C52E68"/>
    <w:rsid w:val="00C52F3F"/>
    <w:rsid w:val="00C543D6"/>
    <w:rsid w:val="00C54429"/>
    <w:rsid w:val="00C54787"/>
    <w:rsid w:val="00C54C79"/>
    <w:rsid w:val="00C54D64"/>
    <w:rsid w:val="00C54E37"/>
    <w:rsid w:val="00C54F61"/>
    <w:rsid w:val="00C55383"/>
    <w:rsid w:val="00C5678F"/>
    <w:rsid w:val="00C5696C"/>
    <w:rsid w:val="00C56E4F"/>
    <w:rsid w:val="00C57B7F"/>
    <w:rsid w:val="00C57D0B"/>
    <w:rsid w:val="00C57F3B"/>
    <w:rsid w:val="00C604BA"/>
    <w:rsid w:val="00C60D31"/>
    <w:rsid w:val="00C61F81"/>
    <w:rsid w:val="00C62C2E"/>
    <w:rsid w:val="00C62DD4"/>
    <w:rsid w:val="00C63030"/>
    <w:rsid w:val="00C63FA6"/>
    <w:rsid w:val="00C64057"/>
    <w:rsid w:val="00C64CC2"/>
    <w:rsid w:val="00C651C7"/>
    <w:rsid w:val="00C659F6"/>
    <w:rsid w:val="00C65CED"/>
    <w:rsid w:val="00C65EF5"/>
    <w:rsid w:val="00C6698C"/>
    <w:rsid w:val="00C66FBF"/>
    <w:rsid w:val="00C70A29"/>
    <w:rsid w:val="00C70B28"/>
    <w:rsid w:val="00C71667"/>
    <w:rsid w:val="00C719D7"/>
    <w:rsid w:val="00C71E6B"/>
    <w:rsid w:val="00C71EFF"/>
    <w:rsid w:val="00C71FF6"/>
    <w:rsid w:val="00C72009"/>
    <w:rsid w:val="00C72778"/>
    <w:rsid w:val="00C727E7"/>
    <w:rsid w:val="00C73A71"/>
    <w:rsid w:val="00C73B2B"/>
    <w:rsid w:val="00C73CA7"/>
    <w:rsid w:val="00C73DE2"/>
    <w:rsid w:val="00C73FC9"/>
    <w:rsid w:val="00C753F8"/>
    <w:rsid w:val="00C75F2A"/>
    <w:rsid w:val="00C764C8"/>
    <w:rsid w:val="00C767A8"/>
    <w:rsid w:val="00C769A5"/>
    <w:rsid w:val="00C8001E"/>
    <w:rsid w:val="00C803E6"/>
    <w:rsid w:val="00C80D34"/>
    <w:rsid w:val="00C80DC8"/>
    <w:rsid w:val="00C818FA"/>
    <w:rsid w:val="00C81BE5"/>
    <w:rsid w:val="00C824F5"/>
    <w:rsid w:val="00C824F9"/>
    <w:rsid w:val="00C83100"/>
    <w:rsid w:val="00C83308"/>
    <w:rsid w:val="00C83934"/>
    <w:rsid w:val="00C845AC"/>
    <w:rsid w:val="00C855D7"/>
    <w:rsid w:val="00C85CDE"/>
    <w:rsid w:val="00C8609A"/>
    <w:rsid w:val="00C867C8"/>
    <w:rsid w:val="00C873A4"/>
    <w:rsid w:val="00C8748E"/>
    <w:rsid w:val="00C87CE6"/>
    <w:rsid w:val="00C9001E"/>
    <w:rsid w:val="00C91C12"/>
    <w:rsid w:val="00C91D93"/>
    <w:rsid w:val="00C92D12"/>
    <w:rsid w:val="00C930E5"/>
    <w:rsid w:val="00C93B07"/>
    <w:rsid w:val="00C93BC1"/>
    <w:rsid w:val="00C93F33"/>
    <w:rsid w:val="00C94B98"/>
    <w:rsid w:val="00C94C41"/>
    <w:rsid w:val="00C94E1F"/>
    <w:rsid w:val="00C95CC3"/>
    <w:rsid w:val="00C969E0"/>
    <w:rsid w:val="00C969F2"/>
    <w:rsid w:val="00C96D26"/>
    <w:rsid w:val="00C971D3"/>
    <w:rsid w:val="00C97455"/>
    <w:rsid w:val="00C97BC1"/>
    <w:rsid w:val="00C97E74"/>
    <w:rsid w:val="00C97EC7"/>
    <w:rsid w:val="00CA0416"/>
    <w:rsid w:val="00CA0C63"/>
    <w:rsid w:val="00CA0D90"/>
    <w:rsid w:val="00CA19D6"/>
    <w:rsid w:val="00CA26DD"/>
    <w:rsid w:val="00CA27FC"/>
    <w:rsid w:val="00CA2B55"/>
    <w:rsid w:val="00CA2C12"/>
    <w:rsid w:val="00CA2EB1"/>
    <w:rsid w:val="00CA3634"/>
    <w:rsid w:val="00CA3709"/>
    <w:rsid w:val="00CA39D8"/>
    <w:rsid w:val="00CA3A55"/>
    <w:rsid w:val="00CA3B34"/>
    <w:rsid w:val="00CA3B6F"/>
    <w:rsid w:val="00CA4198"/>
    <w:rsid w:val="00CA59B6"/>
    <w:rsid w:val="00CA63A1"/>
    <w:rsid w:val="00CA643E"/>
    <w:rsid w:val="00CA665D"/>
    <w:rsid w:val="00CA6678"/>
    <w:rsid w:val="00CA6DE6"/>
    <w:rsid w:val="00CA7438"/>
    <w:rsid w:val="00CA7756"/>
    <w:rsid w:val="00CA7C8F"/>
    <w:rsid w:val="00CB0CD6"/>
    <w:rsid w:val="00CB14A5"/>
    <w:rsid w:val="00CB14B7"/>
    <w:rsid w:val="00CB1990"/>
    <w:rsid w:val="00CB1C39"/>
    <w:rsid w:val="00CB3833"/>
    <w:rsid w:val="00CB391A"/>
    <w:rsid w:val="00CB3C2E"/>
    <w:rsid w:val="00CB4D74"/>
    <w:rsid w:val="00CB4E2C"/>
    <w:rsid w:val="00CB4EB7"/>
    <w:rsid w:val="00CB5AEB"/>
    <w:rsid w:val="00CB602A"/>
    <w:rsid w:val="00CB602C"/>
    <w:rsid w:val="00CB60D2"/>
    <w:rsid w:val="00CB63BE"/>
    <w:rsid w:val="00CB65BE"/>
    <w:rsid w:val="00CB6731"/>
    <w:rsid w:val="00CB6E73"/>
    <w:rsid w:val="00CB732B"/>
    <w:rsid w:val="00CB7C42"/>
    <w:rsid w:val="00CB7E06"/>
    <w:rsid w:val="00CC02EF"/>
    <w:rsid w:val="00CC1028"/>
    <w:rsid w:val="00CC1996"/>
    <w:rsid w:val="00CC2136"/>
    <w:rsid w:val="00CC2523"/>
    <w:rsid w:val="00CC2688"/>
    <w:rsid w:val="00CC274D"/>
    <w:rsid w:val="00CC2AFF"/>
    <w:rsid w:val="00CC3049"/>
    <w:rsid w:val="00CC3378"/>
    <w:rsid w:val="00CC4159"/>
    <w:rsid w:val="00CC41E1"/>
    <w:rsid w:val="00CC4820"/>
    <w:rsid w:val="00CC4865"/>
    <w:rsid w:val="00CC4ABF"/>
    <w:rsid w:val="00CC5F70"/>
    <w:rsid w:val="00CC7275"/>
    <w:rsid w:val="00CC76C2"/>
    <w:rsid w:val="00CC7742"/>
    <w:rsid w:val="00CD032B"/>
    <w:rsid w:val="00CD03A4"/>
    <w:rsid w:val="00CD0CAD"/>
    <w:rsid w:val="00CD1649"/>
    <w:rsid w:val="00CD167C"/>
    <w:rsid w:val="00CD1FE7"/>
    <w:rsid w:val="00CD21AB"/>
    <w:rsid w:val="00CD21EF"/>
    <w:rsid w:val="00CD28D9"/>
    <w:rsid w:val="00CD38C4"/>
    <w:rsid w:val="00CD3FF6"/>
    <w:rsid w:val="00CD5052"/>
    <w:rsid w:val="00CD5A3A"/>
    <w:rsid w:val="00CD5D4C"/>
    <w:rsid w:val="00CD6733"/>
    <w:rsid w:val="00CD69AE"/>
    <w:rsid w:val="00CD7BD7"/>
    <w:rsid w:val="00CE082E"/>
    <w:rsid w:val="00CE15AA"/>
    <w:rsid w:val="00CE15F9"/>
    <w:rsid w:val="00CE2EDF"/>
    <w:rsid w:val="00CE4218"/>
    <w:rsid w:val="00CE46A3"/>
    <w:rsid w:val="00CE490C"/>
    <w:rsid w:val="00CE4CFF"/>
    <w:rsid w:val="00CE4FAF"/>
    <w:rsid w:val="00CE562E"/>
    <w:rsid w:val="00CE5965"/>
    <w:rsid w:val="00CE6AE0"/>
    <w:rsid w:val="00CE6C89"/>
    <w:rsid w:val="00CE7320"/>
    <w:rsid w:val="00CE7A47"/>
    <w:rsid w:val="00CE7B42"/>
    <w:rsid w:val="00CE7FD1"/>
    <w:rsid w:val="00CF00A8"/>
    <w:rsid w:val="00CF010E"/>
    <w:rsid w:val="00CF09E7"/>
    <w:rsid w:val="00CF0D9E"/>
    <w:rsid w:val="00CF127C"/>
    <w:rsid w:val="00CF13D3"/>
    <w:rsid w:val="00CF17E7"/>
    <w:rsid w:val="00CF2448"/>
    <w:rsid w:val="00CF2FFA"/>
    <w:rsid w:val="00CF3902"/>
    <w:rsid w:val="00CF4868"/>
    <w:rsid w:val="00CF4944"/>
    <w:rsid w:val="00CF5022"/>
    <w:rsid w:val="00CF5092"/>
    <w:rsid w:val="00CF6786"/>
    <w:rsid w:val="00CF6846"/>
    <w:rsid w:val="00CF6F49"/>
    <w:rsid w:val="00CF72F9"/>
    <w:rsid w:val="00CF7D99"/>
    <w:rsid w:val="00CF7F4B"/>
    <w:rsid w:val="00CF7F9F"/>
    <w:rsid w:val="00D004E0"/>
    <w:rsid w:val="00D00FE2"/>
    <w:rsid w:val="00D01065"/>
    <w:rsid w:val="00D016E6"/>
    <w:rsid w:val="00D01FAA"/>
    <w:rsid w:val="00D02061"/>
    <w:rsid w:val="00D020A0"/>
    <w:rsid w:val="00D02672"/>
    <w:rsid w:val="00D0296A"/>
    <w:rsid w:val="00D02B19"/>
    <w:rsid w:val="00D042C8"/>
    <w:rsid w:val="00D048DA"/>
    <w:rsid w:val="00D04EAD"/>
    <w:rsid w:val="00D04EEC"/>
    <w:rsid w:val="00D052E7"/>
    <w:rsid w:val="00D05A90"/>
    <w:rsid w:val="00D0642D"/>
    <w:rsid w:val="00D0684B"/>
    <w:rsid w:val="00D068F0"/>
    <w:rsid w:val="00D06AD1"/>
    <w:rsid w:val="00D0731A"/>
    <w:rsid w:val="00D073AB"/>
    <w:rsid w:val="00D079C2"/>
    <w:rsid w:val="00D07D93"/>
    <w:rsid w:val="00D07E02"/>
    <w:rsid w:val="00D100C2"/>
    <w:rsid w:val="00D10137"/>
    <w:rsid w:val="00D10220"/>
    <w:rsid w:val="00D1059D"/>
    <w:rsid w:val="00D10B69"/>
    <w:rsid w:val="00D10E12"/>
    <w:rsid w:val="00D10E30"/>
    <w:rsid w:val="00D117F9"/>
    <w:rsid w:val="00D118EA"/>
    <w:rsid w:val="00D12117"/>
    <w:rsid w:val="00D12E54"/>
    <w:rsid w:val="00D13072"/>
    <w:rsid w:val="00D132C6"/>
    <w:rsid w:val="00D13E39"/>
    <w:rsid w:val="00D145D2"/>
    <w:rsid w:val="00D14827"/>
    <w:rsid w:val="00D149AE"/>
    <w:rsid w:val="00D14A99"/>
    <w:rsid w:val="00D15032"/>
    <w:rsid w:val="00D16163"/>
    <w:rsid w:val="00D16865"/>
    <w:rsid w:val="00D17489"/>
    <w:rsid w:val="00D17526"/>
    <w:rsid w:val="00D178C2"/>
    <w:rsid w:val="00D20230"/>
    <w:rsid w:val="00D204AE"/>
    <w:rsid w:val="00D223D4"/>
    <w:rsid w:val="00D22CDB"/>
    <w:rsid w:val="00D22E10"/>
    <w:rsid w:val="00D22EBB"/>
    <w:rsid w:val="00D23282"/>
    <w:rsid w:val="00D23E49"/>
    <w:rsid w:val="00D245EB"/>
    <w:rsid w:val="00D24612"/>
    <w:rsid w:val="00D24FC9"/>
    <w:rsid w:val="00D25737"/>
    <w:rsid w:val="00D25E06"/>
    <w:rsid w:val="00D262C6"/>
    <w:rsid w:val="00D263D1"/>
    <w:rsid w:val="00D263FE"/>
    <w:rsid w:val="00D266BA"/>
    <w:rsid w:val="00D27041"/>
    <w:rsid w:val="00D270C8"/>
    <w:rsid w:val="00D276C6"/>
    <w:rsid w:val="00D27FF5"/>
    <w:rsid w:val="00D31121"/>
    <w:rsid w:val="00D336AC"/>
    <w:rsid w:val="00D33820"/>
    <w:rsid w:val="00D33B2E"/>
    <w:rsid w:val="00D33F42"/>
    <w:rsid w:val="00D3400B"/>
    <w:rsid w:val="00D34959"/>
    <w:rsid w:val="00D34AAD"/>
    <w:rsid w:val="00D35170"/>
    <w:rsid w:val="00D35257"/>
    <w:rsid w:val="00D35408"/>
    <w:rsid w:val="00D3570D"/>
    <w:rsid w:val="00D36CA6"/>
    <w:rsid w:val="00D36FF5"/>
    <w:rsid w:val="00D377CD"/>
    <w:rsid w:val="00D41488"/>
    <w:rsid w:val="00D41AC5"/>
    <w:rsid w:val="00D41DA1"/>
    <w:rsid w:val="00D422EF"/>
    <w:rsid w:val="00D423B3"/>
    <w:rsid w:val="00D437B1"/>
    <w:rsid w:val="00D44491"/>
    <w:rsid w:val="00D449F1"/>
    <w:rsid w:val="00D44A2B"/>
    <w:rsid w:val="00D45405"/>
    <w:rsid w:val="00D45854"/>
    <w:rsid w:val="00D46352"/>
    <w:rsid w:val="00D464EB"/>
    <w:rsid w:val="00D467A9"/>
    <w:rsid w:val="00D4688A"/>
    <w:rsid w:val="00D46FCA"/>
    <w:rsid w:val="00D47253"/>
    <w:rsid w:val="00D5070D"/>
    <w:rsid w:val="00D509CC"/>
    <w:rsid w:val="00D51924"/>
    <w:rsid w:val="00D51AAB"/>
    <w:rsid w:val="00D520FE"/>
    <w:rsid w:val="00D527BD"/>
    <w:rsid w:val="00D52E31"/>
    <w:rsid w:val="00D532E2"/>
    <w:rsid w:val="00D53F8F"/>
    <w:rsid w:val="00D542C7"/>
    <w:rsid w:val="00D543CC"/>
    <w:rsid w:val="00D549FA"/>
    <w:rsid w:val="00D553F7"/>
    <w:rsid w:val="00D5635C"/>
    <w:rsid w:val="00D56CE3"/>
    <w:rsid w:val="00D57209"/>
    <w:rsid w:val="00D5728F"/>
    <w:rsid w:val="00D578F2"/>
    <w:rsid w:val="00D60C59"/>
    <w:rsid w:val="00D61A05"/>
    <w:rsid w:val="00D6238D"/>
    <w:rsid w:val="00D627C1"/>
    <w:rsid w:val="00D6311A"/>
    <w:rsid w:val="00D63F98"/>
    <w:rsid w:val="00D641BE"/>
    <w:rsid w:val="00D646C2"/>
    <w:rsid w:val="00D6497F"/>
    <w:rsid w:val="00D655C6"/>
    <w:rsid w:val="00D6560A"/>
    <w:rsid w:val="00D65B37"/>
    <w:rsid w:val="00D6667A"/>
    <w:rsid w:val="00D66885"/>
    <w:rsid w:val="00D66E22"/>
    <w:rsid w:val="00D677C8"/>
    <w:rsid w:val="00D67D53"/>
    <w:rsid w:val="00D67E28"/>
    <w:rsid w:val="00D70EC8"/>
    <w:rsid w:val="00D70FC5"/>
    <w:rsid w:val="00D71190"/>
    <w:rsid w:val="00D71ED3"/>
    <w:rsid w:val="00D728E9"/>
    <w:rsid w:val="00D72B8A"/>
    <w:rsid w:val="00D72FA0"/>
    <w:rsid w:val="00D72FB0"/>
    <w:rsid w:val="00D732F8"/>
    <w:rsid w:val="00D73617"/>
    <w:rsid w:val="00D74C79"/>
    <w:rsid w:val="00D74FC6"/>
    <w:rsid w:val="00D75065"/>
    <w:rsid w:val="00D75287"/>
    <w:rsid w:val="00D75BB2"/>
    <w:rsid w:val="00D762DF"/>
    <w:rsid w:val="00D7630D"/>
    <w:rsid w:val="00D76705"/>
    <w:rsid w:val="00D80198"/>
    <w:rsid w:val="00D81362"/>
    <w:rsid w:val="00D81A0A"/>
    <w:rsid w:val="00D822D1"/>
    <w:rsid w:val="00D82C50"/>
    <w:rsid w:val="00D83FD2"/>
    <w:rsid w:val="00D842A2"/>
    <w:rsid w:val="00D84485"/>
    <w:rsid w:val="00D844BF"/>
    <w:rsid w:val="00D84623"/>
    <w:rsid w:val="00D852B4"/>
    <w:rsid w:val="00D85A2A"/>
    <w:rsid w:val="00D86A98"/>
    <w:rsid w:val="00D8703F"/>
    <w:rsid w:val="00D87D95"/>
    <w:rsid w:val="00D9064B"/>
    <w:rsid w:val="00D90837"/>
    <w:rsid w:val="00D91038"/>
    <w:rsid w:val="00D91B0D"/>
    <w:rsid w:val="00D92921"/>
    <w:rsid w:val="00D9303F"/>
    <w:rsid w:val="00D932ED"/>
    <w:rsid w:val="00D94042"/>
    <w:rsid w:val="00D947EA"/>
    <w:rsid w:val="00D94A57"/>
    <w:rsid w:val="00D94BF1"/>
    <w:rsid w:val="00D954D7"/>
    <w:rsid w:val="00D96691"/>
    <w:rsid w:val="00D96EA8"/>
    <w:rsid w:val="00D970A8"/>
    <w:rsid w:val="00D97249"/>
    <w:rsid w:val="00D973BF"/>
    <w:rsid w:val="00D97422"/>
    <w:rsid w:val="00D97485"/>
    <w:rsid w:val="00D97628"/>
    <w:rsid w:val="00D978DF"/>
    <w:rsid w:val="00D97D04"/>
    <w:rsid w:val="00DA0225"/>
    <w:rsid w:val="00DA02A3"/>
    <w:rsid w:val="00DA15DA"/>
    <w:rsid w:val="00DA1620"/>
    <w:rsid w:val="00DA16BA"/>
    <w:rsid w:val="00DA1A7F"/>
    <w:rsid w:val="00DA1F27"/>
    <w:rsid w:val="00DA20ED"/>
    <w:rsid w:val="00DA2AA8"/>
    <w:rsid w:val="00DA2F59"/>
    <w:rsid w:val="00DA3AE6"/>
    <w:rsid w:val="00DA3C50"/>
    <w:rsid w:val="00DA4040"/>
    <w:rsid w:val="00DA5364"/>
    <w:rsid w:val="00DA5509"/>
    <w:rsid w:val="00DA56E2"/>
    <w:rsid w:val="00DA588C"/>
    <w:rsid w:val="00DA5F90"/>
    <w:rsid w:val="00DA6CAF"/>
    <w:rsid w:val="00DA6FB5"/>
    <w:rsid w:val="00DA7627"/>
    <w:rsid w:val="00DA77D1"/>
    <w:rsid w:val="00DA7D55"/>
    <w:rsid w:val="00DA7EF2"/>
    <w:rsid w:val="00DB0686"/>
    <w:rsid w:val="00DB0FF0"/>
    <w:rsid w:val="00DB2265"/>
    <w:rsid w:val="00DB28D6"/>
    <w:rsid w:val="00DB29F9"/>
    <w:rsid w:val="00DB2C8F"/>
    <w:rsid w:val="00DB308B"/>
    <w:rsid w:val="00DB3FA7"/>
    <w:rsid w:val="00DB42FB"/>
    <w:rsid w:val="00DB49BF"/>
    <w:rsid w:val="00DB55B2"/>
    <w:rsid w:val="00DB5687"/>
    <w:rsid w:val="00DB5C15"/>
    <w:rsid w:val="00DB6C70"/>
    <w:rsid w:val="00DB7CA8"/>
    <w:rsid w:val="00DC059D"/>
    <w:rsid w:val="00DC078B"/>
    <w:rsid w:val="00DC0912"/>
    <w:rsid w:val="00DC1D1A"/>
    <w:rsid w:val="00DC1DC6"/>
    <w:rsid w:val="00DC295B"/>
    <w:rsid w:val="00DC2EA5"/>
    <w:rsid w:val="00DC51A7"/>
    <w:rsid w:val="00DC54FD"/>
    <w:rsid w:val="00DC55ED"/>
    <w:rsid w:val="00DC7280"/>
    <w:rsid w:val="00DC72AA"/>
    <w:rsid w:val="00DC7940"/>
    <w:rsid w:val="00DC7CA0"/>
    <w:rsid w:val="00DC7CCC"/>
    <w:rsid w:val="00DC7D6F"/>
    <w:rsid w:val="00DD12D5"/>
    <w:rsid w:val="00DD1417"/>
    <w:rsid w:val="00DD15B2"/>
    <w:rsid w:val="00DD18AB"/>
    <w:rsid w:val="00DD2104"/>
    <w:rsid w:val="00DD2DF9"/>
    <w:rsid w:val="00DD2E1F"/>
    <w:rsid w:val="00DD3387"/>
    <w:rsid w:val="00DD398B"/>
    <w:rsid w:val="00DD4641"/>
    <w:rsid w:val="00DD4693"/>
    <w:rsid w:val="00DD4696"/>
    <w:rsid w:val="00DD49BE"/>
    <w:rsid w:val="00DD49D5"/>
    <w:rsid w:val="00DD5095"/>
    <w:rsid w:val="00DD51F9"/>
    <w:rsid w:val="00DD5F96"/>
    <w:rsid w:val="00DD61DE"/>
    <w:rsid w:val="00DD7095"/>
    <w:rsid w:val="00DD794D"/>
    <w:rsid w:val="00DD7978"/>
    <w:rsid w:val="00DE030E"/>
    <w:rsid w:val="00DE0A2F"/>
    <w:rsid w:val="00DE1179"/>
    <w:rsid w:val="00DE1903"/>
    <w:rsid w:val="00DE20AE"/>
    <w:rsid w:val="00DE2309"/>
    <w:rsid w:val="00DE4E8E"/>
    <w:rsid w:val="00DE5332"/>
    <w:rsid w:val="00DE5AC0"/>
    <w:rsid w:val="00DE666A"/>
    <w:rsid w:val="00DE72C3"/>
    <w:rsid w:val="00DE740F"/>
    <w:rsid w:val="00DE78B1"/>
    <w:rsid w:val="00DE7D99"/>
    <w:rsid w:val="00DE7FDC"/>
    <w:rsid w:val="00DF0040"/>
    <w:rsid w:val="00DF06DE"/>
    <w:rsid w:val="00DF1428"/>
    <w:rsid w:val="00DF2368"/>
    <w:rsid w:val="00DF2A70"/>
    <w:rsid w:val="00DF2B3E"/>
    <w:rsid w:val="00DF3A44"/>
    <w:rsid w:val="00DF3B08"/>
    <w:rsid w:val="00DF3EF7"/>
    <w:rsid w:val="00DF46B7"/>
    <w:rsid w:val="00DF5965"/>
    <w:rsid w:val="00DF5CD3"/>
    <w:rsid w:val="00DF6925"/>
    <w:rsid w:val="00DF6D19"/>
    <w:rsid w:val="00DF6D66"/>
    <w:rsid w:val="00DF72AA"/>
    <w:rsid w:val="00DF72DA"/>
    <w:rsid w:val="00DF72EC"/>
    <w:rsid w:val="00DF7AD2"/>
    <w:rsid w:val="00DF7FBA"/>
    <w:rsid w:val="00E0056A"/>
    <w:rsid w:val="00E00B68"/>
    <w:rsid w:val="00E01014"/>
    <w:rsid w:val="00E01E0A"/>
    <w:rsid w:val="00E01F18"/>
    <w:rsid w:val="00E0203D"/>
    <w:rsid w:val="00E0308A"/>
    <w:rsid w:val="00E03DDC"/>
    <w:rsid w:val="00E03E78"/>
    <w:rsid w:val="00E03F0A"/>
    <w:rsid w:val="00E04451"/>
    <w:rsid w:val="00E045EF"/>
    <w:rsid w:val="00E05191"/>
    <w:rsid w:val="00E062ED"/>
    <w:rsid w:val="00E06C2B"/>
    <w:rsid w:val="00E07377"/>
    <w:rsid w:val="00E077D0"/>
    <w:rsid w:val="00E07AC1"/>
    <w:rsid w:val="00E07CB1"/>
    <w:rsid w:val="00E07D72"/>
    <w:rsid w:val="00E07DC2"/>
    <w:rsid w:val="00E07EC6"/>
    <w:rsid w:val="00E11AFB"/>
    <w:rsid w:val="00E12CD6"/>
    <w:rsid w:val="00E13CBA"/>
    <w:rsid w:val="00E146B3"/>
    <w:rsid w:val="00E1492F"/>
    <w:rsid w:val="00E14C76"/>
    <w:rsid w:val="00E14FDD"/>
    <w:rsid w:val="00E15387"/>
    <w:rsid w:val="00E15445"/>
    <w:rsid w:val="00E15717"/>
    <w:rsid w:val="00E157E3"/>
    <w:rsid w:val="00E15A81"/>
    <w:rsid w:val="00E16DF5"/>
    <w:rsid w:val="00E170F3"/>
    <w:rsid w:val="00E20B67"/>
    <w:rsid w:val="00E21171"/>
    <w:rsid w:val="00E214D3"/>
    <w:rsid w:val="00E222B1"/>
    <w:rsid w:val="00E22515"/>
    <w:rsid w:val="00E22634"/>
    <w:rsid w:val="00E22AF8"/>
    <w:rsid w:val="00E22FF7"/>
    <w:rsid w:val="00E2305C"/>
    <w:rsid w:val="00E2319B"/>
    <w:rsid w:val="00E232AD"/>
    <w:rsid w:val="00E233A3"/>
    <w:rsid w:val="00E23A93"/>
    <w:rsid w:val="00E2454F"/>
    <w:rsid w:val="00E24710"/>
    <w:rsid w:val="00E25136"/>
    <w:rsid w:val="00E25C7D"/>
    <w:rsid w:val="00E262AD"/>
    <w:rsid w:val="00E269D1"/>
    <w:rsid w:val="00E26A50"/>
    <w:rsid w:val="00E26D3B"/>
    <w:rsid w:val="00E27778"/>
    <w:rsid w:val="00E27D52"/>
    <w:rsid w:val="00E30384"/>
    <w:rsid w:val="00E308A0"/>
    <w:rsid w:val="00E3096B"/>
    <w:rsid w:val="00E312F0"/>
    <w:rsid w:val="00E31D0C"/>
    <w:rsid w:val="00E32896"/>
    <w:rsid w:val="00E32FD0"/>
    <w:rsid w:val="00E334AE"/>
    <w:rsid w:val="00E33654"/>
    <w:rsid w:val="00E33887"/>
    <w:rsid w:val="00E33DBE"/>
    <w:rsid w:val="00E33FFF"/>
    <w:rsid w:val="00E3404F"/>
    <w:rsid w:val="00E34529"/>
    <w:rsid w:val="00E34F97"/>
    <w:rsid w:val="00E35659"/>
    <w:rsid w:val="00E356A9"/>
    <w:rsid w:val="00E35E90"/>
    <w:rsid w:val="00E3642F"/>
    <w:rsid w:val="00E3694E"/>
    <w:rsid w:val="00E36B13"/>
    <w:rsid w:val="00E3725D"/>
    <w:rsid w:val="00E37359"/>
    <w:rsid w:val="00E375CA"/>
    <w:rsid w:val="00E37EBB"/>
    <w:rsid w:val="00E401AF"/>
    <w:rsid w:val="00E408D8"/>
    <w:rsid w:val="00E41019"/>
    <w:rsid w:val="00E411F5"/>
    <w:rsid w:val="00E412C5"/>
    <w:rsid w:val="00E4131B"/>
    <w:rsid w:val="00E42F54"/>
    <w:rsid w:val="00E446EB"/>
    <w:rsid w:val="00E44E00"/>
    <w:rsid w:val="00E455BE"/>
    <w:rsid w:val="00E45D4A"/>
    <w:rsid w:val="00E45F39"/>
    <w:rsid w:val="00E4609E"/>
    <w:rsid w:val="00E4702A"/>
    <w:rsid w:val="00E470AD"/>
    <w:rsid w:val="00E4762A"/>
    <w:rsid w:val="00E47C7F"/>
    <w:rsid w:val="00E47E77"/>
    <w:rsid w:val="00E502B8"/>
    <w:rsid w:val="00E5119F"/>
    <w:rsid w:val="00E51872"/>
    <w:rsid w:val="00E51D57"/>
    <w:rsid w:val="00E520D5"/>
    <w:rsid w:val="00E529E8"/>
    <w:rsid w:val="00E52E2D"/>
    <w:rsid w:val="00E534D2"/>
    <w:rsid w:val="00E5360F"/>
    <w:rsid w:val="00E53C35"/>
    <w:rsid w:val="00E53FE0"/>
    <w:rsid w:val="00E54705"/>
    <w:rsid w:val="00E549AE"/>
    <w:rsid w:val="00E54DCF"/>
    <w:rsid w:val="00E56013"/>
    <w:rsid w:val="00E56FCA"/>
    <w:rsid w:val="00E57EA9"/>
    <w:rsid w:val="00E57F65"/>
    <w:rsid w:val="00E604F6"/>
    <w:rsid w:val="00E6085E"/>
    <w:rsid w:val="00E60C55"/>
    <w:rsid w:val="00E61B64"/>
    <w:rsid w:val="00E620A2"/>
    <w:rsid w:val="00E62244"/>
    <w:rsid w:val="00E623AE"/>
    <w:rsid w:val="00E6249D"/>
    <w:rsid w:val="00E630F3"/>
    <w:rsid w:val="00E6372D"/>
    <w:rsid w:val="00E642B9"/>
    <w:rsid w:val="00E64AA9"/>
    <w:rsid w:val="00E64F51"/>
    <w:rsid w:val="00E64F66"/>
    <w:rsid w:val="00E653D3"/>
    <w:rsid w:val="00E654E2"/>
    <w:rsid w:val="00E65ABD"/>
    <w:rsid w:val="00E65FF6"/>
    <w:rsid w:val="00E66465"/>
    <w:rsid w:val="00E66CAE"/>
    <w:rsid w:val="00E6757B"/>
    <w:rsid w:val="00E67CA6"/>
    <w:rsid w:val="00E67E99"/>
    <w:rsid w:val="00E701D5"/>
    <w:rsid w:val="00E70537"/>
    <w:rsid w:val="00E70A02"/>
    <w:rsid w:val="00E70DB3"/>
    <w:rsid w:val="00E7151E"/>
    <w:rsid w:val="00E72087"/>
    <w:rsid w:val="00E72246"/>
    <w:rsid w:val="00E722B7"/>
    <w:rsid w:val="00E72B2B"/>
    <w:rsid w:val="00E72DCF"/>
    <w:rsid w:val="00E73D32"/>
    <w:rsid w:val="00E740F8"/>
    <w:rsid w:val="00E74397"/>
    <w:rsid w:val="00E7446F"/>
    <w:rsid w:val="00E745F5"/>
    <w:rsid w:val="00E74B49"/>
    <w:rsid w:val="00E75481"/>
    <w:rsid w:val="00E76265"/>
    <w:rsid w:val="00E76BA5"/>
    <w:rsid w:val="00E76F10"/>
    <w:rsid w:val="00E773C8"/>
    <w:rsid w:val="00E773F4"/>
    <w:rsid w:val="00E77428"/>
    <w:rsid w:val="00E77B36"/>
    <w:rsid w:val="00E800A5"/>
    <w:rsid w:val="00E800C2"/>
    <w:rsid w:val="00E80305"/>
    <w:rsid w:val="00E810E8"/>
    <w:rsid w:val="00E816D4"/>
    <w:rsid w:val="00E81E9D"/>
    <w:rsid w:val="00E820CA"/>
    <w:rsid w:val="00E82A0D"/>
    <w:rsid w:val="00E82AE0"/>
    <w:rsid w:val="00E82D66"/>
    <w:rsid w:val="00E82FC2"/>
    <w:rsid w:val="00E83086"/>
    <w:rsid w:val="00E83333"/>
    <w:rsid w:val="00E8383D"/>
    <w:rsid w:val="00E83EC5"/>
    <w:rsid w:val="00E840AB"/>
    <w:rsid w:val="00E84259"/>
    <w:rsid w:val="00E84B12"/>
    <w:rsid w:val="00E84DAB"/>
    <w:rsid w:val="00E852E0"/>
    <w:rsid w:val="00E8599F"/>
    <w:rsid w:val="00E86218"/>
    <w:rsid w:val="00E86576"/>
    <w:rsid w:val="00E8663D"/>
    <w:rsid w:val="00E86ADC"/>
    <w:rsid w:val="00E871B4"/>
    <w:rsid w:val="00E8742D"/>
    <w:rsid w:val="00E90CA2"/>
    <w:rsid w:val="00E91817"/>
    <w:rsid w:val="00E923EA"/>
    <w:rsid w:val="00E92AE1"/>
    <w:rsid w:val="00E93779"/>
    <w:rsid w:val="00E93936"/>
    <w:rsid w:val="00E93B65"/>
    <w:rsid w:val="00E93D13"/>
    <w:rsid w:val="00E93D3D"/>
    <w:rsid w:val="00E93ECE"/>
    <w:rsid w:val="00E951EC"/>
    <w:rsid w:val="00E959C2"/>
    <w:rsid w:val="00E96113"/>
    <w:rsid w:val="00E968F1"/>
    <w:rsid w:val="00E96C56"/>
    <w:rsid w:val="00E96D6D"/>
    <w:rsid w:val="00E96E52"/>
    <w:rsid w:val="00E97A19"/>
    <w:rsid w:val="00EA002D"/>
    <w:rsid w:val="00EA03B6"/>
    <w:rsid w:val="00EA050E"/>
    <w:rsid w:val="00EA1D4D"/>
    <w:rsid w:val="00EA23FD"/>
    <w:rsid w:val="00EA2AD9"/>
    <w:rsid w:val="00EA3106"/>
    <w:rsid w:val="00EA3ADD"/>
    <w:rsid w:val="00EA3C4A"/>
    <w:rsid w:val="00EA416A"/>
    <w:rsid w:val="00EA5114"/>
    <w:rsid w:val="00EA5479"/>
    <w:rsid w:val="00EA5D66"/>
    <w:rsid w:val="00EA6C06"/>
    <w:rsid w:val="00EA6F43"/>
    <w:rsid w:val="00EB0039"/>
    <w:rsid w:val="00EB2B7D"/>
    <w:rsid w:val="00EB3229"/>
    <w:rsid w:val="00EB3860"/>
    <w:rsid w:val="00EB3ED7"/>
    <w:rsid w:val="00EB3FA1"/>
    <w:rsid w:val="00EB42B2"/>
    <w:rsid w:val="00EB4664"/>
    <w:rsid w:val="00EB5A27"/>
    <w:rsid w:val="00EB5EF7"/>
    <w:rsid w:val="00EB627D"/>
    <w:rsid w:val="00EB68F6"/>
    <w:rsid w:val="00EB741A"/>
    <w:rsid w:val="00EB75EC"/>
    <w:rsid w:val="00EB7B7C"/>
    <w:rsid w:val="00EB7CD8"/>
    <w:rsid w:val="00EC0E29"/>
    <w:rsid w:val="00EC1C72"/>
    <w:rsid w:val="00EC264E"/>
    <w:rsid w:val="00EC27C4"/>
    <w:rsid w:val="00EC3650"/>
    <w:rsid w:val="00EC4B70"/>
    <w:rsid w:val="00EC4BC5"/>
    <w:rsid w:val="00EC4EA0"/>
    <w:rsid w:val="00EC4F70"/>
    <w:rsid w:val="00EC649A"/>
    <w:rsid w:val="00EC672F"/>
    <w:rsid w:val="00EC67B6"/>
    <w:rsid w:val="00EC6B8A"/>
    <w:rsid w:val="00EC7B59"/>
    <w:rsid w:val="00EC7F38"/>
    <w:rsid w:val="00ED02E3"/>
    <w:rsid w:val="00ED0336"/>
    <w:rsid w:val="00ED2861"/>
    <w:rsid w:val="00ED2A00"/>
    <w:rsid w:val="00ED2C96"/>
    <w:rsid w:val="00ED3A42"/>
    <w:rsid w:val="00ED3AC6"/>
    <w:rsid w:val="00ED45B8"/>
    <w:rsid w:val="00ED490E"/>
    <w:rsid w:val="00ED5827"/>
    <w:rsid w:val="00ED5F7B"/>
    <w:rsid w:val="00ED6184"/>
    <w:rsid w:val="00ED6A9D"/>
    <w:rsid w:val="00ED6F79"/>
    <w:rsid w:val="00ED6FDD"/>
    <w:rsid w:val="00ED7359"/>
    <w:rsid w:val="00ED7742"/>
    <w:rsid w:val="00EE0399"/>
    <w:rsid w:val="00EE0E45"/>
    <w:rsid w:val="00EE145E"/>
    <w:rsid w:val="00EE1704"/>
    <w:rsid w:val="00EE25AF"/>
    <w:rsid w:val="00EE2EE9"/>
    <w:rsid w:val="00EE3325"/>
    <w:rsid w:val="00EE37FD"/>
    <w:rsid w:val="00EE3B78"/>
    <w:rsid w:val="00EE46B7"/>
    <w:rsid w:val="00EE4A98"/>
    <w:rsid w:val="00EE4FBA"/>
    <w:rsid w:val="00EE554B"/>
    <w:rsid w:val="00EE588F"/>
    <w:rsid w:val="00EE5F74"/>
    <w:rsid w:val="00EE6084"/>
    <w:rsid w:val="00EE679B"/>
    <w:rsid w:val="00EE7D42"/>
    <w:rsid w:val="00EF0175"/>
    <w:rsid w:val="00EF01A9"/>
    <w:rsid w:val="00EF1DB0"/>
    <w:rsid w:val="00EF21F0"/>
    <w:rsid w:val="00EF2299"/>
    <w:rsid w:val="00EF27C1"/>
    <w:rsid w:val="00EF4430"/>
    <w:rsid w:val="00EF4A32"/>
    <w:rsid w:val="00EF4A6E"/>
    <w:rsid w:val="00EF51C6"/>
    <w:rsid w:val="00EF5633"/>
    <w:rsid w:val="00EF5BE2"/>
    <w:rsid w:val="00EF5D6A"/>
    <w:rsid w:val="00EF6B6F"/>
    <w:rsid w:val="00EF77AD"/>
    <w:rsid w:val="00EF7CFE"/>
    <w:rsid w:val="00F007BB"/>
    <w:rsid w:val="00F01EB6"/>
    <w:rsid w:val="00F025A9"/>
    <w:rsid w:val="00F02884"/>
    <w:rsid w:val="00F02F30"/>
    <w:rsid w:val="00F034B5"/>
    <w:rsid w:val="00F039CB"/>
    <w:rsid w:val="00F03A5C"/>
    <w:rsid w:val="00F03E66"/>
    <w:rsid w:val="00F03EFD"/>
    <w:rsid w:val="00F044D0"/>
    <w:rsid w:val="00F047C6"/>
    <w:rsid w:val="00F04953"/>
    <w:rsid w:val="00F059DA"/>
    <w:rsid w:val="00F05B64"/>
    <w:rsid w:val="00F06599"/>
    <w:rsid w:val="00F06EE8"/>
    <w:rsid w:val="00F07016"/>
    <w:rsid w:val="00F078A8"/>
    <w:rsid w:val="00F101A7"/>
    <w:rsid w:val="00F104FD"/>
    <w:rsid w:val="00F10A3C"/>
    <w:rsid w:val="00F10E36"/>
    <w:rsid w:val="00F110BB"/>
    <w:rsid w:val="00F11EB0"/>
    <w:rsid w:val="00F11F73"/>
    <w:rsid w:val="00F126B0"/>
    <w:rsid w:val="00F12AAF"/>
    <w:rsid w:val="00F13E08"/>
    <w:rsid w:val="00F147BD"/>
    <w:rsid w:val="00F16512"/>
    <w:rsid w:val="00F16609"/>
    <w:rsid w:val="00F175A4"/>
    <w:rsid w:val="00F201B0"/>
    <w:rsid w:val="00F20E32"/>
    <w:rsid w:val="00F20F7F"/>
    <w:rsid w:val="00F21F62"/>
    <w:rsid w:val="00F22106"/>
    <w:rsid w:val="00F228D4"/>
    <w:rsid w:val="00F22B44"/>
    <w:rsid w:val="00F2301C"/>
    <w:rsid w:val="00F2415B"/>
    <w:rsid w:val="00F2547D"/>
    <w:rsid w:val="00F25603"/>
    <w:rsid w:val="00F258BB"/>
    <w:rsid w:val="00F25FC6"/>
    <w:rsid w:val="00F26BD4"/>
    <w:rsid w:val="00F274B3"/>
    <w:rsid w:val="00F275FA"/>
    <w:rsid w:val="00F27806"/>
    <w:rsid w:val="00F27BE9"/>
    <w:rsid w:val="00F27C37"/>
    <w:rsid w:val="00F27D1D"/>
    <w:rsid w:val="00F303B5"/>
    <w:rsid w:val="00F30A97"/>
    <w:rsid w:val="00F30E1B"/>
    <w:rsid w:val="00F30FF1"/>
    <w:rsid w:val="00F31232"/>
    <w:rsid w:val="00F31336"/>
    <w:rsid w:val="00F31577"/>
    <w:rsid w:val="00F31686"/>
    <w:rsid w:val="00F317A8"/>
    <w:rsid w:val="00F32198"/>
    <w:rsid w:val="00F3264C"/>
    <w:rsid w:val="00F33FF4"/>
    <w:rsid w:val="00F3406E"/>
    <w:rsid w:val="00F342EC"/>
    <w:rsid w:val="00F35456"/>
    <w:rsid w:val="00F35C33"/>
    <w:rsid w:val="00F36D2F"/>
    <w:rsid w:val="00F37641"/>
    <w:rsid w:val="00F40062"/>
    <w:rsid w:val="00F4033A"/>
    <w:rsid w:val="00F40C4A"/>
    <w:rsid w:val="00F40D14"/>
    <w:rsid w:val="00F40E9D"/>
    <w:rsid w:val="00F40F8E"/>
    <w:rsid w:val="00F414B9"/>
    <w:rsid w:val="00F42A32"/>
    <w:rsid w:val="00F42F4B"/>
    <w:rsid w:val="00F4305C"/>
    <w:rsid w:val="00F43519"/>
    <w:rsid w:val="00F435B1"/>
    <w:rsid w:val="00F439D4"/>
    <w:rsid w:val="00F44F7E"/>
    <w:rsid w:val="00F45B90"/>
    <w:rsid w:val="00F460BF"/>
    <w:rsid w:val="00F46592"/>
    <w:rsid w:val="00F50079"/>
    <w:rsid w:val="00F51184"/>
    <w:rsid w:val="00F516E6"/>
    <w:rsid w:val="00F518AE"/>
    <w:rsid w:val="00F523D6"/>
    <w:rsid w:val="00F52B79"/>
    <w:rsid w:val="00F52FF0"/>
    <w:rsid w:val="00F5327C"/>
    <w:rsid w:val="00F5353F"/>
    <w:rsid w:val="00F53A90"/>
    <w:rsid w:val="00F53B23"/>
    <w:rsid w:val="00F53B68"/>
    <w:rsid w:val="00F53CC7"/>
    <w:rsid w:val="00F53F8B"/>
    <w:rsid w:val="00F53FD2"/>
    <w:rsid w:val="00F545F1"/>
    <w:rsid w:val="00F546FC"/>
    <w:rsid w:val="00F549AF"/>
    <w:rsid w:val="00F54B05"/>
    <w:rsid w:val="00F54B4B"/>
    <w:rsid w:val="00F55991"/>
    <w:rsid w:val="00F55FA8"/>
    <w:rsid w:val="00F568B2"/>
    <w:rsid w:val="00F56E1E"/>
    <w:rsid w:val="00F56E58"/>
    <w:rsid w:val="00F60006"/>
    <w:rsid w:val="00F6112C"/>
    <w:rsid w:val="00F624E3"/>
    <w:rsid w:val="00F62826"/>
    <w:rsid w:val="00F630FD"/>
    <w:rsid w:val="00F631BB"/>
    <w:rsid w:val="00F634C3"/>
    <w:rsid w:val="00F643A1"/>
    <w:rsid w:val="00F6464B"/>
    <w:rsid w:val="00F649C3"/>
    <w:rsid w:val="00F65C8F"/>
    <w:rsid w:val="00F66BB5"/>
    <w:rsid w:val="00F67165"/>
    <w:rsid w:val="00F700F5"/>
    <w:rsid w:val="00F70C70"/>
    <w:rsid w:val="00F70F34"/>
    <w:rsid w:val="00F717DE"/>
    <w:rsid w:val="00F7234C"/>
    <w:rsid w:val="00F72D86"/>
    <w:rsid w:val="00F73132"/>
    <w:rsid w:val="00F73C17"/>
    <w:rsid w:val="00F73C49"/>
    <w:rsid w:val="00F73EDC"/>
    <w:rsid w:val="00F746F8"/>
    <w:rsid w:val="00F7492E"/>
    <w:rsid w:val="00F74A6F"/>
    <w:rsid w:val="00F75B1A"/>
    <w:rsid w:val="00F75FA5"/>
    <w:rsid w:val="00F76194"/>
    <w:rsid w:val="00F76550"/>
    <w:rsid w:val="00F76AF0"/>
    <w:rsid w:val="00F77043"/>
    <w:rsid w:val="00F771FF"/>
    <w:rsid w:val="00F776E2"/>
    <w:rsid w:val="00F77C2B"/>
    <w:rsid w:val="00F805EA"/>
    <w:rsid w:val="00F80D80"/>
    <w:rsid w:val="00F80E28"/>
    <w:rsid w:val="00F81909"/>
    <w:rsid w:val="00F81971"/>
    <w:rsid w:val="00F825CC"/>
    <w:rsid w:val="00F8289E"/>
    <w:rsid w:val="00F82D16"/>
    <w:rsid w:val="00F83799"/>
    <w:rsid w:val="00F8525A"/>
    <w:rsid w:val="00F852A3"/>
    <w:rsid w:val="00F85630"/>
    <w:rsid w:val="00F85683"/>
    <w:rsid w:val="00F85B3B"/>
    <w:rsid w:val="00F86220"/>
    <w:rsid w:val="00F86F50"/>
    <w:rsid w:val="00F86F7B"/>
    <w:rsid w:val="00F8759E"/>
    <w:rsid w:val="00F876B2"/>
    <w:rsid w:val="00F8793F"/>
    <w:rsid w:val="00F900A1"/>
    <w:rsid w:val="00F90252"/>
    <w:rsid w:val="00F90F6B"/>
    <w:rsid w:val="00F91667"/>
    <w:rsid w:val="00F9199D"/>
    <w:rsid w:val="00F92093"/>
    <w:rsid w:val="00F924D3"/>
    <w:rsid w:val="00F928CF"/>
    <w:rsid w:val="00F92954"/>
    <w:rsid w:val="00F9363D"/>
    <w:rsid w:val="00F93D38"/>
    <w:rsid w:val="00F94AD7"/>
    <w:rsid w:val="00F94C9B"/>
    <w:rsid w:val="00F95528"/>
    <w:rsid w:val="00F95838"/>
    <w:rsid w:val="00F96ADD"/>
    <w:rsid w:val="00F96C22"/>
    <w:rsid w:val="00F97792"/>
    <w:rsid w:val="00F979AE"/>
    <w:rsid w:val="00F97D91"/>
    <w:rsid w:val="00FA04FE"/>
    <w:rsid w:val="00FA0C99"/>
    <w:rsid w:val="00FA0CBB"/>
    <w:rsid w:val="00FA1350"/>
    <w:rsid w:val="00FA16C0"/>
    <w:rsid w:val="00FA16D2"/>
    <w:rsid w:val="00FA1F1F"/>
    <w:rsid w:val="00FA2A64"/>
    <w:rsid w:val="00FA2EA3"/>
    <w:rsid w:val="00FA3978"/>
    <w:rsid w:val="00FA5CDD"/>
    <w:rsid w:val="00FA65DE"/>
    <w:rsid w:val="00FA6DAB"/>
    <w:rsid w:val="00FA7DF1"/>
    <w:rsid w:val="00FB065E"/>
    <w:rsid w:val="00FB1363"/>
    <w:rsid w:val="00FB1399"/>
    <w:rsid w:val="00FB2375"/>
    <w:rsid w:val="00FB2B02"/>
    <w:rsid w:val="00FB2C43"/>
    <w:rsid w:val="00FB3548"/>
    <w:rsid w:val="00FB358C"/>
    <w:rsid w:val="00FB3920"/>
    <w:rsid w:val="00FB3B2F"/>
    <w:rsid w:val="00FB426B"/>
    <w:rsid w:val="00FB6B03"/>
    <w:rsid w:val="00FB6FFE"/>
    <w:rsid w:val="00FB75A8"/>
    <w:rsid w:val="00FB77B9"/>
    <w:rsid w:val="00FB7DAE"/>
    <w:rsid w:val="00FB7E25"/>
    <w:rsid w:val="00FC05B4"/>
    <w:rsid w:val="00FC0DC5"/>
    <w:rsid w:val="00FC10E5"/>
    <w:rsid w:val="00FC1355"/>
    <w:rsid w:val="00FC32B3"/>
    <w:rsid w:val="00FC3A7B"/>
    <w:rsid w:val="00FC3CA2"/>
    <w:rsid w:val="00FC448E"/>
    <w:rsid w:val="00FC474C"/>
    <w:rsid w:val="00FC4A9A"/>
    <w:rsid w:val="00FC4D33"/>
    <w:rsid w:val="00FC5703"/>
    <w:rsid w:val="00FC6054"/>
    <w:rsid w:val="00FC66D2"/>
    <w:rsid w:val="00FC6D87"/>
    <w:rsid w:val="00FC703F"/>
    <w:rsid w:val="00FC7C60"/>
    <w:rsid w:val="00FD0B5E"/>
    <w:rsid w:val="00FD114B"/>
    <w:rsid w:val="00FD18CC"/>
    <w:rsid w:val="00FD23E0"/>
    <w:rsid w:val="00FD259D"/>
    <w:rsid w:val="00FD266D"/>
    <w:rsid w:val="00FD281C"/>
    <w:rsid w:val="00FD32B5"/>
    <w:rsid w:val="00FD402B"/>
    <w:rsid w:val="00FD4321"/>
    <w:rsid w:val="00FD4D78"/>
    <w:rsid w:val="00FD4EA5"/>
    <w:rsid w:val="00FD4FB1"/>
    <w:rsid w:val="00FD58BE"/>
    <w:rsid w:val="00FD5EEA"/>
    <w:rsid w:val="00FD6143"/>
    <w:rsid w:val="00FD62E9"/>
    <w:rsid w:val="00FD666C"/>
    <w:rsid w:val="00FD6C58"/>
    <w:rsid w:val="00FD7108"/>
    <w:rsid w:val="00FD78A0"/>
    <w:rsid w:val="00FE053C"/>
    <w:rsid w:val="00FE0DC0"/>
    <w:rsid w:val="00FE17D6"/>
    <w:rsid w:val="00FE1B94"/>
    <w:rsid w:val="00FE313F"/>
    <w:rsid w:val="00FE325D"/>
    <w:rsid w:val="00FE3C06"/>
    <w:rsid w:val="00FE41CF"/>
    <w:rsid w:val="00FE4B3E"/>
    <w:rsid w:val="00FE4D0B"/>
    <w:rsid w:val="00FE5DE8"/>
    <w:rsid w:val="00FE5F49"/>
    <w:rsid w:val="00FE5FDF"/>
    <w:rsid w:val="00FE6538"/>
    <w:rsid w:val="00FE6DC1"/>
    <w:rsid w:val="00FE70B8"/>
    <w:rsid w:val="00FE71C5"/>
    <w:rsid w:val="00FF013F"/>
    <w:rsid w:val="00FF0E10"/>
    <w:rsid w:val="00FF1265"/>
    <w:rsid w:val="00FF1520"/>
    <w:rsid w:val="00FF24DD"/>
    <w:rsid w:val="00FF25B2"/>
    <w:rsid w:val="00FF27BC"/>
    <w:rsid w:val="00FF29D4"/>
    <w:rsid w:val="00FF313E"/>
    <w:rsid w:val="00FF3C9C"/>
    <w:rsid w:val="00FF41E1"/>
    <w:rsid w:val="00FF448F"/>
    <w:rsid w:val="00FF4DF7"/>
    <w:rsid w:val="00FF5446"/>
    <w:rsid w:val="00FF6713"/>
    <w:rsid w:val="00FF6D7B"/>
    <w:rsid w:val="00FF78E2"/>
  </w:rsids>
  <m:mathPr>
    <m:mathFont m:val="Cambria Math"/>
    <m:brkBin m:val="before"/>
    <m:brkBinSub m:val="--"/>
    <m:smallFrac/>
    <m:dispDef/>
    <m:lMargin m:val="0"/>
    <m:rMargin m:val="0"/>
    <m:defJc m:val="centerGroup"/>
    <m:wrapIndent m:val="1440"/>
    <m:intLim m:val="subSup"/>
    <m:naryLim m:val="undOvr"/>
  </m:mathPr>
  <w:themeFontLang w:val="en-US" w:bidi="te-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4F306A"/>
  <w15:docId w15:val="{F2D6A5A5-C860-4204-B660-FE3DFBB79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548E"/>
  </w:style>
  <w:style w:type="paragraph" w:styleId="Heading1">
    <w:name w:val="heading 1"/>
    <w:basedOn w:val="Normal"/>
    <w:link w:val="Heading1Char"/>
    <w:uiPriority w:val="9"/>
    <w:qFormat/>
    <w:rsid w:val="00B1545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610B0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610B09"/>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362D44"/>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5459"/>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610B09"/>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610B09"/>
    <w:rPr>
      <w:rFonts w:asciiTheme="majorHAnsi" w:eastAsiaTheme="majorEastAsia" w:hAnsiTheme="majorHAnsi" w:cstheme="majorBidi"/>
      <w:b/>
      <w:bCs/>
      <w:color w:val="5B9BD5" w:themeColor="accent1"/>
    </w:rPr>
  </w:style>
  <w:style w:type="paragraph" w:styleId="BalloonText">
    <w:name w:val="Balloon Text"/>
    <w:basedOn w:val="Normal"/>
    <w:link w:val="BalloonTextChar"/>
    <w:uiPriority w:val="99"/>
    <w:semiHidden/>
    <w:unhideWhenUsed/>
    <w:rsid w:val="008D7CF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7CFC"/>
    <w:rPr>
      <w:rFonts w:ascii="Segoe UI" w:hAnsi="Segoe UI" w:cs="Segoe UI"/>
      <w:sz w:val="18"/>
      <w:szCs w:val="18"/>
    </w:rPr>
  </w:style>
  <w:style w:type="character" w:styleId="CommentReference">
    <w:name w:val="annotation reference"/>
    <w:basedOn w:val="DefaultParagraphFont"/>
    <w:uiPriority w:val="99"/>
    <w:semiHidden/>
    <w:unhideWhenUsed/>
    <w:rsid w:val="004B1E14"/>
    <w:rPr>
      <w:sz w:val="16"/>
      <w:szCs w:val="16"/>
    </w:rPr>
  </w:style>
  <w:style w:type="paragraph" w:styleId="CommentText">
    <w:name w:val="annotation text"/>
    <w:basedOn w:val="Normal"/>
    <w:link w:val="CommentTextChar"/>
    <w:uiPriority w:val="99"/>
    <w:semiHidden/>
    <w:unhideWhenUsed/>
    <w:rsid w:val="004B1E14"/>
    <w:pPr>
      <w:spacing w:line="240" w:lineRule="auto"/>
    </w:pPr>
    <w:rPr>
      <w:sz w:val="20"/>
      <w:szCs w:val="20"/>
    </w:rPr>
  </w:style>
  <w:style w:type="character" w:customStyle="1" w:styleId="CommentTextChar">
    <w:name w:val="Comment Text Char"/>
    <w:basedOn w:val="DefaultParagraphFont"/>
    <w:link w:val="CommentText"/>
    <w:uiPriority w:val="99"/>
    <w:semiHidden/>
    <w:rsid w:val="004B1E14"/>
    <w:rPr>
      <w:sz w:val="20"/>
      <w:szCs w:val="20"/>
    </w:rPr>
  </w:style>
  <w:style w:type="paragraph" w:styleId="CommentSubject">
    <w:name w:val="annotation subject"/>
    <w:basedOn w:val="CommentText"/>
    <w:next w:val="CommentText"/>
    <w:link w:val="CommentSubjectChar"/>
    <w:uiPriority w:val="99"/>
    <w:semiHidden/>
    <w:unhideWhenUsed/>
    <w:rsid w:val="004B1E14"/>
    <w:rPr>
      <w:b/>
      <w:bCs/>
    </w:rPr>
  </w:style>
  <w:style w:type="character" w:customStyle="1" w:styleId="CommentSubjectChar">
    <w:name w:val="Comment Subject Char"/>
    <w:basedOn w:val="CommentTextChar"/>
    <w:link w:val="CommentSubject"/>
    <w:uiPriority w:val="99"/>
    <w:semiHidden/>
    <w:rsid w:val="004B1E14"/>
    <w:rPr>
      <w:b/>
      <w:bCs/>
      <w:sz w:val="20"/>
      <w:szCs w:val="20"/>
    </w:rPr>
  </w:style>
  <w:style w:type="paragraph" w:styleId="NormalWeb">
    <w:name w:val="Normal (Web)"/>
    <w:basedOn w:val="Normal"/>
    <w:uiPriority w:val="99"/>
    <w:unhideWhenUsed/>
    <w:rsid w:val="006A50F4"/>
    <w:pPr>
      <w:spacing w:before="100" w:beforeAutospacing="1" w:after="100" w:afterAutospacing="1" w:line="240" w:lineRule="auto"/>
    </w:pPr>
    <w:rPr>
      <w:rFonts w:ascii="Times New Roman" w:eastAsiaTheme="minorEastAsia" w:hAnsi="Times New Roman" w:cs="Times New Roman"/>
      <w:sz w:val="24"/>
      <w:szCs w:val="24"/>
    </w:rPr>
  </w:style>
  <w:style w:type="paragraph" w:styleId="ListParagraph">
    <w:name w:val="List Paragraph"/>
    <w:basedOn w:val="Normal"/>
    <w:uiPriority w:val="34"/>
    <w:qFormat/>
    <w:rsid w:val="00304251"/>
    <w:pPr>
      <w:ind w:left="720"/>
      <w:contextualSpacing/>
    </w:pPr>
  </w:style>
  <w:style w:type="character" w:styleId="Hyperlink">
    <w:name w:val="Hyperlink"/>
    <w:basedOn w:val="DefaultParagraphFont"/>
    <w:uiPriority w:val="99"/>
    <w:unhideWhenUsed/>
    <w:qFormat/>
    <w:rsid w:val="00B15459"/>
    <w:rPr>
      <w:color w:val="0000FF"/>
      <w:u w:val="single"/>
    </w:rPr>
  </w:style>
  <w:style w:type="character" w:customStyle="1" w:styleId="apple-converted-space">
    <w:name w:val="apple-converted-space"/>
    <w:basedOn w:val="DefaultParagraphFont"/>
    <w:rsid w:val="00B15459"/>
  </w:style>
  <w:style w:type="paragraph" w:customStyle="1" w:styleId="Default">
    <w:name w:val="Default"/>
    <w:rsid w:val="00880ED3"/>
    <w:pPr>
      <w:autoSpaceDE w:val="0"/>
      <w:autoSpaceDN w:val="0"/>
      <w:adjustRightInd w:val="0"/>
      <w:spacing w:after="0" w:line="240" w:lineRule="auto"/>
    </w:pPr>
    <w:rPr>
      <w:rFonts w:ascii="Arial" w:hAnsi="Arial" w:cs="Arial"/>
      <w:color w:val="000000"/>
      <w:sz w:val="24"/>
      <w:szCs w:val="24"/>
    </w:rPr>
  </w:style>
  <w:style w:type="character" w:customStyle="1" w:styleId="A5">
    <w:name w:val="A5"/>
    <w:uiPriority w:val="99"/>
    <w:rsid w:val="00880ED3"/>
    <w:rPr>
      <w:color w:val="000000"/>
      <w:sz w:val="14"/>
      <w:szCs w:val="14"/>
    </w:rPr>
  </w:style>
  <w:style w:type="paragraph" w:styleId="Header">
    <w:name w:val="header"/>
    <w:basedOn w:val="Normal"/>
    <w:link w:val="HeaderChar"/>
    <w:uiPriority w:val="99"/>
    <w:unhideWhenUsed/>
    <w:rsid w:val="00A62E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2EFF"/>
  </w:style>
  <w:style w:type="paragraph" w:styleId="Footer">
    <w:name w:val="footer"/>
    <w:basedOn w:val="Normal"/>
    <w:link w:val="FooterChar"/>
    <w:uiPriority w:val="99"/>
    <w:unhideWhenUsed/>
    <w:rsid w:val="00A62E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2EFF"/>
  </w:style>
  <w:style w:type="table" w:styleId="TableGrid">
    <w:name w:val="Table Grid"/>
    <w:basedOn w:val="TableNormal"/>
    <w:uiPriority w:val="39"/>
    <w:rsid w:val="00601B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1">
    <w:name w:val="A1"/>
    <w:uiPriority w:val="99"/>
    <w:rsid w:val="009C7546"/>
    <w:rPr>
      <w:rFonts w:cs="Minion Pro"/>
      <w:color w:val="000000"/>
      <w:sz w:val="18"/>
      <w:szCs w:val="18"/>
    </w:rPr>
  </w:style>
  <w:style w:type="paragraph" w:styleId="NoSpacing">
    <w:name w:val="No Spacing"/>
    <w:uiPriority w:val="1"/>
    <w:qFormat/>
    <w:rsid w:val="006A519B"/>
    <w:pPr>
      <w:spacing w:after="0" w:line="240" w:lineRule="auto"/>
    </w:pPr>
  </w:style>
  <w:style w:type="character" w:customStyle="1" w:styleId="ref-journal">
    <w:name w:val="ref-journal"/>
    <w:basedOn w:val="DefaultParagraphFont"/>
    <w:rsid w:val="003D268D"/>
  </w:style>
  <w:style w:type="character" w:customStyle="1" w:styleId="mixed-citation">
    <w:name w:val="mixed-citation"/>
    <w:basedOn w:val="DefaultParagraphFont"/>
    <w:rsid w:val="003D268D"/>
  </w:style>
  <w:style w:type="character" w:customStyle="1" w:styleId="ref-vol">
    <w:name w:val="ref-vol"/>
    <w:basedOn w:val="DefaultParagraphFont"/>
    <w:rsid w:val="003D268D"/>
  </w:style>
  <w:style w:type="character" w:customStyle="1" w:styleId="nowrap">
    <w:name w:val="nowrap"/>
    <w:basedOn w:val="DefaultParagraphFont"/>
    <w:rsid w:val="003D268D"/>
  </w:style>
  <w:style w:type="character" w:customStyle="1" w:styleId="ecxapple-converted-space">
    <w:name w:val="ecxapple-converted-space"/>
    <w:basedOn w:val="DefaultParagraphFont"/>
    <w:rsid w:val="00E15387"/>
  </w:style>
  <w:style w:type="character" w:styleId="Emphasis">
    <w:name w:val="Emphasis"/>
    <w:basedOn w:val="DefaultParagraphFont"/>
    <w:uiPriority w:val="20"/>
    <w:qFormat/>
    <w:rsid w:val="007B52B7"/>
    <w:rPr>
      <w:i/>
      <w:iCs/>
    </w:rPr>
  </w:style>
  <w:style w:type="paragraph" w:styleId="HTMLPreformatted">
    <w:name w:val="HTML Preformatted"/>
    <w:basedOn w:val="Normal"/>
    <w:link w:val="HTMLPreformattedChar"/>
    <w:uiPriority w:val="99"/>
    <w:unhideWhenUsed/>
    <w:rsid w:val="007B52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tr-TR" w:eastAsia="tr-TR"/>
    </w:rPr>
  </w:style>
  <w:style w:type="character" w:customStyle="1" w:styleId="HTMLPreformattedChar">
    <w:name w:val="HTML Preformatted Char"/>
    <w:basedOn w:val="DefaultParagraphFont"/>
    <w:link w:val="HTMLPreformatted"/>
    <w:uiPriority w:val="99"/>
    <w:rsid w:val="007B52B7"/>
    <w:rPr>
      <w:rFonts w:ascii="Courier New" w:eastAsia="Times New Roman" w:hAnsi="Courier New" w:cs="Courier New"/>
      <w:sz w:val="20"/>
      <w:szCs w:val="20"/>
      <w:lang w:val="tr-TR" w:eastAsia="tr-TR"/>
    </w:rPr>
  </w:style>
  <w:style w:type="character" w:customStyle="1" w:styleId="highlight">
    <w:name w:val="highlight"/>
    <w:basedOn w:val="DefaultParagraphFont"/>
    <w:rsid w:val="007B52B7"/>
  </w:style>
  <w:style w:type="table" w:customStyle="1" w:styleId="AkGlgeleme1">
    <w:name w:val="Açık Gölgeleme1"/>
    <w:basedOn w:val="TableNormal"/>
    <w:uiPriority w:val="60"/>
    <w:rsid w:val="00DA588C"/>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Normal0">
    <w:name w:val="[Normal]"/>
    <w:rsid w:val="00FD7108"/>
    <w:pPr>
      <w:widowControl w:val="0"/>
      <w:autoSpaceDE w:val="0"/>
      <w:autoSpaceDN w:val="0"/>
      <w:adjustRightInd w:val="0"/>
      <w:spacing w:after="0" w:line="240" w:lineRule="auto"/>
    </w:pPr>
    <w:rPr>
      <w:rFonts w:ascii="Arial" w:hAnsi="Arial" w:cs="Arial"/>
      <w:sz w:val="24"/>
      <w:szCs w:val="24"/>
    </w:rPr>
  </w:style>
  <w:style w:type="paragraph" w:customStyle="1" w:styleId="TableParagraph">
    <w:name w:val="Table Paragraph"/>
    <w:basedOn w:val="Normal"/>
    <w:uiPriority w:val="1"/>
    <w:qFormat/>
    <w:rsid w:val="002B4E76"/>
    <w:pPr>
      <w:widowControl w:val="0"/>
      <w:spacing w:after="0" w:line="240" w:lineRule="auto"/>
    </w:pPr>
  </w:style>
  <w:style w:type="paragraph" w:styleId="BodyText">
    <w:name w:val="Body Text"/>
    <w:basedOn w:val="Normal"/>
    <w:link w:val="BodyTextChar"/>
    <w:uiPriority w:val="1"/>
    <w:qFormat/>
    <w:rsid w:val="00BA1BF4"/>
    <w:pPr>
      <w:widowControl w:val="0"/>
      <w:spacing w:after="0" w:line="240" w:lineRule="auto"/>
      <w:ind w:left="140"/>
    </w:pPr>
    <w:rPr>
      <w:rFonts w:ascii="Times New Roman" w:eastAsia="Times New Roman" w:hAnsi="Times New Roman"/>
      <w:sz w:val="24"/>
      <w:szCs w:val="24"/>
    </w:rPr>
  </w:style>
  <w:style w:type="character" w:customStyle="1" w:styleId="BodyTextChar">
    <w:name w:val="Body Text Char"/>
    <w:basedOn w:val="DefaultParagraphFont"/>
    <w:link w:val="BodyText"/>
    <w:uiPriority w:val="1"/>
    <w:rsid w:val="00BA1BF4"/>
    <w:rPr>
      <w:rFonts w:ascii="Times New Roman" w:eastAsia="Times New Roman" w:hAnsi="Times New Roman"/>
      <w:sz w:val="24"/>
      <w:szCs w:val="24"/>
    </w:rPr>
  </w:style>
  <w:style w:type="paragraph" w:customStyle="1" w:styleId="p">
    <w:name w:val="p"/>
    <w:basedOn w:val="Normal"/>
    <w:rsid w:val="00471280"/>
    <w:pPr>
      <w:spacing w:before="100" w:beforeAutospacing="1" w:after="100" w:afterAutospacing="1" w:line="240" w:lineRule="auto"/>
    </w:pPr>
    <w:rPr>
      <w:rFonts w:ascii="Times New Roman" w:eastAsia="Times New Roman" w:hAnsi="Times New Roman" w:cs="Times New Roman"/>
      <w:sz w:val="24"/>
      <w:szCs w:val="24"/>
      <w:lang w:val="fr-CA" w:eastAsia="fr-CA"/>
    </w:rPr>
  </w:style>
  <w:style w:type="character" w:styleId="HTMLCite">
    <w:name w:val="HTML Cite"/>
    <w:basedOn w:val="DefaultParagraphFont"/>
    <w:uiPriority w:val="99"/>
    <w:semiHidden/>
    <w:unhideWhenUsed/>
    <w:rsid w:val="00AF23ED"/>
    <w:rPr>
      <w:i/>
      <w:iCs/>
    </w:rPr>
  </w:style>
  <w:style w:type="character" w:customStyle="1" w:styleId="jrnl">
    <w:name w:val="jrnl"/>
    <w:basedOn w:val="DefaultParagraphFont"/>
    <w:qFormat/>
    <w:rsid w:val="00AF23ED"/>
  </w:style>
  <w:style w:type="character" w:customStyle="1" w:styleId="name">
    <w:name w:val="name"/>
    <w:basedOn w:val="DefaultParagraphFont"/>
    <w:rsid w:val="00AF23ED"/>
  </w:style>
  <w:style w:type="character" w:customStyle="1" w:styleId="nlmarticle-title">
    <w:name w:val="nlm_article-title"/>
    <w:basedOn w:val="DefaultParagraphFont"/>
    <w:rsid w:val="00AF23ED"/>
  </w:style>
  <w:style w:type="character" w:customStyle="1" w:styleId="citationsource-journal">
    <w:name w:val="citation_source-journal"/>
    <w:basedOn w:val="DefaultParagraphFont"/>
    <w:rsid w:val="00AF23ED"/>
  </w:style>
  <w:style w:type="character" w:customStyle="1" w:styleId="nlmfpage">
    <w:name w:val="nlm_fpage"/>
    <w:basedOn w:val="DefaultParagraphFont"/>
    <w:rsid w:val="00AF23ED"/>
  </w:style>
  <w:style w:type="character" w:customStyle="1" w:styleId="nlmlpage">
    <w:name w:val="nlm_lpage"/>
    <w:basedOn w:val="DefaultParagraphFont"/>
    <w:rsid w:val="00AF23ED"/>
  </w:style>
  <w:style w:type="character" w:styleId="Strong">
    <w:name w:val="Strong"/>
    <w:basedOn w:val="DefaultParagraphFont"/>
    <w:uiPriority w:val="22"/>
    <w:qFormat/>
    <w:rsid w:val="00535C3A"/>
    <w:rPr>
      <w:b/>
      <w:bCs/>
    </w:rPr>
  </w:style>
  <w:style w:type="paragraph" w:customStyle="1" w:styleId="bulletindent1">
    <w:name w:val="bulletindent1"/>
    <w:basedOn w:val="Normal"/>
    <w:rsid w:val="00535C3A"/>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glyph">
    <w:name w:val="glyph"/>
    <w:basedOn w:val="DefaultParagraphFont"/>
    <w:rsid w:val="00535C3A"/>
  </w:style>
  <w:style w:type="paragraph" w:customStyle="1" w:styleId="bulletindent2">
    <w:name w:val="bulletindent2"/>
    <w:basedOn w:val="Normal"/>
    <w:rsid w:val="00535C3A"/>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citation">
    <w:name w:val="citation"/>
    <w:basedOn w:val="DefaultParagraphFont"/>
    <w:rsid w:val="00535C3A"/>
  </w:style>
  <w:style w:type="character" w:customStyle="1" w:styleId="doi">
    <w:name w:val="doi"/>
    <w:basedOn w:val="DefaultParagraphFont"/>
    <w:rsid w:val="00535C3A"/>
  </w:style>
  <w:style w:type="character" w:customStyle="1" w:styleId="A3">
    <w:name w:val="A3"/>
    <w:uiPriority w:val="99"/>
    <w:rsid w:val="00156405"/>
    <w:rPr>
      <w:rFonts w:cs="Cambria"/>
      <w:color w:val="000000"/>
      <w:sz w:val="18"/>
      <w:szCs w:val="18"/>
    </w:rPr>
  </w:style>
  <w:style w:type="table" w:customStyle="1" w:styleId="TableGrid4">
    <w:name w:val="Table Grid4"/>
    <w:basedOn w:val="TableNormal"/>
    <w:next w:val="TableGrid"/>
    <w:uiPriority w:val="39"/>
    <w:rsid w:val="006A1A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ed">
    <w:name w:val="highlighted"/>
    <w:basedOn w:val="DefaultParagraphFont"/>
    <w:rsid w:val="00937A61"/>
  </w:style>
  <w:style w:type="character" w:customStyle="1" w:styleId="element-citation">
    <w:name w:val="element-citation"/>
    <w:basedOn w:val="DefaultParagraphFont"/>
    <w:rsid w:val="00637583"/>
  </w:style>
  <w:style w:type="character" w:customStyle="1" w:styleId="FontStyle45">
    <w:name w:val="Font Style45"/>
    <w:uiPriority w:val="99"/>
    <w:rsid w:val="00A430F8"/>
    <w:rPr>
      <w:rFonts w:ascii="Franklin Gothic Medium" w:hAnsi="Franklin Gothic Medium" w:cs="Franklin Gothic Medium"/>
      <w:color w:val="000000"/>
      <w:sz w:val="16"/>
      <w:szCs w:val="16"/>
    </w:rPr>
  </w:style>
  <w:style w:type="character" w:customStyle="1" w:styleId="FontStyle60">
    <w:name w:val="Font Style60"/>
    <w:uiPriority w:val="99"/>
    <w:rsid w:val="00A430F8"/>
    <w:rPr>
      <w:rFonts w:ascii="Times New Roman" w:hAnsi="Times New Roman" w:cs="Times New Roman"/>
      <w:color w:val="000000"/>
      <w:sz w:val="18"/>
      <w:szCs w:val="18"/>
    </w:rPr>
  </w:style>
  <w:style w:type="character" w:customStyle="1" w:styleId="FontStyle56">
    <w:name w:val="Font Style56"/>
    <w:uiPriority w:val="99"/>
    <w:rsid w:val="00A430F8"/>
    <w:rPr>
      <w:rFonts w:ascii="Times New Roman" w:hAnsi="Times New Roman" w:cs="Times New Roman"/>
      <w:b/>
      <w:bCs/>
      <w:color w:val="000000"/>
      <w:sz w:val="18"/>
      <w:szCs w:val="18"/>
    </w:rPr>
  </w:style>
  <w:style w:type="character" w:customStyle="1" w:styleId="FontStyle49">
    <w:name w:val="Font Style49"/>
    <w:uiPriority w:val="99"/>
    <w:rsid w:val="00A430F8"/>
    <w:rPr>
      <w:rFonts w:ascii="Times New Roman" w:hAnsi="Times New Roman" w:cs="Times New Roman"/>
      <w:i/>
      <w:iCs/>
      <w:color w:val="000000"/>
      <w:sz w:val="20"/>
      <w:szCs w:val="20"/>
    </w:rPr>
  </w:style>
  <w:style w:type="character" w:customStyle="1" w:styleId="rpc411">
    <w:name w:val="_rpc_411"/>
    <w:basedOn w:val="DefaultParagraphFont"/>
    <w:rsid w:val="00560235"/>
  </w:style>
  <w:style w:type="paragraph" w:customStyle="1" w:styleId="Title1">
    <w:name w:val="Title1"/>
    <w:basedOn w:val="Normal"/>
    <w:rsid w:val="008B7DD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tails">
    <w:name w:val="details"/>
    <w:basedOn w:val="Normal"/>
    <w:rsid w:val="008B7DD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body1">
    <w:name w:val="text_body1"/>
    <w:basedOn w:val="DefaultParagraphFont"/>
    <w:rsid w:val="008B7DD5"/>
    <w:rPr>
      <w:rFonts w:ascii="Verdana" w:hAnsi="Verdana" w:hint="default"/>
      <w:strike w:val="0"/>
      <w:dstrike w:val="0"/>
      <w:color w:val="000000"/>
      <w:sz w:val="17"/>
      <w:szCs w:val="17"/>
      <w:u w:val="none"/>
      <w:effect w:val="none"/>
    </w:rPr>
  </w:style>
  <w:style w:type="character" w:customStyle="1" w:styleId="authornames">
    <w:name w:val="authornames"/>
    <w:basedOn w:val="DefaultParagraphFont"/>
    <w:rsid w:val="008B7DD5"/>
  </w:style>
  <w:style w:type="character" w:customStyle="1" w:styleId="footer1">
    <w:name w:val="footer1"/>
    <w:basedOn w:val="DefaultParagraphFont"/>
    <w:rsid w:val="008B7DD5"/>
    <w:rPr>
      <w:rFonts w:ascii="Verdana" w:hAnsi="Verdana" w:hint="default"/>
      <w:b w:val="0"/>
      <w:bCs w:val="0"/>
      <w:strike w:val="0"/>
      <w:dstrike w:val="0"/>
      <w:color w:val="0000CC"/>
      <w:sz w:val="14"/>
      <w:szCs w:val="14"/>
      <w:u w:val="none"/>
      <w:effect w:val="none"/>
    </w:rPr>
  </w:style>
  <w:style w:type="character" w:customStyle="1" w:styleId="a">
    <w:name w:val="a"/>
    <w:basedOn w:val="DefaultParagraphFont"/>
    <w:rsid w:val="00411589"/>
  </w:style>
  <w:style w:type="table" w:customStyle="1" w:styleId="TableGrid0">
    <w:name w:val="TableGrid"/>
    <w:rsid w:val="00411589"/>
    <w:pPr>
      <w:spacing w:after="0" w:line="240" w:lineRule="auto"/>
    </w:pPr>
    <w:rPr>
      <w:rFonts w:eastAsiaTheme="minorEastAsia"/>
    </w:rPr>
    <w:tblPr>
      <w:tblCellMar>
        <w:top w:w="0" w:type="dxa"/>
        <w:left w:w="0" w:type="dxa"/>
        <w:bottom w:w="0" w:type="dxa"/>
        <w:right w:w="0" w:type="dxa"/>
      </w:tblCellMar>
    </w:tblPr>
  </w:style>
  <w:style w:type="table" w:customStyle="1" w:styleId="GridTable1Light-Accent51">
    <w:name w:val="Grid Table 1 Light - Accent 51"/>
    <w:basedOn w:val="TableNormal"/>
    <w:uiPriority w:val="46"/>
    <w:rsid w:val="00173199"/>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next w:val="TableNormal"/>
    <w:uiPriority w:val="46"/>
    <w:rsid w:val="001D1869"/>
    <w:pPr>
      <w:spacing w:after="0" w:line="240" w:lineRule="auto"/>
    </w:pPr>
    <w:rPr>
      <w:rFonts w:ascii="Calibri" w:eastAsia="Calibri" w:hAnsi="Calibri" w:cs="Times New Roman"/>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paragraph" w:styleId="Caption">
    <w:name w:val="caption"/>
    <w:basedOn w:val="Normal"/>
    <w:next w:val="Normal"/>
    <w:uiPriority w:val="35"/>
    <w:unhideWhenUsed/>
    <w:qFormat/>
    <w:rsid w:val="00615722"/>
    <w:pPr>
      <w:bidi/>
      <w:spacing w:after="200" w:line="240" w:lineRule="auto"/>
    </w:pPr>
    <w:rPr>
      <w:b/>
      <w:bCs/>
      <w:color w:val="5B9BD5" w:themeColor="accent1"/>
      <w:sz w:val="18"/>
      <w:szCs w:val="18"/>
    </w:rPr>
  </w:style>
  <w:style w:type="character" w:customStyle="1" w:styleId="mw-headline">
    <w:name w:val="mw-headline"/>
    <w:basedOn w:val="DefaultParagraphFont"/>
    <w:rsid w:val="00615722"/>
  </w:style>
  <w:style w:type="paragraph" w:customStyle="1" w:styleId="Pa9">
    <w:name w:val="Pa9"/>
    <w:basedOn w:val="Default"/>
    <w:next w:val="Default"/>
    <w:uiPriority w:val="99"/>
    <w:rsid w:val="00615722"/>
    <w:pPr>
      <w:spacing w:line="181" w:lineRule="atLeast"/>
    </w:pPr>
    <w:rPr>
      <w:rFonts w:ascii="Times" w:hAnsi="Times" w:cstheme="minorBidi"/>
      <w:color w:val="auto"/>
    </w:rPr>
  </w:style>
  <w:style w:type="character" w:customStyle="1" w:styleId="A4">
    <w:name w:val="A4"/>
    <w:uiPriority w:val="99"/>
    <w:rsid w:val="00615722"/>
    <w:rPr>
      <w:rFonts w:cs="Times"/>
      <w:color w:val="000000"/>
      <w:sz w:val="10"/>
      <w:szCs w:val="10"/>
    </w:rPr>
  </w:style>
  <w:style w:type="character" w:customStyle="1" w:styleId="refpreview">
    <w:name w:val="refpreview"/>
    <w:basedOn w:val="DefaultParagraphFont"/>
    <w:rsid w:val="00615722"/>
  </w:style>
  <w:style w:type="paragraph" w:styleId="IntenseQuote">
    <w:name w:val="Intense Quote"/>
    <w:basedOn w:val="Normal"/>
    <w:next w:val="Normal"/>
    <w:link w:val="IntenseQuoteChar"/>
    <w:uiPriority w:val="30"/>
    <w:qFormat/>
    <w:rsid w:val="00615722"/>
    <w:pPr>
      <w:pBdr>
        <w:bottom w:val="single" w:sz="4" w:space="4" w:color="5B9BD5" w:themeColor="accent1"/>
      </w:pBdr>
      <w:bidi/>
      <w:spacing w:before="200" w:after="280" w:line="0" w:lineRule="atLeast"/>
      <w:ind w:left="936" w:right="936"/>
    </w:pPr>
    <w:rPr>
      <w:b/>
      <w:bCs/>
      <w:i/>
      <w:iCs/>
      <w:color w:val="5B9BD5" w:themeColor="accent1"/>
    </w:rPr>
  </w:style>
  <w:style w:type="character" w:customStyle="1" w:styleId="IntenseQuoteChar">
    <w:name w:val="Intense Quote Char"/>
    <w:basedOn w:val="DefaultParagraphFont"/>
    <w:link w:val="IntenseQuote"/>
    <w:uiPriority w:val="30"/>
    <w:rsid w:val="00615722"/>
    <w:rPr>
      <w:b/>
      <w:bCs/>
      <w:i/>
      <w:iCs/>
      <w:color w:val="5B9BD5" w:themeColor="accent1"/>
    </w:rPr>
  </w:style>
  <w:style w:type="character" w:customStyle="1" w:styleId="citationyear1">
    <w:name w:val="citation_year1"/>
    <w:basedOn w:val="DefaultParagraphFont"/>
    <w:rsid w:val="00615722"/>
    <w:rPr>
      <w:b/>
      <w:bCs/>
    </w:rPr>
  </w:style>
  <w:style w:type="character" w:customStyle="1" w:styleId="citationvolume1">
    <w:name w:val="citation_volume1"/>
    <w:basedOn w:val="DefaultParagraphFont"/>
    <w:rsid w:val="00615722"/>
    <w:rPr>
      <w:i/>
      <w:iCs/>
    </w:rPr>
  </w:style>
  <w:style w:type="character" w:styleId="FollowedHyperlink">
    <w:name w:val="FollowedHyperlink"/>
    <w:basedOn w:val="DefaultParagraphFont"/>
    <w:uiPriority w:val="99"/>
    <w:semiHidden/>
    <w:unhideWhenUsed/>
    <w:rsid w:val="00615722"/>
    <w:rPr>
      <w:color w:val="954F72" w:themeColor="followedHyperlink"/>
      <w:u w:val="single"/>
    </w:rPr>
  </w:style>
  <w:style w:type="character" w:customStyle="1" w:styleId="shorttext">
    <w:name w:val="short_text"/>
    <w:basedOn w:val="DefaultParagraphFont"/>
    <w:rsid w:val="003C6205"/>
  </w:style>
  <w:style w:type="character" w:customStyle="1" w:styleId="st1">
    <w:name w:val="st1"/>
    <w:basedOn w:val="DefaultParagraphFont"/>
    <w:rsid w:val="003C6205"/>
  </w:style>
  <w:style w:type="paragraph" w:customStyle="1" w:styleId="EndNoteBibliographyTitle">
    <w:name w:val="EndNote Bibliography Title"/>
    <w:basedOn w:val="Normal"/>
    <w:link w:val="EndNoteBibliographyTitleChar"/>
    <w:rsid w:val="00D56CE3"/>
    <w:pPr>
      <w:spacing w:after="0" w:line="276" w:lineRule="auto"/>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D56CE3"/>
    <w:rPr>
      <w:rFonts w:ascii="Calibri" w:hAnsi="Calibri" w:cs="Calibri"/>
      <w:noProof/>
    </w:rPr>
  </w:style>
  <w:style w:type="paragraph" w:customStyle="1" w:styleId="EndNoteBibliography">
    <w:name w:val="EndNote Bibliography"/>
    <w:basedOn w:val="Normal"/>
    <w:link w:val="EndNoteBibliographyChar"/>
    <w:rsid w:val="00D56CE3"/>
    <w:pPr>
      <w:spacing w:after="200"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D56CE3"/>
    <w:rPr>
      <w:rFonts w:ascii="Calibri" w:hAnsi="Calibri" w:cs="Calibri"/>
      <w:noProof/>
    </w:rPr>
  </w:style>
  <w:style w:type="paragraph" w:customStyle="1" w:styleId="1">
    <w:name w:val="標準1"/>
    <w:rsid w:val="003C03D7"/>
    <w:pPr>
      <w:spacing w:after="0" w:line="276" w:lineRule="auto"/>
      <w:contextualSpacing/>
    </w:pPr>
    <w:rPr>
      <w:rFonts w:ascii="Arial" w:eastAsiaTheme="minorEastAsia" w:hAnsi="Arial" w:cs="Arial"/>
    </w:rPr>
  </w:style>
  <w:style w:type="character" w:customStyle="1" w:styleId="gd">
    <w:name w:val="gd"/>
    <w:basedOn w:val="DefaultParagraphFont"/>
    <w:rsid w:val="001D09FC"/>
  </w:style>
  <w:style w:type="paragraph" w:customStyle="1" w:styleId="Corps">
    <w:name w:val="Corps"/>
    <w:rsid w:val="00A62581"/>
    <w:pPr>
      <w:pBdr>
        <w:top w:val="nil"/>
        <w:left w:val="nil"/>
        <w:bottom w:val="nil"/>
        <w:right w:val="nil"/>
        <w:between w:val="nil"/>
        <w:bar w:val="nil"/>
      </w:pBdr>
    </w:pPr>
    <w:rPr>
      <w:rFonts w:ascii="Calibri" w:eastAsia="Calibri" w:hAnsi="Calibri" w:cs="Calibri"/>
      <w:color w:val="000000"/>
      <w:u w:color="000000"/>
      <w:bdr w:val="nil"/>
      <w:lang w:eastAsia="fr-FR"/>
    </w:rPr>
  </w:style>
  <w:style w:type="character" w:customStyle="1" w:styleId="Hyperlink0">
    <w:name w:val="Hyperlink.0"/>
    <w:basedOn w:val="DefaultParagraphFont"/>
    <w:rsid w:val="00A62581"/>
    <w:rPr>
      <w:rFonts w:ascii="Times New Roman" w:eastAsia="Times New Roman" w:hAnsi="Times New Roman" w:cs="Times New Roman"/>
      <w:color w:val="000000"/>
      <w:sz w:val="24"/>
      <w:szCs w:val="24"/>
      <w:u w:val="none" w:color="000000"/>
    </w:rPr>
  </w:style>
  <w:style w:type="paragraph" w:customStyle="1" w:styleId="MDPI12title">
    <w:name w:val="MDPI_1.2_title"/>
    <w:next w:val="Normal"/>
    <w:qFormat/>
    <w:rsid w:val="00E01F18"/>
    <w:pPr>
      <w:adjustRightInd w:val="0"/>
      <w:snapToGrid w:val="0"/>
      <w:spacing w:after="240" w:line="400" w:lineRule="exact"/>
    </w:pPr>
    <w:rPr>
      <w:rFonts w:ascii="Palatino Linotype" w:eastAsia="Times New Roman" w:hAnsi="Palatino Linotype" w:cs="Times New Roman"/>
      <w:b/>
      <w:snapToGrid w:val="0"/>
      <w:color w:val="000000"/>
      <w:sz w:val="36"/>
      <w:szCs w:val="20"/>
      <w:lang w:eastAsia="de-DE" w:bidi="en-US"/>
    </w:rPr>
  </w:style>
  <w:style w:type="paragraph" w:customStyle="1" w:styleId="MDPI16affiliation">
    <w:name w:val="MDPI_1.6_affiliation"/>
    <w:basedOn w:val="Normal"/>
    <w:qFormat/>
    <w:rsid w:val="00E01F18"/>
    <w:pPr>
      <w:adjustRightInd w:val="0"/>
      <w:snapToGrid w:val="0"/>
      <w:spacing w:after="0" w:line="200" w:lineRule="atLeast"/>
      <w:ind w:left="311" w:hanging="198"/>
    </w:pPr>
    <w:rPr>
      <w:rFonts w:ascii="Palatino Linotype" w:eastAsia="Times New Roman" w:hAnsi="Palatino Linotype" w:cs="Times New Roman"/>
      <w:color w:val="000000"/>
      <w:sz w:val="18"/>
      <w:szCs w:val="18"/>
      <w:lang w:eastAsia="de-DE" w:bidi="en-US"/>
    </w:rPr>
  </w:style>
  <w:style w:type="paragraph" w:customStyle="1" w:styleId="MDPI17abstract">
    <w:name w:val="MDPI_1.7_abstract"/>
    <w:basedOn w:val="Normal"/>
    <w:next w:val="Normal"/>
    <w:qFormat/>
    <w:rsid w:val="00CF7F4B"/>
    <w:pPr>
      <w:adjustRightInd w:val="0"/>
      <w:snapToGrid w:val="0"/>
      <w:spacing w:before="240" w:after="0" w:line="260" w:lineRule="atLeast"/>
      <w:ind w:left="113"/>
      <w:jc w:val="both"/>
    </w:pPr>
    <w:rPr>
      <w:rFonts w:ascii="Palatino Linotype" w:eastAsia="Times New Roman" w:hAnsi="Palatino Linotype" w:cs="Times New Roman"/>
      <w:color w:val="000000"/>
      <w:sz w:val="20"/>
      <w:lang w:eastAsia="de-DE" w:bidi="en-US"/>
    </w:rPr>
  </w:style>
  <w:style w:type="paragraph" w:customStyle="1" w:styleId="MDPI18keywords">
    <w:name w:val="MDPI_1.8_keywords"/>
    <w:basedOn w:val="Normal"/>
    <w:next w:val="Normal"/>
    <w:qFormat/>
    <w:rsid w:val="00CF7F4B"/>
    <w:pPr>
      <w:adjustRightInd w:val="0"/>
      <w:snapToGrid w:val="0"/>
      <w:spacing w:before="240" w:after="0" w:line="260" w:lineRule="atLeast"/>
      <w:ind w:left="113"/>
      <w:jc w:val="both"/>
    </w:pPr>
    <w:rPr>
      <w:rFonts w:ascii="Palatino Linotype" w:eastAsia="Times New Roman" w:hAnsi="Palatino Linotype" w:cs="Times New Roman"/>
      <w:snapToGrid w:val="0"/>
      <w:color w:val="000000"/>
      <w:sz w:val="20"/>
      <w:lang w:eastAsia="de-DE" w:bidi="en-US"/>
    </w:rPr>
  </w:style>
  <w:style w:type="paragraph" w:customStyle="1" w:styleId="MDPI31text">
    <w:name w:val="MDPI_3.1_text"/>
    <w:qFormat/>
    <w:rsid w:val="00907BA8"/>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eastAsia="de-DE" w:bidi="en-US"/>
    </w:rPr>
  </w:style>
  <w:style w:type="paragraph" w:customStyle="1" w:styleId="MDPI21heading1">
    <w:name w:val="MDPI_2.1_heading1"/>
    <w:basedOn w:val="Normal"/>
    <w:qFormat/>
    <w:rsid w:val="00907BA8"/>
    <w:pPr>
      <w:adjustRightInd w:val="0"/>
      <w:snapToGrid w:val="0"/>
      <w:spacing w:before="240" w:after="120" w:line="260" w:lineRule="atLeast"/>
      <w:outlineLvl w:val="0"/>
    </w:pPr>
    <w:rPr>
      <w:rFonts w:ascii="Palatino Linotype" w:eastAsia="Times New Roman" w:hAnsi="Palatino Linotype" w:cs="Times New Roman"/>
      <w:b/>
      <w:snapToGrid w:val="0"/>
      <w:color w:val="000000"/>
      <w:sz w:val="20"/>
      <w:lang w:eastAsia="de-DE" w:bidi="en-US"/>
    </w:rPr>
  </w:style>
  <w:style w:type="paragraph" w:customStyle="1" w:styleId="MDPI22heading2">
    <w:name w:val="MDPI_2.2_heading2"/>
    <w:basedOn w:val="Normal"/>
    <w:qFormat/>
    <w:rsid w:val="00907BA8"/>
    <w:pPr>
      <w:kinsoku w:val="0"/>
      <w:overflowPunct w:val="0"/>
      <w:autoSpaceDE w:val="0"/>
      <w:autoSpaceDN w:val="0"/>
      <w:adjustRightInd w:val="0"/>
      <w:snapToGrid w:val="0"/>
      <w:spacing w:before="240" w:after="120" w:line="260" w:lineRule="atLeast"/>
      <w:outlineLvl w:val="1"/>
    </w:pPr>
    <w:rPr>
      <w:rFonts w:ascii="Palatino Linotype" w:eastAsia="Times New Roman" w:hAnsi="Palatino Linotype" w:cs="Times New Roman"/>
      <w:i/>
      <w:noProof/>
      <w:snapToGrid w:val="0"/>
      <w:color w:val="000000"/>
      <w:sz w:val="20"/>
      <w:lang w:eastAsia="de-DE" w:bidi="en-US"/>
    </w:rPr>
  </w:style>
  <w:style w:type="paragraph" w:customStyle="1" w:styleId="MDPI23heading3">
    <w:name w:val="MDPI_2.3_heading3"/>
    <w:basedOn w:val="MDPI31text"/>
    <w:qFormat/>
    <w:rsid w:val="00907BA8"/>
    <w:pPr>
      <w:spacing w:before="240" w:after="120"/>
      <w:ind w:firstLine="0"/>
      <w:jc w:val="left"/>
      <w:outlineLvl w:val="2"/>
    </w:pPr>
  </w:style>
  <w:style w:type="paragraph" w:customStyle="1" w:styleId="MDPI51figurecaption">
    <w:name w:val="MDPI_5.1_figure_caption"/>
    <w:basedOn w:val="Normal"/>
    <w:qFormat/>
    <w:rsid w:val="00907BA8"/>
    <w:pPr>
      <w:adjustRightInd w:val="0"/>
      <w:snapToGrid w:val="0"/>
      <w:spacing w:before="120" w:after="240" w:line="260" w:lineRule="atLeast"/>
      <w:ind w:left="425" w:right="425"/>
      <w:jc w:val="both"/>
    </w:pPr>
    <w:rPr>
      <w:rFonts w:ascii="Palatino Linotype" w:eastAsia="Times New Roman" w:hAnsi="Palatino Linotype" w:cs="Times New Roman"/>
      <w:color w:val="000000"/>
      <w:sz w:val="18"/>
      <w:szCs w:val="20"/>
      <w:lang w:eastAsia="de-DE" w:bidi="en-US"/>
    </w:rPr>
  </w:style>
  <w:style w:type="paragraph" w:customStyle="1" w:styleId="MDPI62Acknowledgments">
    <w:name w:val="MDPI_6.2_Acknowledgments"/>
    <w:qFormat/>
    <w:rsid w:val="00CB3C2E"/>
    <w:pPr>
      <w:adjustRightInd w:val="0"/>
      <w:snapToGrid w:val="0"/>
      <w:spacing w:before="120" w:after="0" w:line="200" w:lineRule="atLeast"/>
      <w:jc w:val="both"/>
    </w:pPr>
    <w:rPr>
      <w:rFonts w:ascii="Palatino Linotype" w:eastAsia="Times New Roman" w:hAnsi="Palatino Linotype" w:cs="Times New Roman"/>
      <w:snapToGrid w:val="0"/>
      <w:color w:val="000000"/>
      <w:sz w:val="18"/>
      <w:szCs w:val="20"/>
      <w:lang w:eastAsia="de-DE" w:bidi="en-US"/>
    </w:rPr>
  </w:style>
  <w:style w:type="paragraph" w:customStyle="1" w:styleId="MDPI61Supplementary">
    <w:name w:val="MDPI_6.1_Supplementary"/>
    <w:basedOn w:val="MDPI62Acknowledgments"/>
    <w:qFormat/>
    <w:rsid w:val="00CB3C2E"/>
    <w:pPr>
      <w:spacing w:before="240"/>
    </w:pPr>
    <w:rPr>
      <w:lang w:eastAsia="en-US"/>
    </w:rPr>
  </w:style>
  <w:style w:type="paragraph" w:customStyle="1" w:styleId="MDPI64CoI">
    <w:name w:val="MDPI_6.4_CoI"/>
    <w:basedOn w:val="MDPI62Acknowledgments"/>
    <w:qFormat/>
    <w:rsid w:val="00CB3C2E"/>
  </w:style>
  <w:style w:type="paragraph" w:customStyle="1" w:styleId="MDPI71References">
    <w:name w:val="MDPI_7.1_References"/>
    <w:basedOn w:val="MDPI62Acknowledgments"/>
    <w:qFormat/>
    <w:rsid w:val="00D33820"/>
    <w:pPr>
      <w:numPr>
        <w:numId w:val="1"/>
      </w:numPr>
      <w:spacing w:before="0" w:line="260" w:lineRule="atLeast"/>
      <w:ind w:left="425" w:hanging="425"/>
    </w:pPr>
  </w:style>
  <w:style w:type="table" w:customStyle="1" w:styleId="TableGrid1">
    <w:name w:val="Table Grid1"/>
    <w:basedOn w:val="TableNormal"/>
    <w:next w:val="TableGrid"/>
    <w:uiPriority w:val="39"/>
    <w:rsid w:val="00251FD6"/>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ne">
    <w:name w:val="None"/>
    <w:rsid w:val="002001C2"/>
  </w:style>
  <w:style w:type="character" w:customStyle="1" w:styleId="Hyperlink1">
    <w:name w:val="Hyperlink.1"/>
    <w:basedOn w:val="None"/>
    <w:rsid w:val="002001C2"/>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8A4E1F"/>
    <w:rPr>
      <w:color w:val="605E5C"/>
      <w:shd w:val="clear" w:color="auto" w:fill="E1DFDD"/>
    </w:rPr>
  </w:style>
  <w:style w:type="paragraph" w:styleId="Bibliography">
    <w:name w:val="Bibliography"/>
    <w:basedOn w:val="Normal"/>
    <w:next w:val="Normal"/>
    <w:uiPriority w:val="37"/>
    <w:semiHidden/>
    <w:unhideWhenUsed/>
    <w:rsid w:val="0011096A"/>
  </w:style>
  <w:style w:type="character" w:customStyle="1" w:styleId="Heading4Char">
    <w:name w:val="Heading 4 Char"/>
    <w:basedOn w:val="DefaultParagraphFont"/>
    <w:link w:val="Heading4"/>
    <w:uiPriority w:val="9"/>
    <w:semiHidden/>
    <w:rsid w:val="00362D44"/>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50902">
      <w:bodyDiv w:val="1"/>
      <w:marLeft w:val="0"/>
      <w:marRight w:val="0"/>
      <w:marTop w:val="0"/>
      <w:marBottom w:val="0"/>
      <w:divBdr>
        <w:top w:val="none" w:sz="0" w:space="0" w:color="auto"/>
        <w:left w:val="none" w:sz="0" w:space="0" w:color="auto"/>
        <w:bottom w:val="none" w:sz="0" w:space="0" w:color="auto"/>
        <w:right w:val="none" w:sz="0" w:space="0" w:color="auto"/>
      </w:divBdr>
    </w:div>
    <w:div w:id="52898803">
      <w:bodyDiv w:val="1"/>
      <w:marLeft w:val="0"/>
      <w:marRight w:val="0"/>
      <w:marTop w:val="0"/>
      <w:marBottom w:val="0"/>
      <w:divBdr>
        <w:top w:val="none" w:sz="0" w:space="0" w:color="auto"/>
        <w:left w:val="none" w:sz="0" w:space="0" w:color="auto"/>
        <w:bottom w:val="none" w:sz="0" w:space="0" w:color="auto"/>
        <w:right w:val="none" w:sz="0" w:space="0" w:color="auto"/>
      </w:divBdr>
    </w:div>
    <w:div w:id="63768686">
      <w:bodyDiv w:val="1"/>
      <w:marLeft w:val="0"/>
      <w:marRight w:val="0"/>
      <w:marTop w:val="0"/>
      <w:marBottom w:val="0"/>
      <w:divBdr>
        <w:top w:val="none" w:sz="0" w:space="0" w:color="auto"/>
        <w:left w:val="none" w:sz="0" w:space="0" w:color="auto"/>
        <w:bottom w:val="none" w:sz="0" w:space="0" w:color="auto"/>
        <w:right w:val="none" w:sz="0" w:space="0" w:color="auto"/>
      </w:divBdr>
    </w:div>
    <w:div w:id="70012006">
      <w:bodyDiv w:val="1"/>
      <w:marLeft w:val="0"/>
      <w:marRight w:val="0"/>
      <w:marTop w:val="0"/>
      <w:marBottom w:val="0"/>
      <w:divBdr>
        <w:top w:val="none" w:sz="0" w:space="0" w:color="auto"/>
        <w:left w:val="none" w:sz="0" w:space="0" w:color="auto"/>
        <w:bottom w:val="none" w:sz="0" w:space="0" w:color="auto"/>
        <w:right w:val="none" w:sz="0" w:space="0" w:color="auto"/>
      </w:divBdr>
    </w:div>
    <w:div w:id="87428796">
      <w:bodyDiv w:val="1"/>
      <w:marLeft w:val="0"/>
      <w:marRight w:val="0"/>
      <w:marTop w:val="0"/>
      <w:marBottom w:val="0"/>
      <w:divBdr>
        <w:top w:val="none" w:sz="0" w:space="0" w:color="auto"/>
        <w:left w:val="none" w:sz="0" w:space="0" w:color="auto"/>
        <w:bottom w:val="none" w:sz="0" w:space="0" w:color="auto"/>
        <w:right w:val="none" w:sz="0" w:space="0" w:color="auto"/>
      </w:divBdr>
    </w:div>
    <w:div w:id="118377579">
      <w:bodyDiv w:val="1"/>
      <w:marLeft w:val="0"/>
      <w:marRight w:val="0"/>
      <w:marTop w:val="0"/>
      <w:marBottom w:val="0"/>
      <w:divBdr>
        <w:top w:val="none" w:sz="0" w:space="0" w:color="auto"/>
        <w:left w:val="none" w:sz="0" w:space="0" w:color="auto"/>
        <w:bottom w:val="none" w:sz="0" w:space="0" w:color="auto"/>
        <w:right w:val="none" w:sz="0" w:space="0" w:color="auto"/>
      </w:divBdr>
    </w:div>
    <w:div w:id="122314757">
      <w:bodyDiv w:val="1"/>
      <w:marLeft w:val="0"/>
      <w:marRight w:val="0"/>
      <w:marTop w:val="0"/>
      <w:marBottom w:val="0"/>
      <w:divBdr>
        <w:top w:val="none" w:sz="0" w:space="0" w:color="auto"/>
        <w:left w:val="none" w:sz="0" w:space="0" w:color="auto"/>
        <w:bottom w:val="none" w:sz="0" w:space="0" w:color="auto"/>
        <w:right w:val="none" w:sz="0" w:space="0" w:color="auto"/>
      </w:divBdr>
    </w:div>
    <w:div w:id="124006233">
      <w:bodyDiv w:val="1"/>
      <w:marLeft w:val="0"/>
      <w:marRight w:val="0"/>
      <w:marTop w:val="0"/>
      <w:marBottom w:val="0"/>
      <w:divBdr>
        <w:top w:val="none" w:sz="0" w:space="0" w:color="auto"/>
        <w:left w:val="none" w:sz="0" w:space="0" w:color="auto"/>
        <w:bottom w:val="none" w:sz="0" w:space="0" w:color="auto"/>
        <w:right w:val="none" w:sz="0" w:space="0" w:color="auto"/>
      </w:divBdr>
    </w:div>
    <w:div w:id="129054209">
      <w:bodyDiv w:val="1"/>
      <w:marLeft w:val="0"/>
      <w:marRight w:val="0"/>
      <w:marTop w:val="0"/>
      <w:marBottom w:val="0"/>
      <w:divBdr>
        <w:top w:val="none" w:sz="0" w:space="0" w:color="auto"/>
        <w:left w:val="none" w:sz="0" w:space="0" w:color="auto"/>
        <w:bottom w:val="none" w:sz="0" w:space="0" w:color="auto"/>
        <w:right w:val="none" w:sz="0" w:space="0" w:color="auto"/>
      </w:divBdr>
    </w:div>
    <w:div w:id="130439154">
      <w:bodyDiv w:val="1"/>
      <w:marLeft w:val="0"/>
      <w:marRight w:val="0"/>
      <w:marTop w:val="0"/>
      <w:marBottom w:val="0"/>
      <w:divBdr>
        <w:top w:val="none" w:sz="0" w:space="0" w:color="auto"/>
        <w:left w:val="none" w:sz="0" w:space="0" w:color="auto"/>
        <w:bottom w:val="none" w:sz="0" w:space="0" w:color="auto"/>
        <w:right w:val="none" w:sz="0" w:space="0" w:color="auto"/>
      </w:divBdr>
    </w:div>
    <w:div w:id="137233508">
      <w:bodyDiv w:val="1"/>
      <w:marLeft w:val="0"/>
      <w:marRight w:val="0"/>
      <w:marTop w:val="0"/>
      <w:marBottom w:val="0"/>
      <w:divBdr>
        <w:top w:val="none" w:sz="0" w:space="0" w:color="auto"/>
        <w:left w:val="none" w:sz="0" w:space="0" w:color="auto"/>
        <w:bottom w:val="none" w:sz="0" w:space="0" w:color="auto"/>
        <w:right w:val="none" w:sz="0" w:space="0" w:color="auto"/>
      </w:divBdr>
    </w:div>
    <w:div w:id="155390365">
      <w:bodyDiv w:val="1"/>
      <w:marLeft w:val="0"/>
      <w:marRight w:val="0"/>
      <w:marTop w:val="0"/>
      <w:marBottom w:val="0"/>
      <w:divBdr>
        <w:top w:val="none" w:sz="0" w:space="0" w:color="auto"/>
        <w:left w:val="none" w:sz="0" w:space="0" w:color="auto"/>
        <w:bottom w:val="none" w:sz="0" w:space="0" w:color="auto"/>
        <w:right w:val="none" w:sz="0" w:space="0" w:color="auto"/>
      </w:divBdr>
    </w:div>
    <w:div w:id="158539755">
      <w:bodyDiv w:val="1"/>
      <w:marLeft w:val="0"/>
      <w:marRight w:val="0"/>
      <w:marTop w:val="0"/>
      <w:marBottom w:val="0"/>
      <w:divBdr>
        <w:top w:val="none" w:sz="0" w:space="0" w:color="auto"/>
        <w:left w:val="none" w:sz="0" w:space="0" w:color="auto"/>
        <w:bottom w:val="none" w:sz="0" w:space="0" w:color="auto"/>
        <w:right w:val="none" w:sz="0" w:space="0" w:color="auto"/>
      </w:divBdr>
    </w:div>
    <w:div w:id="164444583">
      <w:bodyDiv w:val="1"/>
      <w:marLeft w:val="0"/>
      <w:marRight w:val="0"/>
      <w:marTop w:val="0"/>
      <w:marBottom w:val="0"/>
      <w:divBdr>
        <w:top w:val="none" w:sz="0" w:space="0" w:color="auto"/>
        <w:left w:val="none" w:sz="0" w:space="0" w:color="auto"/>
        <w:bottom w:val="none" w:sz="0" w:space="0" w:color="auto"/>
        <w:right w:val="none" w:sz="0" w:space="0" w:color="auto"/>
      </w:divBdr>
    </w:div>
    <w:div w:id="169176948">
      <w:bodyDiv w:val="1"/>
      <w:marLeft w:val="0"/>
      <w:marRight w:val="0"/>
      <w:marTop w:val="0"/>
      <w:marBottom w:val="0"/>
      <w:divBdr>
        <w:top w:val="none" w:sz="0" w:space="0" w:color="auto"/>
        <w:left w:val="none" w:sz="0" w:space="0" w:color="auto"/>
        <w:bottom w:val="none" w:sz="0" w:space="0" w:color="auto"/>
        <w:right w:val="none" w:sz="0" w:space="0" w:color="auto"/>
      </w:divBdr>
    </w:div>
    <w:div w:id="183370661">
      <w:bodyDiv w:val="1"/>
      <w:marLeft w:val="0"/>
      <w:marRight w:val="0"/>
      <w:marTop w:val="0"/>
      <w:marBottom w:val="0"/>
      <w:divBdr>
        <w:top w:val="none" w:sz="0" w:space="0" w:color="auto"/>
        <w:left w:val="none" w:sz="0" w:space="0" w:color="auto"/>
        <w:bottom w:val="none" w:sz="0" w:space="0" w:color="auto"/>
        <w:right w:val="none" w:sz="0" w:space="0" w:color="auto"/>
      </w:divBdr>
    </w:div>
    <w:div w:id="205607775">
      <w:bodyDiv w:val="1"/>
      <w:marLeft w:val="0"/>
      <w:marRight w:val="0"/>
      <w:marTop w:val="0"/>
      <w:marBottom w:val="0"/>
      <w:divBdr>
        <w:top w:val="none" w:sz="0" w:space="0" w:color="auto"/>
        <w:left w:val="none" w:sz="0" w:space="0" w:color="auto"/>
        <w:bottom w:val="none" w:sz="0" w:space="0" w:color="auto"/>
        <w:right w:val="none" w:sz="0" w:space="0" w:color="auto"/>
      </w:divBdr>
    </w:div>
    <w:div w:id="223611126">
      <w:bodyDiv w:val="1"/>
      <w:marLeft w:val="0"/>
      <w:marRight w:val="0"/>
      <w:marTop w:val="0"/>
      <w:marBottom w:val="0"/>
      <w:divBdr>
        <w:top w:val="none" w:sz="0" w:space="0" w:color="auto"/>
        <w:left w:val="none" w:sz="0" w:space="0" w:color="auto"/>
        <w:bottom w:val="none" w:sz="0" w:space="0" w:color="auto"/>
        <w:right w:val="none" w:sz="0" w:space="0" w:color="auto"/>
      </w:divBdr>
    </w:div>
    <w:div w:id="252861285">
      <w:bodyDiv w:val="1"/>
      <w:marLeft w:val="0"/>
      <w:marRight w:val="0"/>
      <w:marTop w:val="0"/>
      <w:marBottom w:val="0"/>
      <w:divBdr>
        <w:top w:val="none" w:sz="0" w:space="0" w:color="auto"/>
        <w:left w:val="none" w:sz="0" w:space="0" w:color="auto"/>
        <w:bottom w:val="none" w:sz="0" w:space="0" w:color="auto"/>
        <w:right w:val="none" w:sz="0" w:space="0" w:color="auto"/>
      </w:divBdr>
    </w:div>
    <w:div w:id="254172839">
      <w:bodyDiv w:val="1"/>
      <w:marLeft w:val="0"/>
      <w:marRight w:val="0"/>
      <w:marTop w:val="0"/>
      <w:marBottom w:val="0"/>
      <w:divBdr>
        <w:top w:val="none" w:sz="0" w:space="0" w:color="auto"/>
        <w:left w:val="none" w:sz="0" w:space="0" w:color="auto"/>
        <w:bottom w:val="none" w:sz="0" w:space="0" w:color="auto"/>
        <w:right w:val="none" w:sz="0" w:space="0" w:color="auto"/>
      </w:divBdr>
    </w:div>
    <w:div w:id="256837548">
      <w:bodyDiv w:val="1"/>
      <w:marLeft w:val="0"/>
      <w:marRight w:val="0"/>
      <w:marTop w:val="0"/>
      <w:marBottom w:val="0"/>
      <w:divBdr>
        <w:top w:val="none" w:sz="0" w:space="0" w:color="auto"/>
        <w:left w:val="none" w:sz="0" w:space="0" w:color="auto"/>
        <w:bottom w:val="none" w:sz="0" w:space="0" w:color="auto"/>
        <w:right w:val="none" w:sz="0" w:space="0" w:color="auto"/>
      </w:divBdr>
    </w:div>
    <w:div w:id="279847947">
      <w:bodyDiv w:val="1"/>
      <w:marLeft w:val="0"/>
      <w:marRight w:val="0"/>
      <w:marTop w:val="0"/>
      <w:marBottom w:val="0"/>
      <w:divBdr>
        <w:top w:val="none" w:sz="0" w:space="0" w:color="auto"/>
        <w:left w:val="none" w:sz="0" w:space="0" w:color="auto"/>
        <w:bottom w:val="none" w:sz="0" w:space="0" w:color="auto"/>
        <w:right w:val="none" w:sz="0" w:space="0" w:color="auto"/>
      </w:divBdr>
    </w:div>
    <w:div w:id="284239277">
      <w:bodyDiv w:val="1"/>
      <w:marLeft w:val="0"/>
      <w:marRight w:val="0"/>
      <w:marTop w:val="0"/>
      <w:marBottom w:val="0"/>
      <w:divBdr>
        <w:top w:val="none" w:sz="0" w:space="0" w:color="auto"/>
        <w:left w:val="none" w:sz="0" w:space="0" w:color="auto"/>
        <w:bottom w:val="none" w:sz="0" w:space="0" w:color="auto"/>
        <w:right w:val="none" w:sz="0" w:space="0" w:color="auto"/>
      </w:divBdr>
    </w:div>
    <w:div w:id="287205963">
      <w:bodyDiv w:val="1"/>
      <w:marLeft w:val="0"/>
      <w:marRight w:val="0"/>
      <w:marTop w:val="0"/>
      <w:marBottom w:val="0"/>
      <w:divBdr>
        <w:top w:val="none" w:sz="0" w:space="0" w:color="auto"/>
        <w:left w:val="none" w:sz="0" w:space="0" w:color="auto"/>
        <w:bottom w:val="none" w:sz="0" w:space="0" w:color="auto"/>
        <w:right w:val="none" w:sz="0" w:space="0" w:color="auto"/>
      </w:divBdr>
    </w:div>
    <w:div w:id="321397877">
      <w:bodyDiv w:val="1"/>
      <w:marLeft w:val="0"/>
      <w:marRight w:val="0"/>
      <w:marTop w:val="0"/>
      <w:marBottom w:val="0"/>
      <w:divBdr>
        <w:top w:val="none" w:sz="0" w:space="0" w:color="auto"/>
        <w:left w:val="none" w:sz="0" w:space="0" w:color="auto"/>
        <w:bottom w:val="none" w:sz="0" w:space="0" w:color="auto"/>
        <w:right w:val="none" w:sz="0" w:space="0" w:color="auto"/>
      </w:divBdr>
    </w:div>
    <w:div w:id="325089139">
      <w:bodyDiv w:val="1"/>
      <w:marLeft w:val="0"/>
      <w:marRight w:val="0"/>
      <w:marTop w:val="0"/>
      <w:marBottom w:val="0"/>
      <w:divBdr>
        <w:top w:val="none" w:sz="0" w:space="0" w:color="auto"/>
        <w:left w:val="none" w:sz="0" w:space="0" w:color="auto"/>
        <w:bottom w:val="none" w:sz="0" w:space="0" w:color="auto"/>
        <w:right w:val="none" w:sz="0" w:space="0" w:color="auto"/>
      </w:divBdr>
    </w:div>
    <w:div w:id="339897233">
      <w:bodyDiv w:val="1"/>
      <w:marLeft w:val="0"/>
      <w:marRight w:val="0"/>
      <w:marTop w:val="0"/>
      <w:marBottom w:val="0"/>
      <w:divBdr>
        <w:top w:val="none" w:sz="0" w:space="0" w:color="auto"/>
        <w:left w:val="none" w:sz="0" w:space="0" w:color="auto"/>
        <w:bottom w:val="none" w:sz="0" w:space="0" w:color="auto"/>
        <w:right w:val="none" w:sz="0" w:space="0" w:color="auto"/>
      </w:divBdr>
    </w:div>
    <w:div w:id="349376711">
      <w:bodyDiv w:val="1"/>
      <w:marLeft w:val="0"/>
      <w:marRight w:val="0"/>
      <w:marTop w:val="0"/>
      <w:marBottom w:val="0"/>
      <w:divBdr>
        <w:top w:val="none" w:sz="0" w:space="0" w:color="auto"/>
        <w:left w:val="none" w:sz="0" w:space="0" w:color="auto"/>
        <w:bottom w:val="none" w:sz="0" w:space="0" w:color="auto"/>
        <w:right w:val="none" w:sz="0" w:space="0" w:color="auto"/>
      </w:divBdr>
    </w:div>
    <w:div w:id="355349716">
      <w:bodyDiv w:val="1"/>
      <w:marLeft w:val="0"/>
      <w:marRight w:val="0"/>
      <w:marTop w:val="0"/>
      <w:marBottom w:val="0"/>
      <w:divBdr>
        <w:top w:val="none" w:sz="0" w:space="0" w:color="auto"/>
        <w:left w:val="none" w:sz="0" w:space="0" w:color="auto"/>
        <w:bottom w:val="none" w:sz="0" w:space="0" w:color="auto"/>
        <w:right w:val="none" w:sz="0" w:space="0" w:color="auto"/>
      </w:divBdr>
    </w:div>
    <w:div w:id="357515026">
      <w:bodyDiv w:val="1"/>
      <w:marLeft w:val="0"/>
      <w:marRight w:val="0"/>
      <w:marTop w:val="0"/>
      <w:marBottom w:val="0"/>
      <w:divBdr>
        <w:top w:val="none" w:sz="0" w:space="0" w:color="auto"/>
        <w:left w:val="none" w:sz="0" w:space="0" w:color="auto"/>
        <w:bottom w:val="none" w:sz="0" w:space="0" w:color="auto"/>
        <w:right w:val="none" w:sz="0" w:space="0" w:color="auto"/>
      </w:divBdr>
    </w:div>
    <w:div w:id="373847946">
      <w:bodyDiv w:val="1"/>
      <w:marLeft w:val="0"/>
      <w:marRight w:val="0"/>
      <w:marTop w:val="0"/>
      <w:marBottom w:val="0"/>
      <w:divBdr>
        <w:top w:val="none" w:sz="0" w:space="0" w:color="auto"/>
        <w:left w:val="none" w:sz="0" w:space="0" w:color="auto"/>
        <w:bottom w:val="none" w:sz="0" w:space="0" w:color="auto"/>
        <w:right w:val="none" w:sz="0" w:space="0" w:color="auto"/>
      </w:divBdr>
    </w:div>
    <w:div w:id="402071620">
      <w:bodyDiv w:val="1"/>
      <w:marLeft w:val="0"/>
      <w:marRight w:val="0"/>
      <w:marTop w:val="0"/>
      <w:marBottom w:val="0"/>
      <w:divBdr>
        <w:top w:val="none" w:sz="0" w:space="0" w:color="auto"/>
        <w:left w:val="none" w:sz="0" w:space="0" w:color="auto"/>
        <w:bottom w:val="none" w:sz="0" w:space="0" w:color="auto"/>
        <w:right w:val="none" w:sz="0" w:space="0" w:color="auto"/>
      </w:divBdr>
    </w:div>
    <w:div w:id="444084844">
      <w:bodyDiv w:val="1"/>
      <w:marLeft w:val="0"/>
      <w:marRight w:val="0"/>
      <w:marTop w:val="0"/>
      <w:marBottom w:val="0"/>
      <w:divBdr>
        <w:top w:val="none" w:sz="0" w:space="0" w:color="auto"/>
        <w:left w:val="none" w:sz="0" w:space="0" w:color="auto"/>
        <w:bottom w:val="none" w:sz="0" w:space="0" w:color="auto"/>
        <w:right w:val="none" w:sz="0" w:space="0" w:color="auto"/>
      </w:divBdr>
    </w:div>
    <w:div w:id="476650867">
      <w:bodyDiv w:val="1"/>
      <w:marLeft w:val="0"/>
      <w:marRight w:val="0"/>
      <w:marTop w:val="0"/>
      <w:marBottom w:val="0"/>
      <w:divBdr>
        <w:top w:val="none" w:sz="0" w:space="0" w:color="auto"/>
        <w:left w:val="none" w:sz="0" w:space="0" w:color="auto"/>
        <w:bottom w:val="none" w:sz="0" w:space="0" w:color="auto"/>
        <w:right w:val="none" w:sz="0" w:space="0" w:color="auto"/>
      </w:divBdr>
    </w:div>
    <w:div w:id="485318014">
      <w:bodyDiv w:val="1"/>
      <w:marLeft w:val="0"/>
      <w:marRight w:val="0"/>
      <w:marTop w:val="0"/>
      <w:marBottom w:val="0"/>
      <w:divBdr>
        <w:top w:val="none" w:sz="0" w:space="0" w:color="auto"/>
        <w:left w:val="none" w:sz="0" w:space="0" w:color="auto"/>
        <w:bottom w:val="none" w:sz="0" w:space="0" w:color="auto"/>
        <w:right w:val="none" w:sz="0" w:space="0" w:color="auto"/>
      </w:divBdr>
      <w:divsChild>
        <w:div w:id="1555769978">
          <w:marLeft w:val="0"/>
          <w:marRight w:val="0"/>
          <w:marTop w:val="0"/>
          <w:marBottom w:val="0"/>
          <w:divBdr>
            <w:top w:val="none" w:sz="0" w:space="0" w:color="auto"/>
            <w:left w:val="none" w:sz="0" w:space="0" w:color="auto"/>
            <w:bottom w:val="none" w:sz="0" w:space="0" w:color="auto"/>
            <w:right w:val="none" w:sz="0" w:space="0" w:color="auto"/>
          </w:divBdr>
          <w:divsChild>
            <w:div w:id="1328485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234667">
      <w:bodyDiv w:val="1"/>
      <w:marLeft w:val="0"/>
      <w:marRight w:val="0"/>
      <w:marTop w:val="0"/>
      <w:marBottom w:val="0"/>
      <w:divBdr>
        <w:top w:val="none" w:sz="0" w:space="0" w:color="auto"/>
        <w:left w:val="none" w:sz="0" w:space="0" w:color="auto"/>
        <w:bottom w:val="none" w:sz="0" w:space="0" w:color="auto"/>
        <w:right w:val="none" w:sz="0" w:space="0" w:color="auto"/>
      </w:divBdr>
    </w:div>
    <w:div w:id="533268184">
      <w:bodyDiv w:val="1"/>
      <w:marLeft w:val="0"/>
      <w:marRight w:val="0"/>
      <w:marTop w:val="0"/>
      <w:marBottom w:val="0"/>
      <w:divBdr>
        <w:top w:val="none" w:sz="0" w:space="0" w:color="auto"/>
        <w:left w:val="none" w:sz="0" w:space="0" w:color="auto"/>
        <w:bottom w:val="none" w:sz="0" w:space="0" w:color="auto"/>
        <w:right w:val="none" w:sz="0" w:space="0" w:color="auto"/>
      </w:divBdr>
    </w:div>
    <w:div w:id="535505875">
      <w:bodyDiv w:val="1"/>
      <w:marLeft w:val="0"/>
      <w:marRight w:val="0"/>
      <w:marTop w:val="0"/>
      <w:marBottom w:val="0"/>
      <w:divBdr>
        <w:top w:val="none" w:sz="0" w:space="0" w:color="auto"/>
        <w:left w:val="none" w:sz="0" w:space="0" w:color="auto"/>
        <w:bottom w:val="none" w:sz="0" w:space="0" w:color="auto"/>
        <w:right w:val="none" w:sz="0" w:space="0" w:color="auto"/>
      </w:divBdr>
    </w:div>
    <w:div w:id="538010611">
      <w:bodyDiv w:val="1"/>
      <w:marLeft w:val="0"/>
      <w:marRight w:val="0"/>
      <w:marTop w:val="0"/>
      <w:marBottom w:val="0"/>
      <w:divBdr>
        <w:top w:val="none" w:sz="0" w:space="0" w:color="auto"/>
        <w:left w:val="none" w:sz="0" w:space="0" w:color="auto"/>
        <w:bottom w:val="none" w:sz="0" w:space="0" w:color="auto"/>
        <w:right w:val="none" w:sz="0" w:space="0" w:color="auto"/>
      </w:divBdr>
    </w:div>
    <w:div w:id="560676980">
      <w:bodyDiv w:val="1"/>
      <w:marLeft w:val="0"/>
      <w:marRight w:val="0"/>
      <w:marTop w:val="0"/>
      <w:marBottom w:val="0"/>
      <w:divBdr>
        <w:top w:val="none" w:sz="0" w:space="0" w:color="auto"/>
        <w:left w:val="none" w:sz="0" w:space="0" w:color="auto"/>
        <w:bottom w:val="none" w:sz="0" w:space="0" w:color="auto"/>
        <w:right w:val="none" w:sz="0" w:space="0" w:color="auto"/>
      </w:divBdr>
    </w:div>
    <w:div w:id="565339772">
      <w:bodyDiv w:val="1"/>
      <w:marLeft w:val="0"/>
      <w:marRight w:val="0"/>
      <w:marTop w:val="0"/>
      <w:marBottom w:val="0"/>
      <w:divBdr>
        <w:top w:val="none" w:sz="0" w:space="0" w:color="auto"/>
        <w:left w:val="none" w:sz="0" w:space="0" w:color="auto"/>
        <w:bottom w:val="none" w:sz="0" w:space="0" w:color="auto"/>
        <w:right w:val="none" w:sz="0" w:space="0" w:color="auto"/>
      </w:divBdr>
    </w:div>
    <w:div w:id="568809706">
      <w:bodyDiv w:val="1"/>
      <w:marLeft w:val="0"/>
      <w:marRight w:val="0"/>
      <w:marTop w:val="0"/>
      <w:marBottom w:val="0"/>
      <w:divBdr>
        <w:top w:val="none" w:sz="0" w:space="0" w:color="auto"/>
        <w:left w:val="none" w:sz="0" w:space="0" w:color="auto"/>
        <w:bottom w:val="none" w:sz="0" w:space="0" w:color="auto"/>
        <w:right w:val="none" w:sz="0" w:space="0" w:color="auto"/>
      </w:divBdr>
    </w:div>
    <w:div w:id="577330754">
      <w:bodyDiv w:val="1"/>
      <w:marLeft w:val="0"/>
      <w:marRight w:val="0"/>
      <w:marTop w:val="0"/>
      <w:marBottom w:val="0"/>
      <w:divBdr>
        <w:top w:val="none" w:sz="0" w:space="0" w:color="auto"/>
        <w:left w:val="none" w:sz="0" w:space="0" w:color="auto"/>
        <w:bottom w:val="none" w:sz="0" w:space="0" w:color="auto"/>
        <w:right w:val="none" w:sz="0" w:space="0" w:color="auto"/>
      </w:divBdr>
    </w:div>
    <w:div w:id="594871239">
      <w:bodyDiv w:val="1"/>
      <w:marLeft w:val="0"/>
      <w:marRight w:val="0"/>
      <w:marTop w:val="0"/>
      <w:marBottom w:val="0"/>
      <w:divBdr>
        <w:top w:val="none" w:sz="0" w:space="0" w:color="auto"/>
        <w:left w:val="none" w:sz="0" w:space="0" w:color="auto"/>
        <w:bottom w:val="none" w:sz="0" w:space="0" w:color="auto"/>
        <w:right w:val="none" w:sz="0" w:space="0" w:color="auto"/>
      </w:divBdr>
    </w:div>
    <w:div w:id="599679073">
      <w:bodyDiv w:val="1"/>
      <w:marLeft w:val="0"/>
      <w:marRight w:val="0"/>
      <w:marTop w:val="0"/>
      <w:marBottom w:val="0"/>
      <w:divBdr>
        <w:top w:val="none" w:sz="0" w:space="0" w:color="auto"/>
        <w:left w:val="none" w:sz="0" w:space="0" w:color="auto"/>
        <w:bottom w:val="none" w:sz="0" w:space="0" w:color="auto"/>
        <w:right w:val="none" w:sz="0" w:space="0" w:color="auto"/>
      </w:divBdr>
    </w:div>
    <w:div w:id="606885883">
      <w:bodyDiv w:val="1"/>
      <w:marLeft w:val="0"/>
      <w:marRight w:val="0"/>
      <w:marTop w:val="0"/>
      <w:marBottom w:val="0"/>
      <w:divBdr>
        <w:top w:val="none" w:sz="0" w:space="0" w:color="auto"/>
        <w:left w:val="none" w:sz="0" w:space="0" w:color="auto"/>
        <w:bottom w:val="none" w:sz="0" w:space="0" w:color="auto"/>
        <w:right w:val="none" w:sz="0" w:space="0" w:color="auto"/>
      </w:divBdr>
    </w:div>
    <w:div w:id="631056554">
      <w:bodyDiv w:val="1"/>
      <w:marLeft w:val="0"/>
      <w:marRight w:val="0"/>
      <w:marTop w:val="0"/>
      <w:marBottom w:val="0"/>
      <w:divBdr>
        <w:top w:val="none" w:sz="0" w:space="0" w:color="auto"/>
        <w:left w:val="none" w:sz="0" w:space="0" w:color="auto"/>
        <w:bottom w:val="none" w:sz="0" w:space="0" w:color="auto"/>
        <w:right w:val="none" w:sz="0" w:space="0" w:color="auto"/>
      </w:divBdr>
    </w:div>
    <w:div w:id="634457221">
      <w:bodyDiv w:val="1"/>
      <w:marLeft w:val="0"/>
      <w:marRight w:val="0"/>
      <w:marTop w:val="0"/>
      <w:marBottom w:val="0"/>
      <w:divBdr>
        <w:top w:val="none" w:sz="0" w:space="0" w:color="auto"/>
        <w:left w:val="none" w:sz="0" w:space="0" w:color="auto"/>
        <w:bottom w:val="none" w:sz="0" w:space="0" w:color="auto"/>
        <w:right w:val="none" w:sz="0" w:space="0" w:color="auto"/>
      </w:divBdr>
    </w:div>
    <w:div w:id="653148267">
      <w:bodyDiv w:val="1"/>
      <w:marLeft w:val="0"/>
      <w:marRight w:val="0"/>
      <w:marTop w:val="0"/>
      <w:marBottom w:val="0"/>
      <w:divBdr>
        <w:top w:val="none" w:sz="0" w:space="0" w:color="auto"/>
        <w:left w:val="none" w:sz="0" w:space="0" w:color="auto"/>
        <w:bottom w:val="none" w:sz="0" w:space="0" w:color="auto"/>
        <w:right w:val="none" w:sz="0" w:space="0" w:color="auto"/>
      </w:divBdr>
    </w:div>
    <w:div w:id="700324772">
      <w:bodyDiv w:val="1"/>
      <w:marLeft w:val="0"/>
      <w:marRight w:val="0"/>
      <w:marTop w:val="0"/>
      <w:marBottom w:val="0"/>
      <w:divBdr>
        <w:top w:val="none" w:sz="0" w:space="0" w:color="auto"/>
        <w:left w:val="none" w:sz="0" w:space="0" w:color="auto"/>
        <w:bottom w:val="none" w:sz="0" w:space="0" w:color="auto"/>
        <w:right w:val="none" w:sz="0" w:space="0" w:color="auto"/>
      </w:divBdr>
    </w:div>
    <w:div w:id="703676880">
      <w:bodyDiv w:val="1"/>
      <w:marLeft w:val="0"/>
      <w:marRight w:val="0"/>
      <w:marTop w:val="0"/>
      <w:marBottom w:val="0"/>
      <w:divBdr>
        <w:top w:val="none" w:sz="0" w:space="0" w:color="auto"/>
        <w:left w:val="none" w:sz="0" w:space="0" w:color="auto"/>
        <w:bottom w:val="none" w:sz="0" w:space="0" w:color="auto"/>
        <w:right w:val="none" w:sz="0" w:space="0" w:color="auto"/>
      </w:divBdr>
      <w:divsChild>
        <w:div w:id="855189314">
          <w:marLeft w:val="0"/>
          <w:marRight w:val="0"/>
          <w:marTop w:val="0"/>
          <w:marBottom w:val="0"/>
          <w:divBdr>
            <w:top w:val="none" w:sz="0" w:space="0" w:color="auto"/>
            <w:left w:val="none" w:sz="0" w:space="0" w:color="auto"/>
            <w:bottom w:val="none" w:sz="0" w:space="0" w:color="auto"/>
            <w:right w:val="none" w:sz="0" w:space="0" w:color="auto"/>
          </w:divBdr>
          <w:divsChild>
            <w:div w:id="1158114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652391">
      <w:bodyDiv w:val="1"/>
      <w:marLeft w:val="0"/>
      <w:marRight w:val="0"/>
      <w:marTop w:val="0"/>
      <w:marBottom w:val="0"/>
      <w:divBdr>
        <w:top w:val="none" w:sz="0" w:space="0" w:color="auto"/>
        <w:left w:val="none" w:sz="0" w:space="0" w:color="auto"/>
        <w:bottom w:val="none" w:sz="0" w:space="0" w:color="auto"/>
        <w:right w:val="none" w:sz="0" w:space="0" w:color="auto"/>
      </w:divBdr>
    </w:div>
    <w:div w:id="739864869">
      <w:bodyDiv w:val="1"/>
      <w:marLeft w:val="0"/>
      <w:marRight w:val="0"/>
      <w:marTop w:val="0"/>
      <w:marBottom w:val="0"/>
      <w:divBdr>
        <w:top w:val="none" w:sz="0" w:space="0" w:color="auto"/>
        <w:left w:val="none" w:sz="0" w:space="0" w:color="auto"/>
        <w:bottom w:val="none" w:sz="0" w:space="0" w:color="auto"/>
        <w:right w:val="none" w:sz="0" w:space="0" w:color="auto"/>
      </w:divBdr>
    </w:div>
    <w:div w:id="773207796">
      <w:bodyDiv w:val="1"/>
      <w:marLeft w:val="0"/>
      <w:marRight w:val="0"/>
      <w:marTop w:val="0"/>
      <w:marBottom w:val="0"/>
      <w:divBdr>
        <w:top w:val="none" w:sz="0" w:space="0" w:color="auto"/>
        <w:left w:val="none" w:sz="0" w:space="0" w:color="auto"/>
        <w:bottom w:val="none" w:sz="0" w:space="0" w:color="auto"/>
        <w:right w:val="none" w:sz="0" w:space="0" w:color="auto"/>
      </w:divBdr>
    </w:div>
    <w:div w:id="787235884">
      <w:bodyDiv w:val="1"/>
      <w:marLeft w:val="0"/>
      <w:marRight w:val="0"/>
      <w:marTop w:val="0"/>
      <w:marBottom w:val="0"/>
      <w:divBdr>
        <w:top w:val="none" w:sz="0" w:space="0" w:color="auto"/>
        <w:left w:val="none" w:sz="0" w:space="0" w:color="auto"/>
        <w:bottom w:val="none" w:sz="0" w:space="0" w:color="auto"/>
        <w:right w:val="none" w:sz="0" w:space="0" w:color="auto"/>
      </w:divBdr>
    </w:div>
    <w:div w:id="797144170">
      <w:bodyDiv w:val="1"/>
      <w:marLeft w:val="0"/>
      <w:marRight w:val="0"/>
      <w:marTop w:val="0"/>
      <w:marBottom w:val="0"/>
      <w:divBdr>
        <w:top w:val="none" w:sz="0" w:space="0" w:color="auto"/>
        <w:left w:val="none" w:sz="0" w:space="0" w:color="auto"/>
        <w:bottom w:val="none" w:sz="0" w:space="0" w:color="auto"/>
        <w:right w:val="none" w:sz="0" w:space="0" w:color="auto"/>
      </w:divBdr>
    </w:div>
    <w:div w:id="805050843">
      <w:bodyDiv w:val="1"/>
      <w:marLeft w:val="0"/>
      <w:marRight w:val="0"/>
      <w:marTop w:val="0"/>
      <w:marBottom w:val="0"/>
      <w:divBdr>
        <w:top w:val="none" w:sz="0" w:space="0" w:color="auto"/>
        <w:left w:val="none" w:sz="0" w:space="0" w:color="auto"/>
        <w:bottom w:val="none" w:sz="0" w:space="0" w:color="auto"/>
        <w:right w:val="none" w:sz="0" w:space="0" w:color="auto"/>
      </w:divBdr>
    </w:div>
    <w:div w:id="814492237">
      <w:bodyDiv w:val="1"/>
      <w:marLeft w:val="0"/>
      <w:marRight w:val="0"/>
      <w:marTop w:val="0"/>
      <w:marBottom w:val="0"/>
      <w:divBdr>
        <w:top w:val="none" w:sz="0" w:space="0" w:color="auto"/>
        <w:left w:val="none" w:sz="0" w:space="0" w:color="auto"/>
        <w:bottom w:val="none" w:sz="0" w:space="0" w:color="auto"/>
        <w:right w:val="none" w:sz="0" w:space="0" w:color="auto"/>
      </w:divBdr>
    </w:div>
    <w:div w:id="834106511">
      <w:bodyDiv w:val="1"/>
      <w:marLeft w:val="0"/>
      <w:marRight w:val="0"/>
      <w:marTop w:val="0"/>
      <w:marBottom w:val="0"/>
      <w:divBdr>
        <w:top w:val="none" w:sz="0" w:space="0" w:color="auto"/>
        <w:left w:val="none" w:sz="0" w:space="0" w:color="auto"/>
        <w:bottom w:val="none" w:sz="0" w:space="0" w:color="auto"/>
        <w:right w:val="none" w:sz="0" w:space="0" w:color="auto"/>
      </w:divBdr>
    </w:div>
    <w:div w:id="840463350">
      <w:bodyDiv w:val="1"/>
      <w:marLeft w:val="0"/>
      <w:marRight w:val="0"/>
      <w:marTop w:val="0"/>
      <w:marBottom w:val="0"/>
      <w:divBdr>
        <w:top w:val="none" w:sz="0" w:space="0" w:color="auto"/>
        <w:left w:val="none" w:sz="0" w:space="0" w:color="auto"/>
        <w:bottom w:val="none" w:sz="0" w:space="0" w:color="auto"/>
        <w:right w:val="none" w:sz="0" w:space="0" w:color="auto"/>
      </w:divBdr>
    </w:div>
    <w:div w:id="863445212">
      <w:bodyDiv w:val="1"/>
      <w:marLeft w:val="0"/>
      <w:marRight w:val="0"/>
      <w:marTop w:val="0"/>
      <w:marBottom w:val="0"/>
      <w:divBdr>
        <w:top w:val="none" w:sz="0" w:space="0" w:color="auto"/>
        <w:left w:val="none" w:sz="0" w:space="0" w:color="auto"/>
        <w:bottom w:val="none" w:sz="0" w:space="0" w:color="auto"/>
        <w:right w:val="none" w:sz="0" w:space="0" w:color="auto"/>
      </w:divBdr>
    </w:div>
    <w:div w:id="882670520">
      <w:bodyDiv w:val="1"/>
      <w:marLeft w:val="0"/>
      <w:marRight w:val="0"/>
      <w:marTop w:val="0"/>
      <w:marBottom w:val="0"/>
      <w:divBdr>
        <w:top w:val="none" w:sz="0" w:space="0" w:color="auto"/>
        <w:left w:val="none" w:sz="0" w:space="0" w:color="auto"/>
        <w:bottom w:val="none" w:sz="0" w:space="0" w:color="auto"/>
        <w:right w:val="none" w:sz="0" w:space="0" w:color="auto"/>
      </w:divBdr>
    </w:div>
    <w:div w:id="907883710">
      <w:bodyDiv w:val="1"/>
      <w:marLeft w:val="0"/>
      <w:marRight w:val="0"/>
      <w:marTop w:val="0"/>
      <w:marBottom w:val="0"/>
      <w:divBdr>
        <w:top w:val="none" w:sz="0" w:space="0" w:color="auto"/>
        <w:left w:val="none" w:sz="0" w:space="0" w:color="auto"/>
        <w:bottom w:val="none" w:sz="0" w:space="0" w:color="auto"/>
        <w:right w:val="none" w:sz="0" w:space="0" w:color="auto"/>
      </w:divBdr>
    </w:div>
    <w:div w:id="910164765">
      <w:bodyDiv w:val="1"/>
      <w:marLeft w:val="0"/>
      <w:marRight w:val="0"/>
      <w:marTop w:val="0"/>
      <w:marBottom w:val="0"/>
      <w:divBdr>
        <w:top w:val="none" w:sz="0" w:space="0" w:color="auto"/>
        <w:left w:val="none" w:sz="0" w:space="0" w:color="auto"/>
        <w:bottom w:val="none" w:sz="0" w:space="0" w:color="auto"/>
        <w:right w:val="none" w:sz="0" w:space="0" w:color="auto"/>
      </w:divBdr>
    </w:div>
    <w:div w:id="913397233">
      <w:bodyDiv w:val="1"/>
      <w:marLeft w:val="0"/>
      <w:marRight w:val="0"/>
      <w:marTop w:val="0"/>
      <w:marBottom w:val="0"/>
      <w:divBdr>
        <w:top w:val="none" w:sz="0" w:space="0" w:color="auto"/>
        <w:left w:val="none" w:sz="0" w:space="0" w:color="auto"/>
        <w:bottom w:val="none" w:sz="0" w:space="0" w:color="auto"/>
        <w:right w:val="none" w:sz="0" w:space="0" w:color="auto"/>
      </w:divBdr>
    </w:div>
    <w:div w:id="919678289">
      <w:bodyDiv w:val="1"/>
      <w:marLeft w:val="0"/>
      <w:marRight w:val="0"/>
      <w:marTop w:val="0"/>
      <w:marBottom w:val="0"/>
      <w:divBdr>
        <w:top w:val="none" w:sz="0" w:space="0" w:color="auto"/>
        <w:left w:val="none" w:sz="0" w:space="0" w:color="auto"/>
        <w:bottom w:val="none" w:sz="0" w:space="0" w:color="auto"/>
        <w:right w:val="none" w:sz="0" w:space="0" w:color="auto"/>
      </w:divBdr>
    </w:div>
    <w:div w:id="919755601">
      <w:bodyDiv w:val="1"/>
      <w:marLeft w:val="0"/>
      <w:marRight w:val="0"/>
      <w:marTop w:val="0"/>
      <w:marBottom w:val="0"/>
      <w:divBdr>
        <w:top w:val="none" w:sz="0" w:space="0" w:color="auto"/>
        <w:left w:val="none" w:sz="0" w:space="0" w:color="auto"/>
        <w:bottom w:val="none" w:sz="0" w:space="0" w:color="auto"/>
        <w:right w:val="none" w:sz="0" w:space="0" w:color="auto"/>
      </w:divBdr>
    </w:div>
    <w:div w:id="920872839">
      <w:bodyDiv w:val="1"/>
      <w:marLeft w:val="0"/>
      <w:marRight w:val="0"/>
      <w:marTop w:val="0"/>
      <w:marBottom w:val="0"/>
      <w:divBdr>
        <w:top w:val="none" w:sz="0" w:space="0" w:color="auto"/>
        <w:left w:val="none" w:sz="0" w:space="0" w:color="auto"/>
        <w:bottom w:val="none" w:sz="0" w:space="0" w:color="auto"/>
        <w:right w:val="none" w:sz="0" w:space="0" w:color="auto"/>
      </w:divBdr>
    </w:div>
    <w:div w:id="930773115">
      <w:bodyDiv w:val="1"/>
      <w:marLeft w:val="0"/>
      <w:marRight w:val="0"/>
      <w:marTop w:val="0"/>
      <w:marBottom w:val="0"/>
      <w:divBdr>
        <w:top w:val="none" w:sz="0" w:space="0" w:color="auto"/>
        <w:left w:val="none" w:sz="0" w:space="0" w:color="auto"/>
        <w:bottom w:val="none" w:sz="0" w:space="0" w:color="auto"/>
        <w:right w:val="none" w:sz="0" w:space="0" w:color="auto"/>
      </w:divBdr>
    </w:div>
    <w:div w:id="953511929">
      <w:bodyDiv w:val="1"/>
      <w:marLeft w:val="0"/>
      <w:marRight w:val="0"/>
      <w:marTop w:val="0"/>
      <w:marBottom w:val="0"/>
      <w:divBdr>
        <w:top w:val="none" w:sz="0" w:space="0" w:color="auto"/>
        <w:left w:val="none" w:sz="0" w:space="0" w:color="auto"/>
        <w:bottom w:val="none" w:sz="0" w:space="0" w:color="auto"/>
        <w:right w:val="none" w:sz="0" w:space="0" w:color="auto"/>
      </w:divBdr>
    </w:div>
    <w:div w:id="966200509">
      <w:bodyDiv w:val="1"/>
      <w:marLeft w:val="0"/>
      <w:marRight w:val="0"/>
      <w:marTop w:val="0"/>
      <w:marBottom w:val="0"/>
      <w:divBdr>
        <w:top w:val="none" w:sz="0" w:space="0" w:color="auto"/>
        <w:left w:val="none" w:sz="0" w:space="0" w:color="auto"/>
        <w:bottom w:val="none" w:sz="0" w:space="0" w:color="auto"/>
        <w:right w:val="none" w:sz="0" w:space="0" w:color="auto"/>
      </w:divBdr>
    </w:div>
    <w:div w:id="971599739">
      <w:bodyDiv w:val="1"/>
      <w:marLeft w:val="0"/>
      <w:marRight w:val="0"/>
      <w:marTop w:val="0"/>
      <w:marBottom w:val="0"/>
      <w:divBdr>
        <w:top w:val="none" w:sz="0" w:space="0" w:color="auto"/>
        <w:left w:val="none" w:sz="0" w:space="0" w:color="auto"/>
        <w:bottom w:val="none" w:sz="0" w:space="0" w:color="auto"/>
        <w:right w:val="none" w:sz="0" w:space="0" w:color="auto"/>
      </w:divBdr>
    </w:div>
    <w:div w:id="983580924">
      <w:bodyDiv w:val="1"/>
      <w:marLeft w:val="0"/>
      <w:marRight w:val="0"/>
      <w:marTop w:val="0"/>
      <w:marBottom w:val="0"/>
      <w:divBdr>
        <w:top w:val="none" w:sz="0" w:space="0" w:color="auto"/>
        <w:left w:val="none" w:sz="0" w:space="0" w:color="auto"/>
        <w:bottom w:val="none" w:sz="0" w:space="0" w:color="auto"/>
        <w:right w:val="none" w:sz="0" w:space="0" w:color="auto"/>
      </w:divBdr>
    </w:div>
    <w:div w:id="989288320">
      <w:bodyDiv w:val="1"/>
      <w:marLeft w:val="0"/>
      <w:marRight w:val="0"/>
      <w:marTop w:val="0"/>
      <w:marBottom w:val="0"/>
      <w:divBdr>
        <w:top w:val="none" w:sz="0" w:space="0" w:color="auto"/>
        <w:left w:val="none" w:sz="0" w:space="0" w:color="auto"/>
        <w:bottom w:val="none" w:sz="0" w:space="0" w:color="auto"/>
        <w:right w:val="none" w:sz="0" w:space="0" w:color="auto"/>
      </w:divBdr>
    </w:div>
    <w:div w:id="1002659806">
      <w:bodyDiv w:val="1"/>
      <w:marLeft w:val="0"/>
      <w:marRight w:val="0"/>
      <w:marTop w:val="0"/>
      <w:marBottom w:val="0"/>
      <w:divBdr>
        <w:top w:val="none" w:sz="0" w:space="0" w:color="auto"/>
        <w:left w:val="none" w:sz="0" w:space="0" w:color="auto"/>
        <w:bottom w:val="none" w:sz="0" w:space="0" w:color="auto"/>
        <w:right w:val="none" w:sz="0" w:space="0" w:color="auto"/>
      </w:divBdr>
    </w:div>
    <w:div w:id="1022241481">
      <w:bodyDiv w:val="1"/>
      <w:marLeft w:val="0"/>
      <w:marRight w:val="0"/>
      <w:marTop w:val="0"/>
      <w:marBottom w:val="0"/>
      <w:divBdr>
        <w:top w:val="none" w:sz="0" w:space="0" w:color="auto"/>
        <w:left w:val="none" w:sz="0" w:space="0" w:color="auto"/>
        <w:bottom w:val="none" w:sz="0" w:space="0" w:color="auto"/>
        <w:right w:val="none" w:sz="0" w:space="0" w:color="auto"/>
      </w:divBdr>
    </w:div>
    <w:div w:id="1025326172">
      <w:bodyDiv w:val="1"/>
      <w:marLeft w:val="0"/>
      <w:marRight w:val="0"/>
      <w:marTop w:val="0"/>
      <w:marBottom w:val="0"/>
      <w:divBdr>
        <w:top w:val="none" w:sz="0" w:space="0" w:color="auto"/>
        <w:left w:val="none" w:sz="0" w:space="0" w:color="auto"/>
        <w:bottom w:val="none" w:sz="0" w:space="0" w:color="auto"/>
        <w:right w:val="none" w:sz="0" w:space="0" w:color="auto"/>
      </w:divBdr>
    </w:div>
    <w:div w:id="1031032571">
      <w:bodyDiv w:val="1"/>
      <w:marLeft w:val="0"/>
      <w:marRight w:val="0"/>
      <w:marTop w:val="0"/>
      <w:marBottom w:val="0"/>
      <w:divBdr>
        <w:top w:val="none" w:sz="0" w:space="0" w:color="auto"/>
        <w:left w:val="none" w:sz="0" w:space="0" w:color="auto"/>
        <w:bottom w:val="none" w:sz="0" w:space="0" w:color="auto"/>
        <w:right w:val="none" w:sz="0" w:space="0" w:color="auto"/>
      </w:divBdr>
    </w:div>
    <w:div w:id="1052971616">
      <w:bodyDiv w:val="1"/>
      <w:marLeft w:val="0"/>
      <w:marRight w:val="0"/>
      <w:marTop w:val="0"/>
      <w:marBottom w:val="0"/>
      <w:divBdr>
        <w:top w:val="none" w:sz="0" w:space="0" w:color="auto"/>
        <w:left w:val="none" w:sz="0" w:space="0" w:color="auto"/>
        <w:bottom w:val="none" w:sz="0" w:space="0" w:color="auto"/>
        <w:right w:val="none" w:sz="0" w:space="0" w:color="auto"/>
      </w:divBdr>
    </w:div>
    <w:div w:id="1058749225">
      <w:bodyDiv w:val="1"/>
      <w:marLeft w:val="0"/>
      <w:marRight w:val="0"/>
      <w:marTop w:val="0"/>
      <w:marBottom w:val="0"/>
      <w:divBdr>
        <w:top w:val="none" w:sz="0" w:space="0" w:color="auto"/>
        <w:left w:val="none" w:sz="0" w:space="0" w:color="auto"/>
        <w:bottom w:val="none" w:sz="0" w:space="0" w:color="auto"/>
        <w:right w:val="none" w:sz="0" w:space="0" w:color="auto"/>
      </w:divBdr>
    </w:div>
    <w:div w:id="1075323955">
      <w:bodyDiv w:val="1"/>
      <w:marLeft w:val="0"/>
      <w:marRight w:val="0"/>
      <w:marTop w:val="0"/>
      <w:marBottom w:val="0"/>
      <w:divBdr>
        <w:top w:val="none" w:sz="0" w:space="0" w:color="auto"/>
        <w:left w:val="none" w:sz="0" w:space="0" w:color="auto"/>
        <w:bottom w:val="none" w:sz="0" w:space="0" w:color="auto"/>
        <w:right w:val="none" w:sz="0" w:space="0" w:color="auto"/>
      </w:divBdr>
    </w:div>
    <w:div w:id="1097407881">
      <w:bodyDiv w:val="1"/>
      <w:marLeft w:val="0"/>
      <w:marRight w:val="0"/>
      <w:marTop w:val="0"/>
      <w:marBottom w:val="0"/>
      <w:divBdr>
        <w:top w:val="none" w:sz="0" w:space="0" w:color="auto"/>
        <w:left w:val="none" w:sz="0" w:space="0" w:color="auto"/>
        <w:bottom w:val="none" w:sz="0" w:space="0" w:color="auto"/>
        <w:right w:val="none" w:sz="0" w:space="0" w:color="auto"/>
      </w:divBdr>
    </w:div>
    <w:div w:id="1108426319">
      <w:bodyDiv w:val="1"/>
      <w:marLeft w:val="0"/>
      <w:marRight w:val="0"/>
      <w:marTop w:val="0"/>
      <w:marBottom w:val="0"/>
      <w:divBdr>
        <w:top w:val="none" w:sz="0" w:space="0" w:color="auto"/>
        <w:left w:val="none" w:sz="0" w:space="0" w:color="auto"/>
        <w:bottom w:val="none" w:sz="0" w:space="0" w:color="auto"/>
        <w:right w:val="none" w:sz="0" w:space="0" w:color="auto"/>
      </w:divBdr>
      <w:divsChild>
        <w:div w:id="419644945">
          <w:marLeft w:val="0"/>
          <w:marRight w:val="0"/>
          <w:marTop w:val="0"/>
          <w:marBottom w:val="0"/>
          <w:divBdr>
            <w:top w:val="none" w:sz="0" w:space="0" w:color="auto"/>
            <w:left w:val="none" w:sz="0" w:space="0" w:color="auto"/>
            <w:bottom w:val="none" w:sz="0" w:space="0" w:color="auto"/>
            <w:right w:val="none" w:sz="0" w:space="0" w:color="auto"/>
          </w:divBdr>
        </w:div>
        <w:div w:id="557057889">
          <w:marLeft w:val="0"/>
          <w:marRight w:val="0"/>
          <w:marTop w:val="0"/>
          <w:marBottom w:val="0"/>
          <w:divBdr>
            <w:top w:val="none" w:sz="0" w:space="0" w:color="auto"/>
            <w:left w:val="none" w:sz="0" w:space="0" w:color="auto"/>
            <w:bottom w:val="none" w:sz="0" w:space="0" w:color="auto"/>
            <w:right w:val="none" w:sz="0" w:space="0" w:color="auto"/>
          </w:divBdr>
        </w:div>
        <w:div w:id="598295603">
          <w:marLeft w:val="0"/>
          <w:marRight w:val="0"/>
          <w:marTop w:val="0"/>
          <w:marBottom w:val="0"/>
          <w:divBdr>
            <w:top w:val="none" w:sz="0" w:space="0" w:color="auto"/>
            <w:left w:val="none" w:sz="0" w:space="0" w:color="auto"/>
            <w:bottom w:val="none" w:sz="0" w:space="0" w:color="auto"/>
            <w:right w:val="none" w:sz="0" w:space="0" w:color="auto"/>
          </w:divBdr>
        </w:div>
        <w:div w:id="1869682711">
          <w:marLeft w:val="0"/>
          <w:marRight w:val="0"/>
          <w:marTop w:val="0"/>
          <w:marBottom w:val="0"/>
          <w:divBdr>
            <w:top w:val="none" w:sz="0" w:space="0" w:color="auto"/>
            <w:left w:val="none" w:sz="0" w:space="0" w:color="auto"/>
            <w:bottom w:val="none" w:sz="0" w:space="0" w:color="auto"/>
            <w:right w:val="none" w:sz="0" w:space="0" w:color="auto"/>
          </w:divBdr>
        </w:div>
      </w:divsChild>
    </w:div>
    <w:div w:id="1129472822">
      <w:bodyDiv w:val="1"/>
      <w:marLeft w:val="0"/>
      <w:marRight w:val="0"/>
      <w:marTop w:val="0"/>
      <w:marBottom w:val="0"/>
      <w:divBdr>
        <w:top w:val="none" w:sz="0" w:space="0" w:color="auto"/>
        <w:left w:val="none" w:sz="0" w:space="0" w:color="auto"/>
        <w:bottom w:val="none" w:sz="0" w:space="0" w:color="auto"/>
        <w:right w:val="none" w:sz="0" w:space="0" w:color="auto"/>
      </w:divBdr>
    </w:div>
    <w:div w:id="1144355499">
      <w:bodyDiv w:val="1"/>
      <w:marLeft w:val="0"/>
      <w:marRight w:val="0"/>
      <w:marTop w:val="0"/>
      <w:marBottom w:val="0"/>
      <w:divBdr>
        <w:top w:val="none" w:sz="0" w:space="0" w:color="auto"/>
        <w:left w:val="none" w:sz="0" w:space="0" w:color="auto"/>
        <w:bottom w:val="none" w:sz="0" w:space="0" w:color="auto"/>
        <w:right w:val="none" w:sz="0" w:space="0" w:color="auto"/>
      </w:divBdr>
    </w:div>
    <w:div w:id="1149128029">
      <w:bodyDiv w:val="1"/>
      <w:marLeft w:val="0"/>
      <w:marRight w:val="0"/>
      <w:marTop w:val="0"/>
      <w:marBottom w:val="0"/>
      <w:divBdr>
        <w:top w:val="none" w:sz="0" w:space="0" w:color="auto"/>
        <w:left w:val="none" w:sz="0" w:space="0" w:color="auto"/>
        <w:bottom w:val="none" w:sz="0" w:space="0" w:color="auto"/>
        <w:right w:val="none" w:sz="0" w:space="0" w:color="auto"/>
      </w:divBdr>
    </w:div>
    <w:div w:id="1181702867">
      <w:bodyDiv w:val="1"/>
      <w:marLeft w:val="0"/>
      <w:marRight w:val="0"/>
      <w:marTop w:val="0"/>
      <w:marBottom w:val="0"/>
      <w:divBdr>
        <w:top w:val="none" w:sz="0" w:space="0" w:color="auto"/>
        <w:left w:val="none" w:sz="0" w:space="0" w:color="auto"/>
        <w:bottom w:val="none" w:sz="0" w:space="0" w:color="auto"/>
        <w:right w:val="none" w:sz="0" w:space="0" w:color="auto"/>
      </w:divBdr>
    </w:div>
    <w:div w:id="1214581579">
      <w:bodyDiv w:val="1"/>
      <w:marLeft w:val="0"/>
      <w:marRight w:val="0"/>
      <w:marTop w:val="0"/>
      <w:marBottom w:val="0"/>
      <w:divBdr>
        <w:top w:val="none" w:sz="0" w:space="0" w:color="auto"/>
        <w:left w:val="none" w:sz="0" w:space="0" w:color="auto"/>
        <w:bottom w:val="none" w:sz="0" w:space="0" w:color="auto"/>
        <w:right w:val="none" w:sz="0" w:space="0" w:color="auto"/>
      </w:divBdr>
    </w:div>
    <w:div w:id="1219127169">
      <w:bodyDiv w:val="1"/>
      <w:marLeft w:val="0"/>
      <w:marRight w:val="0"/>
      <w:marTop w:val="0"/>
      <w:marBottom w:val="0"/>
      <w:divBdr>
        <w:top w:val="none" w:sz="0" w:space="0" w:color="auto"/>
        <w:left w:val="none" w:sz="0" w:space="0" w:color="auto"/>
        <w:bottom w:val="none" w:sz="0" w:space="0" w:color="auto"/>
        <w:right w:val="none" w:sz="0" w:space="0" w:color="auto"/>
      </w:divBdr>
    </w:div>
    <w:div w:id="1220480289">
      <w:bodyDiv w:val="1"/>
      <w:marLeft w:val="0"/>
      <w:marRight w:val="0"/>
      <w:marTop w:val="0"/>
      <w:marBottom w:val="0"/>
      <w:divBdr>
        <w:top w:val="none" w:sz="0" w:space="0" w:color="auto"/>
        <w:left w:val="none" w:sz="0" w:space="0" w:color="auto"/>
        <w:bottom w:val="none" w:sz="0" w:space="0" w:color="auto"/>
        <w:right w:val="none" w:sz="0" w:space="0" w:color="auto"/>
      </w:divBdr>
    </w:div>
    <w:div w:id="1229729438">
      <w:bodyDiv w:val="1"/>
      <w:marLeft w:val="0"/>
      <w:marRight w:val="0"/>
      <w:marTop w:val="0"/>
      <w:marBottom w:val="0"/>
      <w:divBdr>
        <w:top w:val="none" w:sz="0" w:space="0" w:color="auto"/>
        <w:left w:val="none" w:sz="0" w:space="0" w:color="auto"/>
        <w:bottom w:val="none" w:sz="0" w:space="0" w:color="auto"/>
        <w:right w:val="none" w:sz="0" w:space="0" w:color="auto"/>
      </w:divBdr>
    </w:div>
    <w:div w:id="1232691041">
      <w:bodyDiv w:val="1"/>
      <w:marLeft w:val="0"/>
      <w:marRight w:val="0"/>
      <w:marTop w:val="0"/>
      <w:marBottom w:val="0"/>
      <w:divBdr>
        <w:top w:val="none" w:sz="0" w:space="0" w:color="auto"/>
        <w:left w:val="none" w:sz="0" w:space="0" w:color="auto"/>
        <w:bottom w:val="none" w:sz="0" w:space="0" w:color="auto"/>
        <w:right w:val="none" w:sz="0" w:space="0" w:color="auto"/>
      </w:divBdr>
    </w:div>
    <w:div w:id="1244686581">
      <w:bodyDiv w:val="1"/>
      <w:marLeft w:val="0"/>
      <w:marRight w:val="0"/>
      <w:marTop w:val="0"/>
      <w:marBottom w:val="0"/>
      <w:divBdr>
        <w:top w:val="none" w:sz="0" w:space="0" w:color="auto"/>
        <w:left w:val="none" w:sz="0" w:space="0" w:color="auto"/>
        <w:bottom w:val="none" w:sz="0" w:space="0" w:color="auto"/>
        <w:right w:val="none" w:sz="0" w:space="0" w:color="auto"/>
      </w:divBdr>
    </w:div>
    <w:div w:id="1256016644">
      <w:bodyDiv w:val="1"/>
      <w:marLeft w:val="0"/>
      <w:marRight w:val="0"/>
      <w:marTop w:val="0"/>
      <w:marBottom w:val="0"/>
      <w:divBdr>
        <w:top w:val="none" w:sz="0" w:space="0" w:color="auto"/>
        <w:left w:val="none" w:sz="0" w:space="0" w:color="auto"/>
        <w:bottom w:val="none" w:sz="0" w:space="0" w:color="auto"/>
        <w:right w:val="none" w:sz="0" w:space="0" w:color="auto"/>
      </w:divBdr>
    </w:div>
    <w:div w:id="1258952009">
      <w:bodyDiv w:val="1"/>
      <w:marLeft w:val="0"/>
      <w:marRight w:val="0"/>
      <w:marTop w:val="0"/>
      <w:marBottom w:val="0"/>
      <w:divBdr>
        <w:top w:val="none" w:sz="0" w:space="0" w:color="auto"/>
        <w:left w:val="none" w:sz="0" w:space="0" w:color="auto"/>
        <w:bottom w:val="none" w:sz="0" w:space="0" w:color="auto"/>
        <w:right w:val="none" w:sz="0" w:space="0" w:color="auto"/>
      </w:divBdr>
    </w:div>
    <w:div w:id="1277253453">
      <w:bodyDiv w:val="1"/>
      <w:marLeft w:val="0"/>
      <w:marRight w:val="0"/>
      <w:marTop w:val="0"/>
      <w:marBottom w:val="0"/>
      <w:divBdr>
        <w:top w:val="none" w:sz="0" w:space="0" w:color="auto"/>
        <w:left w:val="none" w:sz="0" w:space="0" w:color="auto"/>
        <w:bottom w:val="none" w:sz="0" w:space="0" w:color="auto"/>
        <w:right w:val="none" w:sz="0" w:space="0" w:color="auto"/>
      </w:divBdr>
    </w:div>
    <w:div w:id="1280455932">
      <w:bodyDiv w:val="1"/>
      <w:marLeft w:val="0"/>
      <w:marRight w:val="0"/>
      <w:marTop w:val="0"/>
      <w:marBottom w:val="0"/>
      <w:divBdr>
        <w:top w:val="none" w:sz="0" w:space="0" w:color="auto"/>
        <w:left w:val="none" w:sz="0" w:space="0" w:color="auto"/>
        <w:bottom w:val="none" w:sz="0" w:space="0" w:color="auto"/>
        <w:right w:val="none" w:sz="0" w:space="0" w:color="auto"/>
      </w:divBdr>
    </w:div>
    <w:div w:id="1294677578">
      <w:bodyDiv w:val="1"/>
      <w:marLeft w:val="0"/>
      <w:marRight w:val="0"/>
      <w:marTop w:val="0"/>
      <w:marBottom w:val="0"/>
      <w:divBdr>
        <w:top w:val="none" w:sz="0" w:space="0" w:color="auto"/>
        <w:left w:val="none" w:sz="0" w:space="0" w:color="auto"/>
        <w:bottom w:val="none" w:sz="0" w:space="0" w:color="auto"/>
        <w:right w:val="none" w:sz="0" w:space="0" w:color="auto"/>
      </w:divBdr>
    </w:div>
    <w:div w:id="1295603795">
      <w:bodyDiv w:val="1"/>
      <w:marLeft w:val="0"/>
      <w:marRight w:val="0"/>
      <w:marTop w:val="0"/>
      <w:marBottom w:val="0"/>
      <w:divBdr>
        <w:top w:val="none" w:sz="0" w:space="0" w:color="auto"/>
        <w:left w:val="none" w:sz="0" w:space="0" w:color="auto"/>
        <w:bottom w:val="none" w:sz="0" w:space="0" w:color="auto"/>
        <w:right w:val="none" w:sz="0" w:space="0" w:color="auto"/>
      </w:divBdr>
    </w:div>
    <w:div w:id="1312712729">
      <w:bodyDiv w:val="1"/>
      <w:marLeft w:val="0"/>
      <w:marRight w:val="0"/>
      <w:marTop w:val="0"/>
      <w:marBottom w:val="0"/>
      <w:divBdr>
        <w:top w:val="none" w:sz="0" w:space="0" w:color="auto"/>
        <w:left w:val="none" w:sz="0" w:space="0" w:color="auto"/>
        <w:bottom w:val="none" w:sz="0" w:space="0" w:color="auto"/>
        <w:right w:val="none" w:sz="0" w:space="0" w:color="auto"/>
      </w:divBdr>
    </w:div>
    <w:div w:id="1318805343">
      <w:bodyDiv w:val="1"/>
      <w:marLeft w:val="0"/>
      <w:marRight w:val="0"/>
      <w:marTop w:val="0"/>
      <w:marBottom w:val="0"/>
      <w:divBdr>
        <w:top w:val="none" w:sz="0" w:space="0" w:color="auto"/>
        <w:left w:val="none" w:sz="0" w:space="0" w:color="auto"/>
        <w:bottom w:val="none" w:sz="0" w:space="0" w:color="auto"/>
        <w:right w:val="none" w:sz="0" w:space="0" w:color="auto"/>
      </w:divBdr>
    </w:div>
    <w:div w:id="1320575259">
      <w:bodyDiv w:val="1"/>
      <w:marLeft w:val="0"/>
      <w:marRight w:val="0"/>
      <w:marTop w:val="0"/>
      <w:marBottom w:val="0"/>
      <w:divBdr>
        <w:top w:val="none" w:sz="0" w:space="0" w:color="auto"/>
        <w:left w:val="none" w:sz="0" w:space="0" w:color="auto"/>
        <w:bottom w:val="none" w:sz="0" w:space="0" w:color="auto"/>
        <w:right w:val="none" w:sz="0" w:space="0" w:color="auto"/>
      </w:divBdr>
    </w:div>
    <w:div w:id="1322467667">
      <w:bodyDiv w:val="1"/>
      <w:marLeft w:val="0"/>
      <w:marRight w:val="0"/>
      <w:marTop w:val="0"/>
      <w:marBottom w:val="0"/>
      <w:divBdr>
        <w:top w:val="none" w:sz="0" w:space="0" w:color="auto"/>
        <w:left w:val="none" w:sz="0" w:space="0" w:color="auto"/>
        <w:bottom w:val="none" w:sz="0" w:space="0" w:color="auto"/>
        <w:right w:val="none" w:sz="0" w:space="0" w:color="auto"/>
      </w:divBdr>
    </w:div>
    <w:div w:id="1330015153">
      <w:bodyDiv w:val="1"/>
      <w:marLeft w:val="0"/>
      <w:marRight w:val="0"/>
      <w:marTop w:val="0"/>
      <w:marBottom w:val="0"/>
      <w:divBdr>
        <w:top w:val="none" w:sz="0" w:space="0" w:color="auto"/>
        <w:left w:val="none" w:sz="0" w:space="0" w:color="auto"/>
        <w:bottom w:val="none" w:sz="0" w:space="0" w:color="auto"/>
        <w:right w:val="none" w:sz="0" w:space="0" w:color="auto"/>
      </w:divBdr>
    </w:div>
    <w:div w:id="1343974773">
      <w:bodyDiv w:val="1"/>
      <w:marLeft w:val="0"/>
      <w:marRight w:val="0"/>
      <w:marTop w:val="0"/>
      <w:marBottom w:val="0"/>
      <w:divBdr>
        <w:top w:val="none" w:sz="0" w:space="0" w:color="auto"/>
        <w:left w:val="none" w:sz="0" w:space="0" w:color="auto"/>
        <w:bottom w:val="none" w:sz="0" w:space="0" w:color="auto"/>
        <w:right w:val="none" w:sz="0" w:space="0" w:color="auto"/>
      </w:divBdr>
    </w:div>
    <w:div w:id="1356420566">
      <w:bodyDiv w:val="1"/>
      <w:marLeft w:val="0"/>
      <w:marRight w:val="0"/>
      <w:marTop w:val="0"/>
      <w:marBottom w:val="0"/>
      <w:divBdr>
        <w:top w:val="none" w:sz="0" w:space="0" w:color="auto"/>
        <w:left w:val="none" w:sz="0" w:space="0" w:color="auto"/>
        <w:bottom w:val="none" w:sz="0" w:space="0" w:color="auto"/>
        <w:right w:val="none" w:sz="0" w:space="0" w:color="auto"/>
      </w:divBdr>
    </w:div>
    <w:div w:id="1358120870">
      <w:bodyDiv w:val="1"/>
      <w:marLeft w:val="0"/>
      <w:marRight w:val="0"/>
      <w:marTop w:val="0"/>
      <w:marBottom w:val="0"/>
      <w:divBdr>
        <w:top w:val="none" w:sz="0" w:space="0" w:color="auto"/>
        <w:left w:val="none" w:sz="0" w:space="0" w:color="auto"/>
        <w:bottom w:val="none" w:sz="0" w:space="0" w:color="auto"/>
        <w:right w:val="none" w:sz="0" w:space="0" w:color="auto"/>
      </w:divBdr>
    </w:div>
    <w:div w:id="1377847931">
      <w:bodyDiv w:val="1"/>
      <w:marLeft w:val="0"/>
      <w:marRight w:val="0"/>
      <w:marTop w:val="0"/>
      <w:marBottom w:val="0"/>
      <w:divBdr>
        <w:top w:val="none" w:sz="0" w:space="0" w:color="auto"/>
        <w:left w:val="none" w:sz="0" w:space="0" w:color="auto"/>
        <w:bottom w:val="none" w:sz="0" w:space="0" w:color="auto"/>
        <w:right w:val="none" w:sz="0" w:space="0" w:color="auto"/>
      </w:divBdr>
    </w:div>
    <w:div w:id="1403212901">
      <w:bodyDiv w:val="1"/>
      <w:marLeft w:val="0"/>
      <w:marRight w:val="0"/>
      <w:marTop w:val="0"/>
      <w:marBottom w:val="0"/>
      <w:divBdr>
        <w:top w:val="none" w:sz="0" w:space="0" w:color="auto"/>
        <w:left w:val="none" w:sz="0" w:space="0" w:color="auto"/>
        <w:bottom w:val="none" w:sz="0" w:space="0" w:color="auto"/>
        <w:right w:val="none" w:sz="0" w:space="0" w:color="auto"/>
      </w:divBdr>
    </w:div>
    <w:div w:id="1415321917">
      <w:bodyDiv w:val="1"/>
      <w:marLeft w:val="0"/>
      <w:marRight w:val="0"/>
      <w:marTop w:val="0"/>
      <w:marBottom w:val="0"/>
      <w:divBdr>
        <w:top w:val="none" w:sz="0" w:space="0" w:color="auto"/>
        <w:left w:val="none" w:sz="0" w:space="0" w:color="auto"/>
        <w:bottom w:val="none" w:sz="0" w:space="0" w:color="auto"/>
        <w:right w:val="none" w:sz="0" w:space="0" w:color="auto"/>
      </w:divBdr>
    </w:div>
    <w:div w:id="1428112413">
      <w:bodyDiv w:val="1"/>
      <w:marLeft w:val="0"/>
      <w:marRight w:val="0"/>
      <w:marTop w:val="0"/>
      <w:marBottom w:val="0"/>
      <w:divBdr>
        <w:top w:val="none" w:sz="0" w:space="0" w:color="auto"/>
        <w:left w:val="none" w:sz="0" w:space="0" w:color="auto"/>
        <w:bottom w:val="none" w:sz="0" w:space="0" w:color="auto"/>
        <w:right w:val="none" w:sz="0" w:space="0" w:color="auto"/>
      </w:divBdr>
    </w:div>
    <w:div w:id="1464467579">
      <w:bodyDiv w:val="1"/>
      <w:marLeft w:val="0"/>
      <w:marRight w:val="0"/>
      <w:marTop w:val="0"/>
      <w:marBottom w:val="0"/>
      <w:divBdr>
        <w:top w:val="none" w:sz="0" w:space="0" w:color="auto"/>
        <w:left w:val="none" w:sz="0" w:space="0" w:color="auto"/>
        <w:bottom w:val="none" w:sz="0" w:space="0" w:color="auto"/>
        <w:right w:val="none" w:sz="0" w:space="0" w:color="auto"/>
      </w:divBdr>
    </w:div>
    <w:div w:id="1477065343">
      <w:bodyDiv w:val="1"/>
      <w:marLeft w:val="0"/>
      <w:marRight w:val="0"/>
      <w:marTop w:val="0"/>
      <w:marBottom w:val="0"/>
      <w:divBdr>
        <w:top w:val="none" w:sz="0" w:space="0" w:color="auto"/>
        <w:left w:val="none" w:sz="0" w:space="0" w:color="auto"/>
        <w:bottom w:val="none" w:sz="0" w:space="0" w:color="auto"/>
        <w:right w:val="none" w:sz="0" w:space="0" w:color="auto"/>
      </w:divBdr>
    </w:div>
    <w:div w:id="1517692604">
      <w:bodyDiv w:val="1"/>
      <w:marLeft w:val="0"/>
      <w:marRight w:val="0"/>
      <w:marTop w:val="0"/>
      <w:marBottom w:val="0"/>
      <w:divBdr>
        <w:top w:val="none" w:sz="0" w:space="0" w:color="auto"/>
        <w:left w:val="none" w:sz="0" w:space="0" w:color="auto"/>
        <w:bottom w:val="none" w:sz="0" w:space="0" w:color="auto"/>
        <w:right w:val="none" w:sz="0" w:space="0" w:color="auto"/>
      </w:divBdr>
    </w:div>
    <w:div w:id="1519781684">
      <w:bodyDiv w:val="1"/>
      <w:marLeft w:val="0"/>
      <w:marRight w:val="0"/>
      <w:marTop w:val="0"/>
      <w:marBottom w:val="0"/>
      <w:divBdr>
        <w:top w:val="none" w:sz="0" w:space="0" w:color="auto"/>
        <w:left w:val="none" w:sz="0" w:space="0" w:color="auto"/>
        <w:bottom w:val="none" w:sz="0" w:space="0" w:color="auto"/>
        <w:right w:val="none" w:sz="0" w:space="0" w:color="auto"/>
      </w:divBdr>
    </w:div>
    <w:div w:id="1521429324">
      <w:bodyDiv w:val="1"/>
      <w:marLeft w:val="0"/>
      <w:marRight w:val="0"/>
      <w:marTop w:val="0"/>
      <w:marBottom w:val="0"/>
      <w:divBdr>
        <w:top w:val="none" w:sz="0" w:space="0" w:color="auto"/>
        <w:left w:val="none" w:sz="0" w:space="0" w:color="auto"/>
        <w:bottom w:val="none" w:sz="0" w:space="0" w:color="auto"/>
        <w:right w:val="none" w:sz="0" w:space="0" w:color="auto"/>
      </w:divBdr>
    </w:div>
    <w:div w:id="1536311218">
      <w:bodyDiv w:val="1"/>
      <w:marLeft w:val="0"/>
      <w:marRight w:val="0"/>
      <w:marTop w:val="0"/>
      <w:marBottom w:val="0"/>
      <w:divBdr>
        <w:top w:val="none" w:sz="0" w:space="0" w:color="auto"/>
        <w:left w:val="none" w:sz="0" w:space="0" w:color="auto"/>
        <w:bottom w:val="none" w:sz="0" w:space="0" w:color="auto"/>
        <w:right w:val="none" w:sz="0" w:space="0" w:color="auto"/>
      </w:divBdr>
    </w:div>
    <w:div w:id="1541893905">
      <w:bodyDiv w:val="1"/>
      <w:marLeft w:val="0"/>
      <w:marRight w:val="0"/>
      <w:marTop w:val="0"/>
      <w:marBottom w:val="0"/>
      <w:divBdr>
        <w:top w:val="none" w:sz="0" w:space="0" w:color="auto"/>
        <w:left w:val="none" w:sz="0" w:space="0" w:color="auto"/>
        <w:bottom w:val="none" w:sz="0" w:space="0" w:color="auto"/>
        <w:right w:val="none" w:sz="0" w:space="0" w:color="auto"/>
      </w:divBdr>
    </w:div>
    <w:div w:id="1551459488">
      <w:bodyDiv w:val="1"/>
      <w:marLeft w:val="0"/>
      <w:marRight w:val="0"/>
      <w:marTop w:val="0"/>
      <w:marBottom w:val="0"/>
      <w:divBdr>
        <w:top w:val="none" w:sz="0" w:space="0" w:color="auto"/>
        <w:left w:val="none" w:sz="0" w:space="0" w:color="auto"/>
        <w:bottom w:val="none" w:sz="0" w:space="0" w:color="auto"/>
        <w:right w:val="none" w:sz="0" w:space="0" w:color="auto"/>
      </w:divBdr>
    </w:div>
    <w:div w:id="1563831480">
      <w:bodyDiv w:val="1"/>
      <w:marLeft w:val="0"/>
      <w:marRight w:val="0"/>
      <w:marTop w:val="0"/>
      <w:marBottom w:val="0"/>
      <w:divBdr>
        <w:top w:val="none" w:sz="0" w:space="0" w:color="auto"/>
        <w:left w:val="none" w:sz="0" w:space="0" w:color="auto"/>
        <w:bottom w:val="none" w:sz="0" w:space="0" w:color="auto"/>
        <w:right w:val="none" w:sz="0" w:space="0" w:color="auto"/>
      </w:divBdr>
    </w:div>
    <w:div w:id="1572234992">
      <w:bodyDiv w:val="1"/>
      <w:marLeft w:val="0"/>
      <w:marRight w:val="0"/>
      <w:marTop w:val="0"/>
      <w:marBottom w:val="0"/>
      <w:divBdr>
        <w:top w:val="none" w:sz="0" w:space="0" w:color="auto"/>
        <w:left w:val="none" w:sz="0" w:space="0" w:color="auto"/>
        <w:bottom w:val="none" w:sz="0" w:space="0" w:color="auto"/>
        <w:right w:val="none" w:sz="0" w:space="0" w:color="auto"/>
      </w:divBdr>
    </w:div>
    <w:div w:id="1596476116">
      <w:bodyDiv w:val="1"/>
      <w:marLeft w:val="0"/>
      <w:marRight w:val="0"/>
      <w:marTop w:val="0"/>
      <w:marBottom w:val="0"/>
      <w:divBdr>
        <w:top w:val="none" w:sz="0" w:space="0" w:color="auto"/>
        <w:left w:val="none" w:sz="0" w:space="0" w:color="auto"/>
        <w:bottom w:val="none" w:sz="0" w:space="0" w:color="auto"/>
        <w:right w:val="none" w:sz="0" w:space="0" w:color="auto"/>
      </w:divBdr>
    </w:div>
    <w:div w:id="1605646485">
      <w:bodyDiv w:val="1"/>
      <w:marLeft w:val="0"/>
      <w:marRight w:val="0"/>
      <w:marTop w:val="0"/>
      <w:marBottom w:val="0"/>
      <w:divBdr>
        <w:top w:val="none" w:sz="0" w:space="0" w:color="auto"/>
        <w:left w:val="none" w:sz="0" w:space="0" w:color="auto"/>
        <w:bottom w:val="none" w:sz="0" w:space="0" w:color="auto"/>
        <w:right w:val="none" w:sz="0" w:space="0" w:color="auto"/>
      </w:divBdr>
    </w:div>
    <w:div w:id="1609773075">
      <w:bodyDiv w:val="1"/>
      <w:marLeft w:val="0"/>
      <w:marRight w:val="0"/>
      <w:marTop w:val="0"/>
      <w:marBottom w:val="0"/>
      <w:divBdr>
        <w:top w:val="none" w:sz="0" w:space="0" w:color="auto"/>
        <w:left w:val="none" w:sz="0" w:space="0" w:color="auto"/>
        <w:bottom w:val="none" w:sz="0" w:space="0" w:color="auto"/>
        <w:right w:val="none" w:sz="0" w:space="0" w:color="auto"/>
      </w:divBdr>
    </w:div>
    <w:div w:id="1610699266">
      <w:bodyDiv w:val="1"/>
      <w:marLeft w:val="0"/>
      <w:marRight w:val="0"/>
      <w:marTop w:val="0"/>
      <w:marBottom w:val="0"/>
      <w:divBdr>
        <w:top w:val="none" w:sz="0" w:space="0" w:color="auto"/>
        <w:left w:val="none" w:sz="0" w:space="0" w:color="auto"/>
        <w:bottom w:val="none" w:sz="0" w:space="0" w:color="auto"/>
        <w:right w:val="none" w:sz="0" w:space="0" w:color="auto"/>
      </w:divBdr>
    </w:div>
    <w:div w:id="1622878734">
      <w:bodyDiv w:val="1"/>
      <w:marLeft w:val="0"/>
      <w:marRight w:val="0"/>
      <w:marTop w:val="0"/>
      <w:marBottom w:val="0"/>
      <w:divBdr>
        <w:top w:val="none" w:sz="0" w:space="0" w:color="auto"/>
        <w:left w:val="none" w:sz="0" w:space="0" w:color="auto"/>
        <w:bottom w:val="none" w:sz="0" w:space="0" w:color="auto"/>
        <w:right w:val="none" w:sz="0" w:space="0" w:color="auto"/>
      </w:divBdr>
    </w:div>
    <w:div w:id="1666858317">
      <w:bodyDiv w:val="1"/>
      <w:marLeft w:val="0"/>
      <w:marRight w:val="0"/>
      <w:marTop w:val="0"/>
      <w:marBottom w:val="0"/>
      <w:divBdr>
        <w:top w:val="none" w:sz="0" w:space="0" w:color="auto"/>
        <w:left w:val="none" w:sz="0" w:space="0" w:color="auto"/>
        <w:bottom w:val="none" w:sz="0" w:space="0" w:color="auto"/>
        <w:right w:val="none" w:sz="0" w:space="0" w:color="auto"/>
      </w:divBdr>
    </w:div>
    <w:div w:id="1671105640">
      <w:bodyDiv w:val="1"/>
      <w:marLeft w:val="0"/>
      <w:marRight w:val="0"/>
      <w:marTop w:val="0"/>
      <w:marBottom w:val="0"/>
      <w:divBdr>
        <w:top w:val="none" w:sz="0" w:space="0" w:color="auto"/>
        <w:left w:val="none" w:sz="0" w:space="0" w:color="auto"/>
        <w:bottom w:val="none" w:sz="0" w:space="0" w:color="auto"/>
        <w:right w:val="none" w:sz="0" w:space="0" w:color="auto"/>
      </w:divBdr>
    </w:div>
    <w:div w:id="1689477482">
      <w:bodyDiv w:val="1"/>
      <w:marLeft w:val="0"/>
      <w:marRight w:val="0"/>
      <w:marTop w:val="0"/>
      <w:marBottom w:val="0"/>
      <w:divBdr>
        <w:top w:val="none" w:sz="0" w:space="0" w:color="auto"/>
        <w:left w:val="none" w:sz="0" w:space="0" w:color="auto"/>
        <w:bottom w:val="none" w:sz="0" w:space="0" w:color="auto"/>
        <w:right w:val="none" w:sz="0" w:space="0" w:color="auto"/>
      </w:divBdr>
    </w:div>
    <w:div w:id="1720323455">
      <w:bodyDiv w:val="1"/>
      <w:marLeft w:val="0"/>
      <w:marRight w:val="0"/>
      <w:marTop w:val="0"/>
      <w:marBottom w:val="0"/>
      <w:divBdr>
        <w:top w:val="none" w:sz="0" w:space="0" w:color="auto"/>
        <w:left w:val="none" w:sz="0" w:space="0" w:color="auto"/>
        <w:bottom w:val="none" w:sz="0" w:space="0" w:color="auto"/>
        <w:right w:val="none" w:sz="0" w:space="0" w:color="auto"/>
      </w:divBdr>
    </w:div>
    <w:div w:id="1721133050">
      <w:bodyDiv w:val="1"/>
      <w:marLeft w:val="0"/>
      <w:marRight w:val="0"/>
      <w:marTop w:val="0"/>
      <w:marBottom w:val="0"/>
      <w:divBdr>
        <w:top w:val="none" w:sz="0" w:space="0" w:color="auto"/>
        <w:left w:val="none" w:sz="0" w:space="0" w:color="auto"/>
        <w:bottom w:val="none" w:sz="0" w:space="0" w:color="auto"/>
        <w:right w:val="none" w:sz="0" w:space="0" w:color="auto"/>
      </w:divBdr>
    </w:div>
    <w:div w:id="1740202806">
      <w:bodyDiv w:val="1"/>
      <w:marLeft w:val="0"/>
      <w:marRight w:val="0"/>
      <w:marTop w:val="0"/>
      <w:marBottom w:val="0"/>
      <w:divBdr>
        <w:top w:val="none" w:sz="0" w:space="0" w:color="auto"/>
        <w:left w:val="none" w:sz="0" w:space="0" w:color="auto"/>
        <w:bottom w:val="none" w:sz="0" w:space="0" w:color="auto"/>
        <w:right w:val="none" w:sz="0" w:space="0" w:color="auto"/>
      </w:divBdr>
    </w:div>
    <w:div w:id="1755852821">
      <w:bodyDiv w:val="1"/>
      <w:marLeft w:val="0"/>
      <w:marRight w:val="0"/>
      <w:marTop w:val="0"/>
      <w:marBottom w:val="0"/>
      <w:divBdr>
        <w:top w:val="none" w:sz="0" w:space="0" w:color="auto"/>
        <w:left w:val="none" w:sz="0" w:space="0" w:color="auto"/>
        <w:bottom w:val="none" w:sz="0" w:space="0" w:color="auto"/>
        <w:right w:val="none" w:sz="0" w:space="0" w:color="auto"/>
      </w:divBdr>
    </w:div>
    <w:div w:id="1812286989">
      <w:bodyDiv w:val="1"/>
      <w:marLeft w:val="0"/>
      <w:marRight w:val="0"/>
      <w:marTop w:val="0"/>
      <w:marBottom w:val="0"/>
      <w:divBdr>
        <w:top w:val="none" w:sz="0" w:space="0" w:color="auto"/>
        <w:left w:val="none" w:sz="0" w:space="0" w:color="auto"/>
        <w:bottom w:val="none" w:sz="0" w:space="0" w:color="auto"/>
        <w:right w:val="none" w:sz="0" w:space="0" w:color="auto"/>
      </w:divBdr>
    </w:div>
    <w:div w:id="1824618134">
      <w:bodyDiv w:val="1"/>
      <w:marLeft w:val="0"/>
      <w:marRight w:val="0"/>
      <w:marTop w:val="0"/>
      <w:marBottom w:val="0"/>
      <w:divBdr>
        <w:top w:val="none" w:sz="0" w:space="0" w:color="auto"/>
        <w:left w:val="none" w:sz="0" w:space="0" w:color="auto"/>
        <w:bottom w:val="none" w:sz="0" w:space="0" w:color="auto"/>
        <w:right w:val="none" w:sz="0" w:space="0" w:color="auto"/>
      </w:divBdr>
    </w:div>
    <w:div w:id="1833794159">
      <w:bodyDiv w:val="1"/>
      <w:marLeft w:val="0"/>
      <w:marRight w:val="0"/>
      <w:marTop w:val="0"/>
      <w:marBottom w:val="0"/>
      <w:divBdr>
        <w:top w:val="none" w:sz="0" w:space="0" w:color="auto"/>
        <w:left w:val="none" w:sz="0" w:space="0" w:color="auto"/>
        <w:bottom w:val="none" w:sz="0" w:space="0" w:color="auto"/>
        <w:right w:val="none" w:sz="0" w:space="0" w:color="auto"/>
      </w:divBdr>
    </w:div>
    <w:div w:id="1858080517">
      <w:bodyDiv w:val="1"/>
      <w:marLeft w:val="0"/>
      <w:marRight w:val="0"/>
      <w:marTop w:val="0"/>
      <w:marBottom w:val="0"/>
      <w:divBdr>
        <w:top w:val="none" w:sz="0" w:space="0" w:color="auto"/>
        <w:left w:val="none" w:sz="0" w:space="0" w:color="auto"/>
        <w:bottom w:val="none" w:sz="0" w:space="0" w:color="auto"/>
        <w:right w:val="none" w:sz="0" w:space="0" w:color="auto"/>
      </w:divBdr>
    </w:div>
    <w:div w:id="1862625889">
      <w:bodyDiv w:val="1"/>
      <w:marLeft w:val="0"/>
      <w:marRight w:val="0"/>
      <w:marTop w:val="0"/>
      <w:marBottom w:val="0"/>
      <w:divBdr>
        <w:top w:val="none" w:sz="0" w:space="0" w:color="auto"/>
        <w:left w:val="none" w:sz="0" w:space="0" w:color="auto"/>
        <w:bottom w:val="none" w:sz="0" w:space="0" w:color="auto"/>
        <w:right w:val="none" w:sz="0" w:space="0" w:color="auto"/>
      </w:divBdr>
    </w:div>
    <w:div w:id="1865365871">
      <w:bodyDiv w:val="1"/>
      <w:marLeft w:val="0"/>
      <w:marRight w:val="0"/>
      <w:marTop w:val="0"/>
      <w:marBottom w:val="0"/>
      <w:divBdr>
        <w:top w:val="none" w:sz="0" w:space="0" w:color="auto"/>
        <w:left w:val="none" w:sz="0" w:space="0" w:color="auto"/>
        <w:bottom w:val="none" w:sz="0" w:space="0" w:color="auto"/>
        <w:right w:val="none" w:sz="0" w:space="0" w:color="auto"/>
      </w:divBdr>
    </w:div>
    <w:div w:id="1882327905">
      <w:bodyDiv w:val="1"/>
      <w:marLeft w:val="0"/>
      <w:marRight w:val="0"/>
      <w:marTop w:val="0"/>
      <w:marBottom w:val="0"/>
      <w:divBdr>
        <w:top w:val="none" w:sz="0" w:space="0" w:color="auto"/>
        <w:left w:val="none" w:sz="0" w:space="0" w:color="auto"/>
        <w:bottom w:val="none" w:sz="0" w:space="0" w:color="auto"/>
        <w:right w:val="none" w:sz="0" w:space="0" w:color="auto"/>
      </w:divBdr>
    </w:div>
    <w:div w:id="1892568194">
      <w:bodyDiv w:val="1"/>
      <w:marLeft w:val="0"/>
      <w:marRight w:val="0"/>
      <w:marTop w:val="0"/>
      <w:marBottom w:val="0"/>
      <w:divBdr>
        <w:top w:val="none" w:sz="0" w:space="0" w:color="auto"/>
        <w:left w:val="none" w:sz="0" w:space="0" w:color="auto"/>
        <w:bottom w:val="none" w:sz="0" w:space="0" w:color="auto"/>
        <w:right w:val="none" w:sz="0" w:space="0" w:color="auto"/>
      </w:divBdr>
    </w:div>
    <w:div w:id="1902716769">
      <w:bodyDiv w:val="1"/>
      <w:marLeft w:val="0"/>
      <w:marRight w:val="0"/>
      <w:marTop w:val="0"/>
      <w:marBottom w:val="0"/>
      <w:divBdr>
        <w:top w:val="none" w:sz="0" w:space="0" w:color="auto"/>
        <w:left w:val="none" w:sz="0" w:space="0" w:color="auto"/>
        <w:bottom w:val="none" w:sz="0" w:space="0" w:color="auto"/>
        <w:right w:val="none" w:sz="0" w:space="0" w:color="auto"/>
      </w:divBdr>
    </w:div>
    <w:div w:id="1903711143">
      <w:bodyDiv w:val="1"/>
      <w:marLeft w:val="0"/>
      <w:marRight w:val="0"/>
      <w:marTop w:val="0"/>
      <w:marBottom w:val="0"/>
      <w:divBdr>
        <w:top w:val="none" w:sz="0" w:space="0" w:color="auto"/>
        <w:left w:val="none" w:sz="0" w:space="0" w:color="auto"/>
        <w:bottom w:val="none" w:sz="0" w:space="0" w:color="auto"/>
        <w:right w:val="none" w:sz="0" w:space="0" w:color="auto"/>
      </w:divBdr>
    </w:div>
    <w:div w:id="1911765619">
      <w:bodyDiv w:val="1"/>
      <w:marLeft w:val="0"/>
      <w:marRight w:val="0"/>
      <w:marTop w:val="0"/>
      <w:marBottom w:val="0"/>
      <w:divBdr>
        <w:top w:val="none" w:sz="0" w:space="0" w:color="auto"/>
        <w:left w:val="none" w:sz="0" w:space="0" w:color="auto"/>
        <w:bottom w:val="none" w:sz="0" w:space="0" w:color="auto"/>
        <w:right w:val="none" w:sz="0" w:space="0" w:color="auto"/>
      </w:divBdr>
    </w:div>
    <w:div w:id="1915583044">
      <w:bodyDiv w:val="1"/>
      <w:marLeft w:val="0"/>
      <w:marRight w:val="0"/>
      <w:marTop w:val="0"/>
      <w:marBottom w:val="0"/>
      <w:divBdr>
        <w:top w:val="none" w:sz="0" w:space="0" w:color="auto"/>
        <w:left w:val="none" w:sz="0" w:space="0" w:color="auto"/>
        <w:bottom w:val="none" w:sz="0" w:space="0" w:color="auto"/>
        <w:right w:val="none" w:sz="0" w:space="0" w:color="auto"/>
      </w:divBdr>
    </w:div>
    <w:div w:id="1957760526">
      <w:bodyDiv w:val="1"/>
      <w:marLeft w:val="0"/>
      <w:marRight w:val="0"/>
      <w:marTop w:val="0"/>
      <w:marBottom w:val="0"/>
      <w:divBdr>
        <w:top w:val="none" w:sz="0" w:space="0" w:color="auto"/>
        <w:left w:val="none" w:sz="0" w:space="0" w:color="auto"/>
        <w:bottom w:val="none" w:sz="0" w:space="0" w:color="auto"/>
        <w:right w:val="none" w:sz="0" w:space="0" w:color="auto"/>
      </w:divBdr>
    </w:div>
    <w:div w:id="1966306423">
      <w:bodyDiv w:val="1"/>
      <w:marLeft w:val="0"/>
      <w:marRight w:val="0"/>
      <w:marTop w:val="0"/>
      <w:marBottom w:val="0"/>
      <w:divBdr>
        <w:top w:val="none" w:sz="0" w:space="0" w:color="auto"/>
        <w:left w:val="none" w:sz="0" w:space="0" w:color="auto"/>
        <w:bottom w:val="none" w:sz="0" w:space="0" w:color="auto"/>
        <w:right w:val="none" w:sz="0" w:space="0" w:color="auto"/>
      </w:divBdr>
    </w:div>
    <w:div w:id="1972057181">
      <w:bodyDiv w:val="1"/>
      <w:marLeft w:val="0"/>
      <w:marRight w:val="0"/>
      <w:marTop w:val="0"/>
      <w:marBottom w:val="0"/>
      <w:divBdr>
        <w:top w:val="none" w:sz="0" w:space="0" w:color="auto"/>
        <w:left w:val="none" w:sz="0" w:space="0" w:color="auto"/>
        <w:bottom w:val="none" w:sz="0" w:space="0" w:color="auto"/>
        <w:right w:val="none" w:sz="0" w:space="0" w:color="auto"/>
      </w:divBdr>
    </w:div>
    <w:div w:id="1975985670">
      <w:bodyDiv w:val="1"/>
      <w:marLeft w:val="0"/>
      <w:marRight w:val="0"/>
      <w:marTop w:val="0"/>
      <w:marBottom w:val="0"/>
      <w:divBdr>
        <w:top w:val="none" w:sz="0" w:space="0" w:color="auto"/>
        <w:left w:val="none" w:sz="0" w:space="0" w:color="auto"/>
        <w:bottom w:val="none" w:sz="0" w:space="0" w:color="auto"/>
        <w:right w:val="none" w:sz="0" w:space="0" w:color="auto"/>
      </w:divBdr>
    </w:div>
    <w:div w:id="1984041464">
      <w:bodyDiv w:val="1"/>
      <w:marLeft w:val="0"/>
      <w:marRight w:val="0"/>
      <w:marTop w:val="0"/>
      <w:marBottom w:val="0"/>
      <w:divBdr>
        <w:top w:val="none" w:sz="0" w:space="0" w:color="auto"/>
        <w:left w:val="none" w:sz="0" w:space="0" w:color="auto"/>
        <w:bottom w:val="none" w:sz="0" w:space="0" w:color="auto"/>
        <w:right w:val="none" w:sz="0" w:space="0" w:color="auto"/>
      </w:divBdr>
    </w:div>
    <w:div w:id="1999073863">
      <w:bodyDiv w:val="1"/>
      <w:marLeft w:val="0"/>
      <w:marRight w:val="0"/>
      <w:marTop w:val="0"/>
      <w:marBottom w:val="0"/>
      <w:divBdr>
        <w:top w:val="none" w:sz="0" w:space="0" w:color="auto"/>
        <w:left w:val="none" w:sz="0" w:space="0" w:color="auto"/>
        <w:bottom w:val="none" w:sz="0" w:space="0" w:color="auto"/>
        <w:right w:val="none" w:sz="0" w:space="0" w:color="auto"/>
      </w:divBdr>
    </w:div>
    <w:div w:id="2007052860">
      <w:bodyDiv w:val="1"/>
      <w:marLeft w:val="0"/>
      <w:marRight w:val="0"/>
      <w:marTop w:val="0"/>
      <w:marBottom w:val="0"/>
      <w:divBdr>
        <w:top w:val="none" w:sz="0" w:space="0" w:color="auto"/>
        <w:left w:val="none" w:sz="0" w:space="0" w:color="auto"/>
        <w:bottom w:val="none" w:sz="0" w:space="0" w:color="auto"/>
        <w:right w:val="none" w:sz="0" w:space="0" w:color="auto"/>
      </w:divBdr>
    </w:div>
    <w:div w:id="2007509806">
      <w:bodyDiv w:val="1"/>
      <w:marLeft w:val="0"/>
      <w:marRight w:val="0"/>
      <w:marTop w:val="0"/>
      <w:marBottom w:val="0"/>
      <w:divBdr>
        <w:top w:val="none" w:sz="0" w:space="0" w:color="auto"/>
        <w:left w:val="none" w:sz="0" w:space="0" w:color="auto"/>
        <w:bottom w:val="none" w:sz="0" w:space="0" w:color="auto"/>
        <w:right w:val="none" w:sz="0" w:space="0" w:color="auto"/>
      </w:divBdr>
    </w:div>
    <w:div w:id="2014257644">
      <w:bodyDiv w:val="1"/>
      <w:marLeft w:val="0"/>
      <w:marRight w:val="0"/>
      <w:marTop w:val="0"/>
      <w:marBottom w:val="0"/>
      <w:divBdr>
        <w:top w:val="none" w:sz="0" w:space="0" w:color="auto"/>
        <w:left w:val="none" w:sz="0" w:space="0" w:color="auto"/>
        <w:bottom w:val="none" w:sz="0" w:space="0" w:color="auto"/>
        <w:right w:val="none" w:sz="0" w:space="0" w:color="auto"/>
      </w:divBdr>
    </w:div>
    <w:div w:id="2030180807">
      <w:bodyDiv w:val="1"/>
      <w:marLeft w:val="0"/>
      <w:marRight w:val="0"/>
      <w:marTop w:val="0"/>
      <w:marBottom w:val="0"/>
      <w:divBdr>
        <w:top w:val="none" w:sz="0" w:space="0" w:color="auto"/>
        <w:left w:val="none" w:sz="0" w:space="0" w:color="auto"/>
        <w:bottom w:val="none" w:sz="0" w:space="0" w:color="auto"/>
        <w:right w:val="none" w:sz="0" w:space="0" w:color="auto"/>
      </w:divBdr>
    </w:div>
    <w:div w:id="2038650410">
      <w:bodyDiv w:val="1"/>
      <w:marLeft w:val="0"/>
      <w:marRight w:val="0"/>
      <w:marTop w:val="0"/>
      <w:marBottom w:val="0"/>
      <w:divBdr>
        <w:top w:val="none" w:sz="0" w:space="0" w:color="auto"/>
        <w:left w:val="none" w:sz="0" w:space="0" w:color="auto"/>
        <w:bottom w:val="none" w:sz="0" w:space="0" w:color="auto"/>
        <w:right w:val="none" w:sz="0" w:space="0" w:color="auto"/>
      </w:divBdr>
    </w:div>
    <w:div w:id="2039501554">
      <w:bodyDiv w:val="1"/>
      <w:marLeft w:val="0"/>
      <w:marRight w:val="0"/>
      <w:marTop w:val="0"/>
      <w:marBottom w:val="0"/>
      <w:divBdr>
        <w:top w:val="none" w:sz="0" w:space="0" w:color="auto"/>
        <w:left w:val="none" w:sz="0" w:space="0" w:color="auto"/>
        <w:bottom w:val="none" w:sz="0" w:space="0" w:color="auto"/>
        <w:right w:val="none" w:sz="0" w:space="0" w:color="auto"/>
      </w:divBdr>
    </w:div>
    <w:div w:id="2053457421">
      <w:bodyDiv w:val="1"/>
      <w:marLeft w:val="0"/>
      <w:marRight w:val="0"/>
      <w:marTop w:val="0"/>
      <w:marBottom w:val="0"/>
      <w:divBdr>
        <w:top w:val="none" w:sz="0" w:space="0" w:color="auto"/>
        <w:left w:val="none" w:sz="0" w:space="0" w:color="auto"/>
        <w:bottom w:val="none" w:sz="0" w:space="0" w:color="auto"/>
        <w:right w:val="none" w:sz="0" w:space="0" w:color="auto"/>
      </w:divBdr>
    </w:div>
    <w:div w:id="2064450959">
      <w:bodyDiv w:val="1"/>
      <w:marLeft w:val="0"/>
      <w:marRight w:val="0"/>
      <w:marTop w:val="0"/>
      <w:marBottom w:val="0"/>
      <w:divBdr>
        <w:top w:val="none" w:sz="0" w:space="0" w:color="auto"/>
        <w:left w:val="none" w:sz="0" w:space="0" w:color="auto"/>
        <w:bottom w:val="none" w:sz="0" w:space="0" w:color="auto"/>
        <w:right w:val="none" w:sz="0" w:space="0" w:color="auto"/>
      </w:divBdr>
    </w:div>
    <w:div w:id="2065712010">
      <w:bodyDiv w:val="1"/>
      <w:marLeft w:val="0"/>
      <w:marRight w:val="0"/>
      <w:marTop w:val="0"/>
      <w:marBottom w:val="0"/>
      <w:divBdr>
        <w:top w:val="none" w:sz="0" w:space="0" w:color="auto"/>
        <w:left w:val="none" w:sz="0" w:space="0" w:color="auto"/>
        <w:bottom w:val="none" w:sz="0" w:space="0" w:color="auto"/>
        <w:right w:val="none" w:sz="0" w:space="0" w:color="auto"/>
      </w:divBdr>
    </w:div>
    <w:div w:id="2091543324">
      <w:bodyDiv w:val="1"/>
      <w:marLeft w:val="0"/>
      <w:marRight w:val="0"/>
      <w:marTop w:val="0"/>
      <w:marBottom w:val="0"/>
      <w:divBdr>
        <w:top w:val="none" w:sz="0" w:space="0" w:color="auto"/>
        <w:left w:val="none" w:sz="0" w:space="0" w:color="auto"/>
        <w:bottom w:val="none" w:sz="0" w:space="0" w:color="auto"/>
        <w:right w:val="none" w:sz="0" w:space="0" w:color="auto"/>
      </w:divBdr>
    </w:div>
    <w:div w:id="2094929558">
      <w:bodyDiv w:val="1"/>
      <w:marLeft w:val="0"/>
      <w:marRight w:val="0"/>
      <w:marTop w:val="0"/>
      <w:marBottom w:val="0"/>
      <w:divBdr>
        <w:top w:val="none" w:sz="0" w:space="0" w:color="auto"/>
        <w:left w:val="none" w:sz="0" w:space="0" w:color="auto"/>
        <w:bottom w:val="none" w:sz="0" w:space="0" w:color="auto"/>
        <w:right w:val="none" w:sz="0" w:space="0" w:color="auto"/>
      </w:divBdr>
    </w:div>
    <w:div w:id="2105883858">
      <w:bodyDiv w:val="1"/>
      <w:marLeft w:val="0"/>
      <w:marRight w:val="0"/>
      <w:marTop w:val="0"/>
      <w:marBottom w:val="0"/>
      <w:divBdr>
        <w:top w:val="none" w:sz="0" w:space="0" w:color="auto"/>
        <w:left w:val="none" w:sz="0" w:space="0" w:color="auto"/>
        <w:bottom w:val="none" w:sz="0" w:space="0" w:color="auto"/>
        <w:right w:val="none" w:sz="0" w:space="0" w:color="auto"/>
      </w:divBdr>
    </w:div>
    <w:div w:id="2116363017">
      <w:bodyDiv w:val="1"/>
      <w:marLeft w:val="0"/>
      <w:marRight w:val="0"/>
      <w:marTop w:val="0"/>
      <w:marBottom w:val="0"/>
      <w:divBdr>
        <w:top w:val="none" w:sz="0" w:space="0" w:color="auto"/>
        <w:left w:val="none" w:sz="0" w:space="0" w:color="auto"/>
        <w:bottom w:val="none" w:sz="0" w:space="0" w:color="auto"/>
        <w:right w:val="none" w:sz="0" w:space="0" w:color="auto"/>
      </w:divBdr>
    </w:div>
    <w:div w:id="2123916007">
      <w:bodyDiv w:val="1"/>
      <w:marLeft w:val="0"/>
      <w:marRight w:val="0"/>
      <w:marTop w:val="0"/>
      <w:marBottom w:val="0"/>
      <w:divBdr>
        <w:top w:val="none" w:sz="0" w:space="0" w:color="auto"/>
        <w:left w:val="none" w:sz="0" w:space="0" w:color="auto"/>
        <w:bottom w:val="none" w:sz="0" w:space="0" w:color="auto"/>
        <w:right w:val="none" w:sz="0" w:space="0" w:color="auto"/>
      </w:divBdr>
    </w:div>
    <w:div w:id="2124380629">
      <w:bodyDiv w:val="1"/>
      <w:marLeft w:val="0"/>
      <w:marRight w:val="0"/>
      <w:marTop w:val="0"/>
      <w:marBottom w:val="0"/>
      <w:divBdr>
        <w:top w:val="none" w:sz="0" w:space="0" w:color="auto"/>
        <w:left w:val="none" w:sz="0" w:space="0" w:color="auto"/>
        <w:bottom w:val="none" w:sz="0" w:space="0" w:color="auto"/>
        <w:right w:val="none" w:sz="0" w:space="0" w:color="auto"/>
      </w:divBdr>
    </w:div>
    <w:div w:id="2125609836">
      <w:bodyDiv w:val="1"/>
      <w:marLeft w:val="0"/>
      <w:marRight w:val="0"/>
      <w:marTop w:val="0"/>
      <w:marBottom w:val="0"/>
      <w:divBdr>
        <w:top w:val="none" w:sz="0" w:space="0" w:color="auto"/>
        <w:left w:val="none" w:sz="0" w:space="0" w:color="auto"/>
        <w:bottom w:val="none" w:sz="0" w:space="0" w:color="auto"/>
        <w:right w:val="none" w:sz="0" w:space="0" w:color="auto"/>
      </w:divBdr>
    </w:div>
    <w:div w:id="2136287105">
      <w:bodyDiv w:val="1"/>
      <w:marLeft w:val="0"/>
      <w:marRight w:val="0"/>
      <w:marTop w:val="0"/>
      <w:marBottom w:val="0"/>
      <w:divBdr>
        <w:top w:val="none" w:sz="0" w:space="0" w:color="auto"/>
        <w:left w:val="none" w:sz="0" w:space="0" w:color="auto"/>
        <w:bottom w:val="none" w:sz="0" w:space="0" w:color="auto"/>
        <w:right w:val="none" w:sz="0" w:space="0" w:color="auto"/>
      </w:divBdr>
    </w:div>
    <w:div w:id="2139370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ortunejournals.com/archives-of-microbiology-immunology-home-ami.php" TargetMode="Externa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fortunejournals.com/"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creativecommons.org/licenses/by/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041DA9-710E-43B6-AD2D-B04807AC8F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2822</TotalTime>
  <Pages>11</Pages>
  <Words>4332</Words>
  <Characters>24697</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t21617</cp:lastModifiedBy>
  <cp:revision>261</cp:revision>
  <dcterms:created xsi:type="dcterms:W3CDTF">2024-07-26T12:22:00Z</dcterms:created>
  <dcterms:modified xsi:type="dcterms:W3CDTF">2026-09-11T04:36:00Z</dcterms:modified>
</cp:coreProperties>
</file>