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50D847FD" w:rsidR="00EF5BE2" w:rsidRPr="00EF5BE2" w:rsidRDefault="00BB4F01" w:rsidP="00EF5BE2">
      <w:pPr>
        <w:spacing w:line="360" w:lineRule="auto"/>
        <w:jc w:val="center"/>
        <w:rPr>
          <w:rFonts w:ascii="Times New Roman" w:hAnsi="Times New Roman" w:cs="Times New Roman"/>
          <w:b/>
          <w:bCs/>
          <w:sz w:val="32"/>
          <w:szCs w:val="32"/>
        </w:rPr>
      </w:pPr>
      <w:r w:rsidRPr="00BB4F01">
        <w:rPr>
          <w:rFonts w:ascii="Times New Roman" w:hAnsi="Times New Roman" w:cs="Times New Roman"/>
          <w:b/>
          <w:bCs/>
          <w:sz w:val="32"/>
          <w:szCs w:val="32"/>
        </w:rPr>
        <w:t>Beta-Blocker Therapy After Acute Myocardial Infarction in Patients with Preserved or Mildly Reduced Ejection Fraction: A Systematic Review and Meta-Analysis</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49906595" w14:textId="4ACFAA87" w:rsidR="00A6001E" w:rsidRDefault="00BB4F01"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BB4F01">
        <w:rPr>
          <w:rFonts w:ascii="Times New Roman" w:eastAsia="Arial Unicode MS" w:hAnsi="Times New Roman" w:cs="Times New Roman"/>
          <w:b/>
          <w:sz w:val="24"/>
          <w:szCs w:val="24"/>
          <w:u w:color="000000"/>
          <w:shd w:val="clear" w:color="auto" w:fill="FFFFFF"/>
          <w:lang w:val="it-IT"/>
        </w:rPr>
        <w:t>Kazi Kamranuddin Fazaluddin</w:t>
      </w:r>
      <w:r w:rsidRPr="00BB4F01">
        <w:rPr>
          <w:rFonts w:ascii="Times New Roman" w:eastAsia="Arial Unicode MS" w:hAnsi="Times New Roman" w:cs="Times New Roman"/>
          <w:b/>
          <w:sz w:val="24"/>
          <w:szCs w:val="24"/>
          <w:u w:color="000000"/>
          <w:shd w:val="clear" w:color="auto" w:fill="FFFFFF"/>
          <w:vertAlign w:val="superscript"/>
          <w:lang w:val="it-IT"/>
        </w:rPr>
        <w:t>1</w:t>
      </w:r>
      <w:r w:rsidRPr="00BB4F01">
        <w:rPr>
          <w:rFonts w:ascii="Times New Roman" w:eastAsia="Arial Unicode MS" w:hAnsi="Times New Roman" w:cs="Times New Roman"/>
          <w:b/>
          <w:sz w:val="24"/>
          <w:szCs w:val="24"/>
          <w:u w:color="000000"/>
          <w:shd w:val="clear" w:color="auto" w:fill="FFFFFF"/>
          <w:lang w:val="it-IT"/>
        </w:rPr>
        <w:t>, Diguvinti Nehasudha Reddy</w:t>
      </w:r>
      <w:r w:rsidRPr="00BB4F01">
        <w:rPr>
          <w:rFonts w:ascii="Times New Roman" w:eastAsia="Arial Unicode MS" w:hAnsi="Times New Roman" w:cs="Times New Roman"/>
          <w:b/>
          <w:sz w:val="24"/>
          <w:szCs w:val="24"/>
          <w:u w:color="000000"/>
          <w:shd w:val="clear" w:color="auto" w:fill="FFFFFF"/>
          <w:vertAlign w:val="superscript"/>
          <w:lang w:val="it-IT"/>
        </w:rPr>
        <w:t>2</w:t>
      </w:r>
      <w:r w:rsidRPr="00BB4F01">
        <w:rPr>
          <w:rFonts w:ascii="Times New Roman" w:eastAsia="Arial Unicode MS" w:hAnsi="Times New Roman" w:cs="Times New Roman"/>
          <w:b/>
          <w:sz w:val="24"/>
          <w:szCs w:val="24"/>
          <w:u w:color="000000"/>
          <w:shd w:val="clear" w:color="auto" w:fill="FFFFFF"/>
          <w:lang w:val="it-IT"/>
        </w:rPr>
        <w:t>, Revunuru Narasimha Reddy</w:t>
      </w:r>
      <w:r w:rsidR="00954C19">
        <w:rPr>
          <w:rFonts w:ascii="Times New Roman" w:eastAsia="Arial Unicode MS" w:hAnsi="Times New Roman" w:cs="Times New Roman"/>
          <w:b/>
          <w:sz w:val="24"/>
          <w:szCs w:val="24"/>
          <w:u w:color="000000"/>
          <w:shd w:val="clear" w:color="auto" w:fill="FFFFFF"/>
          <w:vertAlign w:val="superscript"/>
          <w:lang w:val="it-IT"/>
        </w:rPr>
        <w:t>3</w:t>
      </w:r>
      <w:r w:rsidRPr="00BB4F01">
        <w:rPr>
          <w:rFonts w:ascii="Times New Roman" w:eastAsia="Arial Unicode MS" w:hAnsi="Times New Roman" w:cs="Times New Roman"/>
          <w:b/>
          <w:sz w:val="24"/>
          <w:szCs w:val="24"/>
          <w:u w:color="000000"/>
          <w:shd w:val="clear" w:color="auto" w:fill="FFFFFF"/>
          <w:lang w:val="it-IT"/>
        </w:rPr>
        <w:t xml:space="preserve">, </w:t>
      </w:r>
      <w:r w:rsidR="00954C19" w:rsidRPr="00954C19">
        <w:rPr>
          <w:rFonts w:ascii="Times New Roman" w:eastAsia="Arial Unicode MS" w:hAnsi="Times New Roman" w:cs="Times New Roman"/>
          <w:b/>
          <w:sz w:val="24"/>
          <w:szCs w:val="24"/>
          <w:u w:color="000000"/>
          <w:shd w:val="clear" w:color="auto" w:fill="FFFFFF"/>
        </w:rPr>
        <w:t>Koorosh Nakhjavan Shahraki</w:t>
      </w:r>
      <w:r w:rsidR="00954C19">
        <w:rPr>
          <w:rFonts w:ascii="Times New Roman" w:eastAsia="Arial Unicode MS" w:hAnsi="Times New Roman" w:cs="Times New Roman"/>
          <w:b/>
          <w:sz w:val="24"/>
          <w:szCs w:val="24"/>
          <w:u w:color="000000"/>
          <w:shd w:val="clear" w:color="auto" w:fill="FFFFFF"/>
          <w:vertAlign w:val="superscript"/>
          <w:lang w:val="it-IT"/>
        </w:rPr>
        <w:t>4</w:t>
      </w:r>
      <w:r w:rsidRPr="00BB4F01">
        <w:rPr>
          <w:rFonts w:ascii="Times New Roman" w:eastAsia="Arial Unicode MS" w:hAnsi="Times New Roman" w:cs="Times New Roman"/>
          <w:b/>
          <w:sz w:val="24"/>
          <w:szCs w:val="24"/>
          <w:u w:color="000000"/>
          <w:shd w:val="clear" w:color="auto" w:fill="FFFFFF"/>
          <w:lang w:val="it-IT"/>
        </w:rPr>
        <w:t>, Munazzah Kalyankar</w:t>
      </w:r>
      <w:r w:rsidR="00112DA9" w:rsidRPr="00112DA9">
        <w:rPr>
          <w:rFonts w:ascii="Times New Roman" w:eastAsia="Arial Unicode MS" w:hAnsi="Times New Roman" w:cs="Times New Roman"/>
          <w:b/>
          <w:sz w:val="24"/>
          <w:szCs w:val="24"/>
          <w:u w:color="000000"/>
          <w:shd w:val="clear" w:color="auto" w:fill="FFFFFF"/>
          <w:vertAlign w:val="superscript"/>
          <w:lang w:val="it-IT"/>
        </w:rPr>
        <w:t>5</w:t>
      </w:r>
      <w:r w:rsidRPr="00BB4F01">
        <w:rPr>
          <w:rFonts w:ascii="Times New Roman" w:eastAsia="Arial Unicode MS" w:hAnsi="Times New Roman" w:cs="Times New Roman"/>
          <w:b/>
          <w:sz w:val="24"/>
          <w:szCs w:val="24"/>
          <w:u w:color="000000"/>
          <w:shd w:val="clear" w:color="auto" w:fill="FFFFFF"/>
          <w:lang w:val="it-IT"/>
        </w:rPr>
        <w:t xml:space="preserve">, </w:t>
      </w:r>
      <w:r w:rsidR="00112DA9" w:rsidRPr="00112DA9">
        <w:rPr>
          <w:rFonts w:ascii="Times New Roman" w:eastAsia="Arial Unicode MS" w:hAnsi="Times New Roman" w:cs="Times New Roman"/>
          <w:b/>
          <w:sz w:val="24"/>
          <w:szCs w:val="24"/>
          <w:u w:color="000000"/>
          <w:shd w:val="clear" w:color="auto" w:fill="FFFFFF"/>
        </w:rPr>
        <w:t>Ariba Jawad</w:t>
      </w:r>
      <w:r w:rsidR="00112DA9">
        <w:rPr>
          <w:rFonts w:ascii="Times New Roman" w:eastAsia="Arial Unicode MS" w:hAnsi="Times New Roman" w:cs="Times New Roman"/>
          <w:b/>
          <w:sz w:val="24"/>
          <w:szCs w:val="24"/>
          <w:u w:color="000000"/>
          <w:shd w:val="clear" w:color="auto" w:fill="FFFFFF"/>
          <w:vertAlign w:val="superscript"/>
          <w:lang w:val="it-IT"/>
        </w:rPr>
        <w:t>6</w:t>
      </w:r>
      <w:r w:rsidR="00112DA9">
        <w:rPr>
          <w:rFonts w:ascii="Times New Roman" w:eastAsia="Arial Unicode MS" w:hAnsi="Times New Roman" w:cs="Times New Roman"/>
          <w:b/>
          <w:sz w:val="24"/>
          <w:szCs w:val="24"/>
          <w:u w:color="000000"/>
          <w:shd w:val="clear" w:color="auto" w:fill="FFFFFF"/>
        </w:rPr>
        <w:t xml:space="preserve">, </w:t>
      </w:r>
      <w:proofErr w:type="spellStart"/>
      <w:r w:rsidR="00112DA9" w:rsidRPr="00112DA9">
        <w:rPr>
          <w:rFonts w:ascii="Times New Roman" w:eastAsia="Arial Unicode MS" w:hAnsi="Times New Roman" w:cs="Times New Roman"/>
          <w:b/>
          <w:sz w:val="24"/>
          <w:szCs w:val="24"/>
          <w:u w:color="000000"/>
          <w:shd w:val="clear" w:color="auto" w:fill="FFFFFF"/>
        </w:rPr>
        <w:t>Unsa</w:t>
      </w:r>
      <w:proofErr w:type="spellEnd"/>
      <w:r w:rsidR="00112DA9" w:rsidRPr="00112DA9">
        <w:rPr>
          <w:rFonts w:ascii="Times New Roman" w:eastAsia="Arial Unicode MS" w:hAnsi="Times New Roman" w:cs="Times New Roman"/>
          <w:b/>
          <w:sz w:val="24"/>
          <w:szCs w:val="24"/>
          <w:u w:color="000000"/>
          <w:shd w:val="clear" w:color="auto" w:fill="FFFFFF"/>
        </w:rPr>
        <w:t xml:space="preserve"> </w:t>
      </w:r>
      <w:r w:rsidR="00112DA9">
        <w:rPr>
          <w:rFonts w:ascii="Times New Roman" w:eastAsia="Arial Unicode MS" w:hAnsi="Times New Roman" w:cs="Times New Roman"/>
          <w:b/>
          <w:sz w:val="24"/>
          <w:szCs w:val="24"/>
          <w:u w:color="000000"/>
          <w:shd w:val="clear" w:color="auto" w:fill="FFFFFF"/>
        </w:rPr>
        <w:t>M</w:t>
      </w:r>
      <w:r w:rsidR="00112DA9" w:rsidRPr="00112DA9">
        <w:rPr>
          <w:rFonts w:ascii="Times New Roman" w:eastAsia="Arial Unicode MS" w:hAnsi="Times New Roman" w:cs="Times New Roman"/>
          <w:b/>
          <w:sz w:val="24"/>
          <w:szCs w:val="24"/>
          <w:u w:color="000000"/>
          <w:shd w:val="clear" w:color="auto" w:fill="FFFFFF"/>
        </w:rPr>
        <w:t>iraj</w:t>
      </w:r>
      <w:r w:rsidR="00112DA9">
        <w:rPr>
          <w:rFonts w:ascii="Times New Roman" w:eastAsia="Arial Unicode MS" w:hAnsi="Times New Roman" w:cs="Times New Roman"/>
          <w:b/>
          <w:sz w:val="24"/>
          <w:szCs w:val="24"/>
          <w:u w:color="000000"/>
          <w:shd w:val="clear" w:color="auto" w:fill="FFFFFF"/>
          <w:vertAlign w:val="superscript"/>
          <w:lang w:val="it-IT"/>
        </w:rPr>
        <w:t>7</w:t>
      </w:r>
      <w:r w:rsidR="00112DA9">
        <w:rPr>
          <w:rFonts w:ascii="Times New Roman" w:eastAsia="Arial Unicode MS" w:hAnsi="Times New Roman" w:cs="Times New Roman"/>
          <w:b/>
          <w:sz w:val="24"/>
          <w:szCs w:val="24"/>
          <w:u w:color="000000"/>
          <w:shd w:val="clear" w:color="auto" w:fill="FFFFFF"/>
        </w:rPr>
        <w:t xml:space="preserve">, </w:t>
      </w:r>
      <w:proofErr w:type="spellStart"/>
      <w:r w:rsidR="00112DA9" w:rsidRPr="00112DA9">
        <w:rPr>
          <w:rFonts w:ascii="Times New Roman" w:eastAsia="Arial Unicode MS" w:hAnsi="Times New Roman" w:cs="Times New Roman"/>
          <w:b/>
          <w:sz w:val="24"/>
          <w:szCs w:val="24"/>
          <w:u w:color="000000"/>
          <w:shd w:val="clear" w:color="auto" w:fill="FFFFFF"/>
        </w:rPr>
        <w:t>Preety</w:t>
      </w:r>
      <w:proofErr w:type="spellEnd"/>
      <w:r w:rsidR="00112DA9" w:rsidRPr="00112DA9">
        <w:rPr>
          <w:rFonts w:ascii="Times New Roman" w:eastAsia="Arial Unicode MS" w:hAnsi="Times New Roman" w:cs="Times New Roman"/>
          <w:b/>
          <w:sz w:val="24"/>
          <w:szCs w:val="24"/>
          <w:u w:color="000000"/>
          <w:shd w:val="clear" w:color="auto" w:fill="FFFFFF"/>
        </w:rPr>
        <w:t xml:space="preserve"> Devi</w:t>
      </w:r>
      <w:r w:rsidR="00112DA9">
        <w:rPr>
          <w:rFonts w:ascii="Times New Roman" w:eastAsia="Arial Unicode MS" w:hAnsi="Times New Roman" w:cs="Times New Roman"/>
          <w:b/>
          <w:sz w:val="24"/>
          <w:szCs w:val="24"/>
          <w:u w:color="000000"/>
          <w:shd w:val="clear" w:color="auto" w:fill="FFFFFF"/>
          <w:vertAlign w:val="superscript"/>
          <w:lang w:val="it-IT"/>
        </w:rPr>
        <w:t>8</w:t>
      </w:r>
      <w:r w:rsidR="00112DA9">
        <w:rPr>
          <w:rFonts w:ascii="Times New Roman" w:eastAsia="Arial Unicode MS" w:hAnsi="Times New Roman" w:cs="Times New Roman"/>
          <w:b/>
          <w:sz w:val="24"/>
          <w:szCs w:val="24"/>
          <w:u w:color="000000"/>
          <w:shd w:val="clear" w:color="auto" w:fill="FFFFFF"/>
        </w:rPr>
        <w:t xml:space="preserve">, </w:t>
      </w:r>
      <w:r w:rsidR="00112DA9" w:rsidRPr="00112DA9">
        <w:rPr>
          <w:rFonts w:ascii="Times New Roman" w:eastAsia="Arial Unicode MS" w:hAnsi="Times New Roman" w:cs="Times New Roman"/>
          <w:b/>
          <w:sz w:val="24"/>
          <w:szCs w:val="24"/>
          <w:u w:color="000000"/>
          <w:shd w:val="clear" w:color="auto" w:fill="FFFFFF"/>
        </w:rPr>
        <w:t>Muskan Batra</w:t>
      </w:r>
      <w:r w:rsidR="00112DA9">
        <w:rPr>
          <w:rFonts w:ascii="Times New Roman" w:eastAsia="Arial Unicode MS" w:hAnsi="Times New Roman" w:cs="Times New Roman"/>
          <w:b/>
          <w:sz w:val="24"/>
          <w:szCs w:val="24"/>
          <w:u w:color="000000"/>
          <w:shd w:val="clear" w:color="auto" w:fill="FFFFFF"/>
          <w:vertAlign w:val="superscript"/>
          <w:lang w:val="it-IT"/>
        </w:rPr>
        <w:t>9</w:t>
      </w:r>
      <w:r w:rsidR="00112DA9">
        <w:rPr>
          <w:rFonts w:ascii="Times New Roman" w:eastAsia="Arial Unicode MS" w:hAnsi="Times New Roman" w:cs="Times New Roman"/>
          <w:b/>
          <w:sz w:val="24"/>
          <w:szCs w:val="24"/>
          <w:u w:color="000000"/>
          <w:shd w:val="clear" w:color="auto" w:fill="FFFFFF"/>
          <w:lang w:val="it-IT"/>
        </w:rPr>
        <w:t>, M</w:t>
      </w:r>
      <w:r w:rsidRPr="00BB4F01">
        <w:rPr>
          <w:rFonts w:ascii="Times New Roman" w:eastAsia="Arial Unicode MS" w:hAnsi="Times New Roman" w:cs="Times New Roman"/>
          <w:b/>
          <w:sz w:val="24"/>
          <w:szCs w:val="24"/>
          <w:u w:color="000000"/>
          <w:shd w:val="clear" w:color="auto" w:fill="FFFFFF"/>
          <w:lang w:val="it-IT"/>
        </w:rPr>
        <w:t>uhammad Sohail S. Mirza</w:t>
      </w:r>
      <w:r w:rsidR="00112DA9">
        <w:rPr>
          <w:rFonts w:ascii="Times New Roman" w:eastAsia="Arial Unicode MS" w:hAnsi="Times New Roman" w:cs="Times New Roman"/>
          <w:b/>
          <w:sz w:val="24"/>
          <w:szCs w:val="24"/>
          <w:u w:color="000000"/>
          <w:shd w:val="clear" w:color="auto" w:fill="FFFFFF"/>
          <w:vertAlign w:val="superscript"/>
          <w:lang w:val="it-IT"/>
        </w:rPr>
        <w:t>10</w:t>
      </w:r>
      <w:r w:rsidRPr="00BB4F01">
        <w:rPr>
          <w:rFonts w:ascii="Times New Roman" w:eastAsia="Arial Unicode MS" w:hAnsi="Times New Roman" w:cs="Times New Roman"/>
          <w:b/>
          <w:sz w:val="24"/>
          <w:szCs w:val="24"/>
          <w:u w:color="000000"/>
          <w:shd w:val="clear" w:color="auto" w:fill="FFFFFF"/>
          <w:lang w:val="it-IT"/>
        </w:rPr>
        <w:t>*</w:t>
      </w:r>
    </w:p>
    <w:p w14:paraId="729DB073" w14:textId="77777777" w:rsidR="00112DA9" w:rsidRDefault="00112DA9"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2EE7BB42" w14:textId="2A512AFF" w:rsidR="00BB4F01" w:rsidRPr="00BB4F01" w:rsidRDefault="00BB4F01"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BB4F01">
        <w:rPr>
          <w:rFonts w:ascii="Times New Roman" w:eastAsia="Arial Unicode MS" w:hAnsi="Times New Roman"/>
          <w:color w:val="auto"/>
          <w:sz w:val="20"/>
          <w:szCs w:val="20"/>
          <w:u w:color="000000"/>
          <w:shd w:val="clear" w:color="auto" w:fill="FFFFFF"/>
          <w:vertAlign w:val="superscript"/>
          <w:lang w:val="en-IN" w:eastAsia="en-US" w:bidi="ar-SA"/>
        </w:rPr>
        <w:t>1</w:t>
      </w:r>
      <w:r w:rsidRPr="00BB4F01">
        <w:rPr>
          <w:rFonts w:ascii="Times New Roman" w:eastAsia="Arial Unicode MS" w:hAnsi="Times New Roman"/>
          <w:color w:val="auto"/>
          <w:sz w:val="20"/>
          <w:szCs w:val="20"/>
          <w:u w:color="000000"/>
          <w:shd w:val="clear" w:color="auto" w:fill="FFFFFF"/>
          <w:lang w:val="en-IN" w:eastAsia="en-US" w:bidi="ar-SA"/>
        </w:rPr>
        <w:t>JIIUs Indian Institute of Medical Science and Research, Jalna, Maharashtra, India.</w:t>
      </w:r>
    </w:p>
    <w:p w14:paraId="0B079F68" w14:textId="79F9E9A4" w:rsidR="00BB4F01" w:rsidRDefault="00BB4F01"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BB4F01">
        <w:rPr>
          <w:rFonts w:ascii="Times New Roman" w:eastAsia="Arial Unicode MS" w:hAnsi="Times New Roman"/>
          <w:color w:val="auto"/>
          <w:sz w:val="20"/>
          <w:szCs w:val="20"/>
          <w:u w:color="000000"/>
          <w:shd w:val="clear" w:color="auto" w:fill="FFFFFF"/>
          <w:vertAlign w:val="superscript"/>
          <w:lang w:val="en-IN" w:eastAsia="en-US" w:bidi="ar-SA"/>
        </w:rPr>
        <w:t>2</w:t>
      </w:r>
      <w:r w:rsidRPr="00BB4F01">
        <w:rPr>
          <w:rFonts w:ascii="Times New Roman" w:eastAsia="Arial Unicode MS" w:hAnsi="Times New Roman"/>
          <w:color w:val="auto"/>
          <w:sz w:val="20"/>
          <w:szCs w:val="20"/>
          <w:u w:color="000000"/>
          <w:shd w:val="clear" w:color="auto" w:fill="FFFFFF"/>
          <w:lang w:val="en-IN" w:eastAsia="en-US" w:bidi="ar-SA"/>
        </w:rPr>
        <w:t>ACSR Medical College, Nellore, Andhra Pradesh, India.</w:t>
      </w:r>
    </w:p>
    <w:p w14:paraId="320AFA17" w14:textId="0C92E8AD" w:rsidR="00954C19" w:rsidRDefault="00954C19"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3</w:t>
      </w:r>
      <w:r w:rsidRPr="00954C19">
        <w:rPr>
          <w:rFonts w:ascii="Times New Roman" w:eastAsia="Arial Unicode MS" w:hAnsi="Times New Roman"/>
          <w:color w:val="auto"/>
          <w:sz w:val="20"/>
          <w:szCs w:val="20"/>
          <w:u w:color="000000"/>
          <w:shd w:val="clear" w:color="auto" w:fill="FFFFFF"/>
          <w:lang w:eastAsia="en-US" w:bidi="ar-SA"/>
        </w:rPr>
        <w:t>ACSR Medical College, Nellore, Andhra Pradesh, India</w:t>
      </w:r>
    </w:p>
    <w:p w14:paraId="203F57E3" w14:textId="2117DBC5" w:rsidR="00954C19" w:rsidRDefault="00954C19"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4</w:t>
      </w:r>
      <w:r w:rsidRPr="00954C19">
        <w:rPr>
          <w:rFonts w:ascii="Times New Roman" w:eastAsia="Arial Unicode MS" w:hAnsi="Times New Roman"/>
          <w:color w:val="auto"/>
          <w:sz w:val="20"/>
          <w:szCs w:val="20"/>
          <w:u w:color="000000"/>
          <w:shd w:val="clear" w:color="auto" w:fill="FFFFFF"/>
          <w:lang w:eastAsia="en-US" w:bidi="ar-SA"/>
        </w:rPr>
        <w:t>John Bowne High School, New York, USA</w:t>
      </w:r>
    </w:p>
    <w:p w14:paraId="17813EA8" w14:textId="5B605E57" w:rsidR="00112DA9" w:rsidRDefault="00112DA9"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5</w:t>
      </w:r>
      <w:r w:rsidRPr="00112DA9">
        <w:rPr>
          <w:rFonts w:ascii="Times New Roman" w:eastAsia="Arial Unicode MS" w:hAnsi="Times New Roman"/>
          <w:color w:val="auto"/>
          <w:sz w:val="20"/>
          <w:szCs w:val="20"/>
          <w:u w:color="000000"/>
          <w:shd w:val="clear" w:color="auto" w:fill="FFFFFF"/>
          <w:lang w:eastAsia="en-US" w:bidi="ar-SA"/>
        </w:rPr>
        <w:t>JIIUs Indian Institute of Medical Science and Research, Jalna, Maharashtra, India</w:t>
      </w:r>
    </w:p>
    <w:p w14:paraId="50C90406" w14:textId="455B8CEA" w:rsidR="00112DA9" w:rsidRPr="00112DA9" w:rsidRDefault="00112DA9" w:rsidP="00112DA9">
      <w:pPr>
        <w:pStyle w:val="MDPI16affiliation"/>
        <w:tabs>
          <w:tab w:val="left" w:pos="360"/>
        </w:tabs>
        <w:spacing w:line="360" w:lineRule="auto"/>
        <w:ind w:left="0" w:firstLine="0"/>
        <w:jc w:val="both"/>
        <w:rPr>
          <w:rFonts w:ascii="Times New Roman" w:eastAsia="Arial Unicode MS" w:hAnsi="Times New Roman"/>
          <w:sz w:val="20"/>
          <w:szCs w:val="20"/>
          <w:u w:color="000000"/>
          <w:shd w:val="clear" w:color="auto" w:fill="FFFFFF"/>
        </w:rPr>
      </w:pPr>
      <w:r>
        <w:rPr>
          <w:rFonts w:ascii="Times New Roman" w:eastAsia="Arial Unicode MS" w:hAnsi="Times New Roman"/>
          <w:color w:val="auto"/>
          <w:sz w:val="20"/>
          <w:szCs w:val="20"/>
          <w:u w:color="000000"/>
          <w:shd w:val="clear" w:color="auto" w:fill="FFFFFF"/>
          <w:vertAlign w:val="superscript"/>
          <w:lang w:val="en-IN" w:eastAsia="en-US" w:bidi="ar-SA"/>
        </w:rPr>
        <w:t>6</w:t>
      </w:r>
      <w:r w:rsidRPr="00112DA9">
        <w:rPr>
          <w:rFonts w:ascii="Times New Roman" w:eastAsia="Arial Unicode MS" w:hAnsi="Times New Roman"/>
          <w:sz w:val="20"/>
          <w:szCs w:val="20"/>
          <w:u w:color="000000"/>
          <w:shd w:val="clear" w:color="auto" w:fill="FFFFFF"/>
        </w:rPr>
        <w:t xml:space="preserve">M Islam Medical and Dental </w:t>
      </w:r>
      <w:r>
        <w:rPr>
          <w:rFonts w:ascii="Times New Roman" w:eastAsia="Arial Unicode MS" w:hAnsi="Times New Roman"/>
          <w:sz w:val="20"/>
          <w:szCs w:val="20"/>
          <w:u w:color="000000"/>
          <w:shd w:val="clear" w:color="auto" w:fill="FFFFFF"/>
        </w:rPr>
        <w:t>College</w:t>
      </w:r>
      <w:r w:rsidRPr="00112DA9">
        <w:rPr>
          <w:rFonts w:ascii="Times New Roman" w:eastAsia="Arial Unicode MS" w:hAnsi="Times New Roman"/>
          <w:sz w:val="20"/>
          <w:szCs w:val="20"/>
          <w:u w:color="000000"/>
          <w:shd w:val="clear" w:color="auto" w:fill="FFFFFF"/>
        </w:rPr>
        <w:t>, Gujranwala,</w:t>
      </w:r>
      <w:r>
        <w:rPr>
          <w:rFonts w:ascii="Times New Roman" w:eastAsia="Arial Unicode MS" w:hAnsi="Times New Roman"/>
          <w:sz w:val="20"/>
          <w:szCs w:val="20"/>
          <w:u w:color="000000"/>
          <w:shd w:val="clear" w:color="auto" w:fill="FFFFFF"/>
        </w:rPr>
        <w:t xml:space="preserve"> </w:t>
      </w:r>
      <w:r w:rsidRPr="00112DA9">
        <w:rPr>
          <w:rFonts w:ascii="Times New Roman" w:eastAsia="Arial Unicode MS" w:hAnsi="Times New Roman"/>
          <w:sz w:val="20"/>
          <w:szCs w:val="20"/>
          <w:u w:color="000000"/>
          <w:shd w:val="clear" w:color="auto" w:fill="FFFFFF"/>
        </w:rPr>
        <w:t>Pakistan</w:t>
      </w:r>
    </w:p>
    <w:p w14:paraId="13304992" w14:textId="01B5E371" w:rsidR="00112DA9" w:rsidRDefault="00112DA9"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7</w:t>
      </w:r>
      <w:r w:rsidRPr="00112DA9">
        <w:rPr>
          <w:rFonts w:ascii="Times New Roman" w:eastAsia="Arial Unicode MS" w:hAnsi="Times New Roman"/>
          <w:color w:val="auto"/>
          <w:sz w:val="20"/>
          <w:szCs w:val="20"/>
          <w:u w:color="000000"/>
          <w:shd w:val="clear" w:color="auto" w:fill="FFFFFF"/>
          <w:lang w:eastAsia="en-US" w:bidi="ar-SA"/>
        </w:rPr>
        <w:t>King Edward Medical University, Lahore, Pakistan</w:t>
      </w:r>
    </w:p>
    <w:p w14:paraId="47D25556" w14:textId="220ED6AB" w:rsidR="00112DA9" w:rsidRDefault="00112DA9"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8</w:t>
      </w:r>
      <w:r w:rsidRPr="00112DA9">
        <w:rPr>
          <w:rFonts w:ascii="Times New Roman" w:eastAsia="Arial Unicode MS" w:hAnsi="Times New Roman"/>
          <w:color w:val="auto"/>
          <w:sz w:val="20"/>
          <w:szCs w:val="20"/>
          <w:u w:color="000000"/>
          <w:shd w:val="clear" w:color="auto" w:fill="FFFFFF"/>
          <w:lang w:eastAsia="en-US" w:bidi="ar-SA"/>
        </w:rPr>
        <w:t>Liaquat University of Medical and Health Sciences, Jamshoro, Sindh, Pakistan</w:t>
      </w:r>
    </w:p>
    <w:p w14:paraId="005D0CF3" w14:textId="6DD67441" w:rsidR="00112DA9" w:rsidRPr="00BB4F01" w:rsidRDefault="00112DA9"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9</w:t>
      </w:r>
      <w:r w:rsidRPr="00112DA9">
        <w:rPr>
          <w:rFonts w:ascii="Times New Roman" w:eastAsia="Arial Unicode MS" w:hAnsi="Times New Roman"/>
          <w:color w:val="auto"/>
          <w:sz w:val="20"/>
          <w:szCs w:val="20"/>
          <w:u w:color="000000"/>
          <w:shd w:val="clear" w:color="auto" w:fill="FFFFFF"/>
          <w:lang w:eastAsia="en-US" w:bidi="ar-SA"/>
        </w:rPr>
        <w:t>Liaquat University of Medical and Health Sciences, Jamshoro, Sindh, Pakistan</w:t>
      </w:r>
    </w:p>
    <w:p w14:paraId="13247F8C" w14:textId="2C65BF3A" w:rsidR="00BB4F01" w:rsidRPr="00BB4F01" w:rsidRDefault="00112DA9" w:rsidP="00BB4F01">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10</w:t>
      </w:r>
      <w:r w:rsidR="00BB4F01" w:rsidRPr="00BB4F01">
        <w:rPr>
          <w:rFonts w:ascii="Times New Roman" w:eastAsia="Arial Unicode MS" w:hAnsi="Times New Roman"/>
          <w:color w:val="auto"/>
          <w:sz w:val="20"/>
          <w:szCs w:val="20"/>
          <w:u w:color="000000"/>
          <w:shd w:val="clear" w:color="auto" w:fill="FFFFFF"/>
          <w:lang w:val="en-IN" w:eastAsia="en-US" w:bidi="ar-SA"/>
        </w:rPr>
        <w:t>Shandong University School of Medicine, Jinan, China</w:t>
      </w:r>
    </w:p>
    <w:p w14:paraId="39B14A45" w14:textId="5665E7FD" w:rsidR="00F30E1B" w:rsidRPr="00BB4F01" w:rsidRDefault="00F30E1B" w:rsidP="00BB4F01">
      <w:pPr>
        <w:pStyle w:val="MDPI16affiliation"/>
        <w:tabs>
          <w:tab w:val="left" w:pos="360"/>
        </w:tabs>
        <w:spacing w:line="360" w:lineRule="auto"/>
        <w:ind w:left="0" w:firstLine="0"/>
        <w:jc w:val="both"/>
        <w:rPr>
          <w:rFonts w:ascii="Times New Roman" w:hAnsi="Times New Roman"/>
          <w:b/>
          <w:color w:val="0070C0"/>
          <w:lang w:val="en-IN"/>
        </w:rPr>
      </w:pP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46E131CF"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0A6F8F" w:rsidRPr="000A6F8F">
        <w:rPr>
          <w:rFonts w:ascii="Times New Roman" w:hAnsi="Times New Roman" w:cs="Times New Roman"/>
          <w:bCs/>
        </w:rPr>
        <w:t>Muhammad Sohail S. Mirza</w:t>
      </w:r>
      <w:r w:rsidR="00C73A71" w:rsidRPr="00C73A71">
        <w:rPr>
          <w:rFonts w:ascii="Times New Roman" w:hAnsi="Times New Roman" w:cs="Times New Roman"/>
          <w:bCs/>
        </w:rPr>
        <w:t xml:space="preserve">, </w:t>
      </w:r>
      <w:r w:rsidR="000A6F8F" w:rsidRPr="000A6F8F">
        <w:rPr>
          <w:rFonts w:ascii="Times New Roman" w:hAnsi="Times New Roman" w:cs="Times New Roman"/>
          <w:bCs/>
        </w:rPr>
        <w:t>Shandong University School of Medicine, Jinan, China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55DEE40D"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8F6A1A">
        <w:rPr>
          <w:rFonts w:ascii="Times New Roman" w:hAnsi="Times New Roman" w:cs="Times New Roman"/>
          <w:sz w:val="20"/>
          <w:szCs w:val="20"/>
        </w:rPr>
        <w:t>0</w:t>
      </w:r>
      <w:r w:rsidR="007668FD">
        <w:rPr>
          <w:rFonts w:ascii="Times New Roman" w:hAnsi="Times New Roman" w:cs="Times New Roman"/>
          <w:sz w:val="20"/>
          <w:szCs w:val="20"/>
        </w:rPr>
        <w:t>5</w:t>
      </w:r>
      <w:r w:rsidR="006E6109">
        <w:rPr>
          <w:rFonts w:ascii="Times New Roman" w:hAnsi="Times New Roman" w:cs="Times New Roman"/>
          <w:sz w:val="20"/>
          <w:szCs w:val="20"/>
        </w:rPr>
        <w:t xml:space="preserve"> </w:t>
      </w:r>
      <w:r w:rsidR="00462982">
        <w:rPr>
          <w:rFonts w:ascii="Times New Roman" w:hAnsi="Times New Roman" w:cs="Times New Roman"/>
          <w:sz w:val="20"/>
          <w:szCs w:val="20"/>
        </w:rPr>
        <w:t>Ju</w:t>
      </w:r>
      <w:r w:rsidR="007668FD">
        <w:rPr>
          <w:rFonts w:ascii="Times New Roman" w:hAnsi="Times New Roman" w:cs="Times New Roman"/>
          <w:sz w:val="20"/>
          <w:szCs w:val="20"/>
        </w:rPr>
        <w:t>ly</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C62DD4">
        <w:rPr>
          <w:rFonts w:ascii="Times New Roman" w:hAnsi="Times New Roman" w:cs="Times New Roman"/>
          <w:bCs/>
          <w:sz w:val="20"/>
          <w:szCs w:val="20"/>
        </w:rPr>
        <w:t>13</w:t>
      </w:r>
      <w:r w:rsidR="00867FA0">
        <w:rPr>
          <w:rFonts w:ascii="Times New Roman" w:hAnsi="Times New Roman" w:cs="Times New Roman"/>
          <w:sz w:val="20"/>
          <w:szCs w:val="20"/>
        </w:rPr>
        <w:t xml:space="preserve"> </w:t>
      </w:r>
      <w:r w:rsidR="00462982">
        <w:rPr>
          <w:rFonts w:ascii="Times New Roman" w:hAnsi="Times New Roman" w:cs="Times New Roman"/>
          <w:sz w:val="20"/>
          <w:szCs w:val="20"/>
        </w:rPr>
        <w:t>Ju</w:t>
      </w:r>
      <w:r w:rsidR="00C62DD4">
        <w:rPr>
          <w:rFonts w:ascii="Times New Roman" w:hAnsi="Times New Roman" w:cs="Times New Roman"/>
          <w:sz w:val="20"/>
          <w:szCs w:val="20"/>
        </w:rPr>
        <w:t>ly</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B376FE">
        <w:rPr>
          <w:rFonts w:ascii="Times New Roman" w:hAnsi="Times New Roman" w:cs="Times New Roman"/>
          <w:bCs/>
          <w:sz w:val="20"/>
          <w:szCs w:val="20"/>
        </w:rPr>
        <w:t>27</w:t>
      </w:r>
      <w:r w:rsidR="00462982">
        <w:rPr>
          <w:rFonts w:ascii="Times New Roman" w:hAnsi="Times New Roman" w:cs="Times New Roman"/>
          <w:sz w:val="20"/>
          <w:szCs w:val="20"/>
        </w:rPr>
        <w:t xml:space="preserve"> July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6ADED726" w:rsidR="003C03D7" w:rsidRDefault="003C03D7" w:rsidP="002001C2">
      <w:pPr>
        <w:spacing w:after="0" w:line="360" w:lineRule="auto"/>
        <w:jc w:val="both"/>
        <w:rPr>
          <w:rFonts w:ascii="Times New Roman" w:hAnsi="Times New Roman" w:cs="Times New Roman"/>
          <w:color w:val="000000"/>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7668FD" w:rsidRPr="007668FD">
        <w:rPr>
          <w:rFonts w:ascii="Times New Roman" w:eastAsia="Arial Unicode MS" w:hAnsi="Times New Roman" w:cs="Times New Roman"/>
          <w:sz w:val="20"/>
          <w:szCs w:val="20"/>
          <w:u w:color="000000"/>
          <w:shd w:val="clear" w:color="auto" w:fill="FFFFFF"/>
          <w:lang w:val="it-IT"/>
        </w:rPr>
        <w:t xml:space="preserve">Kazi Kamranuddin Fazaluddin, Diguvinti Nehasudha Reddy, Revunuru Narasimha Reddy, </w:t>
      </w:r>
      <w:r w:rsidR="007307D7" w:rsidRPr="007307D7">
        <w:rPr>
          <w:rFonts w:ascii="Times New Roman" w:eastAsia="Arial Unicode MS" w:hAnsi="Times New Roman" w:cs="Times New Roman"/>
          <w:sz w:val="20"/>
          <w:szCs w:val="20"/>
          <w:u w:color="000000"/>
          <w:shd w:val="clear" w:color="auto" w:fill="FFFFFF"/>
          <w:lang w:val="it-IT"/>
        </w:rPr>
        <w:t>Koorosh Nakhjavan Shahraki</w:t>
      </w:r>
      <w:r w:rsidR="007668FD" w:rsidRPr="007668FD">
        <w:rPr>
          <w:rFonts w:ascii="Times New Roman" w:eastAsia="Arial Unicode MS" w:hAnsi="Times New Roman" w:cs="Times New Roman"/>
          <w:sz w:val="20"/>
          <w:szCs w:val="20"/>
          <w:u w:color="000000"/>
          <w:shd w:val="clear" w:color="auto" w:fill="FFFFFF"/>
          <w:lang w:val="it-IT"/>
        </w:rPr>
        <w:t xml:space="preserve">, Munazzah Kalyankar, </w:t>
      </w:r>
      <w:r w:rsidR="007307D7" w:rsidRPr="007307D7">
        <w:rPr>
          <w:rFonts w:ascii="Times New Roman" w:eastAsia="Arial Unicode MS" w:hAnsi="Times New Roman" w:cs="Times New Roman"/>
          <w:sz w:val="20"/>
          <w:szCs w:val="20"/>
          <w:u w:color="000000"/>
          <w:shd w:val="clear" w:color="auto" w:fill="FFFFFF"/>
          <w:lang w:val="it-IT"/>
        </w:rPr>
        <w:t>Ariba Jawad, Unsa Miraj, Preety Devi, Muskan Batra</w:t>
      </w:r>
      <w:r w:rsidR="007307D7">
        <w:rPr>
          <w:rFonts w:ascii="Times New Roman" w:eastAsia="Arial Unicode MS" w:hAnsi="Times New Roman" w:cs="Times New Roman"/>
          <w:sz w:val="20"/>
          <w:szCs w:val="20"/>
          <w:u w:color="000000"/>
          <w:shd w:val="clear" w:color="auto" w:fill="FFFFFF"/>
          <w:lang w:val="it-IT"/>
        </w:rPr>
        <w:t xml:space="preserve">, </w:t>
      </w:r>
      <w:r w:rsidR="007668FD" w:rsidRPr="007668FD">
        <w:rPr>
          <w:rFonts w:ascii="Times New Roman" w:eastAsia="Arial Unicode MS" w:hAnsi="Times New Roman" w:cs="Times New Roman"/>
          <w:sz w:val="20"/>
          <w:szCs w:val="20"/>
          <w:u w:color="000000"/>
          <w:shd w:val="clear" w:color="auto" w:fill="FFFFFF"/>
          <w:lang w:val="it-IT"/>
        </w:rPr>
        <w:t>Muhammad Sohail S. Mirza</w:t>
      </w:r>
      <w:r w:rsidR="009116FA" w:rsidRPr="007307D7">
        <w:rPr>
          <w:rFonts w:ascii="Times New Roman" w:eastAsia="Arial Unicode MS" w:hAnsi="Times New Roman" w:cs="Times New Roman"/>
          <w:sz w:val="20"/>
          <w:szCs w:val="20"/>
          <w:u w:color="000000"/>
          <w:shd w:val="clear" w:color="auto" w:fill="FFFFFF"/>
          <w:lang w:val="it-IT"/>
        </w:rPr>
        <w:t>.</w:t>
      </w:r>
      <w:r w:rsidR="00D262C6" w:rsidRPr="007307D7">
        <w:rPr>
          <w:rFonts w:ascii="Times New Roman" w:eastAsia="Arial Unicode MS" w:hAnsi="Times New Roman" w:cs="Times New Roman"/>
          <w:sz w:val="20"/>
          <w:szCs w:val="20"/>
          <w:u w:color="000000"/>
          <w:shd w:val="clear" w:color="auto" w:fill="FFFFFF"/>
          <w:lang w:val="it-IT"/>
        </w:rPr>
        <w:t xml:space="preserve"> </w:t>
      </w:r>
      <w:r w:rsidR="007668FD" w:rsidRPr="007307D7">
        <w:rPr>
          <w:rFonts w:ascii="Times New Roman" w:eastAsia="Arial Unicode MS" w:hAnsi="Times New Roman" w:cs="Times New Roman"/>
          <w:sz w:val="20"/>
          <w:szCs w:val="20"/>
          <w:u w:color="000000"/>
          <w:shd w:val="clear" w:color="auto" w:fill="FFFFFF"/>
          <w:lang w:val="it-IT"/>
        </w:rPr>
        <w:t>Beta-Blocker</w:t>
      </w:r>
      <w:r w:rsidR="007668FD" w:rsidRPr="007668FD">
        <w:rPr>
          <w:rFonts w:ascii="Times New Roman" w:hAnsi="Times New Roman" w:cs="Times New Roman"/>
          <w:bCs/>
          <w:sz w:val="20"/>
          <w:szCs w:val="20"/>
        </w:rPr>
        <w:t xml:space="preserve"> Therapy After Acute Myocardial Infarction in Patients with Preserved or Mildly Reduced Ejection Fraction: A Systematic Review and Meta-Analysis</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B376FE">
        <w:rPr>
          <w:rFonts w:ascii="Times New Roman" w:hAnsi="Times New Roman" w:cs="Times New Roman"/>
          <w:color w:val="000000"/>
          <w:spacing w:val="-1"/>
          <w:sz w:val="20"/>
          <w:szCs w:val="20"/>
        </w:rPr>
        <w:t>205</w:t>
      </w:r>
      <w:r w:rsidR="009B143D">
        <w:rPr>
          <w:rFonts w:ascii="Times New Roman" w:hAnsi="Times New Roman" w:cs="Times New Roman"/>
          <w:color w:val="000000"/>
          <w:spacing w:val="-1"/>
          <w:sz w:val="20"/>
          <w:szCs w:val="20"/>
        </w:rPr>
        <w:t>-</w:t>
      </w:r>
      <w:r w:rsidR="00B376FE">
        <w:rPr>
          <w:rFonts w:ascii="Times New Roman" w:hAnsi="Times New Roman" w:cs="Times New Roman"/>
          <w:color w:val="000000"/>
          <w:spacing w:val="-1"/>
          <w:sz w:val="20"/>
          <w:szCs w:val="20"/>
        </w:rPr>
        <w:t>214</w:t>
      </w:r>
      <w:r w:rsidRPr="00150645">
        <w:rPr>
          <w:rFonts w:ascii="Times New Roman" w:hAnsi="Times New Roman" w:cs="Times New Roman"/>
          <w:color w:val="000000"/>
          <w:sz w:val="20"/>
          <w:szCs w:val="20"/>
        </w:rPr>
        <w:t>.</w:t>
      </w:r>
    </w:p>
    <w:p w14:paraId="0AD0BBB0" w14:textId="77777777" w:rsidR="00B376FE" w:rsidRPr="00150645" w:rsidRDefault="00B376FE" w:rsidP="002001C2">
      <w:pPr>
        <w:spacing w:after="0" w:line="360" w:lineRule="auto"/>
        <w:jc w:val="both"/>
        <w:rPr>
          <w:rFonts w:ascii="Times New Roman" w:hAnsi="Times New Roman" w:cs="Times New Roman"/>
          <w:b/>
          <w:bCs/>
          <w:sz w:val="20"/>
          <w:szCs w:val="20"/>
        </w:rPr>
      </w:pP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lastRenderedPageBreak/>
        <w:t>Abstract</w:t>
      </w:r>
    </w:p>
    <w:p w14:paraId="3DE94E81" w14:textId="77777777" w:rsidR="007668FD" w:rsidRPr="007668FD" w:rsidRDefault="007668FD" w:rsidP="007668FD">
      <w:pPr>
        <w:spacing w:after="0" w:line="360" w:lineRule="auto"/>
        <w:jc w:val="both"/>
        <w:rPr>
          <w:rFonts w:ascii="Times New Roman" w:hAnsi="Times New Roman" w:cs="Times New Roman"/>
          <w:b/>
          <w:bCs/>
          <w:color w:val="0070C0"/>
          <w:sz w:val="20"/>
          <w:szCs w:val="20"/>
        </w:rPr>
      </w:pPr>
      <w:r w:rsidRPr="007668FD">
        <w:rPr>
          <w:rFonts w:ascii="Times New Roman" w:hAnsi="Times New Roman" w:cs="Times New Roman"/>
          <w:b/>
          <w:bCs/>
          <w:color w:val="0070C0"/>
          <w:sz w:val="20"/>
          <w:szCs w:val="20"/>
        </w:rPr>
        <w:t xml:space="preserve">Background: </w:t>
      </w:r>
    </w:p>
    <w:p w14:paraId="26C2BE15" w14:textId="375E7633" w:rsidR="007668FD" w:rsidRPr="007668FD" w:rsidRDefault="007668FD" w:rsidP="007668FD">
      <w:pPr>
        <w:spacing w:after="0" w:line="360" w:lineRule="auto"/>
        <w:jc w:val="both"/>
        <w:rPr>
          <w:rFonts w:ascii="Times New Roman" w:hAnsi="Times New Roman" w:cs="Times New Roman"/>
          <w:sz w:val="20"/>
          <w:szCs w:val="20"/>
        </w:rPr>
      </w:pPr>
      <w:r w:rsidRPr="007668FD">
        <w:rPr>
          <w:rFonts w:ascii="Times New Roman" w:hAnsi="Times New Roman" w:cs="Times New Roman"/>
          <w:sz w:val="20"/>
          <w:szCs w:val="20"/>
        </w:rPr>
        <w:t>Beta-blockers have long established themselves as a mainstay of post-myocardial infarction (MI) care and are of great benefit in numerous trial studies from the pre-reperfusion era. Improved outcomes from primary percutaneous coronary intervention (PPCI) have led to an increasing number of patients with MI presenting with preserved or sub-optimally reduced LVEF (≥40%), questions letters that then emerge about extension of beta-blocker use in these patients.</w:t>
      </w:r>
    </w:p>
    <w:p w14:paraId="18447B35" w14:textId="77777777" w:rsidR="007668FD" w:rsidRPr="007668FD" w:rsidRDefault="007668FD" w:rsidP="007668FD">
      <w:pPr>
        <w:spacing w:after="0" w:line="360" w:lineRule="auto"/>
        <w:jc w:val="both"/>
        <w:rPr>
          <w:rFonts w:ascii="Times New Roman" w:hAnsi="Times New Roman" w:cs="Times New Roman"/>
          <w:b/>
          <w:bCs/>
          <w:color w:val="0070C0"/>
          <w:sz w:val="20"/>
          <w:szCs w:val="20"/>
        </w:rPr>
      </w:pPr>
      <w:r w:rsidRPr="007668FD">
        <w:rPr>
          <w:rFonts w:ascii="Times New Roman" w:hAnsi="Times New Roman" w:cs="Times New Roman"/>
          <w:b/>
          <w:bCs/>
          <w:color w:val="0070C0"/>
          <w:sz w:val="20"/>
          <w:szCs w:val="20"/>
        </w:rPr>
        <w:t xml:space="preserve">Objectives: </w:t>
      </w:r>
    </w:p>
    <w:p w14:paraId="1802EE9E" w14:textId="54A6A63E" w:rsidR="007668FD" w:rsidRPr="007668FD" w:rsidRDefault="007668FD" w:rsidP="007668FD">
      <w:pPr>
        <w:spacing w:after="0" w:line="360" w:lineRule="auto"/>
        <w:jc w:val="both"/>
        <w:rPr>
          <w:rFonts w:ascii="Times New Roman" w:hAnsi="Times New Roman" w:cs="Times New Roman"/>
          <w:sz w:val="20"/>
          <w:szCs w:val="20"/>
        </w:rPr>
      </w:pPr>
      <w:r w:rsidRPr="007668FD">
        <w:rPr>
          <w:rFonts w:ascii="Times New Roman" w:hAnsi="Times New Roman" w:cs="Times New Roman"/>
          <w:sz w:val="20"/>
          <w:szCs w:val="20"/>
        </w:rPr>
        <w:t>To compare beta-blocker therapy with no beta-blocker therapy in post-MI patients with left ventricular ejection fraction (LVEF) &gt;40% regarding the efficacy and safety of the treatment in five prespecified clinical outcomes: all-cause mortality, cardiovascular (CV) mortality, major adverse cardiac events (MACE), reinfarction and hospitalization for heart failure (HF).</w:t>
      </w:r>
    </w:p>
    <w:p w14:paraId="64D8CFFD" w14:textId="77777777" w:rsidR="007668FD" w:rsidRPr="007668FD" w:rsidRDefault="007668FD" w:rsidP="007668FD">
      <w:pPr>
        <w:spacing w:after="0" w:line="360" w:lineRule="auto"/>
        <w:jc w:val="both"/>
        <w:rPr>
          <w:rFonts w:ascii="Times New Roman" w:hAnsi="Times New Roman" w:cs="Times New Roman"/>
          <w:b/>
          <w:bCs/>
          <w:color w:val="0070C0"/>
          <w:sz w:val="20"/>
          <w:szCs w:val="20"/>
        </w:rPr>
      </w:pPr>
      <w:r w:rsidRPr="007668FD">
        <w:rPr>
          <w:rFonts w:ascii="Times New Roman" w:hAnsi="Times New Roman" w:cs="Times New Roman"/>
          <w:b/>
          <w:bCs/>
          <w:color w:val="0070C0"/>
          <w:sz w:val="20"/>
          <w:szCs w:val="20"/>
        </w:rPr>
        <w:t xml:space="preserve">Methods: </w:t>
      </w:r>
    </w:p>
    <w:p w14:paraId="4388E5B6" w14:textId="1B3044B7" w:rsidR="007668FD" w:rsidRPr="007668FD" w:rsidRDefault="007668FD" w:rsidP="007668FD">
      <w:pPr>
        <w:spacing w:after="0" w:line="360" w:lineRule="auto"/>
        <w:jc w:val="both"/>
        <w:rPr>
          <w:rFonts w:ascii="Times New Roman" w:hAnsi="Times New Roman" w:cs="Times New Roman"/>
          <w:sz w:val="20"/>
          <w:szCs w:val="20"/>
        </w:rPr>
      </w:pPr>
      <w:r w:rsidRPr="007668FD">
        <w:rPr>
          <w:rFonts w:ascii="Times New Roman" w:hAnsi="Times New Roman" w:cs="Times New Roman"/>
          <w:sz w:val="20"/>
          <w:szCs w:val="20"/>
        </w:rPr>
        <w:t xml:space="preserve">Systematic literature search of PubMed, Embase, Cochrane and Web of Science for PRISMA 2020 (from 2015 up until 2025). The Newcastle-Ottawa Scale (NOS) and the Cochrane </w:t>
      </w:r>
      <w:proofErr w:type="spellStart"/>
      <w:r w:rsidRPr="007668FD">
        <w:rPr>
          <w:rFonts w:ascii="Times New Roman" w:hAnsi="Times New Roman" w:cs="Times New Roman"/>
          <w:sz w:val="20"/>
          <w:szCs w:val="20"/>
        </w:rPr>
        <w:t>RoB</w:t>
      </w:r>
      <w:proofErr w:type="spellEnd"/>
      <w:r w:rsidRPr="007668FD">
        <w:rPr>
          <w:rFonts w:ascii="Times New Roman" w:hAnsi="Times New Roman" w:cs="Times New Roman"/>
          <w:sz w:val="20"/>
          <w:szCs w:val="20"/>
        </w:rPr>
        <w:t xml:space="preserve"> 2 were used to assess the quality. Hazard ratios (HRs) </w:t>
      </w:r>
      <w:r w:rsidR="008503AF">
        <w:rPr>
          <w:rFonts w:ascii="Times New Roman" w:hAnsi="Times New Roman" w:cs="Times New Roman"/>
          <w:sz w:val="20"/>
          <w:szCs w:val="20"/>
        </w:rPr>
        <w:t xml:space="preserve">were </w:t>
      </w:r>
      <w:r w:rsidRPr="007668FD">
        <w:rPr>
          <w:rFonts w:ascii="Times New Roman" w:hAnsi="Times New Roman" w:cs="Times New Roman"/>
          <w:sz w:val="20"/>
          <w:szCs w:val="20"/>
        </w:rPr>
        <w:t xml:space="preserve">derived from pooled (random-effects) </w:t>
      </w:r>
      <w:proofErr w:type="spellStart"/>
      <w:r w:rsidRPr="007668FD">
        <w:rPr>
          <w:rFonts w:ascii="Times New Roman" w:hAnsi="Times New Roman" w:cs="Times New Roman"/>
          <w:sz w:val="20"/>
          <w:szCs w:val="20"/>
        </w:rPr>
        <w:t>DerSimonian</w:t>
      </w:r>
      <w:proofErr w:type="spellEnd"/>
      <w:r w:rsidRPr="007668FD">
        <w:rPr>
          <w:rFonts w:ascii="Times New Roman" w:hAnsi="Times New Roman" w:cs="Times New Roman"/>
          <w:sz w:val="20"/>
          <w:szCs w:val="20"/>
        </w:rPr>
        <w:t xml:space="preserve">-Laird </w:t>
      </w:r>
      <w:r w:rsidR="008503AF">
        <w:rPr>
          <w:rFonts w:ascii="Times New Roman" w:hAnsi="Times New Roman" w:cs="Times New Roman"/>
          <w:sz w:val="20"/>
          <w:szCs w:val="20"/>
        </w:rPr>
        <w:t>meta-analyses</w:t>
      </w:r>
      <w:r w:rsidRPr="007668FD">
        <w:rPr>
          <w:rFonts w:ascii="Times New Roman" w:hAnsi="Times New Roman" w:cs="Times New Roman"/>
          <w:sz w:val="20"/>
          <w:szCs w:val="20"/>
        </w:rPr>
        <w:t xml:space="preserve">. I² statistics and Egger's test </w:t>
      </w:r>
      <w:r w:rsidR="008503AF">
        <w:rPr>
          <w:rFonts w:ascii="Times New Roman" w:hAnsi="Times New Roman" w:cs="Times New Roman"/>
          <w:sz w:val="20"/>
          <w:szCs w:val="20"/>
        </w:rPr>
        <w:t xml:space="preserve">were </w:t>
      </w:r>
      <w:r w:rsidRPr="007668FD">
        <w:rPr>
          <w:rFonts w:ascii="Times New Roman" w:hAnsi="Times New Roman" w:cs="Times New Roman"/>
          <w:sz w:val="20"/>
          <w:szCs w:val="20"/>
        </w:rPr>
        <w:t>used to assess heterogeneity.</w:t>
      </w:r>
    </w:p>
    <w:p w14:paraId="3A7C5D2A" w14:textId="77777777" w:rsidR="007668FD" w:rsidRPr="007668FD" w:rsidRDefault="007668FD" w:rsidP="007668FD">
      <w:pPr>
        <w:spacing w:after="0" w:line="360" w:lineRule="auto"/>
        <w:jc w:val="both"/>
        <w:rPr>
          <w:rFonts w:ascii="Times New Roman" w:hAnsi="Times New Roman" w:cs="Times New Roman"/>
          <w:b/>
          <w:bCs/>
          <w:color w:val="0070C0"/>
          <w:sz w:val="20"/>
          <w:szCs w:val="20"/>
        </w:rPr>
      </w:pPr>
      <w:r w:rsidRPr="007668FD">
        <w:rPr>
          <w:rFonts w:ascii="Times New Roman" w:hAnsi="Times New Roman" w:cs="Times New Roman"/>
          <w:b/>
          <w:bCs/>
          <w:color w:val="0070C0"/>
          <w:sz w:val="20"/>
          <w:szCs w:val="20"/>
        </w:rPr>
        <w:t xml:space="preserve">Results: </w:t>
      </w:r>
    </w:p>
    <w:p w14:paraId="75E14770" w14:textId="1A27587E" w:rsidR="007668FD" w:rsidRPr="007668FD" w:rsidRDefault="007668FD" w:rsidP="007668FD">
      <w:pPr>
        <w:spacing w:after="0" w:line="360" w:lineRule="auto"/>
        <w:jc w:val="both"/>
        <w:rPr>
          <w:rFonts w:ascii="Times New Roman" w:hAnsi="Times New Roman" w:cs="Times New Roman"/>
          <w:sz w:val="20"/>
          <w:szCs w:val="20"/>
        </w:rPr>
      </w:pPr>
      <w:r w:rsidRPr="007668FD">
        <w:rPr>
          <w:rFonts w:ascii="Times New Roman" w:hAnsi="Times New Roman" w:cs="Times New Roman"/>
          <w:sz w:val="20"/>
          <w:szCs w:val="20"/>
        </w:rPr>
        <w:t xml:space="preserve">A total of eleven studies (two RCTs, nine observational; ~43,000 patients) were included. The beta-blocker therapy group had a statistically </w:t>
      </w:r>
      <w:r w:rsidR="008503AF">
        <w:rPr>
          <w:rFonts w:ascii="Times New Roman" w:hAnsi="Times New Roman" w:cs="Times New Roman"/>
          <w:sz w:val="20"/>
          <w:szCs w:val="20"/>
        </w:rPr>
        <w:t>significant</w:t>
      </w:r>
      <w:r w:rsidRPr="007668FD">
        <w:rPr>
          <w:rFonts w:ascii="Times New Roman" w:hAnsi="Times New Roman" w:cs="Times New Roman"/>
          <w:sz w:val="20"/>
          <w:szCs w:val="20"/>
        </w:rPr>
        <w:t xml:space="preserve"> reduced HR of 0.81 (95% CI, 0.67–0.98; p=0.032), suggesting that all-cause mortality was lower.</w:t>
      </w:r>
      <w:r w:rsidR="008503AF">
        <w:rPr>
          <w:rFonts w:ascii="Times New Roman" w:hAnsi="Times New Roman" w:cs="Times New Roman"/>
          <w:sz w:val="20"/>
          <w:szCs w:val="20"/>
        </w:rPr>
        <w:t xml:space="preserve"> </w:t>
      </w:r>
      <w:r w:rsidRPr="007668FD">
        <w:rPr>
          <w:rFonts w:ascii="Times New Roman" w:hAnsi="Times New Roman" w:cs="Times New Roman"/>
          <w:sz w:val="20"/>
          <w:szCs w:val="20"/>
        </w:rPr>
        <w:t>The benefit was statistically significantly around all-cause mortality with an HR of 0.81 (95% CI, 0.67–0.98; p=0.032). No significant benefit was observed for CV mortality (HR 0.83, 95% CI [0.57–1.20], I²=73.4%), MACE (HR 0.98, 95% CI [0.80–1.19], I²=53.2%), reinfarction (HR 1.00, 95% CI [0.92–1.09], I²=0%), or HF hospitalization (HR 1.05, 95% CI [0.89–1.24], I²=0%). Nine studies were judged to be low risk of bias (Low IOQ) in the quality assessment (Figure 13). There was significant publication bias found for all-cause mortality (p&lt;0.001), CV mortality (p=0.002)</w:t>
      </w:r>
      <w:r w:rsidR="008503AF">
        <w:rPr>
          <w:rFonts w:ascii="Times New Roman" w:hAnsi="Times New Roman" w:cs="Times New Roman"/>
          <w:sz w:val="20"/>
          <w:szCs w:val="20"/>
        </w:rPr>
        <w:t>,</w:t>
      </w:r>
      <w:r w:rsidRPr="007668FD">
        <w:rPr>
          <w:rFonts w:ascii="Times New Roman" w:hAnsi="Times New Roman" w:cs="Times New Roman"/>
          <w:sz w:val="20"/>
          <w:szCs w:val="20"/>
        </w:rPr>
        <w:t xml:space="preserve"> and reinfarction (p=0.013).</w:t>
      </w:r>
    </w:p>
    <w:p w14:paraId="6952356C" w14:textId="77777777" w:rsidR="007668FD" w:rsidRPr="007668FD" w:rsidRDefault="007668FD" w:rsidP="007668FD">
      <w:pPr>
        <w:spacing w:after="0" w:line="360" w:lineRule="auto"/>
        <w:jc w:val="both"/>
        <w:rPr>
          <w:rFonts w:ascii="Times New Roman" w:hAnsi="Times New Roman" w:cs="Times New Roman"/>
          <w:b/>
          <w:bCs/>
          <w:color w:val="0070C0"/>
          <w:sz w:val="20"/>
          <w:szCs w:val="20"/>
        </w:rPr>
      </w:pPr>
      <w:r w:rsidRPr="007668FD">
        <w:rPr>
          <w:rFonts w:ascii="Times New Roman" w:hAnsi="Times New Roman" w:cs="Times New Roman"/>
          <w:b/>
          <w:bCs/>
          <w:color w:val="0070C0"/>
          <w:sz w:val="20"/>
          <w:szCs w:val="20"/>
        </w:rPr>
        <w:t xml:space="preserve">Conclusion: </w:t>
      </w:r>
    </w:p>
    <w:p w14:paraId="5234DDA9" w14:textId="500EF823" w:rsidR="00A93CEB" w:rsidRDefault="007668FD" w:rsidP="007668FD">
      <w:pPr>
        <w:spacing w:after="0" w:line="360" w:lineRule="auto"/>
        <w:jc w:val="both"/>
        <w:rPr>
          <w:rFonts w:ascii="Times New Roman" w:hAnsi="Times New Roman" w:cs="Times New Roman"/>
          <w:sz w:val="20"/>
          <w:szCs w:val="20"/>
        </w:rPr>
      </w:pPr>
      <w:r w:rsidRPr="007668FD">
        <w:rPr>
          <w:rFonts w:ascii="Times New Roman" w:hAnsi="Times New Roman" w:cs="Times New Roman"/>
          <w:sz w:val="20"/>
          <w:szCs w:val="20"/>
        </w:rPr>
        <w:t>Beta-blockers showed a modest all-cause mortality benefit but no benefit for other outcomes. High heterogeneity, significant publication bias, and neutral findings from two large RCTs (REDUCE-AMI [11] and ABYSS [12]) suggest the mortality benefit may be driven by observational confounding. Individualized prescribing is recommended over universal beta-blocker use in this population.</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5BE3E25D" w:rsidR="00F80D80" w:rsidRDefault="007668FD" w:rsidP="00B53566">
      <w:pPr>
        <w:spacing w:after="0" w:line="360" w:lineRule="auto"/>
        <w:jc w:val="both"/>
        <w:rPr>
          <w:rFonts w:ascii="Times New Roman" w:eastAsia="Times New Roman" w:hAnsi="Times New Roman" w:cs="Times New Roman"/>
          <w:snapToGrid w:val="0"/>
          <w:color w:val="000000"/>
          <w:sz w:val="20"/>
          <w:lang w:eastAsia="de-DE" w:bidi="en-US"/>
        </w:rPr>
      </w:pPr>
      <w:r w:rsidRPr="007668FD">
        <w:rPr>
          <w:rFonts w:ascii="Times New Roman" w:eastAsia="Times New Roman" w:hAnsi="Times New Roman" w:cs="Times New Roman"/>
          <w:snapToGrid w:val="0"/>
          <w:color w:val="000000"/>
          <w:sz w:val="20"/>
          <w:lang w:eastAsia="de-DE" w:bidi="en-US"/>
        </w:rPr>
        <w:t xml:space="preserve">Beta-blockers; Acute myocardial infarction; Preserved ejection fraction; Meta-analysis; Systematic review; Mortality; MACE; Hazard ratio; </w:t>
      </w:r>
      <w:proofErr w:type="spellStart"/>
      <w:r w:rsidRPr="007668FD">
        <w:rPr>
          <w:rFonts w:ascii="Times New Roman" w:eastAsia="Times New Roman" w:hAnsi="Times New Roman" w:cs="Times New Roman"/>
          <w:snapToGrid w:val="0"/>
          <w:color w:val="000000"/>
          <w:sz w:val="20"/>
          <w:lang w:eastAsia="de-DE" w:bidi="en-US"/>
        </w:rPr>
        <w:t>DerSimonian</w:t>
      </w:r>
      <w:proofErr w:type="spellEnd"/>
      <w:r w:rsidRPr="007668FD">
        <w:rPr>
          <w:rFonts w:ascii="Times New Roman" w:eastAsia="Times New Roman" w:hAnsi="Times New Roman" w:cs="Times New Roman"/>
          <w:snapToGrid w:val="0"/>
          <w:color w:val="000000"/>
          <w:sz w:val="20"/>
          <w:lang w:eastAsia="de-DE" w:bidi="en-US"/>
        </w:rPr>
        <w:t>-Laird; Risk of bias; Newcastle-Ottawa Scale</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1B5B100A" w14:textId="77777777" w:rsidR="00F502BA" w:rsidRPr="00F502BA" w:rsidRDefault="00F502BA" w:rsidP="00F502BA">
      <w:pPr>
        <w:spacing w:after="0" w:line="360" w:lineRule="auto"/>
        <w:jc w:val="both"/>
        <w:rPr>
          <w:rFonts w:ascii="Times New Roman" w:hAnsi="Times New Roman" w:cs="Times New Roman"/>
          <w:b/>
          <w:bCs/>
          <w:color w:val="0070C0"/>
          <w:sz w:val="20"/>
          <w:szCs w:val="20"/>
        </w:rPr>
      </w:pPr>
      <w:r w:rsidRPr="00F502BA">
        <w:rPr>
          <w:rFonts w:ascii="Times New Roman" w:hAnsi="Times New Roman" w:cs="Times New Roman"/>
          <w:b/>
          <w:bCs/>
          <w:color w:val="0070C0"/>
          <w:sz w:val="20"/>
          <w:szCs w:val="20"/>
        </w:rPr>
        <w:t>1. Introduction</w:t>
      </w:r>
    </w:p>
    <w:p w14:paraId="0F82FED7"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sz w:val="20"/>
          <w:szCs w:val="20"/>
        </w:rPr>
        <w:lastRenderedPageBreak/>
        <w:t>Acute myocardial infarction (AMI), commonly referred to as a heart attack, remains a significant global cause of mortality and morbidity, with approximately 7 million new cases annually worldwide [1,2,3]. Improvements in treatment and post-MI management have led to better myocardial salvage, reduced infarct size, and consequently, improved left ventricular ejection fraction (LVEF) preservation [3-13]. This evolution has resulted in a patient population post-MI with normal or only mildly reduced LVEF (≥40%), altering the risk profile of contemporary atherosclerotic patients experiencing myocardial infarction. Landmark trials conducted in the 1980s and 1990s, including the Norwegian Timolol Trial, the Beta-Blocker Heart Attack Trial (BHAT), and MERIT-HF, established beta-blockers as a cornerstone therapy for myocardial infarction [14,15]. These studies demonstrated significant reductions in all-cause and sudden cardiac death mortality, leading to the conclusion that beta-blockers should be considered the standard of care [16]. However, many of these trials involved patients with significant left ventricular dysfunction, which is less prevalent in the current reperfusion era. Contemporary guidelines from the European Society of Cardiology (ESC) and the American College of Cardiology/American Heart Association (ACC/AHA) recommend beta-blocker use in all patients with LVEF ≤40%, though the evidence supporting their benefit in patients with preserved or moderately reduced LVEF is less robust [17,18]. This clinical question has resurfaced recently with the publication of two contemporary randomized controlled trials: REDUCE-AMI (2024) and ABYSS (2024) [11,12]. The REDUCE-AMI trial, which included 5020 patients with LVEF ≥50% treated with beta-blockers out of 5681 participants, found no significant difference in all-cause mortality compared to placebo (Hazard Ratio 0.96, 95% Confidence Interval 0.79–1.16) [11]. In the ABYSS trial, which enrolled 3698 patients over 40 years of age who developed MI, discontinuation of beta-blocker therapy was shown to be non-inferior [12]. Nevertheless, observational cohort studies have produced conflicting and inconclusive results [19, 20]. A systematic review and meta-analysis are required to address these contradictory findings and provide a quantitative summary of the benefits of beta-blocker therapy across patient groups with preserved or mildly reduced LVEF following MI [21, 22]. Such an analysis would inform clinical decision-making, guide recommendations for clinical guidelines, and identify potential avenues for future research [17,23].</w:t>
      </w:r>
    </w:p>
    <w:p w14:paraId="579184F3" w14:textId="77777777" w:rsidR="00F502BA" w:rsidRDefault="00F502BA" w:rsidP="00F502BA">
      <w:pPr>
        <w:spacing w:after="0" w:line="360" w:lineRule="auto"/>
        <w:jc w:val="both"/>
        <w:rPr>
          <w:rFonts w:ascii="Times New Roman" w:hAnsi="Times New Roman" w:cs="Times New Roman"/>
          <w:sz w:val="20"/>
          <w:szCs w:val="20"/>
        </w:rPr>
      </w:pPr>
    </w:p>
    <w:p w14:paraId="2F774237" w14:textId="1C75357C" w:rsidR="00F502BA" w:rsidRPr="00F502BA" w:rsidRDefault="00F502BA" w:rsidP="00F502BA">
      <w:pPr>
        <w:spacing w:after="0" w:line="360" w:lineRule="auto"/>
        <w:jc w:val="both"/>
        <w:rPr>
          <w:rFonts w:ascii="Times New Roman" w:hAnsi="Times New Roman" w:cs="Times New Roman"/>
          <w:b/>
          <w:bCs/>
          <w:color w:val="0070C0"/>
          <w:sz w:val="20"/>
          <w:szCs w:val="20"/>
        </w:rPr>
      </w:pPr>
      <w:r w:rsidRPr="00F502BA">
        <w:rPr>
          <w:rFonts w:ascii="Times New Roman" w:hAnsi="Times New Roman" w:cs="Times New Roman"/>
          <w:b/>
          <w:bCs/>
          <w:color w:val="0070C0"/>
          <w:sz w:val="20"/>
          <w:szCs w:val="20"/>
        </w:rPr>
        <w:t>2. Methods</w:t>
      </w:r>
    </w:p>
    <w:p w14:paraId="0D341618" w14:textId="77777777" w:rsidR="00F502BA" w:rsidRPr="00F502BA" w:rsidRDefault="00F502BA" w:rsidP="00F502BA">
      <w:pPr>
        <w:spacing w:after="0" w:line="360" w:lineRule="auto"/>
        <w:jc w:val="both"/>
        <w:rPr>
          <w:rFonts w:ascii="Times New Roman" w:hAnsi="Times New Roman" w:cs="Times New Roman"/>
          <w:b/>
          <w:bCs/>
          <w:sz w:val="20"/>
          <w:szCs w:val="20"/>
        </w:rPr>
      </w:pPr>
      <w:r w:rsidRPr="00F502BA">
        <w:rPr>
          <w:rFonts w:ascii="Times New Roman" w:hAnsi="Times New Roman" w:cs="Times New Roman"/>
          <w:b/>
          <w:bCs/>
          <w:sz w:val="20"/>
          <w:szCs w:val="20"/>
        </w:rPr>
        <w:t>2.1 Study Registration and Protocol</w:t>
      </w:r>
    </w:p>
    <w:p w14:paraId="22404F97"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sz w:val="20"/>
          <w:szCs w:val="20"/>
        </w:rPr>
        <w:t xml:space="preserve">This systematic review and meta-analysis was conducted and reported in accordance with PRISMA 2020 guidelines [5]. </w:t>
      </w:r>
    </w:p>
    <w:p w14:paraId="183A2887" w14:textId="77777777" w:rsidR="00F502BA" w:rsidRPr="00F502BA" w:rsidRDefault="00F502BA" w:rsidP="00F502BA">
      <w:pPr>
        <w:spacing w:after="0" w:line="360" w:lineRule="auto"/>
        <w:jc w:val="both"/>
        <w:rPr>
          <w:rFonts w:ascii="Times New Roman" w:hAnsi="Times New Roman" w:cs="Times New Roman"/>
          <w:b/>
          <w:bCs/>
          <w:sz w:val="20"/>
          <w:szCs w:val="20"/>
        </w:rPr>
      </w:pPr>
      <w:r w:rsidRPr="00F502BA">
        <w:rPr>
          <w:rFonts w:ascii="Times New Roman" w:hAnsi="Times New Roman" w:cs="Times New Roman"/>
          <w:b/>
          <w:bCs/>
          <w:sz w:val="20"/>
          <w:szCs w:val="20"/>
        </w:rPr>
        <w:t>2.2 Literature Search Strategy</w:t>
      </w:r>
    </w:p>
    <w:p w14:paraId="0A318043"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sz w:val="20"/>
          <w:szCs w:val="20"/>
        </w:rPr>
        <w:t>A comprehensive search of PubMed/MEDLINE, Embase, Cochrane CENTRAL, and Web of Science was conducted from January 2015 through December 2025. Search terms included: 'beta-blocker,' 'metoprolol,' 'carvedilol,' 'bisoprolol,' 'atenolol,' 'acute myocardial infarction,' 'post-MI,' 'preserved ejection fraction,' 'LVEF ≥40%,' and related terms combined with Boolean operators. No language restrictions were applied.</w:t>
      </w:r>
    </w:p>
    <w:p w14:paraId="28124D2D" w14:textId="77777777" w:rsidR="00F502BA" w:rsidRPr="00F502BA" w:rsidRDefault="00F502BA" w:rsidP="00F502BA">
      <w:pPr>
        <w:spacing w:after="0" w:line="360" w:lineRule="auto"/>
        <w:jc w:val="both"/>
        <w:rPr>
          <w:rFonts w:ascii="Times New Roman" w:hAnsi="Times New Roman" w:cs="Times New Roman"/>
          <w:b/>
          <w:bCs/>
          <w:sz w:val="20"/>
          <w:szCs w:val="20"/>
        </w:rPr>
      </w:pPr>
      <w:r w:rsidRPr="00F502BA">
        <w:rPr>
          <w:rFonts w:ascii="Times New Roman" w:hAnsi="Times New Roman" w:cs="Times New Roman"/>
          <w:b/>
          <w:bCs/>
          <w:sz w:val="20"/>
          <w:szCs w:val="20"/>
        </w:rPr>
        <w:t>2.3 Eligibility Criteria</w:t>
      </w:r>
    </w:p>
    <w:p w14:paraId="61279216"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b/>
          <w:bCs/>
          <w:sz w:val="20"/>
          <w:szCs w:val="20"/>
        </w:rPr>
        <w:t>Inclusion:</w:t>
      </w:r>
      <w:r w:rsidRPr="00F502BA">
        <w:rPr>
          <w:rFonts w:ascii="Times New Roman" w:hAnsi="Times New Roman" w:cs="Times New Roman"/>
          <w:sz w:val="20"/>
          <w:szCs w:val="20"/>
        </w:rPr>
        <w:t xml:space="preserve"> Adult post-MI patients (age ≥18 years) with LVEF ≥40%; beta-blocker versus no beta-blocker comparison; at least one pre-specified outcome reported; RCTs or observational cohort studies with a comparator; HR with 95% CI reported or derivable.</w:t>
      </w:r>
    </w:p>
    <w:p w14:paraId="461C2E8F"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b/>
          <w:bCs/>
          <w:sz w:val="20"/>
          <w:szCs w:val="20"/>
        </w:rPr>
        <w:lastRenderedPageBreak/>
        <w:t>Exclusion:</w:t>
      </w:r>
      <w:r w:rsidRPr="00F502BA">
        <w:rPr>
          <w:rFonts w:ascii="Times New Roman" w:hAnsi="Times New Roman" w:cs="Times New Roman"/>
          <w:sz w:val="20"/>
          <w:szCs w:val="20"/>
        </w:rPr>
        <w:t xml:space="preserve"> LVEF &lt;40% or unspecified; case reports, case series, reviews; no comparator group; mixed populations without extractable LVEF ≥40% subgroup; duplicate datasets.</w:t>
      </w:r>
    </w:p>
    <w:p w14:paraId="4232F240" w14:textId="77777777" w:rsidR="00F502BA" w:rsidRPr="00F502BA" w:rsidRDefault="00F502BA" w:rsidP="00F502BA">
      <w:pPr>
        <w:spacing w:after="0" w:line="360" w:lineRule="auto"/>
        <w:jc w:val="both"/>
        <w:rPr>
          <w:rFonts w:ascii="Times New Roman" w:hAnsi="Times New Roman" w:cs="Times New Roman"/>
          <w:b/>
          <w:bCs/>
          <w:sz w:val="20"/>
          <w:szCs w:val="20"/>
        </w:rPr>
      </w:pPr>
      <w:r w:rsidRPr="00F502BA">
        <w:rPr>
          <w:rFonts w:ascii="Times New Roman" w:hAnsi="Times New Roman" w:cs="Times New Roman"/>
          <w:b/>
          <w:bCs/>
          <w:sz w:val="20"/>
          <w:szCs w:val="20"/>
        </w:rPr>
        <w:t>2.4 Study Selection and Data Extraction</w:t>
      </w:r>
    </w:p>
    <w:p w14:paraId="378453F9"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sz w:val="20"/>
          <w:szCs w:val="20"/>
        </w:rPr>
        <w:t>Two independent reviewers conducted two-stage selection: title/abstract screening followed by full-text assessment. Disagreements were resolved by consensus or a third reviewer [24]. Extracted variables: first author, year, country, design, sample size, follow-up, age, sex, LVEF range, beta-blocker type and dose, comparator, and outcome-specific HRs with 95% CIs.</w:t>
      </w:r>
    </w:p>
    <w:p w14:paraId="6A963F50" w14:textId="77777777" w:rsidR="00F502BA" w:rsidRPr="00F502BA" w:rsidRDefault="00F502BA" w:rsidP="00F502BA">
      <w:pPr>
        <w:spacing w:after="0" w:line="360" w:lineRule="auto"/>
        <w:jc w:val="both"/>
        <w:rPr>
          <w:rFonts w:ascii="Times New Roman" w:hAnsi="Times New Roman" w:cs="Times New Roman"/>
          <w:b/>
          <w:bCs/>
          <w:sz w:val="20"/>
          <w:szCs w:val="20"/>
        </w:rPr>
      </w:pPr>
      <w:r w:rsidRPr="00F502BA">
        <w:rPr>
          <w:rFonts w:ascii="Times New Roman" w:hAnsi="Times New Roman" w:cs="Times New Roman"/>
          <w:b/>
          <w:bCs/>
          <w:sz w:val="20"/>
          <w:szCs w:val="20"/>
        </w:rPr>
        <w:t>2.5 Outcomes of Interest</w:t>
      </w:r>
    </w:p>
    <w:p w14:paraId="2107C152"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sz w:val="20"/>
          <w:szCs w:val="20"/>
        </w:rPr>
        <w:t>Five pre-specified outcomes: (1) All-cause mortality (primary), (2) Cardiovascular mortality, (3) MACE, (4) Reinfarction, (5) HF hospitalization. Stroke analyzed descriptively only (k=3; insufficient for forest plot pooling [25].</w:t>
      </w:r>
    </w:p>
    <w:p w14:paraId="419037C9" w14:textId="77777777" w:rsidR="00F502BA" w:rsidRPr="00F502BA" w:rsidRDefault="00F502BA" w:rsidP="00F502BA">
      <w:pPr>
        <w:spacing w:after="0" w:line="360" w:lineRule="auto"/>
        <w:jc w:val="both"/>
        <w:rPr>
          <w:rFonts w:ascii="Times New Roman" w:hAnsi="Times New Roman" w:cs="Times New Roman"/>
          <w:b/>
          <w:bCs/>
          <w:sz w:val="20"/>
          <w:szCs w:val="20"/>
        </w:rPr>
      </w:pPr>
      <w:r w:rsidRPr="00F502BA">
        <w:rPr>
          <w:rFonts w:ascii="Times New Roman" w:hAnsi="Times New Roman" w:cs="Times New Roman"/>
          <w:b/>
          <w:bCs/>
          <w:sz w:val="20"/>
          <w:szCs w:val="20"/>
        </w:rPr>
        <w:t>2.6 Quality Assessment and Risk of Bias</w:t>
      </w:r>
    </w:p>
    <w:p w14:paraId="54B9016B"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sz w:val="20"/>
          <w:szCs w:val="20"/>
        </w:rPr>
        <w:t xml:space="preserve">Observational studies evaluated using Newcastle-Ottawa Scale (NOS); score ≥7 = low risk [6]. RCTs evaluated using Cochrane </w:t>
      </w:r>
      <w:proofErr w:type="spellStart"/>
      <w:r w:rsidRPr="00F502BA">
        <w:rPr>
          <w:rFonts w:ascii="Times New Roman" w:hAnsi="Times New Roman" w:cs="Times New Roman"/>
          <w:sz w:val="20"/>
          <w:szCs w:val="20"/>
        </w:rPr>
        <w:t>RoB</w:t>
      </w:r>
      <w:proofErr w:type="spellEnd"/>
      <w:r w:rsidRPr="00F502BA">
        <w:rPr>
          <w:rFonts w:ascii="Times New Roman" w:hAnsi="Times New Roman" w:cs="Times New Roman"/>
          <w:sz w:val="20"/>
          <w:szCs w:val="20"/>
        </w:rPr>
        <w:t xml:space="preserve"> 2 [7]. Results presented as color-coded Risk of Bias Summary Table (Figure 13).</w:t>
      </w:r>
    </w:p>
    <w:p w14:paraId="5878592F" w14:textId="77777777" w:rsidR="00F502BA" w:rsidRPr="00F502BA" w:rsidRDefault="00F502BA" w:rsidP="00F502BA">
      <w:pPr>
        <w:spacing w:after="0" w:line="360" w:lineRule="auto"/>
        <w:jc w:val="both"/>
        <w:rPr>
          <w:rFonts w:ascii="Times New Roman" w:hAnsi="Times New Roman" w:cs="Times New Roman"/>
          <w:b/>
          <w:bCs/>
          <w:sz w:val="20"/>
          <w:szCs w:val="20"/>
        </w:rPr>
      </w:pPr>
      <w:r w:rsidRPr="00F502BA">
        <w:rPr>
          <w:rFonts w:ascii="Times New Roman" w:hAnsi="Times New Roman" w:cs="Times New Roman"/>
          <w:b/>
          <w:bCs/>
          <w:sz w:val="20"/>
          <w:szCs w:val="20"/>
        </w:rPr>
        <w:t>2.7 Statistical Analysis</w:t>
      </w:r>
    </w:p>
    <w:p w14:paraId="1C024ED2" w14:textId="77777777" w:rsidR="00F502BA" w:rsidRPr="00F502B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sz w:val="20"/>
          <w:szCs w:val="20"/>
        </w:rPr>
        <w:t xml:space="preserve">Pooled HRs with 95% CIs calculated using </w:t>
      </w:r>
      <w:proofErr w:type="spellStart"/>
      <w:r w:rsidRPr="00F502BA">
        <w:rPr>
          <w:rFonts w:ascii="Times New Roman" w:hAnsi="Times New Roman" w:cs="Times New Roman"/>
          <w:sz w:val="20"/>
          <w:szCs w:val="20"/>
        </w:rPr>
        <w:t>DerSimonian</w:t>
      </w:r>
      <w:proofErr w:type="spellEnd"/>
      <w:r w:rsidRPr="00F502BA">
        <w:rPr>
          <w:rFonts w:ascii="Times New Roman" w:hAnsi="Times New Roman" w:cs="Times New Roman"/>
          <w:sz w:val="20"/>
          <w:szCs w:val="20"/>
        </w:rPr>
        <w:t xml:space="preserve">-Laird random-effects model [8] with meta [26] and </w:t>
      </w:r>
      <w:proofErr w:type="spellStart"/>
      <w:r w:rsidRPr="00F502BA">
        <w:rPr>
          <w:rFonts w:ascii="Times New Roman" w:hAnsi="Times New Roman" w:cs="Times New Roman"/>
          <w:sz w:val="20"/>
          <w:szCs w:val="20"/>
        </w:rPr>
        <w:t>metafor</w:t>
      </w:r>
      <w:proofErr w:type="spellEnd"/>
      <w:r w:rsidRPr="00F502BA">
        <w:rPr>
          <w:rFonts w:ascii="Times New Roman" w:hAnsi="Times New Roman" w:cs="Times New Roman"/>
          <w:sz w:val="20"/>
          <w:szCs w:val="20"/>
        </w:rPr>
        <w:t xml:space="preserve"> [27] R packages. Heterogeneity quantified using I² (&lt;25% low; 25–50% moderate; 50–75% substantial; &gt;75% considerable) [9]. Publication bias assessed with Egger's regression test (p&lt;0.10 indicates potential asymmetry) [10]. p&lt;0.05 considered statistically significant.</w:t>
      </w:r>
    </w:p>
    <w:p w14:paraId="1F96939A" w14:textId="77777777" w:rsidR="00F502BA" w:rsidRPr="00F502BA" w:rsidRDefault="00F502BA" w:rsidP="00F502BA">
      <w:pPr>
        <w:spacing w:after="0" w:line="360" w:lineRule="auto"/>
        <w:jc w:val="both"/>
        <w:rPr>
          <w:rFonts w:ascii="Times New Roman" w:hAnsi="Times New Roman" w:cs="Times New Roman"/>
          <w:sz w:val="20"/>
          <w:szCs w:val="20"/>
        </w:rPr>
      </w:pPr>
    </w:p>
    <w:p w14:paraId="6EA92F18" w14:textId="77777777" w:rsidR="00F502BA" w:rsidRPr="00F502BA" w:rsidRDefault="00F502BA" w:rsidP="00F502BA">
      <w:pPr>
        <w:spacing w:after="0" w:line="360" w:lineRule="auto"/>
        <w:jc w:val="both"/>
        <w:rPr>
          <w:rFonts w:ascii="Times New Roman" w:hAnsi="Times New Roman" w:cs="Times New Roman"/>
          <w:b/>
          <w:bCs/>
          <w:color w:val="0070C0"/>
          <w:sz w:val="20"/>
          <w:szCs w:val="20"/>
        </w:rPr>
      </w:pPr>
      <w:r w:rsidRPr="00F502BA">
        <w:rPr>
          <w:rFonts w:ascii="Times New Roman" w:hAnsi="Times New Roman" w:cs="Times New Roman"/>
          <w:b/>
          <w:bCs/>
          <w:color w:val="0070C0"/>
          <w:sz w:val="20"/>
          <w:szCs w:val="20"/>
        </w:rPr>
        <w:t>3. Results</w:t>
      </w:r>
    </w:p>
    <w:p w14:paraId="6B8095BD" w14:textId="77777777" w:rsidR="00F502BA" w:rsidRPr="00F502BA" w:rsidRDefault="00F502BA" w:rsidP="00F502BA">
      <w:pPr>
        <w:spacing w:after="0" w:line="360" w:lineRule="auto"/>
        <w:jc w:val="both"/>
        <w:rPr>
          <w:rFonts w:ascii="Times New Roman" w:hAnsi="Times New Roman" w:cs="Times New Roman"/>
          <w:b/>
          <w:bCs/>
          <w:sz w:val="20"/>
          <w:szCs w:val="20"/>
        </w:rPr>
      </w:pPr>
      <w:r w:rsidRPr="00F502BA">
        <w:rPr>
          <w:rFonts w:ascii="Times New Roman" w:hAnsi="Times New Roman" w:cs="Times New Roman"/>
          <w:b/>
          <w:bCs/>
          <w:sz w:val="20"/>
          <w:szCs w:val="20"/>
        </w:rPr>
        <w:t>3.1 Study Selection</w:t>
      </w:r>
    </w:p>
    <w:p w14:paraId="3F361BBB" w14:textId="3EFD74C3" w:rsidR="002836EA" w:rsidRDefault="00F502BA" w:rsidP="00F502BA">
      <w:pPr>
        <w:spacing w:after="0" w:line="360" w:lineRule="auto"/>
        <w:jc w:val="both"/>
        <w:rPr>
          <w:rFonts w:ascii="Times New Roman" w:hAnsi="Times New Roman" w:cs="Times New Roman"/>
          <w:sz w:val="20"/>
          <w:szCs w:val="20"/>
        </w:rPr>
      </w:pPr>
      <w:r w:rsidRPr="00F502BA">
        <w:rPr>
          <w:rFonts w:ascii="Times New Roman" w:hAnsi="Times New Roman" w:cs="Times New Roman"/>
          <w:sz w:val="20"/>
          <w:szCs w:val="20"/>
        </w:rPr>
        <w:t>The systematic search retrieved [1,434] records from four databases. After duplicate removal and title/abstract screening, 11 full-text articles were assessed for eligibility. Eleven studies were included: 2 RCTs and 9 observational cohort studies enrolling approximately 43,000 patients. The PRISMA 2020 flow diagram is presented in Figure 01 [5].</w:t>
      </w:r>
    </w:p>
    <w:p w14:paraId="33885A95" w14:textId="77777777" w:rsidR="00F502BA" w:rsidRDefault="00F502BA" w:rsidP="00440788">
      <w:pPr>
        <w:spacing w:after="0" w:line="360" w:lineRule="auto"/>
        <w:jc w:val="both"/>
        <w:rPr>
          <w:rFonts w:ascii="Times New Roman" w:hAnsi="Times New Roman" w:cs="Times New Roman"/>
          <w:sz w:val="20"/>
          <w:szCs w:val="20"/>
        </w:rPr>
      </w:pPr>
    </w:p>
    <w:p w14:paraId="75506876" w14:textId="18D597EB" w:rsidR="00F502BA" w:rsidRDefault="008B19CA" w:rsidP="008B19CA">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lastRenderedPageBreak/>
        <w:drawing>
          <wp:inline distT="0" distB="0" distL="0" distR="0" wp14:anchorId="5531CDA3" wp14:editId="5659FCCA">
            <wp:extent cx="4503810" cy="4743861"/>
            <wp:effectExtent l="0" t="0" r="0" b="0"/>
            <wp:docPr id="87917346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73462" name="Picture 87917346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03810" cy="4743861"/>
                    </a:xfrm>
                    <a:prstGeom prst="rect">
                      <a:avLst/>
                    </a:prstGeom>
                  </pic:spPr>
                </pic:pic>
              </a:graphicData>
            </a:graphic>
          </wp:inline>
        </w:drawing>
      </w:r>
    </w:p>
    <w:p w14:paraId="7BDC2BFB" w14:textId="01825624" w:rsidR="008B19CA" w:rsidRDefault="008B19CA" w:rsidP="008B19CA">
      <w:pPr>
        <w:spacing w:after="0" w:line="360" w:lineRule="auto"/>
        <w:jc w:val="center"/>
        <w:rPr>
          <w:rFonts w:ascii="Times New Roman" w:hAnsi="Times New Roman" w:cs="Times New Roman"/>
          <w:sz w:val="20"/>
          <w:szCs w:val="20"/>
        </w:rPr>
      </w:pPr>
      <w:r w:rsidRPr="008B19CA">
        <w:rPr>
          <w:rFonts w:ascii="Times New Roman" w:hAnsi="Times New Roman" w:cs="Times New Roman"/>
          <w:b/>
          <w:bCs/>
          <w:color w:val="0070C0"/>
          <w:sz w:val="20"/>
          <w:szCs w:val="20"/>
        </w:rPr>
        <w:t>Figure 1:</w:t>
      </w:r>
      <w:r w:rsidRPr="008B19CA">
        <w:rPr>
          <w:rFonts w:ascii="Times New Roman" w:hAnsi="Times New Roman" w:cs="Times New Roman"/>
          <w:sz w:val="20"/>
          <w:szCs w:val="20"/>
        </w:rPr>
        <w:t xml:space="preserve"> PRISMA Flowchart</w:t>
      </w:r>
      <w:r>
        <w:rPr>
          <w:rFonts w:ascii="Times New Roman" w:hAnsi="Times New Roman" w:cs="Times New Roman"/>
          <w:sz w:val="20"/>
          <w:szCs w:val="20"/>
        </w:rPr>
        <w:t>.</w:t>
      </w:r>
    </w:p>
    <w:p w14:paraId="31BC86E9" w14:textId="77777777" w:rsidR="008B19CA" w:rsidRDefault="008B19CA" w:rsidP="008B19CA">
      <w:pPr>
        <w:spacing w:after="0" w:line="360" w:lineRule="auto"/>
        <w:jc w:val="center"/>
        <w:rPr>
          <w:rFonts w:ascii="Times New Roman" w:hAnsi="Times New Roman" w:cs="Times New Roman"/>
          <w:sz w:val="20"/>
          <w:szCs w:val="20"/>
        </w:rPr>
      </w:pPr>
    </w:p>
    <w:p w14:paraId="196C589A" w14:textId="77777777" w:rsidR="008B19CA" w:rsidRDefault="008B19CA" w:rsidP="008B19CA">
      <w:pPr>
        <w:spacing w:after="0" w:line="360" w:lineRule="auto"/>
        <w:jc w:val="center"/>
        <w:rPr>
          <w:rFonts w:ascii="Times New Roman" w:hAnsi="Times New Roman" w:cs="Times New Roman"/>
          <w:sz w:val="20"/>
          <w:szCs w:val="20"/>
        </w:rPr>
      </w:pPr>
    </w:p>
    <w:p w14:paraId="624A9CEC" w14:textId="77777777" w:rsidR="008B19CA" w:rsidRDefault="008B19CA" w:rsidP="008B19CA">
      <w:pPr>
        <w:spacing w:after="0" w:line="360" w:lineRule="auto"/>
        <w:jc w:val="both"/>
        <w:rPr>
          <w:rFonts w:ascii="Times New Roman" w:hAnsi="Times New Roman" w:cs="Times New Roman"/>
          <w:b/>
          <w:bCs/>
          <w:sz w:val="20"/>
          <w:szCs w:val="20"/>
        </w:rPr>
      </w:pPr>
    </w:p>
    <w:p w14:paraId="5AAE3121" w14:textId="6C8FC377" w:rsidR="008B19CA" w:rsidRPr="008B19CA" w:rsidRDefault="008B19CA" w:rsidP="008B19CA">
      <w:pPr>
        <w:spacing w:after="0" w:line="360" w:lineRule="auto"/>
        <w:jc w:val="both"/>
        <w:rPr>
          <w:rFonts w:ascii="Times New Roman" w:hAnsi="Times New Roman" w:cs="Times New Roman"/>
          <w:b/>
          <w:bCs/>
          <w:sz w:val="20"/>
          <w:szCs w:val="20"/>
        </w:rPr>
      </w:pPr>
      <w:r w:rsidRPr="008B19CA">
        <w:rPr>
          <w:rFonts w:ascii="Times New Roman" w:hAnsi="Times New Roman" w:cs="Times New Roman"/>
          <w:b/>
          <w:bCs/>
          <w:sz w:val="20"/>
          <w:szCs w:val="20"/>
        </w:rPr>
        <w:t>3.2 Characteristics of Included Studies</w:t>
      </w:r>
    </w:p>
    <w:p w14:paraId="446A1BDE" w14:textId="32BB617C" w:rsidR="008B19CA" w:rsidRDefault="008B19CA" w:rsidP="008B19CA">
      <w:pPr>
        <w:spacing w:after="0" w:line="360" w:lineRule="auto"/>
        <w:jc w:val="both"/>
        <w:rPr>
          <w:rFonts w:ascii="Times New Roman" w:hAnsi="Times New Roman" w:cs="Times New Roman"/>
          <w:sz w:val="20"/>
          <w:szCs w:val="20"/>
        </w:rPr>
      </w:pPr>
      <w:r w:rsidRPr="008B19CA">
        <w:rPr>
          <w:rFonts w:ascii="Times New Roman" w:hAnsi="Times New Roman" w:cs="Times New Roman"/>
          <w:sz w:val="20"/>
          <w:szCs w:val="20"/>
        </w:rPr>
        <w:t xml:space="preserve">Included studies </w:t>
      </w:r>
      <w:r w:rsidR="008503AF">
        <w:rPr>
          <w:rFonts w:ascii="Times New Roman" w:hAnsi="Times New Roman" w:cs="Times New Roman"/>
          <w:sz w:val="20"/>
          <w:szCs w:val="20"/>
        </w:rPr>
        <w:t>are listed</w:t>
      </w:r>
      <w:r w:rsidRPr="008B19CA">
        <w:rPr>
          <w:rFonts w:ascii="Times New Roman" w:hAnsi="Times New Roman" w:cs="Times New Roman"/>
          <w:sz w:val="20"/>
          <w:szCs w:val="20"/>
        </w:rPr>
        <w:t xml:space="preserve"> in Table 1</w:t>
      </w:r>
    </w:p>
    <w:p w14:paraId="751BAF1C" w14:textId="77777777" w:rsidR="008B19CA" w:rsidRDefault="008B19CA" w:rsidP="008B19CA">
      <w:pPr>
        <w:spacing w:after="0" w:line="360" w:lineRule="auto"/>
        <w:jc w:val="both"/>
        <w:rPr>
          <w:rFonts w:ascii="Times New Roman" w:hAnsi="Times New Roman" w:cs="Times New Roman"/>
          <w:sz w:val="20"/>
          <w:szCs w:val="20"/>
        </w:rPr>
      </w:pPr>
    </w:p>
    <w:p w14:paraId="70F80E28" w14:textId="40765E08" w:rsidR="008B19CA" w:rsidRDefault="008B19CA" w:rsidP="008B19CA">
      <w:pPr>
        <w:spacing w:after="0" w:line="360" w:lineRule="auto"/>
        <w:jc w:val="center"/>
        <w:rPr>
          <w:rFonts w:ascii="Times New Roman" w:hAnsi="Times New Roman" w:cs="Times New Roman"/>
          <w:sz w:val="20"/>
          <w:szCs w:val="20"/>
        </w:rPr>
      </w:pPr>
      <w:r w:rsidRPr="008B19CA">
        <w:rPr>
          <w:rFonts w:ascii="Times New Roman" w:hAnsi="Times New Roman" w:cs="Times New Roman"/>
          <w:b/>
          <w:bCs/>
          <w:color w:val="0070C0"/>
          <w:sz w:val="20"/>
          <w:szCs w:val="20"/>
        </w:rPr>
        <w:t>Table 1:</w:t>
      </w:r>
      <w:r w:rsidRPr="008B19CA">
        <w:rPr>
          <w:rFonts w:ascii="Times New Roman" w:hAnsi="Times New Roman" w:cs="Times New Roman"/>
          <w:sz w:val="20"/>
          <w:szCs w:val="20"/>
        </w:rPr>
        <w:t xml:space="preserve"> Characteristics of Included Studies</w:t>
      </w:r>
      <w:r>
        <w:rPr>
          <w:rFonts w:ascii="Times New Roman" w:hAnsi="Times New Roman" w:cs="Times New Roman"/>
          <w:sz w:val="20"/>
          <w:szCs w:val="20"/>
        </w:rPr>
        <w:t>.</w:t>
      </w:r>
    </w:p>
    <w:p w14:paraId="24200091" w14:textId="77777777" w:rsidR="008B19CA" w:rsidRDefault="008B19CA" w:rsidP="008B19CA">
      <w:pPr>
        <w:spacing w:after="0" w:line="360" w:lineRule="auto"/>
        <w:jc w:val="center"/>
        <w:rPr>
          <w:rFonts w:ascii="Times New Roman" w:hAnsi="Times New Roman" w:cs="Times New Roman"/>
          <w:sz w:val="20"/>
          <w:szCs w:val="20"/>
        </w:rPr>
      </w:pPr>
    </w:p>
    <w:tbl>
      <w:tblPr>
        <w:tblW w:w="5000" w:type="pct"/>
        <w:tblCellMar>
          <w:left w:w="0" w:type="dxa"/>
          <w:right w:w="0" w:type="dxa"/>
        </w:tblCellMar>
        <w:tblLook w:val="04A0" w:firstRow="1" w:lastRow="0" w:firstColumn="1" w:lastColumn="0" w:noHBand="0" w:noVBand="1"/>
      </w:tblPr>
      <w:tblGrid>
        <w:gridCol w:w="1481"/>
        <w:gridCol w:w="765"/>
        <w:gridCol w:w="936"/>
        <w:gridCol w:w="1378"/>
        <w:gridCol w:w="905"/>
        <w:gridCol w:w="887"/>
        <w:gridCol w:w="2280"/>
        <w:gridCol w:w="1028"/>
      </w:tblGrid>
      <w:tr w:rsidR="008B19CA" w:rsidRPr="000C4F49" w14:paraId="1A43E34F" w14:textId="77777777" w:rsidTr="008B19CA">
        <w:tc>
          <w:tcPr>
            <w:tcW w:w="767" w:type="pct"/>
            <w:tcBorders>
              <w:top w:val="single" w:sz="8" w:space="0" w:color="555555"/>
              <w:left w:val="single" w:sz="8" w:space="0" w:color="555555"/>
              <w:bottom w:val="single" w:sz="8" w:space="0" w:color="555555"/>
              <w:right w:val="single" w:sz="8" w:space="0" w:color="555555"/>
            </w:tcBorders>
            <w:shd w:val="clear" w:color="auto" w:fill="1F3864"/>
            <w:tcMar>
              <w:top w:w="105" w:type="dxa"/>
              <w:left w:w="150" w:type="dxa"/>
              <w:bottom w:w="105" w:type="dxa"/>
              <w:right w:w="150" w:type="dxa"/>
            </w:tcMar>
            <w:vAlign w:val="center"/>
            <w:hideMark/>
          </w:tcPr>
          <w:p w14:paraId="29ACE0B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Study</w:t>
            </w:r>
          </w:p>
        </w:tc>
        <w:tc>
          <w:tcPr>
            <w:tcW w:w="396"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6836BCD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Year</w:t>
            </w:r>
          </w:p>
        </w:tc>
        <w:tc>
          <w:tcPr>
            <w:tcW w:w="484"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16F6E8C2"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Design</w:t>
            </w:r>
          </w:p>
        </w:tc>
        <w:tc>
          <w:tcPr>
            <w:tcW w:w="713"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194C28D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Country</w:t>
            </w:r>
          </w:p>
        </w:tc>
        <w:tc>
          <w:tcPr>
            <w:tcW w:w="468"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19C80CE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N</w:t>
            </w:r>
          </w:p>
        </w:tc>
        <w:tc>
          <w:tcPr>
            <w:tcW w:w="459"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2AA3243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LVEF</w:t>
            </w:r>
          </w:p>
        </w:tc>
        <w:tc>
          <w:tcPr>
            <w:tcW w:w="1180"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4FB09A29"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Beta-Blocker</w:t>
            </w:r>
          </w:p>
        </w:tc>
        <w:tc>
          <w:tcPr>
            <w:tcW w:w="532"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4516E45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Follow-up</w:t>
            </w:r>
          </w:p>
        </w:tc>
      </w:tr>
      <w:tr w:rsidR="008B19CA" w:rsidRPr="000C4F49" w14:paraId="09161E03" w14:textId="77777777" w:rsidTr="008B19CA">
        <w:tc>
          <w:tcPr>
            <w:tcW w:w="767"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39741C8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Yndigegn (REDUCE-AMI) [</w:t>
            </w:r>
            <w:hyperlink r:id="rId13" w:history="1">
              <w:r w:rsidRPr="000C4F49">
                <w:rPr>
                  <w:rFonts w:ascii="Times New Roman" w:hAnsi="Times New Roman" w:cs="Times New Roman"/>
                </w:rPr>
                <w:t>11</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6771DD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2024</w:t>
            </w:r>
          </w:p>
        </w:tc>
        <w:tc>
          <w:tcPr>
            <w:tcW w:w="484"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2BFAC4D"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RCT</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E41C37D"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Scandinavia</w:t>
            </w:r>
          </w:p>
        </w:tc>
        <w:tc>
          <w:tcPr>
            <w:tcW w:w="46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BF5711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5,020</w:t>
            </w:r>
          </w:p>
        </w:tc>
        <w:tc>
          <w:tcPr>
            <w:tcW w:w="45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2017C8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≥50%</w:t>
            </w:r>
          </w:p>
        </w:tc>
        <w:tc>
          <w:tcPr>
            <w:tcW w:w="118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7E12AE0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Metoprolol/Bisoprolol</w:t>
            </w:r>
          </w:p>
        </w:tc>
        <w:tc>
          <w:tcPr>
            <w:tcW w:w="53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DAAB608"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3.5 yrs</w:t>
            </w:r>
          </w:p>
        </w:tc>
      </w:tr>
      <w:tr w:rsidR="008B19CA" w:rsidRPr="000C4F49" w14:paraId="63D1D31E" w14:textId="77777777" w:rsidTr="008B19CA">
        <w:tc>
          <w:tcPr>
            <w:tcW w:w="767"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308A090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lastRenderedPageBreak/>
              <w:t>Silvain (ABYSS) [</w:t>
            </w:r>
            <w:hyperlink r:id="rId14" w:history="1">
              <w:r w:rsidRPr="000C4F49">
                <w:rPr>
                  <w:rFonts w:ascii="Times New Roman" w:hAnsi="Times New Roman" w:cs="Times New Roman"/>
                </w:rPr>
                <w:t>12</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tcMar>
              <w:top w:w="90" w:type="dxa"/>
              <w:left w:w="150" w:type="dxa"/>
              <w:bottom w:w="90" w:type="dxa"/>
              <w:right w:w="150" w:type="dxa"/>
            </w:tcMar>
            <w:hideMark/>
          </w:tcPr>
          <w:p w14:paraId="3A89CE6D"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2024</w:t>
            </w:r>
          </w:p>
        </w:tc>
        <w:tc>
          <w:tcPr>
            <w:tcW w:w="484" w:type="pct"/>
            <w:tcBorders>
              <w:top w:val="nil"/>
              <w:left w:val="nil"/>
              <w:bottom w:val="single" w:sz="8" w:space="0" w:color="auto"/>
              <w:right w:val="single" w:sz="8" w:space="0" w:color="auto"/>
            </w:tcBorders>
            <w:tcMar>
              <w:top w:w="90" w:type="dxa"/>
              <w:left w:w="150" w:type="dxa"/>
              <w:bottom w:w="90" w:type="dxa"/>
              <w:right w:w="150" w:type="dxa"/>
            </w:tcMar>
            <w:hideMark/>
          </w:tcPr>
          <w:p w14:paraId="53C106D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RCT</w:t>
            </w:r>
          </w:p>
        </w:tc>
        <w:tc>
          <w:tcPr>
            <w:tcW w:w="713" w:type="pct"/>
            <w:tcBorders>
              <w:top w:val="nil"/>
              <w:left w:val="nil"/>
              <w:bottom w:val="single" w:sz="8" w:space="0" w:color="auto"/>
              <w:right w:val="single" w:sz="8" w:space="0" w:color="auto"/>
            </w:tcBorders>
            <w:tcMar>
              <w:top w:w="90" w:type="dxa"/>
              <w:left w:w="150" w:type="dxa"/>
              <w:bottom w:w="90" w:type="dxa"/>
              <w:right w:w="150" w:type="dxa"/>
            </w:tcMar>
            <w:hideMark/>
          </w:tcPr>
          <w:p w14:paraId="2F3108E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France</w:t>
            </w:r>
          </w:p>
        </w:tc>
        <w:tc>
          <w:tcPr>
            <w:tcW w:w="468" w:type="pct"/>
            <w:tcBorders>
              <w:top w:val="nil"/>
              <w:left w:val="nil"/>
              <w:bottom w:val="single" w:sz="8" w:space="0" w:color="auto"/>
              <w:right w:val="single" w:sz="8" w:space="0" w:color="auto"/>
            </w:tcBorders>
            <w:tcMar>
              <w:top w:w="90" w:type="dxa"/>
              <w:left w:w="150" w:type="dxa"/>
              <w:bottom w:w="90" w:type="dxa"/>
              <w:right w:w="150" w:type="dxa"/>
            </w:tcMar>
            <w:hideMark/>
          </w:tcPr>
          <w:p w14:paraId="072F5DBD"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3,698</w:t>
            </w:r>
          </w:p>
        </w:tc>
        <w:tc>
          <w:tcPr>
            <w:tcW w:w="459" w:type="pct"/>
            <w:tcBorders>
              <w:top w:val="nil"/>
              <w:left w:val="nil"/>
              <w:bottom w:val="single" w:sz="8" w:space="0" w:color="auto"/>
              <w:right w:val="single" w:sz="8" w:space="0" w:color="auto"/>
            </w:tcBorders>
            <w:tcMar>
              <w:top w:w="90" w:type="dxa"/>
              <w:left w:w="150" w:type="dxa"/>
              <w:bottom w:w="90" w:type="dxa"/>
              <w:right w:w="150" w:type="dxa"/>
            </w:tcMar>
            <w:hideMark/>
          </w:tcPr>
          <w:p w14:paraId="3F2BCAA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≥40%</w:t>
            </w:r>
          </w:p>
        </w:tc>
        <w:tc>
          <w:tcPr>
            <w:tcW w:w="1180" w:type="pct"/>
            <w:tcBorders>
              <w:top w:val="nil"/>
              <w:left w:val="nil"/>
              <w:bottom w:val="single" w:sz="8" w:space="0" w:color="auto"/>
              <w:right w:val="single" w:sz="8" w:space="0" w:color="auto"/>
            </w:tcBorders>
            <w:tcMar>
              <w:top w:w="90" w:type="dxa"/>
              <w:left w:w="150" w:type="dxa"/>
              <w:bottom w:w="90" w:type="dxa"/>
              <w:right w:w="150" w:type="dxa"/>
            </w:tcMar>
            <w:hideMark/>
          </w:tcPr>
          <w:p w14:paraId="0E09CB2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tcMar>
              <w:top w:w="90" w:type="dxa"/>
              <w:left w:w="150" w:type="dxa"/>
              <w:bottom w:w="90" w:type="dxa"/>
              <w:right w:w="150" w:type="dxa"/>
            </w:tcMar>
            <w:hideMark/>
          </w:tcPr>
          <w:p w14:paraId="28C334E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3.0 yrs</w:t>
            </w:r>
          </w:p>
        </w:tc>
      </w:tr>
      <w:tr w:rsidR="008B19CA" w:rsidRPr="000C4F49" w14:paraId="5164B3BB" w14:textId="77777777" w:rsidTr="008B19CA">
        <w:tc>
          <w:tcPr>
            <w:tcW w:w="767"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039D052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Ishak et al. [</w:t>
            </w:r>
            <w:hyperlink r:id="rId15" w:history="1">
              <w:r w:rsidRPr="000C4F49">
                <w:rPr>
                  <w:rFonts w:ascii="Times New Roman" w:hAnsi="Times New Roman" w:cs="Times New Roman"/>
                </w:rPr>
                <w:t>31</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9DABE0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2023</w:t>
            </w:r>
          </w:p>
        </w:tc>
        <w:tc>
          <w:tcPr>
            <w:tcW w:w="484"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7B8A96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24770E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Malaysia</w:t>
            </w:r>
          </w:p>
        </w:tc>
        <w:tc>
          <w:tcPr>
            <w:tcW w:w="46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9C2B59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12,620</w:t>
            </w:r>
          </w:p>
        </w:tc>
        <w:tc>
          <w:tcPr>
            <w:tcW w:w="45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DBC543E"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≥40%</w:t>
            </w:r>
          </w:p>
        </w:tc>
        <w:tc>
          <w:tcPr>
            <w:tcW w:w="118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CF89CD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8A51D5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1–3 yrs</w:t>
            </w:r>
          </w:p>
        </w:tc>
      </w:tr>
      <w:tr w:rsidR="008B19CA" w:rsidRPr="000C4F49" w14:paraId="2AC4D502" w14:textId="77777777" w:rsidTr="008B19CA">
        <w:tc>
          <w:tcPr>
            <w:tcW w:w="767"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1F4FEE3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Wen et al. [</w:t>
            </w:r>
            <w:hyperlink r:id="rId16" w:history="1">
              <w:r w:rsidRPr="000C4F49">
                <w:rPr>
                  <w:rFonts w:ascii="Times New Roman" w:hAnsi="Times New Roman" w:cs="Times New Roman"/>
                </w:rPr>
                <w:t>36</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tcMar>
              <w:top w:w="90" w:type="dxa"/>
              <w:left w:w="150" w:type="dxa"/>
              <w:bottom w:w="90" w:type="dxa"/>
              <w:right w:w="150" w:type="dxa"/>
            </w:tcMar>
            <w:hideMark/>
          </w:tcPr>
          <w:p w14:paraId="58719EC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2022</w:t>
            </w:r>
          </w:p>
        </w:tc>
        <w:tc>
          <w:tcPr>
            <w:tcW w:w="484" w:type="pct"/>
            <w:tcBorders>
              <w:top w:val="nil"/>
              <w:left w:val="nil"/>
              <w:bottom w:val="single" w:sz="8" w:space="0" w:color="auto"/>
              <w:right w:val="single" w:sz="8" w:space="0" w:color="auto"/>
            </w:tcBorders>
            <w:tcMar>
              <w:top w:w="90" w:type="dxa"/>
              <w:left w:w="150" w:type="dxa"/>
              <w:bottom w:w="90" w:type="dxa"/>
              <w:right w:w="150" w:type="dxa"/>
            </w:tcMar>
            <w:hideMark/>
          </w:tcPr>
          <w:p w14:paraId="19E5DF8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tcMar>
              <w:top w:w="90" w:type="dxa"/>
              <w:left w:w="150" w:type="dxa"/>
              <w:bottom w:w="90" w:type="dxa"/>
              <w:right w:w="150" w:type="dxa"/>
            </w:tcMar>
            <w:hideMark/>
          </w:tcPr>
          <w:p w14:paraId="22BC718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China</w:t>
            </w:r>
          </w:p>
        </w:tc>
        <w:tc>
          <w:tcPr>
            <w:tcW w:w="468" w:type="pct"/>
            <w:tcBorders>
              <w:top w:val="nil"/>
              <w:left w:val="nil"/>
              <w:bottom w:val="single" w:sz="8" w:space="0" w:color="auto"/>
              <w:right w:val="single" w:sz="8" w:space="0" w:color="auto"/>
            </w:tcBorders>
            <w:tcMar>
              <w:top w:w="90" w:type="dxa"/>
              <w:left w:w="150" w:type="dxa"/>
              <w:bottom w:w="90" w:type="dxa"/>
              <w:right w:w="150" w:type="dxa"/>
            </w:tcMar>
            <w:hideMark/>
          </w:tcPr>
          <w:p w14:paraId="325CA9E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4,812</w:t>
            </w:r>
          </w:p>
        </w:tc>
        <w:tc>
          <w:tcPr>
            <w:tcW w:w="459" w:type="pct"/>
            <w:tcBorders>
              <w:top w:val="nil"/>
              <w:left w:val="nil"/>
              <w:bottom w:val="single" w:sz="8" w:space="0" w:color="auto"/>
              <w:right w:val="single" w:sz="8" w:space="0" w:color="auto"/>
            </w:tcBorders>
            <w:tcMar>
              <w:top w:w="90" w:type="dxa"/>
              <w:left w:w="150" w:type="dxa"/>
              <w:bottom w:w="90" w:type="dxa"/>
              <w:right w:w="150" w:type="dxa"/>
            </w:tcMar>
            <w:hideMark/>
          </w:tcPr>
          <w:p w14:paraId="27EDE20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≥50%</w:t>
            </w:r>
          </w:p>
        </w:tc>
        <w:tc>
          <w:tcPr>
            <w:tcW w:w="1180" w:type="pct"/>
            <w:tcBorders>
              <w:top w:val="nil"/>
              <w:left w:val="nil"/>
              <w:bottom w:val="single" w:sz="8" w:space="0" w:color="auto"/>
              <w:right w:val="single" w:sz="8" w:space="0" w:color="auto"/>
            </w:tcBorders>
            <w:tcMar>
              <w:top w:w="90" w:type="dxa"/>
              <w:left w:w="150" w:type="dxa"/>
              <w:bottom w:w="90" w:type="dxa"/>
              <w:right w:w="150" w:type="dxa"/>
            </w:tcMar>
            <w:hideMark/>
          </w:tcPr>
          <w:p w14:paraId="6C05C0D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tcMar>
              <w:top w:w="90" w:type="dxa"/>
              <w:left w:w="150" w:type="dxa"/>
              <w:bottom w:w="90" w:type="dxa"/>
              <w:right w:w="150" w:type="dxa"/>
            </w:tcMar>
            <w:hideMark/>
          </w:tcPr>
          <w:p w14:paraId="33C51509"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 yrs</w:t>
            </w:r>
          </w:p>
        </w:tc>
      </w:tr>
      <w:tr w:rsidR="008B19CA" w:rsidRPr="000C4F49" w14:paraId="0AAC1C0E" w14:textId="77777777" w:rsidTr="008B19CA">
        <w:tc>
          <w:tcPr>
            <w:tcW w:w="767"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5C2C864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Chen et al. [</w:t>
            </w:r>
            <w:hyperlink r:id="rId17" w:history="1">
              <w:r w:rsidRPr="000C4F49">
                <w:rPr>
                  <w:rFonts w:ascii="Times New Roman" w:hAnsi="Times New Roman" w:cs="Times New Roman"/>
                </w:rPr>
                <w:t>28</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328B98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2021</w:t>
            </w:r>
          </w:p>
        </w:tc>
        <w:tc>
          <w:tcPr>
            <w:tcW w:w="484"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C63029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D66D5F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Taiwan</w:t>
            </w:r>
          </w:p>
        </w:tc>
        <w:tc>
          <w:tcPr>
            <w:tcW w:w="46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D2C05CE"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1,186</w:t>
            </w:r>
          </w:p>
        </w:tc>
        <w:tc>
          <w:tcPr>
            <w:tcW w:w="45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0CE780D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≥50%</w:t>
            </w:r>
          </w:p>
        </w:tc>
        <w:tc>
          <w:tcPr>
            <w:tcW w:w="118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84652C8"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CE28F9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 yr</w:t>
            </w:r>
          </w:p>
        </w:tc>
      </w:tr>
      <w:tr w:rsidR="008B19CA" w:rsidRPr="000C4F49" w14:paraId="74B6E7AA" w14:textId="77777777" w:rsidTr="008B19CA">
        <w:tc>
          <w:tcPr>
            <w:tcW w:w="767"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07BD0A6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 xml:space="preserve">El </w:t>
            </w:r>
            <w:proofErr w:type="spellStart"/>
            <w:r w:rsidRPr="000C4F49">
              <w:rPr>
                <w:rFonts w:ascii="Times New Roman" w:hAnsi="Times New Roman" w:cs="Times New Roman"/>
              </w:rPr>
              <w:t>Nasasra</w:t>
            </w:r>
            <w:proofErr w:type="spellEnd"/>
            <w:r w:rsidRPr="000C4F49">
              <w:rPr>
                <w:rFonts w:ascii="Times New Roman" w:hAnsi="Times New Roman" w:cs="Times New Roman"/>
              </w:rPr>
              <w:t xml:space="preserve"> et al. [</w:t>
            </w:r>
            <w:hyperlink r:id="rId18" w:history="1">
              <w:r w:rsidRPr="000C4F49">
                <w:rPr>
                  <w:rFonts w:ascii="Times New Roman" w:hAnsi="Times New Roman" w:cs="Times New Roman"/>
                </w:rPr>
                <w:t>30</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tcMar>
              <w:top w:w="90" w:type="dxa"/>
              <w:left w:w="150" w:type="dxa"/>
              <w:bottom w:w="90" w:type="dxa"/>
              <w:right w:w="150" w:type="dxa"/>
            </w:tcMar>
            <w:hideMark/>
          </w:tcPr>
          <w:p w14:paraId="7A449F3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2021</w:t>
            </w:r>
          </w:p>
        </w:tc>
        <w:tc>
          <w:tcPr>
            <w:tcW w:w="484" w:type="pct"/>
            <w:tcBorders>
              <w:top w:val="nil"/>
              <w:left w:val="nil"/>
              <w:bottom w:val="single" w:sz="8" w:space="0" w:color="auto"/>
              <w:right w:val="single" w:sz="8" w:space="0" w:color="auto"/>
            </w:tcBorders>
            <w:tcMar>
              <w:top w:w="90" w:type="dxa"/>
              <w:left w:w="150" w:type="dxa"/>
              <w:bottom w:w="90" w:type="dxa"/>
              <w:right w:w="150" w:type="dxa"/>
            </w:tcMar>
            <w:hideMark/>
          </w:tcPr>
          <w:p w14:paraId="359C77E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tcMar>
              <w:top w:w="90" w:type="dxa"/>
              <w:left w:w="150" w:type="dxa"/>
              <w:bottom w:w="90" w:type="dxa"/>
              <w:right w:w="150" w:type="dxa"/>
            </w:tcMar>
            <w:hideMark/>
          </w:tcPr>
          <w:p w14:paraId="4EB126B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Israel</w:t>
            </w:r>
          </w:p>
        </w:tc>
        <w:tc>
          <w:tcPr>
            <w:tcW w:w="468" w:type="pct"/>
            <w:tcBorders>
              <w:top w:val="nil"/>
              <w:left w:val="nil"/>
              <w:bottom w:val="single" w:sz="8" w:space="0" w:color="auto"/>
              <w:right w:val="single" w:sz="8" w:space="0" w:color="auto"/>
            </w:tcBorders>
            <w:tcMar>
              <w:top w:w="90" w:type="dxa"/>
              <w:left w:w="150" w:type="dxa"/>
              <w:bottom w:w="90" w:type="dxa"/>
              <w:right w:w="150" w:type="dxa"/>
            </w:tcMar>
            <w:hideMark/>
          </w:tcPr>
          <w:p w14:paraId="7D2845F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1,042</w:t>
            </w:r>
          </w:p>
        </w:tc>
        <w:tc>
          <w:tcPr>
            <w:tcW w:w="459" w:type="pct"/>
            <w:tcBorders>
              <w:top w:val="nil"/>
              <w:left w:val="nil"/>
              <w:bottom w:val="single" w:sz="8" w:space="0" w:color="auto"/>
              <w:right w:val="single" w:sz="8" w:space="0" w:color="auto"/>
            </w:tcBorders>
            <w:tcMar>
              <w:top w:w="90" w:type="dxa"/>
              <w:left w:w="150" w:type="dxa"/>
              <w:bottom w:w="90" w:type="dxa"/>
              <w:right w:w="150" w:type="dxa"/>
            </w:tcMar>
            <w:hideMark/>
          </w:tcPr>
          <w:p w14:paraId="0D106FF2"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≥40%</w:t>
            </w:r>
          </w:p>
        </w:tc>
        <w:tc>
          <w:tcPr>
            <w:tcW w:w="1180" w:type="pct"/>
            <w:tcBorders>
              <w:top w:val="nil"/>
              <w:left w:val="nil"/>
              <w:bottom w:val="single" w:sz="8" w:space="0" w:color="auto"/>
              <w:right w:val="single" w:sz="8" w:space="0" w:color="auto"/>
            </w:tcBorders>
            <w:tcMar>
              <w:top w:w="90" w:type="dxa"/>
              <w:left w:w="150" w:type="dxa"/>
              <w:bottom w:w="90" w:type="dxa"/>
              <w:right w:w="150" w:type="dxa"/>
            </w:tcMar>
            <w:hideMark/>
          </w:tcPr>
          <w:p w14:paraId="4AA34359"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tcMar>
              <w:top w:w="90" w:type="dxa"/>
              <w:left w:w="150" w:type="dxa"/>
              <w:bottom w:w="90" w:type="dxa"/>
              <w:right w:w="150" w:type="dxa"/>
            </w:tcMar>
            <w:hideMark/>
          </w:tcPr>
          <w:p w14:paraId="745B7C2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 yr</w:t>
            </w:r>
          </w:p>
        </w:tc>
      </w:tr>
      <w:tr w:rsidR="008B19CA" w:rsidRPr="000C4F49" w14:paraId="0E92B685" w14:textId="77777777" w:rsidTr="008B19CA">
        <w:tc>
          <w:tcPr>
            <w:tcW w:w="767"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27E25C92"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Joo et al. [</w:t>
            </w:r>
            <w:hyperlink r:id="rId19" w:history="1">
              <w:r w:rsidRPr="000C4F49">
                <w:rPr>
                  <w:rFonts w:ascii="Times New Roman" w:hAnsi="Times New Roman" w:cs="Times New Roman"/>
                </w:rPr>
                <w:t>32</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206119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2021</w:t>
            </w:r>
          </w:p>
        </w:tc>
        <w:tc>
          <w:tcPr>
            <w:tcW w:w="484"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DDDFC2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81EB79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South Korea</w:t>
            </w:r>
          </w:p>
        </w:tc>
        <w:tc>
          <w:tcPr>
            <w:tcW w:w="46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0D75CC6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6,243</w:t>
            </w:r>
          </w:p>
        </w:tc>
        <w:tc>
          <w:tcPr>
            <w:tcW w:w="45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7B2FA69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≥50%</w:t>
            </w:r>
          </w:p>
        </w:tc>
        <w:tc>
          <w:tcPr>
            <w:tcW w:w="118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6E16F5E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01E37882"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 yrs</w:t>
            </w:r>
          </w:p>
        </w:tc>
      </w:tr>
      <w:tr w:rsidR="008B19CA" w:rsidRPr="000C4F49" w14:paraId="58D81346" w14:textId="77777777" w:rsidTr="008B19CA">
        <w:tc>
          <w:tcPr>
            <w:tcW w:w="767"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2D70D50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Song et al. [</w:t>
            </w:r>
            <w:hyperlink r:id="rId20" w:history="1">
              <w:r w:rsidRPr="000C4F49">
                <w:rPr>
                  <w:rFonts w:ascii="Times New Roman" w:hAnsi="Times New Roman" w:cs="Times New Roman"/>
                </w:rPr>
                <w:t>35</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tcMar>
              <w:top w:w="90" w:type="dxa"/>
              <w:left w:w="150" w:type="dxa"/>
              <w:bottom w:w="90" w:type="dxa"/>
              <w:right w:w="150" w:type="dxa"/>
            </w:tcMar>
            <w:hideMark/>
          </w:tcPr>
          <w:p w14:paraId="5CA832D2"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2021</w:t>
            </w:r>
          </w:p>
        </w:tc>
        <w:tc>
          <w:tcPr>
            <w:tcW w:w="484" w:type="pct"/>
            <w:tcBorders>
              <w:top w:val="nil"/>
              <w:left w:val="nil"/>
              <w:bottom w:val="single" w:sz="8" w:space="0" w:color="auto"/>
              <w:right w:val="single" w:sz="8" w:space="0" w:color="auto"/>
            </w:tcBorders>
            <w:tcMar>
              <w:top w:w="90" w:type="dxa"/>
              <w:left w:w="150" w:type="dxa"/>
              <w:bottom w:w="90" w:type="dxa"/>
              <w:right w:w="150" w:type="dxa"/>
            </w:tcMar>
            <w:hideMark/>
          </w:tcPr>
          <w:p w14:paraId="3BB2899E"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tcMar>
              <w:top w:w="90" w:type="dxa"/>
              <w:left w:w="150" w:type="dxa"/>
              <w:bottom w:w="90" w:type="dxa"/>
              <w:right w:w="150" w:type="dxa"/>
            </w:tcMar>
            <w:hideMark/>
          </w:tcPr>
          <w:p w14:paraId="4B563862"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China</w:t>
            </w:r>
          </w:p>
        </w:tc>
        <w:tc>
          <w:tcPr>
            <w:tcW w:w="468" w:type="pct"/>
            <w:tcBorders>
              <w:top w:val="nil"/>
              <w:left w:val="nil"/>
              <w:bottom w:val="single" w:sz="8" w:space="0" w:color="auto"/>
              <w:right w:val="single" w:sz="8" w:space="0" w:color="auto"/>
            </w:tcBorders>
            <w:tcMar>
              <w:top w:w="90" w:type="dxa"/>
              <w:left w:w="150" w:type="dxa"/>
              <w:bottom w:w="90" w:type="dxa"/>
              <w:right w:w="150" w:type="dxa"/>
            </w:tcMar>
            <w:hideMark/>
          </w:tcPr>
          <w:p w14:paraId="45BDD41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3,876</w:t>
            </w:r>
          </w:p>
        </w:tc>
        <w:tc>
          <w:tcPr>
            <w:tcW w:w="459" w:type="pct"/>
            <w:tcBorders>
              <w:top w:val="nil"/>
              <w:left w:val="nil"/>
              <w:bottom w:val="single" w:sz="8" w:space="0" w:color="auto"/>
              <w:right w:val="single" w:sz="8" w:space="0" w:color="auto"/>
            </w:tcBorders>
            <w:tcMar>
              <w:top w:w="90" w:type="dxa"/>
              <w:left w:w="150" w:type="dxa"/>
              <w:bottom w:w="90" w:type="dxa"/>
              <w:right w:w="150" w:type="dxa"/>
            </w:tcMar>
            <w:hideMark/>
          </w:tcPr>
          <w:p w14:paraId="1E7ED4B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≥40%</w:t>
            </w:r>
          </w:p>
        </w:tc>
        <w:tc>
          <w:tcPr>
            <w:tcW w:w="1180" w:type="pct"/>
            <w:tcBorders>
              <w:top w:val="nil"/>
              <w:left w:val="nil"/>
              <w:bottom w:val="single" w:sz="8" w:space="0" w:color="auto"/>
              <w:right w:val="single" w:sz="8" w:space="0" w:color="auto"/>
            </w:tcBorders>
            <w:tcMar>
              <w:top w:w="90" w:type="dxa"/>
              <w:left w:w="150" w:type="dxa"/>
              <w:bottom w:w="90" w:type="dxa"/>
              <w:right w:w="150" w:type="dxa"/>
            </w:tcMar>
            <w:hideMark/>
          </w:tcPr>
          <w:p w14:paraId="02B45B1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tcMar>
              <w:top w:w="90" w:type="dxa"/>
              <w:left w:w="150" w:type="dxa"/>
              <w:bottom w:w="90" w:type="dxa"/>
              <w:right w:w="150" w:type="dxa"/>
            </w:tcMar>
            <w:hideMark/>
          </w:tcPr>
          <w:p w14:paraId="5C1626B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 yr</w:t>
            </w:r>
          </w:p>
        </w:tc>
      </w:tr>
      <w:tr w:rsidR="008B19CA" w:rsidRPr="000C4F49" w14:paraId="7245B62B" w14:textId="77777777" w:rsidTr="008B19CA">
        <w:tc>
          <w:tcPr>
            <w:tcW w:w="767"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74683846" w14:textId="77777777" w:rsidR="008B19CA" w:rsidRPr="000C4F49" w:rsidRDefault="008B19CA" w:rsidP="00395ED6">
            <w:pPr>
              <w:jc w:val="both"/>
              <w:rPr>
                <w:rFonts w:ascii="Times New Roman" w:hAnsi="Times New Roman" w:cs="Times New Roman"/>
              </w:rPr>
            </w:pPr>
            <w:proofErr w:type="spellStart"/>
            <w:r w:rsidRPr="000C4F49">
              <w:rPr>
                <w:rFonts w:ascii="Times New Roman" w:hAnsi="Times New Roman" w:cs="Times New Roman"/>
              </w:rPr>
              <w:t>Raposeiras-Roubin</w:t>
            </w:r>
            <w:proofErr w:type="spellEnd"/>
            <w:r w:rsidRPr="000C4F49">
              <w:rPr>
                <w:rFonts w:ascii="Times New Roman" w:hAnsi="Times New Roman" w:cs="Times New Roman"/>
              </w:rPr>
              <w:t xml:space="preserve"> et al. [</w:t>
            </w:r>
            <w:hyperlink r:id="rId21" w:history="1">
              <w:r w:rsidRPr="000C4F49">
                <w:rPr>
                  <w:rFonts w:ascii="Times New Roman" w:hAnsi="Times New Roman" w:cs="Times New Roman"/>
                </w:rPr>
                <w:t>33</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D43B91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2015</w:t>
            </w:r>
          </w:p>
        </w:tc>
        <w:tc>
          <w:tcPr>
            <w:tcW w:w="484"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0A204AF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3E80A79"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Spain</w:t>
            </w:r>
          </w:p>
        </w:tc>
        <w:tc>
          <w:tcPr>
            <w:tcW w:w="46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47E66E4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1,680</w:t>
            </w:r>
          </w:p>
        </w:tc>
        <w:tc>
          <w:tcPr>
            <w:tcW w:w="45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6E21FEC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≥50%</w:t>
            </w:r>
          </w:p>
        </w:tc>
        <w:tc>
          <w:tcPr>
            <w:tcW w:w="118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937CF5E"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D1B101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 yrs</w:t>
            </w:r>
          </w:p>
        </w:tc>
      </w:tr>
      <w:tr w:rsidR="008B19CA" w:rsidRPr="000C4F49" w14:paraId="1FCB9B24" w14:textId="77777777" w:rsidTr="008B19CA">
        <w:tc>
          <w:tcPr>
            <w:tcW w:w="767"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776A921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Choo et al. [</w:t>
            </w:r>
            <w:hyperlink r:id="rId22" w:history="1">
              <w:r w:rsidRPr="000C4F49">
                <w:rPr>
                  <w:rFonts w:ascii="Times New Roman" w:hAnsi="Times New Roman" w:cs="Times New Roman"/>
                </w:rPr>
                <w:t>29</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tcMar>
              <w:top w:w="90" w:type="dxa"/>
              <w:left w:w="150" w:type="dxa"/>
              <w:bottom w:w="90" w:type="dxa"/>
              <w:right w:w="150" w:type="dxa"/>
            </w:tcMar>
            <w:hideMark/>
          </w:tcPr>
          <w:p w14:paraId="4E729F8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2014</w:t>
            </w:r>
          </w:p>
        </w:tc>
        <w:tc>
          <w:tcPr>
            <w:tcW w:w="484" w:type="pct"/>
            <w:tcBorders>
              <w:top w:val="nil"/>
              <w:left w:val="nil"/>
              <w:bottom w:val="single" w:sz="8" w:space="0" w:color="auto"/>
              <w:right w:val="single" w:sz="8" w:space="0" w:color="auto"/>
            </w:tcBorders>
            <w:tcMar>
              <w:top w:w="90" w:type="dxa"/>
              <w:left w:w="150" w:type="dxa"/>
              <w:bottom w:w="90" w:type="dxa"/>
              <w:right w:w="150" w:type="dxa"/>
            </w:tcMar>
            <w:hideMark/>
          </w:tcPr>
          <w:p w14:paraId="1E5E893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tcMar>
              <w:top w:w="90" w:type="dxa"/>
              <w:left w:w="150" w:type="dxa"/>
              <w:bottom w:w="90" w:type="dxa"/>
              <w:right w:w="150" w:type="dxa"/>
            </w:tcMar>
            <w:hideMark/>
          </w:tcPr>
          <w:p w14:paraId="2BC2929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South Korea</w:t>
            </w:r>
          </w:p>
        </w:tc>
        <w:tc>
          <w:tcPr>
            <w:tcW w:w="468" w:type="pct"/>
            <w:tcBorders>
              <w:top w:val="nil"/>
              <w:left w:val="nil"/>
              <w:bottom w:val="single" w:sz="8" w:space="0" w:color="auto"/>
              <w:right w:val="single" w:sz="8" w:space="0" w:color="auto"/>
            </w:tcBorders>
            <w:tcMar>
              <w:top w:w="90" w:type="dxa"/>
              <w:left w:w="150" w:type="dxa"/>
              <w:bottom w:w="90" w:type="dxa"/>
              <w:right w:w="150" w:type="dxa"/>
            </w:tcMar>
            <w:hideMark/>
          </w:tcPr>
          <w:p w14:paraId="627D961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892</w:t>
            </w:r>
          </w:p>
        </w:tc>
        <w:tc>
          <w:tcPr>
            <w:tcW w:w="459" w:type="pct"/>
            <w:tcBorders>
              <w:top w:val="nil"/>
              <w:left w:val="nil"/>
              <w:bottom w:val="single" w:sz="8" w:space="0" w:color="auto"/>
              <w:right w:val="single" w:sz="8" w:space="0" w:color="auto"/>
            </w:tcBorders>
            <w:tcMar>
              <w:top w:w="90" w:type="dxa"/>
              <w:left w:w="150" w:type="dxa"/>
              <w:bottom w:w="90" w:type="dxa"/>
              <w:right w:w="150" w:type="dxa"/>
            </w:tcMar>
            <w:hideMark/>
          </w:tcPr>
          <w:p w14:paraId="06F50E1D"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≥50%</w:t>
            </w:r>
          </w:p>
        </w:tc>
        <w:tc>
          <w:tcPr>
            <w:tcW w:w="1180" w:type="pct"/>
            <w:tcBorders>
              <w:top w:val="nil"/>
              <w:left w:val="nil"/>
              <w:bottom w:val="single" w:sz="8" w:space="0" w:color="auto"/>
              <w:right w:val="single" w:sz="8" w:space="0" w:color="auto"/>
            </w:tcBorders>
            <w:tcMar>
              <w:top w:w="90" w:type="dxa"/>
              <w:left w:w="150" w:type="dxa"/>
              <w:bottom w:w="90" w:type="dxa"/>
              <w:right w:w="150" w:type="dxa"/>
            </w:tcMar>
            <w:hideMark/>
          </w:tcPr>
          <w:p w14:paraId="022B22C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tcMar>
              <w:top w:w="90" w:type="dxa"/>
              <w:left w:w="150" w:type="dxa"/>
              <w:bottom w:w="90" w:type="dxa"/>
              <w:right w:w="150" w:type="dxa"/>
            </w:tcMar>
            <w:hideMark/>
          </w:tcPr>
          <w:p w14:paraId="4BE15D78"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 yr</w:t>
            </w:r>
          </w:p>
        </w:tc>
      </w:tr>
      <w:tr w:rsidR="008B19CA" w:rsidRPr="000C4F49" w14:paraId="0E83B6A2" w14:textId="77777777" w:rsidTr="008B19CA">
        <w:tc>
          <w:tcPr>
            <w:tcW w:w="767"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610B76B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Siu et al. [</w:t>
            </w:r>
            <w:hyperlink r:id="rId23" w:history="1">
              <w:r w:rsidRPr="000C4F49">
                <w:rPr>
                  <w:rFonts w:ascii="Times New Roman" w:hAnsi="Times New Roman" w:cs="Times New Roman"/>
                </w:rPr>
                <w:t>34</w:t>
              </w:r>
            </w:hyperlink>
            <w:r w:rsidRPr="000C4F49">
              <w:rPr>
                <w:rFonts w:ascii="Times New Roman" w:hAnsi="Times New Roman" w:cs="Times New Roman"/>
              </w:rPr>
              <w:t>]</w:t>
            </w:r>
          </w:p>
        </w:tc>
        <w:tc>
          <w:tcPr>
            <w:tcW w:w="396"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0FD52A2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2010</w:t>
            </w:r>
          </w:p>
        </w:tc>
        <w:tc>
          <w:tcPr>
            <w:tcW w:w="484"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7FBE3F4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Cohort</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408E7A5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China</w:t>
            </w:r>
          </w:p>
        </w:tc>
        <w:tc>
          <w:tcPr>
            <w:tcW w:w="46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4F7EC5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421</w:t>
            </w:r>
          </w:p>
        </w:tc>
        <w:tc>
          <w:tcPr>
            <w:tcW w:w="45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631A64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≥40%</w:t>
            </w:r>
          </w:p>
        </w:tc>
        <w:tc>
          <w:tcPr>
            <w:tcW w:w="118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9C5F818"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Various</w:t>
            </w:r>
          </w:p>
        </w:tc>
        <w:tc>
          <w:tcPr>
            <w:tcW w:w="53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ACB90EE"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 yr</w:t>
            </w:r>
          </w:p>
        </w:tc>
      </w:tr>
    </w:tbl>
    <w:p w14:paraId="10D79688" w14:textId="77777777" w:rsidR="008B19CA" w:rsidRDefault="008B19CA" w:rsidP="008B19CA">
      <w:pPr>
        <w:spacing w:after="0" w:line="360" w:lineRule="auto"/>
        <w:jc w:val="center"/>
        <w:rPr>
          <w:rFonts w:ascii="Times New Roman" w:hAnsi="Times New Roman" w:cs="Times New Roman"/>
          <w:sz w:val="20"/>
          <w:szCs w:val="20"/>
        </w:rPr>
      </w:pPr>
    </w:p>
    <w:p w14:paraId="145ADC64" w14:textId="77777777" w:rsidR="00F502BA" w:rsidRDefault="00F502BA" w:rsidP="00440788">
      <w:pPr>
        <w:spacing w:after="0" w:line="360" w:lineRule="auto"/>
        <w:jc w:val="both"/>
        <w:rPr>
          <w:rFonts w:ascii="Times New Roman" w:hAnsi="Times New Roman" w:cs="Times New Roman"/>
          <w:sz w:val="20"/>
          <w:szCs w:val="20"/>
        </w:rPr>
      </w:pPr>
    </w:p>
    <w:p w14:paraId="780A08E4" w14:textId="77777777" w:rsidR="008B19CA" w:rsidRDefault="008B19CA" w:rsidP="008B19CA">
      <w:pPr>
        <w:spacing w:after="0" w:line="360" w:lineRule="auto"/>
        <w:jc w:val="both"/>
        <w:rPr>
          <w:rFonts w:ascii="Times New Roman" w:hAnsi="Times New Roman" w:cs="Times New Roman"/>
          <w:b/>
          <w:bCs/>
          <w:sz w:val="20"/>
          <w:szCs w:val="20"/>
        </w:rPr>
      </w:pPr>
    </w:p>
    <w:p w14:paraId="58F50A0E" w14:textId="5EA19626" w:rsidR="008B19CA" w:rsidRPr="008B19CA" w:rsidRDefault="008B19CA" w:rsidP="008B19CA">
      <w:pPr>
        <w:spacing w:after="0" w:line="360" w:lineRule="auto"/>
        <w:jc w:val="both"/>
        <w:rPr>
          <w:rFonts w:ascii="Times New Roman" w:hAnsi="Times New Roman" w:cs="Times New Roman"/>
          <w:b/>
          <w:bCs/>
          <w:sz w:val="20"/>
          <w:szCs w:val="20"/>
        </w:rPr>
      </w:pPr>
      <w:r w:rsidRPr="008B19CA">
        <w:rPr>
          <w:rFonts w:ascii="Times New Roman" w:hAnsi="Times New Roman" w:cs="Times New Roman"/>
          <w:b/>
          <w:bCs/>
          <w:sz w:val="20"/>
          <w:szCs w:val="20"/>
        </w:rPr>
        <w:t>3.3 Primary Outcome: All-cause Mortality</w:t>
      </w:r>
    </w:p>
    <w:p w14:paraId="4AA543A9" w14:textId="4B8F9706" w:rsidR="008B19CA" w:rsidRDefault="008B19CA" w:rsidP="008B19CA">
      <w:pPr>
        <w:spacing w:after="0" w:line="360" w:lineRule="auto"/>
        <w:jc w:val="both"/>
        <w:rPr>
          <w:rFonts w:ascii="Times New Roman" w:hAnsi="Times New Roman" w:cs="Times New Roman"/>
          <w:sz w:val="20"/>
          <w:szCs w:val="20"/>
        </w:rPr>
      </w:pPr>
      <w:r w:rsidRPr="008B19CA">
        <w:rPr>
          <w:rFonts w:ascii="Times New Roman" w:hAnsi="Times New Roman" w:cs="Times New Roman"/>
          <w:sz w:val="20"/>
          <w:szCs w:val="20"/>
        </w:rPr>
        <w:t>Ten studies (k=10) reported all-cause mortality. The pooled random-effects HR was 0.81 (95% CI: 0.67–0.98, p=0.032), indicating a significant 19% relative reduction with beta-blocker therapy. Substantial heterogeneity was observed (I²=66.6%, τ²=0.053, p=0.001) [9].</w:t>
      </w:r>
    </w:p>
    <w:p w14:paraId="4347A766" w14:textId="77777777" w:rsidR="00F502BA" w:rsidRDefault="00F502BA" w:rsidP="00440788">
      <w:pPr>
        <w:spacing w:after="0" w:line="360" w:lineRule="auto"/>
        <w:jc w:val="both"/>
        <w:rPr>
          <w:rFonts w:ascii="Times New Roman" w:hAnsi="Times New Roman" w:cs="Times New Roman"/>
          <w:sz w:val="20"/>
          <w:szCs w:val="20"/>
        </w:rPr>
      </w:pPr>
    </w:p>
    <w:p w14:paraId="715FFA1F" w14:textId="77777777" w:rsidR="00F502BA" w:rsidRDefault="00F502BA" w:rsidP="00440788">
      <w:pPr>
        <w:spacing w:after="0" w:line="360" w:lineRule="auto"/>
        <w:jc w:val="both"/>
        <w:rPr>
          <w:rFonts w:ascii="Times New Roman" w:hAnsi="Times New Roman" w:cs="Times New Roman"/>
          <w:sz w:val="20"/>
          <w:szCs w:val="20"/>
        </w:rPr>
      </w:pPr>
    </w:p>
    <w:p w14:paraId="75AAD9B3" w14:textId="77777777" w:rsidR="00F502BA" w:rsidRDefault="00F502BA" w:rsidP="00440788">
      <w:pPr>
        <w:spacing w:after="0" w:line="360" w:lineRule="auto"/>
        <w:jc w:val="both"/>
        <w:rPr>
          <w:rFonts w:ascii="Times New Roman" w:hAnsi="Times New Roman" w:cs="Times New Roman"/>
          <w:sz w:val="20"/>
          <w:szCs w:val="20"/>
        </w:rPr>
      </w:pPr>
    </w:p>
    <w:p w14:paraId="4A2AFFF1" w14:textId="77777777" w:rsidR="00F502BA" w:rsidRDefault="00F502BA" w:rsidP="00440788">
      <w:pPr>
        <w:spacing w:after="0" w:line="360" w:lineRule="auto"/>
        <w:jc w:val="both"/>
        <w:rPr>
          <w:rFonts w:ascii="Times New Roman" w:hAnsi="Times New Roman" w:cs="Times New Roman"/>
          <w:sz w:val="20"/>
          <w:szCs w:val="20"/>
        </w:rPr>
      </w:pPr>
    </w:p>
    <w:p w14:paraId="7C555755" w14:textId="08AD60E1" w:rsidR="00F502BA" w:rsidRDefault="008B19CA" w:rsidP="008B19CA">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lastRenderedPageBreak/>
        <w:drawing>
          <wp:inline distT="0" distB="0" distL="0" distR="0" wp14:anchorId="7E6A4A29" wp14:editId="4EAC1076">
            <wp:extent cx="5867400" cy="2324100"/>
            <wp:effectExtent l="0" t="0" r="0" b="0"/>
            <wp:docPr id="725878225" name="Picture 26"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Fig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5192" t="12345" r="14038" b="8290"/>
                    <a:stretch>
                      <a:fillRect/>
                    </a:stretch>
                  </pic:blipFill>
                  <pic:spPr bwMode="auto">
                    <a:xfrm>
                      <a:off x="0" y="0"/>
                      <a:ext cx="5867400" cy="2324100"/>
                    </a:xfrm>
                    <a:prstGeom prst="rect">
                      <a:avLst/>
                    </a:prstGeom>
                    <a:noFill/>
                    <a:ln>
                      <a:noFill/>
                    </a:ln>
                    <a:extLst>
                      <a:ext uri="{53640926-AAD7-44D8-BBD7-CCE9431645EC}">
                        <a14:shadowObscured xmlns:a14="http://schemas.microsoft.com/office/drawing/2010/main"/>
                      </a:ext>
                    </a:extLst>
                  </pic:spPr>
                </pic:pic>
              </a:graphicData>
            </a:graphic>
          </wp:inline>
        </w:drawing>
      </w:r>
    </w:p>
    <w:p w14:paraId="15726E6D" w14:textId="2509E2CA" w:rsidR="008B19CA" w:rsidRDefault="008B19CA" w:rsidP="008B19CA">
      <w:pPr>
        <w:spacing w:after="0" w:line="360" w:lineRule="auto"/>
        <w:jc w:val="center"/>
        <w:rPr>
          <w:rFonts w:ascii="Times New Roman" w:hAnsi="Times New Roman" w:cs="Times New Roman"/>
          <w:sz w:val="20"/>
          <w:szCs w:val="20"/>
        </w:rPr>
      </w:pPr>
      <w:r w:rsidRPr="008B19CA">
        <w:rPr>
          <w:rFonts w:ascii="Times New Roman" w:hAnsi="Times New Roman" w:cs="Times New Roman"/>
          <w:b/>
          <w:bCs/>
          <w:color w:val="0070C0"/>
          <w:sz w:val="20"/>
          <w:szCs w:val="20"/>
        </w:rPr>
        <w:t>Figure 2:</w:t>
      </w:r>
      <w:r w:rsidRPr="008B19CA">
        <w:rPr>
          <w:rFonts w:ascii="Times New Roman" w:hAnsi="Times New Roman" w:cs="Times New Roman"/>
          <w:sz w:val="20"/>
          <w:szCs w:val="20"/>
        </w:rPr>
        <w:t xml:space="preserve"> Forest plot of all-cause mortality comparing beta-blocker versus no beta-blocker therapy in post-AMI patients with LVEF ≥40%.</w:t>
      </w:r>
    </w:p>
    <w:p w14:paraId="2D5238CD" w14:textId="77777777" w:rsidR="008B19CA" w:rsidRDefault="008B19CA" w:rsidP="008B19CA">
      <w:pPr>
        <w:spacing w:after="0" w:line="360" w:lineRule="auto"/>
        <w:jc w:val="center"/>
        <w:rPr>
          <w:rFonts w:ascii="Times New Roman" w:hAnsi="Times New Roman" w:cs="Times New Roman"/>
          <w:sz w:val="20"/>
          <w:szCs w:val="20"/>
        </w:rPr>
      </w:pPr>
    </w:p>
    <w:p w14:paraId="024B1311" w14:textId="77777777" w:rsidR="008B19CA" w:rsidRDefault="008B19CA" w:rsidP="008B19CA">
      <w:pPr>
        <w:spacing w:after="0" w:line="360" w:lineRule="auto"/>
        <w:jc w:val="both"/>
        <w:rPr>
          <w:rFonts w:ascii="Times New Roman" w:hAnsi="Times New Roman" w:cs="Times New Roman"/>
          <w:sz w:val="20"/>
          <w:szCs w:val="20"/>
        </w:rPr>
      </w:pPr>
    </w:p>
    <w:p w14:paraId="031CCC1F" w14:textId="77777777" w:rsidR="008B19CA" w:rsidRPr="008B19CA" w:rsidRDefault="008B19CA" w:rsidP="008B19CA">
      <w:pPr>
        <w:spacing w:after="0" w:line="360" w:lineRule="auto"/>
        <w:jc w:val="both"/>
        <w:rPr>
          <w:rFonts w:ascii="Times New Roman" w:hAnsi="Times New Roman" w:cs="Times New Roman"/>
          <w:b/>
          <w:bCs/>
          <w:sz w:val="20"/>
          <w:szCs w:val="20"/>
        </w:rPr>
      </w:pPr>
      <w:r w:rsidRPr="008B19CA">
        <w:rPr>
          <w:rFonts w:ascii="Times New Roman" w:hAnsi="Times New Roman" w:cs="Times New Roman"/>
          <w:b/>
          <w:bCs/>
          <w:sz w:val="20"/>
          <w:szCs w:val="20"/>
        </w:rPr>
        <w:t>3.4 Cardiovascular Mortality</w:t>
      </w:r>
    </w:p>
    <w:p w14:paraId="198FAB85" w14:textId="02CF6E5F" w:rsidR="008B19CA" w:rsidRDefault="008B19CA" w:rsidP="008B19CA">
      <w:pPr>
        <w:spacing w:after="0" w:line="360" w:lineRule="auto"/>
        <w:jc w:val="both"/>
        <w:rPr>
          <w:rFonts w:ascii="Times New Roman" w:hAnsi="Times New Roman" w:cs="Times New Roman"/>
          <w:sz w:val="20"/>
          <w:szCs w:val="20"/>
        </w:rPr>
      </w:pPr>
      <w:r w:rsidRPr="008B19CA">
        <w:rPr>
          <w:rFonts w:ascii="Times New Roman" w:hAnsi="Times New Roman" w:cs="Times New Roman"/>
          <w:sz w:val="20"/>
          <w:szCs w:val="20"/>
        </w:rPr>
        <w:t>Seven studies (k=7) contributed data. Pooled HR was 0.83 (95% CI: 0.57–1.20, p=0.318), not statistically significant. High heterogeneity (I²=73.4%, τ²=0.155) [11].</w:t>
      </w:r>
    </w:p>
    <w:p w14:paraId="6088AC8F" w14:textId="77777777" w:rsidR="008B19CA" w:rsidRDefault="008B19CA" w:rsidP="008B19CA">
      <w:pPr>
        <w:spacing w:after="0" w:line="360" w:lineRule="auto"/>
        <w:jc w:val="both"/>
        <w:rPr>
          <w:rFonts w:ascii="Times New Roman" w:hAnsi="Times New Roman" w:cs="Times New Roman"/>
          <w:sz w:val="20"/>
          <w:szCs w:val="20"/>
        </w:rPr>
      </w:pPr>
    </w:p>
    <w:p w14:paraId="15F21159" w14:textId="63547EA2" w:rsidR="008B19CA" w:rsidRDefault="008B19CA" w:rsidP="008B19CA">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drawing>
          <wp:inline distT="0" distB="0" distL="0" distR="0" wp14:anchorId="3B8B0663" wp14:editId="3F703AC2">
            <wp:extent cx="5943600" cy="2048467"/>
            <wp:effectExtent l="0" t="0" r="0" b="9525"/>
            <wp:docPr id="529836965" name="Picture 25"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Fig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731" t="15697" r="15192" b="10934"/>
                    <a:stretch>
                      <a:fillRect/>
                    </a:stretch>
                  </pic:blipFill>
                  <pic:spPr bwMode="auto">
                    <a:xfrm>
                      <a:off x="0" y="0"/>
                      <a:ext cx="5943600" cy="2048467"/>
                    </a:xfrm>
                    <a:prstGeom prst="rect">
                      <a:avLst/>
                    </a:prstGeom>
                    <a:noFill/>
                    <a:ln>
                      <a:noFill/>
                    </a:ln>
                    <a:extLst>
                      <a:ext uri="{53640926-AAD7-44D8-BBD7-CCE9431645EC}">
                        <a14:shadowObscured xmlns:a14="http://schemas.microsoft.com/office/drawing/2010/main"/>
                      </a:ext>
                    </a:extLst>
                  </pic:spPr>
                </pic:pic>
              </a:graphicData>
            </a:graphic>
          </wp:inline>
        </w:drawing>
      </w:r>
    </w:p>
    <w:p w14:paraId="2187C3E5" w14:textId="678BFCDF" w:rsidR="008B19CA" w:rsidRDefault="008B19CA" w:rsidP="008B19CA">
      <w:pPr>
        <w:spacing w:after="0" w:line="360" w:lineRule="auto"/>
        <w:jc w:val="center"/>
        <w:rPr>
          <w:rFonts w:ascii="Times New Roman" w:hAnsi="Times New Roman" w:cs="Times New Roman"/>
          <w:sz w:val="20"/>
          <w:szCs w:val="20"/>
        </w:rPr>
      </w:pPr>
      <w:r w:rsidRPr="008B19CA">
        <w:rPr>
          <w:rFonts w:ascii="Times New Roman" w:hAnsi="Times New Roman" w:cs="Times New Roman"/>
          <w:b/>
          <w:bCs/>
          <w:color w:val="0070C0"/>
          <w:sz w:val="20"/>
          <w:szCs w:val="20"/>
        </w:rPr>
        <w:t>Figure 3:</w:t>
      </w:r>
      <w:r w:rsidRPr="008B19CA">
        <w:rPr>
          <w:rFonts w:ascii="Times New Roman" w:hAnsi="Times New Roman" w:cs="Times New Roman"/>
          <w:sz w:val="20"/>
          <w:szCs w:val="20"/>
        </w:rPr>
        <w:t xml:space="preserve"> Forest plot of cardiovascular mortality.</w:t>
      </w:r>
    </w:p>
    <w:p w14:paraId="049E5AA3" w14:textId="77777777" w:rsidR="008B19CA" w:rsidRDefault="008B19CA" w:rsidP="008B19CA">
      <w:pPr>
        <w:spacing w:after="0" w:line="360" w:lineRule="auto"/>
        <w:jc w:val="center"/>
        <w:rPr>
          <w:rFonts w:ascii="Times New Roman" w:hAnsi="Times New Roman" w:cs="Times New Roman"/>
          <w:sz w:val="20"/>
          <w:szCs w:val="20"/>
        </w:rPr>
      </w:pPr>
    </w:p>
    <w:p w14:paraId="2841D7F2" w14:textId="77777777" w:rsidR="008B19CA" w:rsidRDefault="008B19CA" w:rsidP="008B19CA">
      <w:pPr>
        <w:spacing w:after="0" w:line="360" w:lineRule="auto"/>
        <w:jc w:val="both"/>
        <w:rPr>
          <w:rFonts w:ascii="Times New Roman" w:hAnsi="Times New Roman" w:cs="Times New Roman"/>
          <w:sz w:val="20"/>
          <w:szCs w:val="20"/>
        </w:rPr>
      </w:pPr>
    </w:p>
    <w:p w14:paraId="778BD007" w14:textId="77777777" w:rsidR="008B19CA" w:rsidRPr="008B19CA" w:rsidRDefault="008B19CA" w:rsidP="008B19CA">
      <w:pPr>
        <w:spacing w:after="0" w:line="360" w:lineRule="auto"/>
        <w:jc w:val="both"/>
        <w:rPr>
          <w:rFonts w:ascii="Times New Roman" w:hAnsi="Times New Roman" w:cs="Times New Roman"/>
          <w:b/>
          <w:bCs/>
          <w:sz w:val="20"/>
          <w:szCs w:val="20"/>
        </w:rPr>
      </w:pPr>
      <w:r w:rsidRPr="008B19CA">
        <w:rPr>
          <w:rFonts w:ascii="Times New Roman" w:hAnsi="Times New Roman" w:cs="Times New Roman"/>
          <w:b/>
          <w:bCs/>
          <w:sz w:val="20"/>
          <w:szCs w:val="20"/>
        </w:rPr>
        <w:t>3.5 Major Adverse Cardiac Events (MACE)</w:t>
      </w:r>
    </w:p>
    <w:p w14:paraId="66013E30" w14:textId="49B89FE4" w:rsidR="008B19CA" w:rsidRDefault="008B19CA" w:rsidP="008B19CA">
      <w:pPr>
        <w:spacing w:after="0" w:line="360" w:lineRule="auto"/>
        <w:jc w:val="both"/>
        <w:rPr>
          <w:rFonts w:ascii="Times New Roman" w:hAnsi="Times New Roman" w:cs="Times New Roman"/>
          <w:sz w:val="20"/>
          <w:szCs w:val="20"/>
        </w:rPr>
      </w:pPr>
      <w:r w:rsidRPr="008B19CA">
        <w:rPr>
          <w:rFonts w:ascii="Times New Roman" w:hAnsi="Times New Roman" w:cs="Times New Roman"/>
          <w:sz w:val="20"/>
          <w:szCs w:val="20"/>
        </w:rPr>
        <w:t>Five studies (k=5) reported MACE. Pooled HR was 0.98 (95% CI: 0.80–1.19, p=0.833). Moderate heterogeneity (I²=53.2%, τ²=0.025) [12].</w:t>
      </w:r>
    </w:p>
    <w:p w14:paraId="4D833D15" w14:textId="77777777" w:rsidR="00F502BA" w:rsidRDefault="00F502BA" w:rsidP="00440788">
      <w:pPr>
        <w:spacing w:after="0" w:line="360" w:lineRule="auto"/>
        <w:jc w:val="both"/>
        <w:rPr>
          <w:rFonts w:ascii="Times New Roman" w:hAnsi="Times New Roman" w:cs="Times New Roman"/>
          <w:sz w:val="20"/>
          <w:szCs w:val="20"/>
        </w:rPr>
      </w:pPr>
    </w:p>
    <w:p w14:paraId="16127048" w14:textId="77777777" w:rsidR="00F502BA" w:rsidRDefault="00F502BA" w:rsidP="00440788">
      <w:pPr>
        <w:spacing w:after="0" w:line="360" w:lineRule="auto"/>
        <w:jc w:val="both"/>
        <w:rPr>
          <w:rFonts w:ascii="Times New Roman" w:hAnsi="Times New Roman" w:cs="Times New Roman"/>
          <w:sz w:val="20"/>
          <w:szCs w:val="20"/>
        </w:rPr>
      </w:pPr>
    </w:p>
    <w:p w14:paraId="71EC5FEF" w14:textId="77777777" w:rsidR="00F502BA" w:rsidRDefault="00F502BA" w:rsidP="00440788">
      <w:pPr>
        <w:spacing w:after="0" w:line="360" w:lineRule="auto"/>
        <w:jc w:val="both"/>
        <w:rPr>
          <w:rFonts w:ascii="Times New Roman" w:hAnsi="Times New Roman" w:cs="Times New Roman"/>
          <w:sz w:val="20"/>
          <w:szCs w:val="20"/>
        </w:rPr>
      </w:pPr>
    </w:p>
    <w:p w14:paraId="0CF74B6B" w14:textId="77777777" w:rsidR="00F502BA" w:rsidRDefault="00F502BA" w:rsidP="00440788">
      <w:pPr>
        <w:spacing w:after="0" w:line="360" w:lineRule="auto"/>
        <w:jc w:val="both"/>
        <w:rPr>
          <w:rFonts w:ascii="Times New Roman" w:hAnsi="Times New Roman" w:cs="Times New Roman"/>
          <w:sz w:val="20"/>
          <w:szCs w:val="20"/>
        </w:rPr>
      </w:pPr>
    </w:p>
    <w:p w14:paraId="6FE12125" w14:textId="2A7D3581" w:rsidR="00F502BA" w:rsidRDefault="008B19CA" w:rsidP="008B19CA">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lastRenderedPageBreak/>
        <w:drawing>
          <wp:inline distT="0" distB="0" distL="0" distR="0" wp14:anchorId="207A6FEE" wp14:editId="1424BDAD">
            <wp:extent cx="5882640" cy="1725930"/>
            <wp:effectExtent l="0" t="0" r="3810" b="7620"/>
            <wp:docPr id="1410549150" name="Picture 24"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Fig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7820" t="19224" r="16218" b="14638"/>
                    <a:stretch>
                      <a:fillRect/>
                    </a:stretch>
                  </pic:blipFill>
                  <pic:spPr bwMode="auto">
                    <a:xfrm>
                      <a:off x="0" y="0"/>
                      <a:ext cx="5882640" cy="1725930"/>
                    </a:xfrm>
                    <a:prstGeom prst="rect">
                      <a:avLst/>
                    </a:prstGeom>
                    <a:noFill/>
                    <a:ln>
                      <a:noFill/>
                    </a:ln>
                    <a:extLst>
                      <a:ext uri="{53640926-AAD7-44D8-BBD7-CCE9431645EC}">
                        <a14:shadowObscured xmlns:a14="http://schemas.microsoft.com/office/drawing/2010/main"/>
                      </a:ext>
                    </a:extLst>
                  </pic:spPr>
                </pic:pic>
              </a:graphicData>
            </a:graphic>
          </wp:inline>
        </w:drawing>
      </w:r>
    </w:p>
    <w:p w14:paraId="2ECB8F23" w14:textId="7E913021" w:rsidR="008B19CA" w:rsidRDefault="008B19CA" w:rsidP="008B19CA">
      <w:pPr>
        <w:spacing w:after="0" w:line="360" w:lineRule="auto"/>
        <w:jc w:val="center"/>
        <w:rPr>
          <w:rFonts w:ascii="Times New Roman" w:hAnsi="Times New Roman" w:cs="Times New Roman"/>
          <w:sz w:val="20"/>
          <w:szCs w:val="20"/>
        </w:rPr>
      </w:pPr>
      <w:r w:rsidRPr="008B19CA">
        <w:rPr>
          <w:rFonts w:ascii="Times New Roman" w:hAnsi="Times New Roman" w:cs="Times New Roman"/>
          <w:b/>
          <w:bCs/>
          <w:color w:val="0070C0"/>
          <w:sz w:val="20"/>
          <w:szCs w:val="20"/>
        </w:rPr>
        <w:t>Figure 4:</w:t>
      </w:r>
      <w:r w:rsidRPr="008B19CA">
        <w:rPr>
          <w:rFonts w:ascii="Times New Roman" w:hAnsi="Times New Roman" w:cs="Times New Roman"/>
          <w:sz w:val="20"/>
          <w:szCs w:val="20"/>
        </w:rPr>
        <w:t xml:space="preserve"> Forest plot of MACE. Pooled HR</w:t>
      </w:r>
    </w:p>
    <w:p w14:paraId="7CA2F025" w14:textId="77777777" w:rsidR="008B19CA" w:rsidRDefault="008B19CA" w:rsidP="008B19CA">
      <w:pPr>
        <w:spacing w:after="0" w:line="360" w:lineRule="auto"/>
        <w:jc w:val="center"/>
        <w:rPr>
          <w:rFonts w:ascii="Times New Roman" w:hAnsi="Times New Roman" w:cs="Times New Roman"/>
          <w:sz w:val="20"/>
          <w:szCs w:val="20"/>
        </w:rPr>
      </w:pPr>
    </w:p>
    <w:p w14:paraId="68F5D6DC" w14:textId="77777777" w:rsidR="008B19CA" w:rsidRDefault="008B19CA" w:rsidP="008B19CA">
      <w:pPr>
        <w:spacing w:after="0" w:line="360" w:lineRule="auto"/>
        <w:jc w:val="center"/>
        <w:rPr>
          <w:rFonts w:ascii="Times New Roman" w:hAnsi="Times New Roman" w:cs="Times New Roman"/>
          <w:sz w:val="20"/>
          <w:szCs w:val="20"/>
        </w:rPr>
      </w:pPr>
    </w:p>
    <w:p w14:paraId="0AE8DDA5" w14:textId="77777777" w:rsidR="008B19CA" w:rsidRPr="008B19CA" w:rsidRDefault="008B19CA" w:rsidP="008B19CA">
      <w:pPr>
        <w:spacing w:after="0" w:line="360" w:lineRule="auto"/>
        <w:jc w:val="both"/>
        <w:rPr>
          <w:rFonts w:ascii="Times New Roman" w:hAnsi="Times New Roman" w:cs="Times New Roman"/>
          <w:b/>
          <w:bCs/>
          <w:sz w:val="20"/>
          <w:szCs w:val="20"/>
        </w:rPr>
      </w:pPr>
      <w:r w:rsidRPr="008B19CA">
        <w:rPr>
          <w:rFonts w:ascii="Times New Roman" w:hAnsi="Times New Roman" w:cs="Times New Roman"/>
          <w:b/>
          <w:bCs/>
          <w:sz w:val="20"/>
          <w:szCs w:val="20"/>
        </w:rPr>
        <w:t>3.6 Reinfarction</w:t>
      </w:r>
    </w:p>
    <w:p w14:paraId="5EDCE3B4" w14:textId="228BB140" w:rsidR="008B19CA" w:rsidRDefault="008B19CA" w:rsidP="008B19CA">
      <w:pPr>
        <w:spacing w:after="0" w:line="360" w:lineRule="auto"/>
        <w:jc w:val="both"/>
        <w:rPr>
          <w:rFonts w:ascii="Times New Roman" w:hAnsi="Times New Roman" w:cs="Times New Roman"/>
          <w:sz w:val="20"/>
          <w:szCs w:val="20"/>
        </w:rPr>
      </w:pPr>
      <w:r w:rsidRPr="008B19CA">
        <w:rPr>
          <w:rFonts w:ascii="Times New Roman" w:hAnsi="Times New Roman" w:cs="Times New Roman"/>
          <w:sz w:val="20"/>
          <w:szCs w:val="20"/>
        </w:rPr>
        <w:t>Six studies (k=6) reported reinfarction. Pooled HR was 1.00 (95% CI: 0.92–1.09, p=0.996). I²=0.0%  near-perfect homogeneity [8].</w:t>
      </w:r>
    </w:p>
    <w:p w14:paraId="130E3B6F" w14:textId="77777777" w:rsidR="008B19CA" w:rsidRDefault="008B19CA" w:rsidP="008B19CA">
      <w:pPr>
        <w:spacing w:after="0" w:line="360" w:lineRule="auto"/>
        <w:jc w:val="both"/>
        <w:rPr>
          <w:rFonts w:ascii="Times New Roman" w:hAnsi="Times New Roman" w:cs="Times New Roman"/>
          <w:sz w:val="20"/>
          <w:szCs w:val="20"/>
        </w:rPr>
      </w:pPr>
    </w:p>
    <w:p w14:paraId="4C4F3C98" w14:textId="49F502B6" w:rsidR="008B19CA" w:rsidRDefault="008B19CA" w:rsidP="008B19CA">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drawing>
          <wp:inline distT="0" distB="0" distL="0" distR="0" wp14:anchorId="5775CDE4" wp14:editId="5D68927F">
            <wp:extent cx="5821680" cy="1965960"/>
            <wp:effectExtent l="0" t="0" r="7620" b="0"/>
            <wp:docPr id="1372869287" name="Picture 23"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Figure 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5514" t="18166" r="16026" b="13404"/>
                    <a:stretch>
                      <a:fillRect/>
                    </a:stretch>
                  </pic:blipFill>
                  <pic:spPr bwMode="auto">
                    <a:xfrm>
                      <a:off x="0" y="0"/>
                      <a:ext cx="5821680" cy="1965960"/>
                    </a:xfrm>
                    <a:prstGeom prst="rect">
                      <a:avLst/>
                    </a:prstGeom>
                    <a:noFill/>
                    <a:ln>
                      <a:noFill/>
                    </a:ln>
                    <a:extLst>
                      <a:ext uri="{53640926-AAD7-44D8-BBD7-CCE9431645EC}">
                        <a14:shadowObscured xmlns:a14="http://schemas.microsoft.com/office/drawing/2010/main"/>
                      </a:ext>
                    </a:extLst>
                  </pic:spPr>
                </pic:pic>
              </a:graphicData>
            </a:graphic>
          </wp:inline>
        </w:drawing>
      </w:r>
    </w:p>
    <w:p w14:paraId="2FE1822D" w14:textId="5BC7729A" w:rsidR="008B19CA" w:rsidRDefault="008B19CA" w:rsidP="008B19CA">
      <w:pPr>
        <w:spacing w:after="0" w:line="360" w:lineRule="auto"/>
        <w:jc w:val="center"/>
        <w:rPr>
          <w:rFonts w:ascii="Times New Roman" w:hAnsi="Times New Roman" w:cs="Times New Roman"/>
          <w:sz w:val="20"/>
          <w:szCs w:val="20"/>
        </w:rPr>
      </w:pPr>
      <w:r w:rsidRPr="008B19CA">
        <w:rPr>
          <w:rFonts w:ascii="Times New Roman" w:hAnsi="Times New Roman" w:cs="Times New Roman"/>
          <w:b/>
          <w:bCs/>
          <w:color w:val="0070C0"/>
          <w:sz w:val="20"/>
          <w:szCs w:val="20"/>
        </w:rPr>
        <w:t>Figure 5:</w:t>
      </w:r>
      <w:r w:rsidRPr="008B19CA">
        <w:rPr>
          <w:rFonts w:ascii="Times New Roman" w:hAnsi="Times New Roman" w:cs="Times New Roman"/>
          <w:sz w:val="20"/>
          <w:szCs w:val="20"/>
        </w:rPr>
        <w:t xml:space="preserve"> Forest plot of reinfarction.</w:t>
      </w:r>
    </w:p>
    <w:p w14:paraId="2A9E3AE1" w14:textId="77777777" w:rsidR="008B19CA" w:rsidRDefault="008B19CA" w:rsidP="008B19CA">
      <w:pPr>
        <w:spacing w:after="0" w:line="360" w:lineRule="auto"/>
        <w:jc w:val="center"/>
        <w:rPr>
          <w:rFonts w:ascii="Times New Roman" w:hAnsi="Times New Roman" w:cs="Times New Roman"/>
          <w:sz w:val="20"/>
          <w:szCs w:val="20"/>
        </w:rPr>
      </w:pPr>
    </w:p>
    <w:p w14:paraId="71C3B4E2" w14:textId="77777777" w:rsidR="008B19CA" w:rsidRDefault="008B19CA" w:rsidP="008B19CA">
      <w:pPr>
        <w:spacing w:after="0" w:line="360" w:lineRule="auto"/>
        <w:jc w:val="both"/>
        <w:rPr>
          <w:rFonts w:ascii="Times New Roman" w:hAnsi="Times New Roman" w:cs="Times New Roman"/>
          <w:sz w:val="20"/>
          <w:szCs w:val="20"/>
        </w:rPr>
      </w:pPr>
    </w:p>
    <w:p w14:paraId="36915E6F" w14:textId="77777777" w:rsidR="008B19CA" w:rsidRPr="008B19CA" w:rsidRDefault="008B19CA" w:rsidP="008B19CA">
      <w:pPr>
        <w:spacing w:after="0" w:line="360" w:lineRule="auto"/>
        <w:jc w:val="both"/>
        <w:rPr>
          <w:rFonts w:ascii="Times New Roman" w:hAnsi="Times New Roman" w:cs="Times New Roman"/>
          <w:b/>
          <w:bCs/>
          <w:sz w:val="20"/>
          <w:szCs w:val="20"/>
        </w:rPr>
      </w:pPr>
      <w:r w:rsidRPr="008B19CA">
        <w:rPr>
          <w:rFonts w:ascii="Times New Roman" w:hAnsi="Times New Roman" w:cs="Times New Roman"/>
          <w:b/>
          <w:bCs/>
          <w:sz w:val="20"/>
          <w:szCs w:val="20"/>
        </w:rPr>
        <w:t>3.7 Hospitalization for Heart Failure</w:t>
      </w:r>
    </w:p>
    <w:p w14:paraId="08E4D001" w14:textId="01E0A251" w:rsidR="008B19CA" w:rsidRDefault="008B19CA" w:rsidP="008B19CA">
      <w:pPr>
        <w:spacing w:after="0" w:line="360" w:lineRule="auto"/>
        <w:jc w:val="both"/>
        <w:rPr>
          <w:rFonts w:ascii="Times New Roman" w:hAnsi="Times New Roman" w:cs="Times New Roman"/>
          <w:sz w:val="20"/>
          <w:szCs w:val="20"/>
        </w:rPr>
      </w:pPr>
      <w:r w:rsidRPr="008B19CA">
        <w:rPr>
          <w:rFonts w:ascii="Times New Roman" w:hAnsi="Times New Roman" w:cs="Times New Roman"/>
          <w:sz w:val="20"/>
          <w:szCs w:val="20"/>
        </w:rPr>
        <w:t>Five studies (k=5) reported HF hospitalization. Pooled HR was 1.05 (95% CI: 0.89–1.24, p=0.549). I²=0.0%, low heterogeneity [17].</w:t>
      </w:r>
    </w:p>
    <w:p w14:paraId="52CFB5A2" w14:textId="77777777" w:rsidR="008B19CA" w:rsidRDefault="008B19CA" w:rsidP="008B19CA">
      <w:pPr>
        <w:spacing w:after="0" w:line="360" w:lineRule="auto"/>
        <w:jc w:val="center"/>
        <w:rPr>
          <w:rFonts w:ascii="Times New Roman" w:hAnsi="Times New Roman" w:cs="Times New Roman"/>
          <w:sz w:val="20"/>
          <w:szCs w:val="20"/>
        </w:rPr>
      </w:pPr>
    </w:p>
    <w:p w14:paraId="13BA4A4A" w14:textId="6CC0B3ED" w:rsidR="008B19CA" w:rsidRDefault="008B19CA" w:rsidP="008B19CA">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lastRenderedPageBreak/>
        <w:drawing>
          <wp:inline distT="0" distB="0" distL="0" distR="0" wp14:anchorId="37C36A08" wp14:editId="5EC79423">
            <wp:extent cx="5928360" cy="2228850"/>
            <wp:effectExtent l="0" t="0" r="0" b="0"/>
            <wp:docPr id="570377334" name="Picture 22"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Figure 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705" t="17637" r="15513" b="14110"/>
                    <a:stretch>
                      <a:fillRect/>
                    </a:stretch>
                  </pic:blipFill>
                  <pic:spPr bwMode="auto">
                    <a:xfrm>
                      <a:off x="0" y="0"/>
                      <a:ext cx="5928360" cy="2228850"/>
                    </a:xfrm>
                    <a:prstGeom prst="rect">
                      <a:avLst/>
                    </a:prstGeom>
                    <a:noFill/>
                    <a:ln>
                      <a:noFill/>
                    </a:ln>
                    <a:extLst>
                      <a:ext uri="{53640926-AAD7-44D8-BBD7-CCE9431645EC}">
                        <a14:shadowObscured xmlns:a14="http://schemas.microsoft.com/office/drawing/2010/main"/>
                      </a:ext>
                    </a:extLst>
                  </pic:spPr>
                </pic:pic>
              </a:graphicData>
            </a:graphic>
          </wp:inline>
        </w:drawing>
      </w:r>
    </w:p>
    <w:p w14:paraId="5CB20ABE" w14:textId="13DA9DB4" w:rsidR="008B19CA" w:rsidRDefault="008B19CA" w:rsidP="008B19CA">
      <w:pPr>
        <w:spacing w:after="0" w:line="360" w:lineRule="auto"/>
        <w:jc w:val="center"/>
        <w:rPr>
          <w:rFonts w:ascii="Times New Roman" w:hAnsi="Times New Roman" w:cs="Times New Roman"/>
          <w:sz w:val="20"/>
          <w:szCs w:val="20"/>
        </w:rPr>
      </w:pPr>
      <w:r w:rsidRPr="008B19CA">
        <w:rPr>
          <w:rFonts w:ascii="Times New Roman" w:hAnsi="Times New Roman" w:cs="Times New Roman"/>
          <w:b/>
          <w:bCs/>
          <w:color w:val="0070C0"/>
          <w:sz w:val="20"/>
          <w:szCs w:val="20"/>
        </w:rPr>
        <w:t>Figure 6:</w:t>
      </w:r>
      <w:r w:rsidRPr="008B19CA">
        <w:rPr>
          <w:rFonts w:ascii="Times New Roman" w:hAnsi="Times New Roman" w:cs="Times New Roman"/>
          <w:sz w:val="20"/>
          <w:szCs w:val="20"/>
        </w:rPr>
        <w:t xml:space="preserve"> Forest plot of HF hospitalization.</w:t>
      </w:r>
    </w:p>
    <w:p w14:paraId="7C3D90DA" w14:textId="77777777" w:rsidR="008B19CA" w:rsidRDefault="008B19CA" w:rsidP="008B19CA">
      <w:pPr>
        <w:spacing w:after="0" w:line="360" w:lineRule="auto"/>
        <w:jc w:val="center"/>
        <w:rPr>
          <w:rFonts w:ascii="Times New Roman" w:hAnsi="Times New Roman" w:cs="Times New Roman"/>
          <w:sz w:val="20"/>
          <w:szCs w:val="20"/>
        </w:rPr>
      </w:pPr>
    </w:p>
    <w:p w14:paraId="2F87E327" w14:textId="77777777" w:rsidR="008B19CA" w:rsidRDefault="008B19CA" w:rsidP="008B19CA">
      <w:pPr>
        <w:spacing w:after="0" w:line="360" w:lineRule="auto"/>
        <w:jc w:val="both"/>
        <w:rPr>
          <w:rFonts w:ascii="Times New Roman" w:hAnsi="Times New Roman" w:cs="Times New Roman"/>
          <w:sz w:val="20"/>
          <w:szCs w:val="20"/>
        </w:rPr>
      </w:pPr>
    </w:p>
    <w:p w14:paraId="3416D6BE" w14:textId="1D09FB91" w:rsidR="008B19CA" w:rsidRDefault="008B19CA" w:rsidP="008B19CA">
      <w:pPr>
        <w:spacing w:after="0" w:line="360" w:lineRule="auto"/>
        <w:jc w:val="both"/>
        <w:rPr>
          <w:rFonts w:ascii="Times New Roman" w:hAnsi="Times New Roman" w:cs="Times New Roman"/>
          <w:b/>
          <w:bCs/>
          <w:sz w:val="20"/>
          <w:szCs w:val="20"/>
        </w:rPr>
      </w:pPr>
      <w:r w:rsidRPr="008B19CA">
        <w:rPr>
          <w:rFonts w:ascii="Times New Roman" w:hAnsi="Times New Roman" w:cs="Times New Roman"/>
          <w:b/>
          <w:bCs/>
          <w:sz w:val="20"/>
          <w:szCs w:val="20"/>
        </w:rPr>
        <w:t>3.8 Summary of Meta-Analysis Results</w:t>
      </w:r>
    </w:p>
    <w:p w14:paraId="035B4F5A" w14:textId="77777777" w:rsidR="008B19CA" w:rsidRDefault="008B19CA" w:rsidP="008B19CA">
      <w:pPr>
        <w:spacing w:after="0" w:line="360" w:lineRule="auto"/>
        <w:jc w:val="both"/>
        <w:rPr>
          <w:rFonts w:ascii="Times New Roman" w:hAnsi="Times New Roman" w:cs="Times New Roman"/>
          <w:b/>
          <w:bCs/>
          <w:sz w:val="20"/>
          <w:szCs w:val="20"/>
        </w:rPr>
      </w:pPr>
    </w:p>
    <w:p w14:paraId="543C3AD6" w14:textId="5954C610" w:rsidR="008B19CA" w:rsidRDefault="008B19CA" w:rsidP="008B19CA">
      <w:pPr>
        <w:spacing w:after="0" w:line="360" w:lineRule="auto"/>
        <w:jc w:val="center"/>
        <w:rPr>
          <w:rFonts w:ascii="Times New Roman" w:hAnsi="Times New Roman" w:cs="Times New Roman"/>
          <w:sz w:val="20"/>
          <w:szCs w:val="20"/>
        </w:rPr>
      </w:pPr>
      <w:r w:rsidRPr="008B19CA">
        <w:rPr>
          <w:rFonts w:ascii="Times New Roman" w:hAnsi="Times New Roman" w:cs="Times New Roman"/>
          <w:b/>
          <w:bCs/>
          <w:color w:val="0070C0"/>
          <w:sz w:val="20"/>
          <w:szCs w:val="20"/>
        </w:rPr>
        <w:t>Table 2:</w:t>
      </w:r>
      <w:r w:rsidRPr="008B19CA">
        <w:rPr>
          <w:rFonts w:ascii="Times New Roman" w:hAnsi="Times New Roman" w:cs="Times New Roman"/>
          <w:b/>
          <w:bCs/>
          <w:sz w:val="20"/>
          <w:szCs w:val="20"/>
        </w:rPr>
        <w:t xml:space="preserve"> </w:t>
      </w:r>
      <w:r w:rsidRPr="008B19CA">
        <w:rPr>
          <w:rFonts w:ascii="Times New Roman" w:hAnsi="Times New Roman" w:cs="Times New Roman"/>
          <w:sz w:val="20"/>
          <w:szCs w:val="20"/>
        </w:rPr>
        <w:t>Summary of Pooled Meta-Analysis Results</w:t>
      </w:r>
      <w:r>
        <w:rPr>
          <w:rFonts w:ascii="Times New Roman" w:hAnsi="Times New Roman" w:cs="Times New Roman"/>
          <w:sz w:val="20"/>
          <w:szCs w:val="20"/>
        </w:rPr>
        <w:t>.</w:t>
      </w:r>
    </w:p>
    <w:p w14:paraId="27374C4C" w14:textId="77777777" w:rsidR="008B19CA" w:rsidRDefault="008B19CA" w:rsidP="008B19CA">
      <w:pPr>
        <w:spacing w:after="0" w:line="360" w:lineRule="auto"/>
        <w:jc w:val="center"/>
        <w:rPr>
          <w:rFonts w:ascii="Times New Roman" w:hAnsi="Times New Roman" w:cs="Times New Roman"/>
          <w:sz w:val="20"/>
          <w:szCs w:val="20"/>
        </w:rPr>
      </w:pPr>
    </w:p>
    <w:tbl>
      <w:tblPr>
        <w:tblW w:w="5000" w:type="pct"/>
        <w:tblCellMar>
          <w:left w:w="0" w:type="dxa"/>
          <w:right w:w="0" w:type="dxa"/>
        </w:tblCellMar>
        <w:tblLook w:val="04A0" w:firstRow="1" w:lastRow="0" w:firstColumn="1" w:lastColumn="0" w:noHBand="0" w:noVBand="1"/>
      </w:tblPr>
      <w:tblGrid>
        <w:gridCol w:w="2472"/>
        <w:gridCol w:w="520"/>
        <w:gridCol w:w="1311"/>
        <w:gridCol w:w="1316"/>
        <w:gridCol w:w="869"/>
        <w:gridCol w:w="795"/>
        <w:gridCol w:w="951"/>
        <w:gridCol w:w="1426"/>
      </w:tblGrid>
      <w:tr w:rsidR="008B19CA" w:rsidRPr="000C4F49" w14:paraId="2755EEF2" w14:textId="77777777" w:rsidTr="008B19CA">
        <w:tc>
          <w:tcPr>
            <w:tcW w:w="1280" w:type="pct"/>
            <w:tcBorders>
              <w:top w:val="single" w:sz="8" w:space="0" w:color="555555"/>
              <w:left w:val="single" w:sz="8" w:space="0" w:color="555555"/>
              <w:bottom w:val="single" w:sz="8" w:space="0" w:color="555555"/>
              <w:right w:val="single" w:sz="8" w:space="0" w:color="555555"/>
            </w:tcBorders>
            <w:shd w:val="clear" w:color="auto" w:fill="1F3864"/>
            <w:tcMar>
              <w:top w:w="105" w:type="dxa"/>
              <w:left w:w="150" w:type="dxa"/>
              <w:bottom w:w="105" w:type="dxa"/>
              <w:right w:w="150" w:type="dxa"/>
            </w:tcMar>
            <w:vAlign w:val="center"/>
            <w:hideMark/>
          </w:tcPr>
          <w:p w14:paraId="4C68475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Outcome</w:t>
            </w:r>
          </w:p>
        </w:tc>
        <w:tc>
          <w:tcPr>
            <w:tcW w:w="269"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5784CAE3"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k</w:t>
            </w:r>
          </w:p>
        </w:tc>
        <w:tc>
          <w:tcPr>
            <w:tcW w:w="679"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1C6845D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Pooled HR</w:t>
            </w:r>
          </w:p>
        </w:tc>
        <w:tc>
          <w:tcPr>
            <w:tcW w:w="681"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674C787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95% CI</w:t>
            </w:r>
          </w:p>
        </w:tc>
        <w:tc>
          <w:tcPr>
            <w:tcW w:w="450"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7BB53C0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I²</w:t>
            </w:r>
          </w:p>
        </w:tc>
        <w:tc>
          <w:tcPr>
            <w:tcW w:w="411"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72CC9C2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τ²</w:t>
            </w:r>
          </w:p>
        </w:tc>
        <w:tc>
          <w:tcPr>
            <w:tcW w:w="492"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2E8E71D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p (HR)</w:t>
            </w:r>
          </w:p>
        </w:tc>
        <w:tc>
          <w:tcPr>
            <w:tcW w:w="738"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29B1DC1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Significant?</w:t>
            </w:r>
          </w:p>
        </w:tc>
      </w:tr>
      <w:tr w:rsidR="008B19CA" w:rsidRPr="000C4F49" w14:paraId="5423E0D1" w14:textId="77777777" w:rsidTr="008B19CA">
        <w:tc>
          <w:tcPr>
            <w:tcW w:w="1280"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26BC8C69"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All-cause mortality</w:t>
            </w:r>
          </w:p>
        </w:tc>
        <w:tc>
          <w:tcPr>
            <w:tcW w:w="26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A637176"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10</w:t>
            </w:r>
          </w:p>
        </w:tc>
        <w:tc>
          <w:tcPr>
            <w:tcW w:w="67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4404832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0.81</w:t>
            </w:r>
          </w:p>
        </w:tc>
        <w:tc>
          <w:tcPr>
            <w:tcW w:w="681"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7C27327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[0.67–0.98]</w:t>
            </w:r>
          </w:p>
        </w:tc>
        <w:tc>
          <w:tcPr>
            <w:tcW w:w="45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06C9241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66.6%</w:t>
            </w:r>
          </w:p>
        </w:tc>
        <w:tc>
          <w:tcPr>
            <w:tcW w:w="411"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6D7ADDE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0.053</w:t>
            </w:r>
          </w:p>
        </w:tc>
        <w:tc>
          <w:tcPr>
            <w:tcW w:w="49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DA096D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0.032</w:t>
            </w:r>
          </w:p>
        </w:tc>
        <w:tc>
          <w:tcPr>
            <w:tcW w:w="73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4C712A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b/>
                <w:bCs/>
              </w:rPr>
              <w:t>YES</w:t>
            </w:r>
          </w:p>
        </w:tc>
      </w:tr>
      <w:tr w:rsidR="008B19CA" w:rsidRPr="000C4F49" w14:paraId="5E72B8D3" w14:textId="77777777" w:rsidTr="008B19CA">
        <w:tc>
          <w:tcPr>
            <w:tcW w:w="1280"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7F74A2B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Cardiovascular mortality</w:t>
            </w:r>
          </w:p>
        </w:tc>
        <w:tc>
          <w:tcPr>
            <w:tcW w:w="269" w:type="pct"/>
            <w:tcBorders>
              <w:top w:val="nil"/>
              <w:left w:val="nil"/>
              <w:bottom w:val="single" w:sz="8" w:space="0" w:color="auto"/>
              <w:right w:val="single" w:sz="8" w:space="0" w:color="auto"/>
            </w:tcBorders>
            <w:tcMar>
              <w:top w:w="90" w:type="dxa"/>
              <w:left w:w="150" w:type="dxa"/>
              <w:bottom w:w="90" w:type="dxa"/>
              <w:right w:w="150" w:type="dxa"/>
            </w:tcMar>
            <w:hideMark/>
          </w:tcPr>
          <w:p w14:paraId="3892484D"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7</w:t>
            </w:r>
          </w:p>
        </w:tc>
        <w:tc>
          <w:tcPr>
            <w:tcW w:w="679" w:type="pct"/>
            <w:tcBorders>
              <w:top w:val="nil"/>
              <w:left w:val="nil"/>
              <w:bottom w:val="single" w:sz="8" w:space="0" w:color="auto"/>
              <w:right w:val="single" w:sz="8" w:space="0" w:color="auto"/>
            </w:tcBorders>
            <w:tcMar>
              <w:top w:w="90" w:type="dxa"/>
              <w:left w:w="150" w:type="dxa"/>
              <w:bottom w:w="90" w:type="dxa"/>
              <w:right w:w="150" w:type="dxa"/>
            </w:tcMar>
            <w:hideMark/>
          </w:tcPr>
          <w:p w14:paraId="5EEC904E"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0.83</w:t>
            </w:r>
          </w:p>
        </w:tc>
        <w:tc>
          <w:tcPr>
            <w:tcW w:w="681" w:type="pct"/>
            <w:tcBorders>
              <w:top w:val="nil"/>
              <w:left w:val="nil"/>
              <w:bottom w:val="single" w:sz="8" w:space="0" w:color="auto"/>
              <w:right w:val="single" w:sz="8" w:space="0" w:color="auto"/>
            </w:tcBorders>
            <w:tcMar>
              <w:top w:w="90" w:type="dxa"/>
              <w:left w:w="150" w:type="dxa"/>
              <w:bottom w:w="90" w:type="dxa"/>
              <w:right w:w="150" w:type="dxa"/>
            </w:tcMar>
            <w:hideMark/>
          </w:tcPr>
          <w:p w14:paraId="3468F47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[0.57–1.20]</w:t>
            </w:r>
          </w:p>
        </w:tc>
        <w:tc>
          <w:tcPr>
            <w:tcW w:w="450" w:type="pct"/>
            <w:tcBorders>
              <w:top w:val="nil"/>
              <w:left w:val="nil"/>
              <w:bottom w:val="single" w:sz="8" w:space="0" w:color="auto"/>
              <w:right w:val="single" w:sz="8" w:space="0" w:color="auto"/>
            </w:tcBorders>
            <w:tcMar>
              <w:top w:w="90" w:type="dxa"/>
              <w:left w:w="150" w:type="dxa"/>
              <w:bottom w:w="90" w:type="dxa"/>
              <w:right w:w="150" w:type="dxa"/>
            </w:tcMar>
            <w:hideMark/>
          </w:tcPr>
          <w:p w14:paraId="3977B4A0"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73.4%</w:t>
            </w:r>
          </w:p>
        </w:tc>
        <w:tc>
          <w:tcPr>
            <w:tcW w:w="411" w:type="pct"/>
            <w:tcBorders>
              <w:top w:val="nil"/>
              <w:left w:val="nil"/>
              <w:bottom w:val="single" w:sz="8" w:space="0" w:color="auto"/>
              <w:right w:val="single" w:sz="8" w:space="0" w:color="auto"/>
            </w:tcBorders>
            <w:tcMar>
              <w:top w:w="90" w:type="dxa"/>
              <w:left w:w="150" w:type="dxa"/>
              <w:bottom w:w="90" w:type="dxa"/>
              <w:right w:w="150" w:type="dxa"/>
            </w:tcMar>
            <w:hideMark/>
          </w:tcPr>
          <w:p w14:paraId="405942D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0.155</w:t>
            </w:r>
          </w:p>
        </w:tc>
        <w:tc>
          <w:tcPr>
            <w:tcW w:w="492" w:type="pct"/>
            <w:tcBorders>
              <w:top w:val="nil"/>
              <w:left w:val="nil"/>
              <w:bottom w:val="single" w:sz="8" w:space="0" w:color="auto"/>
              <w:right w:val="single" w:sz="8" w:space="0" w:color="auto"/>
            </w:tcBorders>
            <w:tcMar>
              <w:top w:w="90" w:type="dxa"/>
              <w:left w:w="150" w:type="dxa"/>
              <w:bottom w:w="90" w:type="dxa"/>
              <w:right w:w="150" w:type="dxa"/>
            </w:tcMar>
            <w:hideMark/>
          </w:tcPr>
          <w:p w14:paraId="3B659DA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0.318</w:t>
            </w:r>
          </w:p>
        </w:tc>
        <w:tc>
          <w:tcPr>
            <w:tcW w:w="738" w:type="pct"/>
            <w:tcBorders>
              <w:top w:val="nil"/>
              <w:left w:val="nil"/>
              <w:bottom w:val="single" w:sz="8" w:space="0" w:color="auto"/>
              <w:right w:val="single" w:sz="8" w:space="0" w:color="auto"/>
            </w:tcBorders>
            <w:tcMar>
              <w:top w:w="90" w:type="dxa"/>
              <w:left w:w="150" w:type="dxa"/>
              <w:bottom w:w="90" w:type="dxa"/>
              <w:right w:w="150" w:type="dxa"/>
            </w:tcMar>
            <w:hideMark/>
          </w:tcPr>
          <w:p w14:paraId="445DD2F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No</w:t>
            </w:r>
          </w:p>
        </w:tc>
      </w:tr>
      <w:tr w:rsidR="008B19CA" w:rsidRPr="000C4F49" w14:paraId="02B3909E" w14:textId="77777777" w:rsidTr="008B19CA">
        <w:tc>
          <w:tcPr>
            <w:tcW w:w="1280"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72295CDA"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MACE</w:t>
            </w:r>
          </w:p>
        </w:tc>
        <w:tc>
          <w:tcPr>
            <w:tcW w:w="26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7DC0E1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w:t>
            </w:r>
          </w:p>
        </w:tc>
        <w:tc>
          <w:tcPr>
            <w:tcW w:w="67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01605D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0.98</w:t>
            </w:r>
          </w:p>
        </w:tc>
        <w:tc>
          <w:tcPr>
            <w:tcW w:w="681"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7EACF6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[0.80–1.19]</w:t>
            </w:r>
          </w:p>
        </w:tc>
        <w:tc>
          <w:tcPr>
            <w:tcW w:w="45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4622F15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53.2%</w:t>
            </w:r>
          </w:p>
        </w:tc>
        <w:tc>
          <w:tcPr>
            <w:tcW w:w="411"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4591716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0.025</w:t>
            </w:r>
          </w:p>
        </w:tc>
        <w:tc>
          <w:tcPr>
            <w:tcW w:w="49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77B8F56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0.833</w:t>
            </w:r>
          </w:p>
        </w:tc>
        <w:tc>
          <w:tcPr>
            <w:tcW w:w="73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0DAB60F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No</w:t>
            </w:r>
          </w:p>
        </w:tc>
      </w:tr>
      <w:tr w:rsidR="008B19CA" w:rsidRPr="000C4F49" w14:paraId="64580A0B" w14:textId="77777777" w:rsidTr="008B19CA">
        <w:tc>
          <w:tcPr>
            <w:tcW w:w="1280"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3DBFA94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Reinfarction</w:t>
            </w:r>
          </w:p>
        </w:tc>
        <w:tc>
          <w:tcPr>
            <w:tcW w:w="269" w:type="pct"/>
            <w:tcBorders>
              <w:top w:val="nil"/>
              <w:left w:val="nil"/>
              <w:bottom w:val="single" w:sz="8" w:space="0" w:color="auto"/>
              <w:right w:val="single" w:sz="8" w:space="0" w:color="auto"/>
            </w:tcBorders>
            <w:tcMar>
              <w:top w:w="90" w:type="dxa"/>
              <w:left w:w="150" w:type="dxa"/>
              <w:bottom w:w="90" w:type="dxa"/>
              <w:right w:w="150" w:type="dxa"/>
            </w:tcMar>
            <w:hideMark/>
          </w:tcPr>
          <w:p w14:paraId="7CCF001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6</w:t>
            </w:r>
          </w:p>
        </w:tc>
        <w:tc>
          <w:tcPr>
            <w:tcW w:w="679" w:type="pct"/>
            <w:tcBorders>
              <w:top w:val="nil"/>
              <w:left w:val="nil"/>
              <w:bottom w:val="single" w:sz="8" w:space="0" w:color="auto"/>
              <w:right w:val="single" w:sz="8" w:space="0" w:color="auto"/>
            </w:tcBorders>
            <w:tcMar>
              <w:top w:w="90" w:type="dxa"/>
              <w:left w:w="150" w:type="dxa"/>
              <w:bottom w:w="90" w:type="dxa"/>
              <w:right w:w="150" w:type="dxa"/>
            </w:tcMar>
            <w:hideMark/>
          </w:tcPr>
          <w:p w14:paraId="2C441CC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1.00</w:t>
            </w:r>
          </w:p>
        </w:tc>
        <w:tc>
          <w:tcPr>
            <w:tcW w:w="681" w:type="pct"/>
            <w:tcBorders>
              <w:top w:val="nil"/>
              <w:left w:val="nil"/>
              <w:bottom w:val="single" w:sz="8" w:space="0" w:color="auto"/>
              <w:right w:val="single" w:sz="8" w:space="0" w:color="auto"/>
            </w:tcBorders>
            <w:tcMar>
              <w:top w:w="90" w:type="dxa"/>
              <w:left w:w="150" w:type="dxa"/>
              <w:bottom w:w="90" w:type="dxa"/>
              <w:right w:w="150" w:type="dxa"/>
            </w:tcMar>
            <w:hideMark/>
          </w:tcPr>
          <w:p w14:paraId="4C1183DE"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[0.92–1.09]</w:t>
            </w:r>
          </w:p>
        </w:tc>
        <w:tc>
          <w:tcPr>
            <w:tcW w:w="450" w:type="pct"/>
            <w:tcBorders>
              <w:top w:val="nil"/>
              <w:left w:val="nil"/>
              <w:bottom w:val="single" w:sz="8" w:space="0" w:color="auto"/>
              <w:right w:val="single" w:sz="8" w:space="0" w:color="auto"/>
            </w:tcBorders>
            <w:tcMar>
              <w:top w:w="90" w:type="dxa"/>
              <w:left w:w="150" w:type="dxa"/>
              <w:bottom w:w="90" w:type="dxa"/>
              <w:right w:w="150" w:type="dxa"/>
            </w:tcMar>
            <w:hideMark/>
          </w:tcPr>
          <w:p w14:paraId="56FCB99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0.0%</w:t>
            </w:r>
          </w:p>
        </w:tc>
        <w:tc>
          <w:tcPr>
            <w:tcW w:w="411" w:type="pct"/>
            <w:tcBorders>
              <w:top w:val="nil"/>
              <w:left w:val="nil"/>
              <w:bottom w:val="single" w:sz="8" w:space="0" w:color="auto"/>
              <w:right w:val="single" w:sz="8" w:space="0" w:color="auto"/>
            </w:tcBorders>
            <w:tcMar>
              <w:top w:w="90" w:type="dxa"/>
              <w:left w:w="150" w:type="dxa"/>
              <w:bottom w:w="90" w:type="dxa"/>
              <w:right w:w="150" w:type="dxa"/>
            </w:tcMar>
            <w:hideMark/>
          </w:tcPr>
          <w:p w14:paraId="386966F8"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0.000</w:t>
            </w:r>
          </w:p>
        </w:tc>
        <w:tc>
          <w:tcPr>
            <w:tcW w:w="492" w:type="pct"/>
            <w:tcBorders>
              <w:top w:val="nil"/>
              <w:left w:val="nil"/>
              <w:bottom w:val="single" w:sz="8" w:space="0" w:color="auto"/>
              <w:right w:val="single" w:sz="8" w:space="0" w:color="auto"/>
            </w:tcBorders>
            <w:tcMar>
              <w:top w:w="90" w:type="dxa"/>
              <w:left w:w="150" w:type="dxa"/>
              <w:bottom w:w="90" w:type="dxa"/>
              <w:right w:w="150" w:type="dxa"/>
            </w:tcMar>
            <w:hideMark/>
          </w:tcPr>
          <w:p w14:paraId="3EA0150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0.996</w:t>
            </w:r>
          </w:p>
        </w:tc>
        <w:tc>
          <w:tcPr>
            <w:tcW w:w="738" w:type="pct"/>
            <w:tcBorders>
              <w:top w:val="nil"/>
              <w:left w:val="nil"/>
              <w:bottom w:val="single" w:sz="8" w:space="0" w:color="auto"/>
              <w:right w:val="single" w:sz="8" w:space="0" w:color="auto"/>
            </w:tcBorders>
            <w:tcMar>
              <w:top w:w="90" w:type="dxa"/>
              <w:left w:w="150" w:type="dxa"/>
              <w:bottom w:w="90" w:type="dxa"/>
              <w:right w:w="150" w:type="dxa"/>
            </w:tcMar>
            <w:hideMark/>
          </w:tcPr>
          <w:p w14:paraId="1E52AA32"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No</w:t>
            </w:r>
          </w:p>
        </w:tc>
      </w:tr>
      <w:tr w:rsidR="008B19CA" w:rsidRPr="000C4F49" w14:paraId="7E805DD8" w14:textId="77777777" w:rsidTr="008B19CA">
        <w:tc>
          <w:tcPr>
            <w:tcW w:w="1280"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2086259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HF hospitalization</w:t>
            </w:r>
          </w:p>
        </w:tc>
        <w:tc>
          <w:tcPr>
            <w:tcW w:w="26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55C99F2"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w:t>
            </w:r>
          </w:p>
        </w:tc>
        <w:tc>
          <w:tcPr>
            <w:tcW w:w="679"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C8ACA6E"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1.05</w:t>
            </w:r>
          </w:p>
        </w:tc>
        <w:tc>
          <w:tcPr>
            <w:tcW w:w="681"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384BEEB"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[0.89–1.24]</w:t>
            </w:r>
          </w:p>
        </w:tc>
        <w:tc>
          <w:tcPr>
            <w:tcW w:w="450"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269D18D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0.0%</w:t>
            </w:r>
          </w:p>
        </w:tc>
        <w:tc>
          <w:tcPr>
            <w:tcW w:w="411"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73CF817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0.000</w:t>
            </w:r>
          </w:p>
        </w:tc>
        <w:tc>
          <w:tcPr>
            <w:tcW w:w="492"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7AA5BDDD"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0.549</w:t>
            </w:r>
          </w:p>
        </w:tc>
        <w:tc>
          <w:tcPr>
            <w:tcW w:w="73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4371C431"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No</w:t>
            </w:r>
          </w:p>
        </w:tc>
      </w:tr>
      <w:tr w:rsidR="008B19CA" w:rsidRPr="000C4F49" w14:paraId="51099E29" w14:textId="77777777" w:rsidTr="008B19CA">
        <w:tc>
          <w:tcPr>
            <w:tcW w:w="1280"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1D9D23B4"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Stroke*</w:t>
            </w:r>
          </w:p>
        </w:tc>
        <w:tc>
          <w:tcPr>
            <w:tcW w:w="269" w:type="pct"/>
            <w:tcBorders>
              <w:top w:val="nil"/>
              <w:left w:val="nil"/>
              <w:bottom w:val="single" w:sz="8" w:space="0" w:color="auto"/>
              <w:right w:val="single" w:sz="8" w:space="0" w:color="auto"/>
            </w:tcBorders>
            <w:tcMar>
              <w:top w:w="90" w:type="dxa"/>
              <w:left w:w="150" w:type="dxa"/>
              <w:bottom w:w="90" w:type="dxa"/>
              <w:right w:w="150" w:type="dxa"/>
            </w:tcMar>
            <w:hideMark/>
          </w:tcPr>
          <w:p w14:paraId="306F6A29"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3</w:t>
            </w:r>
          </w:p>
        </w:tc>
        <w:tc>
          <w:tcPr>
            <w:tcW w:w="679" w:type="pct"/>
            <w:tcBorders>
              <w:top w:val="nil"/>
              <w:left w:val="nil"/>
              <w:bottom w:val="single" w:sz="8" w:space="0" w:color="auto"/>
              <w:right w:val="single" w:sz="8" w:space="0" w:color="auto"/>
            </w:tcBorders>
            <w:tcMar>
              <w:top w:w="90" w:type="dxa"/>
              <w:left w:w="150" w:type="dxa"/>
              <w:bottom w:w="90" w:type="dxa"/>
              <w:right w:w="150" w:type="dxa"/>
            </w:tcMar>
            <w:hideMark/>
          </w:tcPr>
          <w:p w14:paraId="3D488275"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1.07</w:t>
            </w:r>
          </w:p>
        </w:tc>
        <w:tc>
          <w:tcPr>
            <w:tcW w:w="681" w:type="pct"/>
            <w:tcBorders>
              <w:top w:val="nil"/>
              <w:left w:val="nil"/>
              <w:bottom w:val="single" w:sz="8" w:space="0" w:color="auto"/>
              <w:right w:val="single" w:sz="8" w:space="0" w:color="auto"/>
            </w:tcBorders>
            <w:tcMar>
              <w:top w:w="90" w:type="dxa"/>
              <w:left w:w="150" w:type="dxa"/>
              <w:bottom w:w="90" w:type="dxa"/>
              <w:right w:w="150" w:type="dxa"/>
            </w:tcMar>
            <w:hideMark/>
          </w:tcPr>
          <w:p w14:paraId="21C19AF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[0.63–1.82]</w:t>
            </w:r>
          </w:p>
        </w:tc>
        <w:tc>
          <w:tcPr>
            <w:tcW w:w="450" w:type="pct"/>
            <w:tcBorders>
              <w:top w:val="nil"/>
              <w:left w:val="nil"/>
              <w:bottom w:val="single" w:sz="8" w:space="0" w:color="auto"/>
              <w:right w:val="single" w:sz="8" w:space="0" w:color="auto"/>
            </w:tcBorders>
            <w:tcMar>
              <w:top w:w="90" w:type="dxa"/>
              <w:left w:w="150" w:type="dxa"/>
              <w:bottom w:w="90" w:type="dxa"/>
              <w:right w:w="150" w:type="dxa"/>
            </w:tcMar>
            <w:hideMark/>
          </w:tcPr>
          <w:p w14:paraId="1B63EFF9"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59.9%</w:t>
            </w:r>
          </w:p>
        </w:tc>
        <w:tc>
          <w:tcPr>
            <w:tcW w:w="411" w:type="pct"/>
            <w:tcBorders>
              <w:top w:val="nil"/>
              <w:left w:val="nil"/>
              <w:bottom w:val="single" w:sz="8" w:space="0" w:color="auto"/>
              <w:right w:val="single" w:sz="8" w:space="0" w:color="auto"/>
            </w:tcBorders>
            <w:tcMar>
              <w:top w:w="90" w:type="dxa"/>
              <w:left w:w="150" w:type="dxa"/>
              <w:bottom w:w="90" w:type="dxa"/>
              <w:right w:w="150" w:type="dxa"/>
            </w:tcMar>
            <w:hideMark/>
          </w:tcPr>
          <w:p w14:paraId="63F9D3EF"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w:t>
            </w:r>
          </w:p>
        </w:tc>
        <w:tc>
          <w:tcPr>
            <w:tcW w:w="492" w:type="pct"/>
            <w:tcBorders>
              <w:top w:val="nil"/>
              <w:left w:val="nil"/>
              <w:bottom w:val="single" w:sz="8" w:space="0" w:color="auto"/>
              <w:right w:val="single" w:sz="8" w:space="0" w:color="auto"/>
            </w:tcBorders>
            <w:tcMar>
              <w:top w:w="90" w:type="dxa"/>
              <w:left w:w="150" w:type="dxa"/>
              <w:bottom w:w="90" w:type="dxa"/>
              <w:right w:w="150" w:type="dxa"/>
            </w:tcMar>
            <w:hideMark/>
          </w:tcPr>
          <w:p w14:paraId="024465AC"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0.796</w:t>
            </w:r>
          </w:p>
        </w:tc>
        <w:tc>
          <w:tcPr>
            <w:tcW w:w="738" w:type="pct"/>
            <w:tcBorders>
              <w:top w:val="nil"/>
              <w:left w:val="nil"/>
              <w:bottom w:val="single" w:sz="8" w:space="0" w:color="auto"/>
              <w:right w:val="single" w:sz="8" w:space="0" w:color="auto"/>
            </w:tcBorders>
            <w:tcMar>
              <w:top w:w="90" w:type="dxa"/>
              <w:left w:w="150" w:type="dxa"/>
              <w:bottom w:w="90" w:type="dxa"/>
              <w:right w:w="150" w:type="dxa"/>
            </w:tcMar>
            <w:hideMark/>
          </w:tcPr>
          <w:p w14:paraId="14FD35E7" w14:textId="77777777" w:rsidR="008B19CA" w:rsidRPr="000C4F49" w:rsidRDefault="008B19CA" w:rsidP="00395ED6">
            <w:pPr>
              <w:jc w:val="both"/>
              <w:rPr>
                <w:rFonts w:ascii="Times New Roman" w:hAnsi="Times New Roman" w:cs="Times New Roman"/>
              </w:rPr>
            </w:pPr>
            <w:r w:rsidRPr="000C4F49">
              <w:rPr>
                <w:rFonts w:ascii="Times New Roman" w:hAnsi="Times New Roman" w:cs="Times New Roman"/>
              </w:rPr>
              <w:t>No</w:t>
            </w:r>
          </w:p>
        </w:tc>
      </w:tr>
    </w:tbl>
    <w:p w14:paraId="5C58CFC5" w14:textId="0E895D4A" w:rsidR="008B19CA" w:rsidRPr="008B19CA" w:rsidRDefault="008B19CA" w:rsidP="008B19CA">
      <w:pPr>
        <w:spacing w:after="0" w:line="360" w:lineRule="auto"/>
        <w:jc w:val="both"/>
        <w:rPr>
          <w:rFonts w:ascii="Times New Roman" w:hAnsi="Times New Roman" w:cs="Times New Roman"/>
          <w:sz w:val="20"/>
          <w:szCs w:val="20"/>
        </w:rPr>
      </w:pPr>
      <w:r w:rsidRPr="008B19CA">
        <w:rPr>
          <w:rFonts w:ascii="Times New Roman" w:hAnsi="Times New Roman" w:cs="Times New Roman"/>
          <w:sz w:val="20"/>
          <w:szCs w:val="20"/>
        </w:rPr>
        <w:t>*Stroke: funnel plot and Egger's test only (k=3; insufficient for reliable forest plot pooling) [25].</w:t>
      </w:r>
    </w:p>
    <w:p w14:paraId="5CAF9EC1" w14:textId="77777777" w:rsidR="00F502BA" w:rsidRDefault="00F502BA" w:rsidP="00440788">
      <w:pPr>
        <w:spacing w:after="0" w:line="360" w:lineRule="auto"/>
        <w:jc w:val="both"/>
        <w:rPr>
          <w:rFonts w:ascii="Times New Roman" w:hAnsi="Times New Roman" w:cs="Times New Roman"/>
          <w:sz w:val="20"/>
          <w:szCs w:val="20"/>
        </w:rPr>
      </w:pPr>
    </w:p>
    <w:p w14:paraId="7EEB015E" w14:textId="77777777" w:rsidR="00F502BA" w:rsidRDefault="00F502BA" w:rsidP="00440788">
      <w:pPr>
        <w:spacing w:after="0" w:line="360" w:lineRule="auto"/>
        <w:jc w:val="both"/>
        <w:rPr>
          <w:rFonts w:ascii="Times New Roman" w:hAnsi="Times New Roman" w:cs="Times New Roman"/>
          <w:sz w:val="20"/>
          <w:szCs w:val="20"/>
        </w:rPr>
      </w:pPr>
    </w:p>
    <w:p w14:paraId="5B541973" w14:textId="138ECDE8" w:rsidR="00F502BA" w:rsidRDefault="008B19CA" w:rsidP="00440788">
      <w:pPr>
        <w:spacing w:after="0" w:line="360" w:lineRule="auto"/>
        <w:jc w:val="both"/>
        <w:rPr>
          <w:rFonts w:ascii="Times New Roman" w:hAnsi="Times New Roman" w:cs="Times New Roman"/>
          <w:b/>
          <w:bCs/>
          <w:sz w:val="20"/>
          <w:szCs w:val="20"/>
        </w:rPr>
      </w:pPr>
      <w:r w:rsidRPr="008B19CA">
        <w:rPr>
          <w:rFonts w:ascii="Times New Roman" w:hAnsi="Times New Roman" w:cs="Times New Roman"/>
          <w:b/>
          <w:bCs/>
          <w:sz w:val="20"/>
          <w:szCs w:val="20"/>
        </w:rPr>
        <w:lastRenderedPageBreak/>
        <w:t>3.9 Publication Bias</w:t>
      </w:r>
    </w:p>
    <w:p w14:paraId="45E86D5A" w14:textId="7C36C90F" w:rsidR="008B19CA" w:rsidRPr="008B19CA" w:rsidRDefault="008B19CA" w:rsidP="00440788">
      <w:pPr>
        <w:spacing w:after="0" w:line="360" w:lineRule="auto"/>
        <w:jc w:val="both"/>
        <w:rPr>
          <w:rFonts w:ascii="Times New Roman" w:hAnsi="Times New Roman" w:cs="Times New Roman"/>
          <w:sz w:val="20"/>
          <w:szCs w:val="20"/>
        </w:rPr>
      </w:pPr>
      <w:r w:rsidRPr="008B19CA">
        <w:rPr>
          <w:rFonts w:ascii="Times New Roman" w:hAnsi="Times New Roman" w:cs="Times New Roman"/>
          <w:sz w:val="20"/>
          <w:szCs w:val="20"/>
        </w:rPr>
        <w:t>Funnel plots were constructed for all six outcomes (Figures 6–11). Egger's test results are summarized in Table 3 [10].</w:t>
      </w:r>
    </w:p>
    <w:p w14:paraId="5E7063C9" w14:textId="77777777" w:rsidR="00F502BA" w:rsidRDefault="00F502BA" w:rsidP="004D7AB9">
      <w:pPr>
        <w:spacing w:after="0" w:line="360" w:lineRule="auto"/>
        <w:jc w:val="center"/>
        <w:rPr>
          <w:rFonts w:ascii="Times New Roman" w:hAnsi="Times New Roman" w:cs="Times New Roman"/>
          <w:sz w:val="20"/>
          <w:szCs w:val="20"/>
        </w:rPr>
      </w:pPr>
    </w:p>
    <w:p w14:paraId="31BCF73F" w14:textId="1F2F9C43" w:rsidR="004D7AB9" w:rsidRDefault="004D7AB9" w:rsidP="004D7AB9">
      <w:pPr>
        <w:spacing w:after="0" w:line="360" w:lineRule="auto"/>
        <w:jc w:val="center"/>
        <w:rPr>
          <w:rFonts w:ascii="Times New Roman" w:hAnsi="Times New Roman" w:cs="Times New Roman"/>
          <w:sz w:val="20"/>
          <w:szCs w:val="20"/>
        </w:rPr>
      </w:pPr>
      <w:r w:rsidRPr="004D7AB9">
        <w:rPr>
          <w:rFonts w:ascii="Times New Roman" w:hAnsi="Times New Roman" w:cs="Times New Roman"/>
          <w:b/>
          <w:bCs/>
          <w:color w:val="0070C0"/>
          <w:sz w:val="20"/>
          <w:szCs w:val="20"/>
        </w:rPr>
        <w:t>Table 3:</w:t>
      </w:r>
      <w:r w:rsidRPr="004D7AB9">
        <w:rPr>
          <w:rFonts w:ascii="Times New Roman" w:hAnsi="Times New Roman" w:cs="Times New Roman"/>
          <w:sz w:val="20"/>
          <w:szCs w:val="20"/>
        </w:rPr>
        <w:t xml:space="preserve"> Egger's Test for Publication Bias</w:t>
      </w:r>
      <w:r>
        <w:rPr>
          <w:rFonts w:ascii="Times New Roman" w:hAnsi="Times New Roman" w:cs="Times New Roman"/>
          <w:sz w:val="20"/>
          <w:szCs w:val="20"/>
        </w:rPr>
        <w:t>.</w:t>
      </w:r>
    </w:p>
    <w:tbl>
      <w:tblPr>
        <w:tblW w:w="5000" w:type="pct"/>
        <w:tblCellMar>
          <w:left w:w="0" w:type="dxa"/>
          <w:right w:w="0" w:type="dxa"/>
        </w:tblCellMar>
        <w:tblLook w:val="04A0" w:firstRow="1" w:lastRow="0" w:firstColumn="1" w:lastColumn="0" w:noHBand="0" w:noVBand="1"/>
      </w:tblPr>
      <w:tblGrid>
        <w:gridCol w:w="2942"/>
        <w:gridCol w:w="612"/>
        <w:gridCol w:w="1378"/>
        <w:gridCol w:w="937"/>
        <w:gridCol w:w="1153"/>
        <w:gridCol w:w="1175"/>
        <w:gridCol w:w="1463"/>
      </w:tblGrid>
      <w:tr w:rsidR="004D7AB9" w:rsidRPr="000C4F49" w14:paraId="4A747AEA" w14:textId="77777777" w:rsidTr="004D7AB9">
        <w:tc>
          <w:tcPr>
            <w:tcW w:w="1522" w:type="pct"/>
            <w:tcBorders>
              <w:top w:val="single" w:sz="8" w:space="0" w:color="555555"/>
              <w:left w:val="single" w:sz="8" w:space="0" w:color="555555"/>
              <w:bottom w:val="single" w:sz="8" w:space="0" w:color="555555"/>
              <w:right w:val="single" w:sz="8" w:space="0" w:color="555555"/>
            </w:tcBorders>
            <w:shd w:val="clear" w:color="auto" w:fill="1F3864"/>
            <w:tcMar>
              <w:top w:w="105" w:type="dxa"/>
              <w:left w:w="150" w:type="dxa"/>
              <w:bottom w:w="105" w:type="dxa"/>
              <w:right w:w="150" w:type="dxa"/>
            </w:tcMar>
            <w:vAlign w:val="center"/>
            <w:hideMark/>
          </w:tcPr>
          <w:p w14:paraId="796392FB"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b/>
                <w:bCs/>
              </w:rPr>
              <w:t>Outcome</w:t>
            </w:r>
          </w:p>
        </w:tc>
        <w:tc>
          <w:tcPr>
            <w:tcW w:w="317"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7C0AAD9A"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b/>
                <w:bCs/>
              </w:rPr>
              <w:t>k</w:t>
            </w:r>
          </w:p>
        </w:tc>
        <w:tc>
          <w:tcPr>
            <w:tcW w:w="713"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40B2E80E"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b/>
                <w:bCs/>
              </w:rPr>
              <w:t>Intercept</w:t>
            </w:r>
          </w:p>
        </w:tc>
        <w:tc>
          <w:tcPr>
            <w:tcW w:w="485"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2A7D2559"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b/>
                <w:bCs/>
              </w:rPr>
              <w:t>SE</w:t>
            </w:r>
          </w:p>
        </w:tc>
        <w:tc>
          <w:tcPr>
            <w:tcW w:w="597"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1E0E8D05"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b/>
                <w:bCs/>
              </w:rPr>
              <w:t>t</w:t>
            </w:r>
          </w:p>
        </w:tc>
        <w:tc>
          <w:tcPr>
            <w:tcW w:w="608"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2F44A972"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b/>
                <w:bCs/>
              </w:rPr>
              <w:t>p-value</w:t>
            </w:r>
          </w:p>
        </w:tc>
        <w:tc>
          <w:tcPr>
            <w:tcW w:w="757" w:type="pct"/>
            <w:tcBorders>
              <w:top w:val="single" w:sz="8" w:space="0" w:color="auto"/>
              <w:left w:val="nil"/>
              <w:bottom w:val="single" w:sz="8" w:space="0" w:color="auto"/>
              <w:right w:val="single" w:sz="8" w:space="0" w:color="auto"/>
            </w:tcBorders>
            <w:shd w:val="clear" w:color="auto" w:fill="1F3864"/>
            <w:tcMar>
              <w:top w:w="105" w:type="dxa"/>
              <w:left w:w="150" w:type="dxa"/>
              <w:bottom w:w="105" w:type="dxa"/>
              <w:right w:w="150" w:type="dxa"/>
            </w:tcMar>
            <w:vAlign w:val="center"/>
            <w:hideMark/>
          </w:tcPr>
          <w:p w14:paraId="78254FD4"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b/>
                <w:bCs/>
              </w:rPr>
              <w:t>Bias?</w:t>
            </w:r>
          </w:p>
        </w:tc>
      </w:tr>
      <w:tr w:rsidR="004D7AB9" w:rsidRPr="000C4F49" w14:paraId="631E2319" w14:textId="77777777" w:rsidTr="004D7AB9">
        <w:tc>
          <w:tcPr>
            <w:tcW w:w="1522"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719C496F"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All-cause mortality</w:t>
            </w:r>
          </w:p>
        </w:tc>
        <w:tc>
          <w:tcPr>
            <w:tcW w:w="31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3BA0CC8"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10</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63890608"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-1.508</w:t>
            </w:r>
          </w:p>
        </w:tc>
        <w:tc>
          <w:tcPr>
            <w:tcW w:w="485"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AB955A6"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0.079</w:t>
            </w:r>
          </w:p>
        </w:tc>
        <w:tc>
          <w:tcPr>
            <w:tcW w:w="59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31774A1"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-19.063</w:t>
            </w:r>
          </w:p>
        </w:tc>
        <w:tc>
          <w:tcPr>
            <w:tcW w:w="60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45E22E96"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&lt;0.001</w:t>
            </w:r>
          </w:p>
        </w:tc>
        <w:tc>
          <w:tcPr>
            <w:tcW w:w="75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1221220"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YES</w:t>
            </w:r>
          </w:p>
        </w:tc>
      </w:tr>
      <w:tr w:rsidR="004D7AB9" w:rsidRPr="000C4F49" w14:paraId="782A8A06" w14:textId="77777777" w:rsidTr="004D7AB9">
        <w:tc>
          <w:tcPr>
            <w:tcW w:w="1522"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16356F3E"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Cardiovascular mortality</w:t>
            </w:r>
          </w:p>
        </w:tc>
        <w:tc>
          <w:tcPr>
            <w:tcW w:w="317" w:type="pct"/>
            <w:tcBorders>
              <w:top w:val="nil"/>
              <w:left w:val="nil"/>
              <w:bottom w:val="single" w:sz="8" w:space="0" w:color="auto"/>
              <w:right w:val="single" w:sz="8" w:space="0" w:color="auto"/>
            </w:tcBorders>
            <w:tcMar>
              <w:top w:w="90" w:type="dxa"/>
              <w:left w:w="150" w:type="dxa"/>
              <w:bottom w:w="90" w:type="dxa"/>
              <w:right w:w="150" w:type="dxa"/>
            </w:tcMar>
            <w:hideMark/>
          </w:tcPr>
          <w:p w14:paraId="1AF96C5A"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7</w:t>
            </w:r>
          </w:p>
        </w:tc>
        <w:tc>
          <w:tcPr>
            <w:tcW w:w="713" w:type="pct"/>
            <w:tcBorders>
              <w:top w:val="nil"/>
              <w:left w:val="nil"/>
              <w:bottom w:val="single" w:sz="8" w:space="0" w:color="auto"/>
              <w:right w:val="single" w:sz="8" w:space="0" w:color="auto"/>
            </w:tcBorders>
            <w:tcMar>
              <w:top w:w="90" w:type="dxa"/>
              <w:left w:w="150" w:type="dxa"/>
              <w:bottom w:w="90" w:type="dxa"/>
              <w:right w:w="150" w:type="dxa"/>
            </w:tcMar>
            <w:hideMark/>
          </w:tcPr>
          <w:p w14:paraId="6DBE6F77"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-1.235</w:t>
            </w:r>
          </w:p>
        </w:tc>
        <w:tc>
          <w:tcPr>
            <w:tcW w:w="485" w:type="pct"/>
            <w:tcBorders>
              <w:top w:val="nil"/>
              <w:left w:val="nil"/>
              <w:bottom w:val="single" w:sz="8" w:space="0" w:color="auto"/>
              <w:right w:val="single" w:sz="8" w:space="0" w:color="auto"/>
            </w:tcBorders>
            <w:tcMar>
              <w:top w:w="90" w:type="dxa"/>
              <w:left w:w="150" w:type="dxa"/>
              <w:bottom w:w="90" w:type="dxa"/>
              <w:right w:w="150" w:type="dxa"/>
            </w:tcMar>
            <w:hideMark/>
          </w:tcPr>
          <w:p w14:paraId="3DC71FF7"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0.212</w:t>
            </w:r>
          </w:p>
        </w:tc>
        <w:tc>
          <w:tcPr>
            <w:tcW w:w="597" w:type="pct"/>
            <w:tcBorders>
              <w:top w:val="nil"/>
              <w:left w:val="nil"/>
              <w:bottom w:val="single" w:sz="8" w:space="0" w:color="auto"/>
              <w:right w:val="single" w:sz="8" w:space="0" w:color="auto"/>
            </w:tcBorders>
            <w:tcMar>
              <w:top w:w="90" w:type="dxa"/>
              <w:left w:w="150" w:type="dxa"/>
              <w:bottom w:w="90" w:type="dxa"/>
              <w:right w:w="150" w:type="dxa"/>
            </w:tcMar>
            <w:hideMark/>
          </w:tcPr>
          <w:p w14:paraId="1B222AC3"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-5.817</w:t>
            </w:r>
          </w:p>
        </w:tc>
        <w:tc>
          <w:tcPr>
            <w:tcW w:w="608" w:type="pct"/>
            <w:tcBorders>
              <w:top w:val="nil"/>
              <w:left w:val="nil"/>
              <w:bottom w:val="single" w:sz="8" w:space="0" w:color="auto"/>
              <w:right w:val="single" w:sz="8" w:space="0" w:color="auto"/>
            </w:tcBorders>
            <w:tcMar>
              <w:top w:w="90" w:type="dxa"/>
              <w:left w:w="150" w:type="dxa"/>
              <w:bottom w:w="90" w:type="dxa"/>
              <w:right w:w="150" w:type="dxa"/>
            </w:tcMar>
            <w:hideMark/>
          </w:tcPr>
          <w:p w14:paraId="08CF4120"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0.002</w:t>
            </w:r>
          </w:p>
        </w:tc>
        <w:tc>
          <w:tcPr>
            <w:tcW w:w="757" w:type="pct"/>
            <w:tcBorders>
              <w:top w:val="nil"/>
              <w:left w:val="nil"/>
              <w:bottom w:val="single" w:sz="8" w:space="0" w:color="auto"/>
              <w:right w:val="single" w:sz="8" w:space="0" w:color="auto"/>
            </w:tcBorders>
            <w:tcMar>
              <w:top w:w="90" w:type="dxa"/>
              <w:left w:w="150" w:type="dxa"/>
              <w:bottom w:w="90" w:type="dxa"/>
              <w:right w:w="150" w:type="dxa"/>
            </w:tcMar>
            <w:hideMark/>
          </w:tcPr>
          <w:p w14:paraId="12022AA4"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YES</w:t>
            </w:r>
          </w:p>
        </w:tc>
      </w:tr>
      <w:tr w:rsidR="004D7AB9" w:rsidRPr="000C4F49" w14:paraId="741931C1" w14:textId="77777777" w:rsidTr="004D7AB9">
        <w:tc>
          <w:tcPr>
            <w:tcW w:w="1522"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12FE0E14"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MACE</w:t>
            </w:r>
          </w:p>
        </w:tc>
        <w:tc>
          <w:tcPr>
            <w:tcW w:w="31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76EDF85"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5</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381CB62"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0.664</w:t>
            </w:r>
          </w:p>
        </w:tc>
        <w:tc>
          <w:tcPr>
            <w:tcW w:w="485"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5642ED1"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0.275</w:t>
            </w:r>
          </w:p>
        </w:tc>
        <w:tc>
          <w:tcPr>
            <w:tcW w:w="59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F64D4F4"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2.411</w:t>
            </w:r>
          </w:p>
        </w:tc>
        <w:tc>
          <w:tcPr>
            <w:tcW w:w="60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A4A63FE"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0.095</w:t>
            </w:r>
          </w:p>
        </w:tc>
        <w:tc>
          <w:tcPr>
            <w:tcW w:w="75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2EAC876"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Borderline</w:t>
            </w:r>
          </w:p>
        </w:tc>
      </w:tr>
      <w:tr w:rsidR="004D7AB9" w:rsidRPr="000C4F49" w14:paraId="6F3E5E29" w14:textId="77777777" w:rsidTr="004D7AB9">
        <w:tc>
          <w:tcPr>
            <w:tcW w:w="1522"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05969F9E"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Reinfarction</w:t>
            </w:r>
          </w:p>
        </w:tc>
        <w:tc>
          <w:tcPr>
            <w:tcW w:w="317" w:type="pct"/>
            <w:tcBorders>
              <w:top w:val="nil"/>
              <w:left w:val="nil"/>
              <w:bottom w:val="single" w:sz="8" w:space="0" w:color="auto"/>
              <w:right w:val="single" w:sz="8" w:space="0" w:color="auto"/>
            </w:tcBorders>
            <w:tcMar>
              <w:top w:w="90" w:type="dxa"/>
              <w:left w:w="150" w:type="dxa"/>
              <w:bottom w:w="90" w:type="dxa"/>
              <w:right w:w="150" w:type="dxa"/>
            </w:tcMar>
            <w:hideMark/>
          </w:tcPr>
          <w:p w14:paraId="7E763674"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6</w:t>
            </w:r>
          </w:p>
        </w:tc>
        <w:tc>
          <w:tcPr>
            <w:tcW w:w="713" w:type="pct"/>
            <w:tcBorders>
              <w:top w:val="nil"/>
              <w:left w:val="nil"/>
              <w:bottom w:val="single" w:sz="8" w:space="0" w:color="auto"/>
              <w:right w:val="single" w:sz="8" w:space="0" w:color="auto"/>
            </w:tcBorders>
            <w:tcMar>
              <w:top w:w="90" w:type="dxa"/>
              <w:left w:w="150" w:type="dxa"/>
              <w:bottom w:w="90" w:type="dxa"/>
              <w:right w:w="150" w:type="dxa"/>
            </w:tcMar>
            <w:hideMark/>
          </w:tcPr>
          <w:p w14:paraId="1813F9FA"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0.137</w:t>
            </w:r>
          </w:p>
        </w:tc>
        <w:tc>
          <w:tcPr>
            <w:tcW w:w="485" w:type="pct"/>
            <w:tcBorders>
              <w:top w:val="nil"/>
              <w:left w:val="nil"/>
              <w:bottom w:val="single" w:sz="8" w:space="0" w:color="auto"/>
              <w:right w:val="single" w:sz="8" w:space="0" w:color="auto"/>
            </w:tcBorders>
            <w:tcMar>
              <w:top w:w="90" w:type="dxa"/>
              <w:left w:w="150" w:type="dxa"/>
              <w:bottom w:w="90" w:type="dxa"/>
              <w:right w:w="150" w:type="dxa"/>
            </w:tcMar>
            <w:hideMark/>
          </w:tcPr>
          <w:p w14:paraId="5169ACC8"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0.032</w:t>
            </w:r>
          </w:p>
        </w:tc>
        <w:tc>
          <w:tcPr>
            <w:tcW w:w="597" w:type="pct"/>
            <w:tcBorders>
              <w:top w:val="nil"/>
              <w:left w:val="nil"/>
              <w:bottom w:val="single" w:sz="8" w:space="0" w:color="auto"/>
              <w:right w:val="single" w:sz="8" w:space="0" w:color="auto"/>
            </w:tcBorders>
            <w:tcMar>
              <w:top w:w="90" w:type="dxa"/>
              <w:left w:w="150" w:type="dxa"/>
              <w:bottom w:w="90" w:type="dxa"/>
              <w:right w:w="150" w:type="dxa"/>
            </w:tcMar>
            <w:hideMark/>
          </w:tcPr>
          <w:p w14:paraId="5E166100"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4.268</w:t>
            </w:r>
          </w:p>
        </w:tc>
        <w:tc>
          <w:tcPr>
            <w:tcW w:w="608" w:type="pct"/>
            <w:tcBorders>
              <w:top w:val="nil"/>
              <w:left w:val="nil"/>
              <w:bottom w:val="single" w:sz="8" w:space="0" w:color="auto"/>
              <w:right w:val="single" w:sz="8" w:space="0" w:color="auto"/>
            </w:tcBorders>
            <w:tcMar>
              <w:top w:w="90" w:type="dxa"/>
              <w:left w:w="150" w:type="dxa"/>
              <w:bottom w:w="90" w:type="dxa"/>
              <w:right w:w="150" w:type="dxa"/>
            </w:tcMar>
            <w:hideMark/>
          </w:tcPr>
          <w:p w14:paraId="1B942FDE"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0.013</w:t>
            </w:r>
          </w:p>
        </w:tc>
        <w:tc>
          <w:tcPr>
            <w:tcW w:w="757" w:type="pct"/>
            <w:tcBorders>
              <w:top w:val="nil"/>
              <w:left w:val="nil"/>
              <w:bottom w:val="single" w:sz="8" w:space="0" w:color="auto"/>
              <w:right w:val="single" w:sz="8" w:space="0" w:color="auto"/>
            </w:tcBorders>
            <w:tcMar>
              <w:top w:w="90" w:type="dxa"/>
              <w:left w:w="150" w:type="dxa"/>
              <w:bottom w:w="90" w:type="dxa"/>
              <w:right w:w="150" w:type="dxa"/>
            </w:tcMar>
            <w:hideMark/>
          </w:tcPr>
          <w:p w14:paraId="1EFD1C96"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YES</w:t>
            </w:r>
          </w:p>
        </w:tc>
      </w:tr>
      <w:tr w:rsidR="004D7AB9" w:rsidRPr="000C4F49" w14:paraId="19DE5E62" w14:textId="77777777" w:rsidTr="004D7AB9">
        <w:tc>
          <w:tcPr>
            <w:tcW w:w="1522" w:type="pct"/>
            <w:tcBorders>
              <w:top w:val="nil"/>
              <w:left w:val="single" w:sz="8" w:space="0" w:color="auto"/>
              <w:bottom w:val="single" w:sz="8" w:space="0" w:color="auto"/>
              <w:right w:val="single" w:sz="8" w:space="0" w:color="auto"/>
            </w:tcBorders>
            <w:shd w:val="clear" w:color="auto" w:fill="F5F5F5"/>
            <w:tcMar>
              <w:top w:w="90" w:type="dxa"/>
              <w:left w:w="150" w:type="dxa"/>
              <w:bottom w:w="90" w:type="dxa"/>
              <w:right w:w="150" w:type="dxa"/>
            </w:tcMar>
            <w:hideMark/>
          </w:tcPr>
          <w:p w14:paraId="46AF4986"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HF hospitalization</w:t>
            </w:r>
          </w:p>
        </w:tc>
        <w:tc>
          <w:tcPr>
            <w:tcW w:w="31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4DA4729E"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5</w:t>
            </w:r>
          </w:p>
        </w:tc>
        <w:tc>
          <w:tcPr>
            <w:tcW w:w="713"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38CE088A"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-0.123</w:t>
            </w:r>
          </w:p>
        </w:tc>
        <w:tc>
          <w:tcPr>
            <w:tcW w:w="485"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532A7A9C"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0.226</w:t>
            </w:r>
          </w:p>
        </w:tc>
        <w:tc>
          <w:tcPr>
            <w:tcW w:w="59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1FAEA2C4"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-0.542</w:t>
            </w:r>
          </w:p>
        </w:tc>
        <w:tc>
          <w:tcPr>
            <w:tcW w:w="608"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09A708DB"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0.625</w:t>
            </w:r>
          </w:p>
        </w:tc>
        <w:tc>
          <w:tcPr>
            <w:tcW w:w="757" w:type="pct"/>
            <w:tcBorders>
              <w:top w:val="nil"/>
              <w:left w:val="nil"/>
              <w:bottom w:val="single" w:sz="8" w:space="0" w:color="auto"/>
              <w:right w:val="single" w:sz="8" w:space="0" w:color="auto"/>
            </w:tcBorders>
            <w:shd w:val="clear" w:color="auto" w:fill="F5F5F5"/>
            <w:tcMar>
              <w:top w:w="90" w:type="dxa"/>
              <w:left w:w="150" w:type="dxa"/>
              <w:bottom w:w="90" w:type="dxa"/>
              <w:right w:w="150" w:type="dxa"/>
            </w:tcMar>
            <w:hideMark/>
          </w:tcPr>
          <w:p w14:paraId="680B7041"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No</w:t>
            </w:r>
          </w:p>
        </w:tc>
      </w:tr>
      <w:tr w:rsidR="004D7AB9" w:rsidRPr="000C4F49" w14:paraId="346088CC" w14:textId="77777777" w:rsidTr="004D7AB9">
        <w:tc>
          <w:tcPr>
            <w:tcW w:w="1522" w:type="pct"/>
            <w:tcBorders>
              <w:top w:val="nil"/>
              <w:left w:val="single" w:sz="8" w:space="0" w:color="auto"/>
              <w:bottom w:val="single" w:sz="8" w:space="0" w:color="auto"/>
              <w:right w:val="single" w:sz="8" w:space="0" w:color="auto"/>
            </w:tcBorders>
            <w:tcMar>
              <w:top w:w="90" w:type="dxa"/>
              <w:left w:w="150" w:type="dxa"/>
              <w:bottom w:w="90" w:type="dxa"/>
              <w:right w:w="150" w:type="dxa"/>
            </w:tcMar>
            <w:hideMark/>
          </w:tcPr>
          <w:p w14:paraId="02D7973E"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Stroke</w:t>
            </w:r>
          </w:p>
        </w:tc>
        <w:tc>
          <w:tcPr>
            <w:tcW w:w="317" w:type="pct"/>
            <w:tcBorders>
              <w:top w:val="nil"/>
              <w:left w:val="nil"/>
              <w:bottom w:val="single" w:sz="8" w:space="0" w:color="auto"/>
              <w:right w:val="single" w:sz="8" w:space="0" w:color="auto"/>
            </w:tcBorders>
            <w:tcMar>
              <w:top w:w="90" w:type="dxa"/>
              <w:left w:w="150" w:type="dxa"/>
              <w:bottom w:w="90" w:type="dxa"/>
              <w:right w:w="150" w:type="dxa"/>
            </w:tcMar>
            <w:hideMark/>
          </w:tcPr>
          <w:p w14:paraId="23D1DD7F"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3</w:t>
            </w:r>
          </w:p>
        </w:tc>
        <w:tc>
          <w:tcPr>
            <w:tcW w:w="713" w:type="pct"/>
            <w:tcBorders>
              <w:top w:val="nil"/>
              <w:left w:val="nil"/>
              <w:bottom w:val="single" w:sz="8" w:space="0" w:color="auto"/>
              <w:right w:val="single" w:sz="8" w:space="0" w:color="auto"/>
            </w:tcBorders>
            <w:tcMar>
              <w:top w:w="90" w:type="dxa"/>
              <w:left w:w="150" w:type="dxa"/>
              <w:bottom w:w="90" w:type="dxa"/>
              <w:right w:w="150" w:type="dxa"/>
            </w:tcMar>
            <w:hideMark/>
          </w:tcPr>
          <w:p w14:paraId="452B1EEA"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0.298</w:t>
            </w:r>
          </w:p>
        </w:tc>
        <w:tc>
          <w:tcPr>
            <w:tcW w:w="485" w:type="pct"/>
            <w:tcBorders>
              <w:top w:val="nil"/>
              <w:left w:val="nil"/>
              <w:bottom w:val="single" w:sz="8" w:space="0" w:color="auto"/>
              <w:right w:val="single" w:sz="8" w:space="0" w:color="auto"/>
            </w:tcBorders>
            <w:tcMar>
              <w:top w:w="90" w:type="dxa"/>
              <w:left w:w="150" w:type="dxa"/>
              <w:bottom w:w="90" w:type="dxa"/>
              <w:right w:w="150" w:type="dxa"/>
            </w:tcMar>
            <w:hideMark/>
          </w:tcPr>
          <w:p w14:paraId="224DD652"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0.227</w:t>
            </w:r>
          </w:p>
        </w:tc>
        <w:tc>
          <w:tcPr>
            <w:tcW w:w="597" w:type="pct"/>
            <w:tcBorders>
              <w:top w:val="nil"/>
              <w:left w:val="nil"/>
              <w:bottom w:val="single" w:sz="8" w:space="0" w:color="auto"/>
              <w:right w:val="single" w:sz="8" w:space="0" w:color="auto"/>
            </w:tcBorders>
            <w:tcMar>
              <w:top w:w="90" w:type="dxa"/>
              <w:left w:w="150" w:type="dxa"/>
              <w:bottom w:w="90" w:type="dxa"/>
              <w:right w:w="150" w:type="dxa"/>
            </w:tcMar>
            <w:hideMark/>
          </w:tcPr>
          <w:p w14:paraId="1F23BD11"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1.315</w:t>
            </w:r>
          </w:p>
        </w:tc>
        <w:tc>
          <w:tcPr>
            <w:tcW w:w="608" w:type="pct"/>
            <w:tcBorders>
              <w:top w:val="nil"/>
              <w:left w:val="nil"/>
              <w:bottom w:val="single" w:sz="8" w:space="0" w:color="auto"/>
              <w:right w:val="single" w:sz="8" w:space="0" w:color="auto"/>
            </w:tcBorders>
            <w:tcMar>
              <w:top w:w="90" w:type="dxa"/>
              <w:left w:w="150" w:type="dxa"/>
              <w:bottom w:w="90" w:type="dxa"/>
              <w:right w:w="150" w:type="dxa"/>
            </w:tcMar>
            <w:hideMark/>
          </w:tcPr>
          <w:p w14:paraId="3918EE46"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0.414</w:t>
            </w:r>
          </w:p>
        </w:tc>
        <w:tc>
          <w:tcPr>
            <w:tcW w:w="757" w:type="pct"/>
            <w:tcBorders>
              <w:top w:val="nil"/>
              <w:left w:val="nil"/>
              <w:bottom w:val="single" w:sz="8" w:space="0" w:color="auto"/>
              <w:right w:val="single" w:sz="8" w:space="0" w:color="auto"/>
            </w:tcBorders>
            <w:tcMar>
              <w:top w:w="90" w:type="dxa"/>
              <w:left w:w="150" w:type="dxa"/>
              <w:bottom w:w="90" w:type="dxa"/>
              <w:right w:w="150" w:type="dxa"/>
            </w:tcMar>
            <w:hideMark/>
          </w:tcPr>
          <w:p w14:paraId="0C79B6A5" w14:textId="77777777" w:rsidR="004D7AB9" w:rsidRPr="000C4F49" w:rsidRDefault="004D7AB9" w:rsidP="00395ED6">
            <w:pPr>
              <w:jc w:val="both"/>
              <w:rPr>
                <w:rFonts w:ascii="Times New Roman" w:hAnsi="Times New Roman" w:cs="Times New Roman"/>
              </w:rPr>
            </w:pPr>
            <w:r w:rsidRPr="000C4F49">
              <w:rPr>
                <w:rFonts w:ascii="Times New Roman" w:hAnsi="Times New Roman" w:cs="Times New Roman"/>
              </w:rPr>
              <w:t>No</w:t>
            </w:r>
          </w:p>
        </w:tc>
      </w:tr>
    </w:tbl>
    <w:p w14:paraId="5B4C0E9A" w14:textId="77777777" w:rsidR="004D7AB9" w:rsidRDefault="004D7AB9" w:rsidP="004D7AB9">
      <w:pPr>
        <w:spacing w:after="0" w:line="360" w:lineRule="auto"/>
        <w:jc w:val="center"/>
        <w:rPr>
          <w:rFonts w:ascii="Times New Roman" w:hAnsi="Times New Roman" w:cs="Times New Roman"/>
          <w:sz w:val="20"/>
          <w:szCs w:val="20"/>
        </w:rPr>
      </w:pPr>
    </w:p>
    <w:p w14:paraId="5855EC6D" w14:textId="77777777" w:rsidR="00F502BA" w:rsidRDefault="00F502BA" w:rsidP="00440788">
      <w:pPr>
        <w:spacing w:after="0" w:line="360" w:lineRule="auto"/>
        <w:jc w:val="both"/>
        <w:rPr>
          <w:rFonts w:ascii="Times New Roman" w:hAnsi="Times New Roman" w:cs="Times New Roman"/>
          <w:sz w:val="20"/>
          <w:szCs w:val="20"/>
        </w:rPr>
      </w:pPr>
    </w:p>
    <w:p w14:paraId="2B9CF43F" w14:textId="77777777" w:rsidR="00F502BA" w:rsidRDefault="00F502BA" w:rsidP="00440788">
      <w:pPr>
        <w:spacing w:after="0" w:line="360" w:lineRule="auto"/>
        <w:jc w:val="both"/>
        <w:rPr>
          <w:rFonts w:ascii="Times New Roman" w:hAnsi="Times New Roman" w:cs="Times New Roman"/>
          <w:sz w:val="20"/>
          <w:szCs w:val="20"/>
        </w:rPr>
      </w:pPr>
    </w:p>
    <w:p w14:paraId="66C91EDA" w14:textId="6C33F912" w:rsidR="00F502BA" w:rsidRDefault="004D7AB9" w:rsidP="004D7AB9">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drawing>
          <wp:inline distT="0" distB="0" distL="0" distR="0" wp14:anchorId="20E717DC" wp14:editId="51EDE222">
            <wp:extent cx="5943600" cy="2160270"/>
            <wp:effectExtent l="0" t="0" r="0" b="0"/>
            <wp:docPr id="136978853" name="Picture 21" descr="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Fig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160270"/>
                    </a:xfrm>
                    <a:prstGeom prst="rect">
                      <a:avLst/>
                    </a:prstGeom>
                    <a:noFill/>
                    <a:ln>
                      <a:noFill/>
                    </a:ln>
                  </pic:spPr>
                </pic:pic>
              </a:graphicData>
            </a:graphic>
          </wp:inline>
        </w:drawing>
      </w:r>
    </w:p>
    <w:p w14:paraId="2CD1FDB7" w14:textId="7AD1F949" w:rsidR="004D7AB9" w:rsidRDefault="004D7AB9" w:rsidP="004D7AB9">
      <w:pPr>
        <w:spacing w:after="0" w:line="360" w:lineRule="auto"/>
        <w:jc w:val="center"/>
        <w:rPr>
          <w:rFonts w:ascii="Times New Roman" w:hAnsi="Times New Roman" w:cs="Times New Roman"/>
          <w:sz w:val="20"/>
          <w:szCs w:val="20"/>
        </w:rPr>
      </w:pPr>
      <w:r w:rsidRPr="004D7AB9">
        <w:rPr>
          <w:rFonts w:ascii="Times New Roman" w:hAnsi="Times New Roman" w:cs="Times New Roman"/>
          <w:b/>
          <w:bCs/>
          <w:color w:val="0070C0"/>
          <w:sz w:val="20"/>
          <w:szCs w:val="20"/>
        </w:rPr>
        <w:t>Figure 7:</w:t>
      </w:r>
      <w:r w:rsidRPr="004D7AB9">
        <w:rPr>
          <w:rFonts w:ascii="Times New Roman" w:hAnsi="Times New Roman" w:cs="Times New Roman"/>
          <w:sz w:val="20"/>
          <w:szCs w:val="20"/>
        </w:rPr>
        <w:t xml:space="preserve"> Funnel plot assessing publication bias for all-cause mortality</w:t>
      </w:r>
      <w:r>
        <w:rPr>
          <w:rFonts w:ascii="Times New Roman" w:hAnsi="Times New Roman" w:cs="Times New Roman"/>
          <w:sz w:val="20"/>
          <w:szCs w:val="20"/>
        </w:rPr>
        <w:t>.</w:t>
      </w:r>
    </w:p>
    <w:p w14:paraId="385ABC57" w14:textId="77777777" w:rsidR="004D7AB9" w:rsidRDefault="004D7AB9" w:rsidP="004D7AB9">
      <w:pPr>
        <w:spacing w:after="0" w:line="360" w:lineRule="auto"/>
        <w:jc w:val="center"/>
        <w:rPr>
          <w:rFonts w:ascii="Times New Roman" w:hAnsi="Times New Roman" w:cs="Times New Roman"/>
          <w:sz w:val="20"/>
          <w:szCs w:val="20"/>
        </w:rPr>
      </w:pPr>
    </w:p>
    <w:p w14:paraId="4AF91D52" w14:textId="6B764E2E" w:rsidR="004D7AB9" w:rsidRDefault="004D7AB9" w:rsidP="004D7AB9">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lastRenderedPageBreak/>
        <w:drawing>
          <wp:inline distT="0" distB="0" distL="0" distR="0" wp14:anchorId="34A22E07" wp14:editId="04702BCD">
            <wp:extent cx="5943600" cy="2160270"/>
            <wp:effectExtent l="0" t="0" r="0" b="0"/>
            <wp:docPr id="1129617243" name="Picture 20" descr="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Fig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2160270"/>
                    </a:xfrm>
                    <a:prstGeom prst="rect">
                      <a:avLst/>
                    </a:prstGeom>
                    <a:noFill/>
                    <a:ln>
                      <a:noFill/>
                    </a:ln>
                  </pic:spPr>
                </pic:pic>
              </a:graphicData>
            </a:graphic>
          </wp:inline>
        </w:drawing>
      </w:r>
    </w:p>
    <w:p w14:paraId="4D84541F" w14:textId="581D1746" w:rsidR="004D7AB9" w:rsidRDefault="004D7AB9" w:rsidP="004D7AB9">
      <w:pPr>
        <w:spacing w:after="0" w:line="360" w:lineRule="auto"/>
        <w:jc w:val="center"/>
        <w:rPr>
          <w:rFonts w:ascii="Times New Roman" w:hAnsi="Times New Roman" w:cs="Times New Roman"/>
          <w:sz w:val="20"/>
          <w:szCs w:val="20"/>
        </w:rPr>
      </w:pPr>
      <w:r w:rsidRPr="004D7AB9">
        <w:rPr>
          <w:rFonts w:ascii="Times New Roman" w:hAnsi="Times New Roman" w:cs="Times New Roman"/>
          <w:b/>
          <w:bCs/>
          <w:color w:val="0070C0"/>
          <w:sz w:val="20"/>
          <w:szCs w:val="20"/>
        </w:rPr>
        <w:t>Figure 8:</w:t>
      </w:r>
      <w:r w:rsidRPr="004D7AB9">
        <w:rPr>
          <w:rFonts w:ascii="Times New Roman" w:hAnsi="Times New Roman" w:cs="Times New Roman"/>
          <w:sz w:val="20"/>
          <w:szCs w:val="20"/>
        </w:rPr>
        <w:t xml:space="preserve"> Funnel plot: Cardiovascular mortality.</w:t>
      </w:r>
    </w:p>
    <w:p w14:paraId="3AEEF702" w14:textId="77777777" w:rsidR="004D7AB9" w:rsidRDefault="004D7AB9" w:rsidP="004D7AB9">
      <w:pPr>
        <w:spacing w:after="0" w:line="360" w:lineRule="auto"/>
        <w:jc w:val="center"/>
        <w:rPr>
          <w:rFonts w:ascii="Times New Roman" w:hAnsi="Times New Roman" w:cs="Times New Roman"/>
          <w:sz w:val="20"/>
          <w:szCs w:val="20"/>
        </w:rPr>
      </w:pPr>
    </w:p>
    <w:p w14:paraId="5ADC2820" w14:textId="77777777" w:rsidR="004D7AB9" w:rsidRDefault="004D7AB9" w:rsidP="004D7AB9">
      <w:pPr>
        <w:spacing w:after="0" w:line="360" w:lineRule="auto"/>
        <w:jc w:val="center"/>
        <w:rPr>
          <w:rFonts w:ascii="Times New Roman" w:hAnsi="Times New Roman" w:cs="Times New Roman"/>
          <w:sz w:val="20"/>
          <w:szCs w:val="20"/>
        </w:rPr>
      </w:pPr>
    </w:p>
    <w:p w14:paraId="4A995B2C" w14:textId="52585E98" w:rsidR="004D7AB9" w:rsidRDefault="004D7AB9" w:rsidP="004D7AB9">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drawing>
          <wp:inline distT="0" distB="0" distL="0" distR="0" wp14:anchorId="2331D6F2" wp14:editId="4E8F2BBD">
            <wp:extent cx="5943600" cy="2160270"/>
            <wp:effectExtent l="0" t="0" r="0" b="0"/>
            <wp:docPr id="498490460" name="Picture 19" descr="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Fig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160270"/>
                    </a:xfrm>
                    <a:prstGeom prst="rect">
                      <a:avLst/>
                    </a:prstGeom>
                    <a:noFill/>
                    <a:ln>
                      <a:noFill/>
                    </a:ln>
                  </pic:spPr>
                </pic:pic>
              </a:graphicData>
            </a:graphic>
          </wp:inline>
        </w:drawing>
      </w:r>
    </w:p>
    <w:p w14:paraId="0D3D4E3C" w14:textId="5F5F11EF" w:rsidR="004D7AB9" w:rsidRDefault="004D7AB9" w:rsidP="004D7AB9">
      <w:pPr>
        <w:spacing w:after="0" w:line="360" w:lineRule="auto"/>
        <w:jc w:val="center"/>
        <w:rPr>
          <w:rFonts w:ascii="Times New Roman" w:hAnsi="Times New Roman" w:cs="Times New Roman"/>
          <w:sz w:val="20"/>
          <w:szCs w:val="20"/>
        </w:rPr>
      </w:pPr>
      <w:r w:rsidRPr="004D7AB9">
        <w:rPr>
          <w:rFonts w:ascii="Times New Roman" w:hAnsi="Times New Roman" w:cs="Times New Roman"/>
          <w:b/>
          <w:bCs/>
          <w:color w:val="0070C0"/>
          <w:sz w:val="20"/>
          <w:szCs w:val="20"/>
        </w:rPr>
        <w:t>Figure 9:</w:t>
      </w:r>
      <w:r w:rsidRPr="004D7AB9">
        <w:rPr>
          <w:rFonts w:ascii="Times New Roman" w:hAnsi="Times New Roman" w:cs="Times New Roman"/>
          <w:sz w:val="20"/>
          <w:szCs w:val="20"/>
        </w:rPr>
        <w:t xml:space="preserve"> Funnel plot: MACE.</w:t>
      </w:r>
    </w:p>
    <w:p w14:paraId="7835646A" w14:textId="77777777" w:rsidR="004D7AB9" w:rsidRDefault="004D7AB9" w:rsidP="004D7AB9">
      <w:pPr>
        <w:spacing w:after="0" w:line="360" w:lineRule="auto"/>
        <w:jc w:val="center"/>
        <w:rPr>
          <w:rFonts w:ascii="Times New Roman" w:hAnsi="Times New Roman" w:cs="Times New Roman"/>
          <w:sz w:val="20"/>
          <w:szCs w:val="20"/>
        </w:rPr>
      </w:pPr>
    </w:p>
    <w:p w14:paraId="256DA740" w14:textId="77777777" w:rsidR="004D7AB9" w:rsidRDefault="004D7AB9" w:rsidP="004D7AB9">
      <w:pPr>
        <w:spacing w:after="0" w:line="360" w:lineRule="auto"/>
        <w:jc w:val="center"/>
        <w:rPr>
          <w:rFonts w:ascii="Times New Roman" w:hAnsi="Times New Roman" w:cs="Times New Roman"/>
          <w:sz w:val="20"/>
          <w:szCs w:val="20"/>
        </w:rPr>
      </w:pPr>
    </w:p>
    <w:p w14:paraId="347231C8" w14:textId="77777777" w:rsidR="004D7AB9" w:rsidRDefault="004D7AB9" w:rsidP="004D7AB9">
      <w:pPr>
        <w:spacing w:after="0" w:line="360" w:lineRule="auto"/>
        <w:jc w:val="center"/>
        <w:rPr>
          <w:rFonts w:ascii="Times New Roman" w:hAnsi="Times New Roman" w:cs="Times New Roman"/>
          <w:sz w:val="20"/>
          <w:szCs w:val="20"/>
        </w:rPr>
      </w:pPr>
    </w:p>
    <w:p w14:paraId="5E67E8DF" w14:textId="535DADBE" w:rsidR="004D7AB9" w:rsidRDefault="004D7AB9" w:rsidP="004D7AB9">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drawing>
          <wp:inline distT="0" distB="0" distL="0" distR="0" wp14:anchorId="4BDF4018" wp14:editId="5627C32E">
            <wp:extent cx="5943600" cy="2160270"/>
            <wp:effectExtent l="0" t="0" r="0" b="0"/>
            <wp:docPr id="33431316" name="Picture 18" descr="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Fig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2160270"/>
                    </a:xfrm>
                    <a:prstGeom prst="rect">
                      <a:avLst/>
                    </a:prstGeom>
                    <a:noFill/>
                    <a:ln>
                      <a:noFill/>
                    </a:ln>
                  </pic:spPr>
                </pic:pic>
              </a:graphicData>
            </a:graphic>
          </wp:inline>
        </w:drawing>
      </w:r>
    </w:p>
    <w:p w14:paraId="5E1B4399" w14:textId="4DBB6088" w:rsidR="004D7AB9" w:rsidRDefault="004D7AB9" w:rsidP="004D7AB9">
      <w:pPr>
        <w:spacing w:after="0" w:line="360" w:lineRule="auto"/>
        <w:jc w:val="center"/>
        <w:rPr>
          <w:rFonts w:ascii="Times New Roman" w:hAnsi="Times New Roman" w:cs="Times New Roman"/>
          <w:sz w:val="20"/>
          <w:szCs w:val="20"/>
        </w:rPr>
      </w:pPr>
      <w:r w:rsidRPr="004D7AB9">
        <w:rPr>
          <w:rFonts w:ascii="Times New Roman" w:hAnsi="Times New Roman" w:cs="Times New Roman"/>
          <w:b/>
          <w:bCs/>
          <w:color w:val="0070C0"/>
          <w:sz w:val="20"/>
          <w:szCs w:val="20"/>
        </w:rPr>
        <w:t>Figure 10:</w:t>
      </w:r>
      <w:r w:rsidRPr="004D7AB9">
        <w:rPr>
          <w:rFonts w:ascii="Times New Roman" w:hAnsi="Times New Roman" w:cs="Times New Roman"/>
          <w:sz w:val="20"/>
          <w:szCs w:val="20"/>
        </w:rPr>
        <w:t xml:space="preserve"> Funnel plot: Reinfarction.</w:t>
      </w:r>
    </w:p>
    <w:p w14:paraId="4E6C7E0B" w14:textId="275301ED" w:rsidR="00F502BA" w:rsidRDefault="004D7AB9" w:rsidP="004D7AB9">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lastRenderedPageBreak/>
        <w:drawing>
          <wp:inline distT="0" distB="0" distL="0" distR="0" wp14:anchorId="367DAC67" wp14:editId="775A9396">
            <wp:extent cx="5943600" cy="2160270"/>
            <wp:effectExtent l="0" t="0" r="0" b="0"/>
            <wp:docPr id="2031714662" name="Picture 17" descr="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Fig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2160270"/>
                    </a:xfrm>
                    <a:prstGeom prst="rect">
                      <a:avLst/>
                    </a:prstGeom>
                    <a:noFill/>
                    <a:ln>
                      <a:noFill/>
                    </a:ln>
                  </pic:spPr>
                </pic:pic>
              </a:graphicData>
            </a:graphic>
          </wp:inline>
        </w:drawing>
      </w:r>
    </w:p>
    <w:p w14:paraId="7D2CF703" w14:textId="6739D3DB" w:rsidR="004D7AB9" w:rsidRDefault="004D7AB9" w:rsidP="004D7AB9">
      <w:pPr>
        <w:spacing w:after="0" w:line="360" w:lineRule="auto"/>
        <w:jc w:val="center"/>
        <w:rPr>
          <w:rFonts w:ascii="Times New Roman" w:hAnsi="Times New Roman" w:cs="Times New Roman"/>
          <w:sz w:val="20"/>
          <w:szCs w:val="20"/>
        </w:rPr>
      </w:pPr>
      <w:r w:rsidRPr="004D7AB9">
        <w:rPr>
          <w:rFonts w:ascii="Times New Roman" w:hAnsi="Times New Roman" w:cs="Times New Roman"/>
          <w:b/>
          <w:bCs/>
          <w:color w:val="0070C0"/>
          <w:sz w:val="20"/>
          <w:szCs w:val="20"/>
        </w:rPr>
        <w:t>Figure 11:</w:t>
      </w:r>
      <w:r w:rsidRPr="004D7AB9">
        <w:rPr>
          <w:rFonts w:ascii="Times New Roman" w:hAnsi="Times New Roman" w:cs="Times New Roman"/>
          <w:sz w:val="20"/>
          <w:szCs w:val="20"/>
        </w:rPr>
        <w:t xml:space="preserve"> Funnel plot: HF hospitalization.</w:t>
      </w:r>
    </w:p>
    <w:p w14:paraId="71368BB1" w14:textId="77777777" w:rsidR="004D7AB9" w:rsidRDefault="004D7AB9" w:rsidP="004D7AB9">
      <w:pPr>
        <w:spacing w:after="0" w:line="360" w:lineRule="auto"/>
        <w:jc w:val="center"/>
        <w:rPr>
          <w:rFonts w:ascii="Times New Roman" w:hAnsi="Times New Roman" w:cs="Times New Roman"/>
          <w:sz w:val="20"/>
          <w:szCs w:val="20"/>
        </w:rPr>
      </w:pPr>
    </w:p>
    <w:p w14:paraId="319BB12A" w14:textId="77777777" w:rsidR="004D7AB9" w:rsidRDefault="004D7AB9" w:rsidP="004D7AB9">
      <w:pPr>
        <w:spacing w:after="0" w:line="360" w:lineRule="auto"/>
        <w:jc w:val="center"/>
        <w:rPr>
          <w:rFonts w:ascii="Times New Roman" w:hAnsi="Times New Roman" w:cs="Times New Roman"/>
          <w:sz w:val="20"/>
          <w:szCs w:val="20"/>
        </w:rPr>
      </w:pPr>
    </w:p>
    <w:p w14:paraId="39A23AF5" w14:textId="55875B0A" w:rsidR="004D7AB9" w:rsidRDefault="004D7AB9" w:rsidP="004D7AB9">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drawing>
          <wp:inline distT="0" distB="0" distL="0" distR="0" wp14:anchorId="44BC7E33" wp14:editId="49ED2E1C">
            <wp:extent cx="5943600" cy="2160270"/>
            <wp:effectExtent l="0" t="0" r="0" b="0"/>
            <wp:docPr id="1966495332" name="Picture 16" descr="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Fig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160270"/>
                    </a:xfrm>
                    <a:prstGeom prst="rect">
                      <a:avLst/>
                    </a:prstGeom>
                    <a:noFill/>
                    <a:ln>
                      <a:noFill/>
                    </a:ln>
                  </pic:spPr>
                </pic:pic>
              </a:graphicData>
            </a:graphic>
          </wp:inline>
        </w:drawing>
      </w:r>
    </w:p>
    <w:p w14:paraId="70835B44" w14:textId="1A31229C" w:rsidR="004D7AB9" w:rsidRDefault="004D7AB9" w:rsidP="004D7AB9">
      <w:pPr>
        <w:spacing w:after="0" w:line="360" w:lineRule="auto"/>
        <w:jc w:val="center"/>
        <w:rPr>
          <w:rFonts w:ascii="Times New Roman" w:hAnsi="Times New Roman" w:cs="Times New Roman"/>
          <w:sz w:val="20"/>
          <w:szCs w:val="20"/>
        </w:rPr>
      </w:pPr>
      <w:r w:rsidRPr="004D7AB9">
        <w:rPr>
          <w:rFonts w:ascii="Times New Roman" w:hAnsi="Times New Roman" w:cs="Times New Roman"/>
          <w:b/>
          <w:bCs/>
          <w:color w:val="0070C0"/>
          <w:sz w:val="20"/>
          <w:szCs w:val="20"/>
        </w:rPr>
        <w:t>Figure 12:</w:t>
      </w:r>
      <w:r w:rsidRPr="004D7AB9">
        <w:rPr>
          <w:rFonts w:ascii="Times New Roman" w:hAnsi="Times New Roman" w:cs="Times New Roman"/>
          <w:sz w:val="20"/>
          <w:szCs w:val="20"/>
        </w:rPr>
        <w:t xml:space="preserve"> Funnel plot: Stroke.</w:t>
      </w:r>
    </w:p>
    <w:p w14:paraId="074F13EB" w14:textId="77777777" w:rsidR="004D7AB9" w:rsidRDefault="004D7AB9" w:rsidP="004D7AB9">
      <w:pPr>
        <w:spacing w:after="0" w:line="360" w:lineRule="auto"/>
        <w:jc w:val="center"/>
        <w:rPr>
          <w:rFonts w:ascii="Times New Roman" w:hAnsi="Times New Roman" w:cs="Times New Roman"/>
          <w:sz w:val="20"/>
          <w:szCs w:val="20"/>
        </w:rPr>
      </w:pPr>
    </w:p>
    <w:p w14:paraId="658D8B0F" w14:textId="77777777" w:rsidR="004D7AB9" w:rsidRDefault="004D7AB9" w:rsidP="004D7AB9">
      <w:pPr>
        <w:spacing w:after="0" w:line="360" w:lineRule="auto"/>
        <w:jc w:val="center"/>
        <w:rPr>
          <w:rFonts w:ascii="Times New Roman" w:hAnsi="Times New Roman" w:cs="Times New Roman"/>
          <w:sz w:val="20"/>
          <w:szCs w:val="20"/>
        </w:rPr>
      </w:pPr>
    </w:p>
    <w:p w14:paraId="096A7DD9"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3.11 Risk of Bias Assessment</w:t>
      </w:r>
    </w:p>
    <w:p w14:paraId="21FEF309" w14:textId="556AB264" w:rsid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 xml:space="preserve">The quality and risk of bias across all eleven included studies is summarized in Figure 13. Both RCTs (REDUCE-AMI [11] and ABYSS [12]) were rated low overall risk using Cochrane </w:t>
      </w:r>
      <w:proofErr w:type="spellStart"/>
      <w:r w:rsidRPr="004D7AB9">
        <w:rPr>
          <w:rFonts w:ascii="Times New Roman" w:hAnsi="Times New Roman" w:cs="Times New Roman"/>
          <w:sz w:val="20"/>
          <w:szCs w:val="20"/>
        </w:rPr>
        <w:t>RoB</w:t>
      </w:r>
      <w:proofErr w:type="spellEnd"/>
      <w:r w:rsidRPr="004D7AB9">
        <w:rPr>
          <w:rFonts w:ascii="Times New Roman" w:hAnsi="Times New Roman" w:cs="Times New Roman"/>
          <w:sz w:val="20"/>
          <w:szCs w:val="20"/>
        </w:rPr>
        <w:t xml:space="preserve"> 2 [7]. Seven of nine observational studies achieved NOS scores of 7–9/9 (low risk) [6]. Choo et al. [29] and Siu et al. [34] received NOS scores of 6/9 (moderate risk) due to inadequate control for confounders (comparability domain C2). Overall, 9/11 studies (81.8%) were at low risk of bias.</w:t>
      </w:r>
    </w:p>
    <w:p w14:paraId="451B2D6E" w14:textId="77777777" w:rsidR="00F502BA" w:rsidRDefault="00F502BA" w:rsidP="00440788">
      <w:pPr>
        <w:spacing w:after="0" w:line="360" w:lineRule="auto"/>
        <w:jc w:val="both"/>
        <w:rPr>
          <w:rFonts w:ascii="Times New Roman" w:hAnsi="Times New Roman" w:cs="Times New Roman"/>
          <w:sz w:val="20"/>
          <w:szCs w:val="20"/>
        </w:rPr>
      </w:pPr>
    </w:p>
    <w:p w14:paraId="3614B3BB" w14:textId="7B946CEA" w:rsidR="00F502BA" w:rsidRDefault="004D7AB9" w:rsidP="004D7AB9">
      <w:pPr>
        <w:spacing w:after="0" w:line="360" w:lineRule="auto"/>
        <w:jc w:val="center"/>
        <w:rPr>
          <w:rFonts w:ascii="Times New Roman" w:hAnsi="Times New Roman" w:cs="Times New Roman"/>
          <w:sz w:val="20"/>
          <w:szCs w:val="20"/>
        </w:rPr>
      </w:pPr>
      <w:r w:rsidRPr="000C4F49">
        <w:rPr>
          <w:rFonts w:ascii="Times New Roman" w:hAnsi="Times New Roman" w:cs="Times New Roman"/>
          <w:noProof/>
        </w:rPr>
        <w:lastRenderedPageBreak/>
        <w:drawing>
          <wp:inline distT="0" distB="0" distL="0" distR="0" wp14:anchorId="08234F3D" wp14:editId="74A3DE5D">
            <wp:extent cx="5943600" cy="2156460"/>
            <wp:effectExtent l="0" t="0" r="0" b="0"/>
            <wp:docPr id="2053499526" name="Picture 14" descr="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Fig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2156460"/>
                    </a:xfrm>
                    <a:prstGeom prst="rect">
                      <a:avLst/>
                    </a:prstGeom>
                    <a:noFill/>
                    <a:ln>
                      <a:noFill/>
                    </a:ln>
                  </pic:spPr>
                </pic:pic>
              </a:graphicData>
            </a:graphic>
          </wp:inline>
        </w:drawing>
      </w:r>
    </w:p>
    <w:p w14:paraId="20F72B6C" w14:textId="77777777" w:rsidR="004D7AB9" w:rsidRDefault="004D7AB9" w:rsidP="004D7AB9">
      <w:pPr>
        <w:spacing w:after="0" w:line="360" w:lineRule="auto"/>
        <w:jc w:val="center"/>
        <w:rPr>
          <w:rFonts w:ascii="Times New Roman" w:hAnsi="Times New Roman" w:cs="Times New Roman"/>
          <w:sz w:val="20"/>
          <w:szCs w:val="20"/>
        </w:rPr>
      </w:pPr>
    </w:p>
    <w:p w14:paraId="30C28C20" w14:textId="49B7BAFB" w:rsidR="004D7AB9" w:rsidRDefault="004D7AB9" w:rsidP="004D7AB9">
      <w:pPr>
        <w:spacing w:after="0" w:line="360" w:lineRule="auto"/>
        <w:jc w:val="center"/>
        <w:rPr>
          <w:rFonts w:ascii="Times New Roman" w:hAnsi="Times New Roman" w:cs="Times New Roman"/>
          <w:sz w:val="20"/>
          <w:szCs w:val="20"/>
        </w:rPr>
      </w:pPr>
      <w:r w:rsidRPr="004D7AB9">
        <w:rPr>
          <w:rFonts w:ascii="Times New Roman" w:hAnsi="Times New Roman" w:cs="Times New Roman"/>
          <w:b/>
          <w:bCs/>
          <w:color w:val="0070C0"/>
          <w:sz w:val="20"/>
          <w:szCs w:val="20"/>
        </w:rPr>
        <w:t>Figure 13:</w:t>
      </w:r>
      <w:r w:rsidRPr="004D7AB9">
        <w:rPr>
          <w:rFonts w:ascii="Times New Roman" w:hAnsi="Times New Roman" w:cs="Times New Roman"/>
          <w:sz w:val="20"/>
          <w:szCs w:val="20"/>
        </w:rPr>
        <w:t xml:space="preserve"> Risk of Bias Summary Table for all eleven included studies. Green circles (</w:t>
      </w:r>
      <w:r w:rsidRPr="004D7AB9">
        <w:rPr>
          <w:rFonts w:ascii="Segoe UI Symbol" w:hAnsi="Segoe UI Symbol" w:cs="Segoe UI Symbol"/>
          <w:sz w:val="20"/>
          <w:szCs w:val="20"/>
        </w:rPr>
        <w:t>✓</w:t>
      </w:r>
      <w:r w:rsidRPr="004D7AB9">
        <w:rPr>
          <w:rFonts w:ascii="Times New Roman" w:hAnsi="Times New Roman" w:cs="Times New Roman"/>
          <w:sz w:val="20"/>
          <w:szCs w:val="20"/>
        </w:rPr>
        <w:t xml:space="preserve">) = low risk; yellow circles (~) = moderate risk; red circles (×) = high risk. Observational studies assessed using </w:t>
      </w:r>
      <w:r w:rsidR="008503AF">
        <w:rPr>
          <w:rFonts w:ascii="Times New Roman" w:hAnsi="Times New Roman" w:cs="Times New Roman"/>
          <w:sz w:val="20"/>
          <w:szCs w:val="20"/>
        </w:rPr>
        <w:t xml:space="preserve">the </w:t>
      </w:r>
      <w:r w:rsidRPr="004D7AB9">
        <w:rPr>
          <w:rFonts w:ascii="Times New Roman" w:hAnsi="Times New Roman" w:cs="Times New Roman"/>
          <w:sz w:val="20"/>
          <w:szCs w:val="20"/>
        </w:rPr>
        <w:t>Newcastle-Ottawa Scale (NOS); RCTs assessed using Cochrane R</w:t>
      </w:r>
      <w:r>
        <w:rPr>
          <w:rFonts w:ascii="Times New Roman" w:hAnsi="Times New Roman" w:cs="Times New Roman"/>
          <w:sz w:val="20"/>
          <w:szCs w:val="20"/>
        </w:rPr>
        <w:t>.</w:t>
      </w:r>
    </w:p>
    <w:p w14:paraId="4209D11B" w14:textId="77777777" w:rsidR="004D7AB9" w:rsidRDefault="004D7AB9" w:rsidP="004D7AB9">
      <w:pPr>
        <w:spacing w:after="0" w:line="360" w:lineRule="auto"/>
        <w:jc w:val="center"/>
        <w:rPr>
          <w:rFonts w:ascii="Times New Roman" w:hAnsi="Times New Roman" w:cs="Times New Roman"/>
          <w:sz w:val="20"/>
          <w:szCs w:val="20"/>
        </w:rPr>
      </w:pPr>
    </w:p>
    <w:p w14:paraId="7A37BCC0" w14:textId="77777777" w:rsidR="004D7AB9" w:rsidRDefault="004D7AB9" w:rsidP="004D7AB9">
      <w:pPr>
        <w:spacing w:after="0" w:line="360" w:lineRule="auto"/>
        <w:jc w:val="center"/>
        <w:rPr>
          <w:rFonts w:ascii="Times New Roman" w:hAnsi="Times New Roman" w:cs="Times New Roman"/>
          <w:sz w:val="20"/>
          <w:szCs w:val="20"/>
        </w:rPr>
      </w:pPr>
    </w:p>
    <w:p w14:paraId="77D787A4" w14:textId="77777777" w:rsidR="004D7AB9" w:rsidRPr="004D7AB9" w:rsidRDefault="004D7AB9" w:rsidP="004D7AB9">
      <w:pPr>
        <w:spacing w:after="0" w:line="360" w:lineRule="auto"/>
        <w:jc w:val="both"/>
        <w:rPr>
          <w:rFonts w:ascii="Times New Roman" w:hAnsi="Times New Roman" w:cs="Times New Roman"/>
          <w:b/>
          <w:bCs/>
          <w:color w:val="0070C0"/>
        </w:rPr>
      </w:pPr>
      <w:r w:rsidRPr="004D7AB9">
        <w:rPr>
          <w:rFonts w:ascii="Times New Roman" w:hAnsi="Times New Roman" w:cs="Times New Roman"/>
          <w:b/>
          <w:bCs/>
          <w:color w:val="0070C0"/>
        </w:rPr>
        <w:t>4. Discussion</w:t>
      </w:r>
    </w:p>
    <w:p w14:paraId="227B8B60"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4.1 Principal Findings</w:t>
      </w:r>
    </w:p>
    <w:p w14:paraId="789EB1D2"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This systematic review and meta-analysis of eleven studies (</w:t>
      </w:r>
      <w:r w:rsidRPr="004D7AB9">
        <w:rPr>
          <w:rFonts w:ascii="Cambria Math" w:hAnsi="Cambria Math" w:cs="Cambria Math"/>
          <w:sz w:val="20"/>
          <w:szCs w:val="20"/>
        </w:rPr>
        <w:t>∼</w:t>
      </w:r>
      <w:r w:rsidRPr="004D7AB9">
        <w:rPr>
          <w:rFonts w:ascii="Times New Roman" w:hAnsi="Times New Roman" w:cs="Times New Roman"/>
          <w:sz w:val="20"/>
          <w:szCs w:val="20"/>
        </w:rPr>
        <w:t>43,000 patients) found that beta-blocker therapy was associated with a statistically significant reduction in all-cause mortality (HR 0.81, 95% CI 0.67–0.98, p=0.032). However, no significant benefit was observed for CV mortality, MACE, reinfarction, or HF hospitalization [8,10].</w:t>
      </w:r>
    </w:p>
    <w:p w14:paraId="7B18BE38"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4.2 All-cause Mortality</w:t>
      </w:r>
    </w:p>
    <w:p w14:paraId="7F467123"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The 19% reduction in all-cause mortality must be interpreted cautiously given the high heterogeneity (I²=66.6%) and significant publication bias (p&lt;0.001) [9,10]. Both REDUCE-AMI [11] and ABYSS [12] individually found no significant mortality benefit, and prior meta-analyses similarly found borderline or no benefit when RCT data were isolated [21,22]. The pooled mortality benefit is likely driven by observational confounding [23].</w:t>
      </w:r>
    </w:p>
    <w:p w14:paraId="4C6F433A"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4.3 Cardiovascular Mortality</w:t>
      </w:r>
    </w:p>
    <w:p w14:paraId="6372D71E"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The non-significant HR for CV mortality (0.83, I²=73.4%) suggests insufficient evidence to conclude that beta-blockers reduce CV-specific mortality in preserved LVEF post-MI patients [3]. Future analyses should separate sudden cardiac death from HF-related death [13].</w:t>
      </w:r>
    </w:p>
    <w:p w14:paraId="47B38BF0"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4.4 MACE</w:t>
      </w:r>
    </w:p>
    <w:p w14:paraId="4E0C618F"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The null MACE finding (HR 0.98) aligns with ABYSS, which reported HR 0.89 (0.77–1.02) [12]. Moderate heterogeneity (I²=53.2%) likely reflects MACE definition differences [4].</w:t>
      </w:r>
    </w:p>
    <w:p w14:paraId="4C078FF4"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4.5 Reinfarction</w:t>
      </w:r>
    </w:p>
    <w:p w14:paraId="592A57C9"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The pooled HR of exactly 1.00 with I²=0.0% provides compelling homogeneous evidence that beta-blockers do not reduce reinfarction risk in this population [18,10].</w:t>
      </w:r>
    </w:p>
    <w:p w14:paraId="4876932F"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4.6 Risk of Bias and Study Quality</w:t>
      </w:r>
    </w:p>
    <w:p w14:paraId="07F951C3"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lastRenderedPageBreak/>
        <w:t xml:space="preserve">The overall methodological quality was satisfactory: 9/11 studies (81.8%) rated low risk of bias (Figure 13). Both RCTs had low risk under Cochrane </w:t>
      </w:r>
      <w:proofErr w:type="spellStart"/>
      <w:r w:rsidRPr="004D7AB9">
        <w:rPr>
          <w:rFonts w:ascii="Times New Roman" w:hAnsi="Times New Roman" w:cs="Times New Roman"/>
          <w:sz w:val="20"/>
          <w:szCs w:val="20"/>
        </w:rPr>
        <w:t>RoB</w:t>
      </w:r>
      <w:proofErr w:type="spellEnd"/>
      <w:r w:rsidRPr="004D7AB9">
        <w:rPr>
          <w:rFonts w:ascii="Times New Roman" w:hAnsi="Times New Roman" w:cs="Times New Roman"/>
          <w:sz w:val="20"/>
          <w:szCs w:val="20"/>
        </w:rPr>
        <w:t xml:space="preserve"> 2 [7]. Choo et al. [29] and Siu et al. [34] had moderate NOS scores (6/9) due to insufficient comparability domain control [6]. Confounding by indication remains an inherent limitation of observational studies in this domain [23,37].</w:t>
      </w:r>
    </w:p>
    <w:p w14:paraId="02C25799"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4.7 Hospitalization for Heart Failure</w:t>
      </w:r>
    </w:p>
    <w:p w14:paraId="74A72D12"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The null HF hospitalization finding (HR 1.05, I²=0.0%) is consistent with the absence of the mechanistic substrate (LV remodeling, systolic dysfunction) that underpins beta-blocker benefit in HFrEF [38,35].</w:t>
      </w:r>
    </w:p>
    <w:p w14:paraId="4C78F6FD"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4.8 Publication Bias</w:t>
      </w:r>
    </w:p>
    <w:p w14:paraId="57A82498"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Significant Egger's test results for all-cause mortality (p&lt;0.001), CV mortality (p=0.002), and reinfarction (p=0.013) represent an important limitation [10]. The two large contemporary RCTs should be weighted most heavily in clinical interpretation [11,12].</w:t>
      </w:r>
    </w:p>
    <w:p w14:paraId="6890CF81"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4.9 Comparison with Existing Literature</w:t>
      </w:r>
    </w:p>
    <w:p w14:paraId="16758479"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Our analysis extends prior meta-analyses [21,22] by including eleven studies (vs. 5–7 previously), incorporating ABYSS, and analyzing five distinct outcomes. A large Swedish registry also found no benefit of beta-blockers on HF outcomes in post-MI patients with preserved LVEF [39].</w:t>
      </w:r>
    </w:p>
    <w:p w14:paraId="3567CC0E"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4.10 Clinical Implications</w:t>
      </w:r>
    </w:p>
    <w:p w14:paraId="6A0C1478"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These findings challenge universal beta-blocker prescribing post-MI regardless of LVEF. Patients with LVEF &lt;40%, ongoing anginal symptoms, arrhythmias, or high adrenergic state may still benefit; those with well-preserved LVEF after successful PPCI may be candidates for beta-blocker avoidance or early discontinuation [17,18]. ESC and ACC/AHA guidelines should be updated to address this patient subgroup explicitly [40].</w:t>
      </w:r>
    </w:p>
    <w:p w14:paraId="6C7A2232" w14:textId="77777777" w:rsidR="004D7AB9" w:rsidRPr="004D7AB9" w:rsidRDefault="004D7AB9" w:rsidP="004D7AB9">
      <w:pPr>
        <w:spacing w:after="0" w:line="360" w:lineRule="auto"/>
        <w:jc w:val="both"/>
        <w:rPr>
          <w:rFonts w:ascii="Times New Roman" w:hAnsi="Times New Roman" w:cs="Times New Roman"/>
          <w:b/>
          <w:bCs/>
          <w:sz w:val="20"/>
          <w:szCs w:val="20"/>
        </w:rPr>
      </w:pPr>
      <w:r w:rsidRPr="004D7AB9">
        <w:rPr>
          <w:rFonts w:ascii="Times New Roman" w:hAnsi="Times New Roman" w:cs="Times New Roman"/>
          <w:b/>
          <w:bCs/>
          <w:sz w:val="20"/>
          <w:szCs w:val="20"/>
        </w:rPr>
        <w:t>4.11 Limitations</w:t>
      </w:r>
    </w:p>
    <w:p w14:paraId="247ED9DE" w14:textId="77777777" w:rsidR="004D7AB9" w:rsidRP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 xml:space="preserve">We examined predominantly observational study designs, with publication bias evident for multiple outcomes and high heterogeneity for mortality outcomes (I2&gt;65%), and found that only three of the studies provided forest plot </w:t>
      </w:r>
      <w:proofErr w:type="spellStart"/>
      <w:r w:rsidRPr="004D7AB9">
        <w:rPr>
          <w:rFonts w:ascii="Times New Roman" w:hAnsi="Times New Roman" w:cs="Times New Roman"/>
          <w:sz w:val="20"/>
          <w:szCs w:val="20"/>
        </w:rPr>
        <w:t>poolable</w:t>
      </w:r>
      <w:proofErr w:type="spellEnd"/>
      <w:r w:rsidRPr="004D7AB9">
        <w:rPr>
          <w:rFonts w:ascii="Times New Roman" w:hAnsi="Times New Roman" w:cs="Times New Roman"/>
          <w:sz w:val="20"/>
          <w:szCs w:val="20"/>
        </w:rPr>
        <w:t xml:space="preserve"> data; beta-blocker type and dose, length and adherence, and reporting of beta-blockers were inconsistent among studies.</w:t>
      </w:r>
    </w:p>
    <w:p w14:paraId="078DE907" w14:textId="77777777" w:rsidR="004D7AB9" w:rsidRDefault="004D7AB9" w:rsidP="004D7AB9">
      <w:pPr>
        <w:spacing w:after="0" w:line="360" w:lineRule="auto"/>
        <w:jc w:val="both"/>
        <w:rPr>
          <w:rFonts w:ascii="Times New Roman" w:hAnsi="Times New Roman" w:cs="Times New Roman"/>
          <w:sz w:val="20"/>
          <w:szCs w:val="20"/>
        </w:rPr>
      </w:pPr>
    </w:p>
    <w:p w14:paraId="3178DD4F" w14:textId="13679363" w:rsidR="004D7AB9" w:rsidRPr="004D7AB9" w:rsidRDefault="004D7AB9" w:rsidP="004D7AB9">
      <w:pPr>
        <w:spacing w:after="0" w:line="360" w:lineRule="auto"/>
        <w:jc w:val="both"/>
        <w:rPr>
          <w:rFonts w:ascii="Times New Roman" w:hAnsi="Times New Roman" w:cs="Times New Roman"/>
          <w:b/>
          <w:bCs/>
          <w:color w:val="0070C0"/>
          <w:sz w:val="20"/>
          <w:szCs w:val="20"/>
        </w:rPr>
      </w:pPr>
      <w:r w:rsidRPr="004D7AB9">
        <w:rPr>
          <w:rFonts w:ascii="Times New Roman" w:hAnsi="Times New Roman" w:cs="Times New Roman"/>
          <w:b/>
          <w:bCs/>
          <w:color w:val="0070C0"/>
          <w:sz w:val="20"/>
          <w:szCs w:val="20"/>
        </w:rPr>
        <w:t>5. Conclusion</w:t>
      </w:r>
    </w:p>
    <w:p w14:paraId="0A0E27B4" w14:textId="3E77128B" w:rsidR="004D7AB9" w:rsidRDefault="004D7AB9" w:rsidP="004D7AB9">
      <w:pPr>
        <w:spacing w:after="0" w:line="360" w:lineRule="auto"/>
        <w:jc w:val="both"/>
        <w:rPr>
          <w:rFonts w:ascii="Times New Roman" w:hAnsi="Times New Roman" w:cs="Times New Roman"/>
          <w:sz w:val="20"/>
          <w:szCs w:val="20"/>
        </w:rPr>
      </w:pPr>
      <w:r w:rsidRPr="004D7AB9">
        <w:rPr>
          <w:rFonts w:ascii="Times New Roman" w:hAnsi="Times New Roman" w:cs="Times New Roman"/>
          <w:sz w:val="20"/>
          <w:szCs w:val="20"/>
        </w:rPr>
        <w:t xml:space="preserve">A total of 11 studies with 43,000 patients included who had post-MI with preserved or mildly reduced LVEF were included in this systematic review and meta-analysis, which revealed that </w:t>
      </w:r>
      <w:r w:rsidR="008503AF">
        <w:rPr>
          <w:rFonts w:ascii="Times New Roman" w:hAnsi="Times New Roman" w:cs="Times New Roman"/>
          <w:sz w:val="20"/>
          <w:szCs w:val="20"/>
        </w:rPr>
        <w:t>beta-blocker</w:t>
      </w:r>
      <w:r w:rsidRPr="004D7AB9">
        <w:rPr>
          <w:rFonts w:ascii="Times New Roman" w:hAnsi="Times New Roman" w:cs="Times New Roman"/>
          <w:sz w:val="20"/>
          <w:szCs w:val="20"/>
        </w:rPr>
        <w:t xml:space="preserve"> therapy led to a statistically significant reduction in all-cause mortality (HR 0.81, 95% CI 0.67-0.98). But there was no obvious effect on cardiovascular mortality, MACE, reinfarction or </w:t>
      </w:r>
      <w:proofErr w:type="spellStart"/>
      <w:r w:rsidRPr="004D7AB9">
        <w:rPr>
          <w:rFonts w:ascii="Times New Roman" w:hAnsi="Times New Roman" w:cs="Times New Roman"/>
          <w:sz w:val="20"/>
          <w:szCs w:val="20"/>
        </w:rPr>
        <w:t>hospitalisation</w:t>
      </w:r>
      <w:proofErr w:type="spellEnd"/>
      <w:r w:rsidRPr="004D7AB9">
        <w:rPr>
          <w:rFonts w:ascii="Times New Roman" w:hAnsi="Times New Roman" w:cs="Times New Roman"/>
          <w:sz w:val="20"/>
          <w:szCs w:val="20"/>
        </w:rPr>
        <w:t xml:space="preserve"> for HF. The large variation in results across the studies</w:t>
      </w:r>
      <w:r w:rsidR="008503AF">
        <w:rPr>
          <w:rFonts w:ascii="Times New Roman" w:hAnsi="Times New Roman" w:cs="Times New Roman"/>
          <w:sz w:val="20"/>
          <w:szCs w:val="20"/>
        </w:rPr>
        <w:t>, combined</w:t>
      </w:r>
      <w:r w:rsidRPr="004D7AB9">
        <w:rPr>
          <w:rFonts w:ascii="Times New Roman" w:hAnsi="Times New Roman" w:cs="Times New Roman"/>
          <w:sz w:val="20"/>
          <w:szCs w:val="20"/>
        </w:rPr>
        <w:t xml:space="preserve"> with the 2 recent large contemporary RCTs (REDUCE-AMI [11] and ABYSS [12]) with no apparent difference in results</w:t>
      </w:r>
      <w:r w:rsidR="008503AF">
        <w:rPr>
          <w:rFonts w:ascii="Times New Roman" w:hAnsi="Times New Roman" w:cs="Times New Roman"/>
          <w:sz w:val="20"/>
          <w:szCs w:val="20"/>
        </w:rPr>
        <w:t>, supports</w:t>
      </w:r>
      <w:r w:rsidRPr="004D7AB9">
        <w:rPr>
          <w:rFonts w:ascii="Times New Roman" w:hAnsi="Times New Roman" w:cs="Times New Roman"/>
          <w:sz w:val="20"/>
          <w:szCs w:val="20"/>
        </w:rPr>
        <w:t xml:space="preserve"> the conclusion that the perceived all-cause mortality benefit may be due to observational confounding. This represents a departure from the sustained use of beta-blockers in all post-MI patients with LVEF in the preserved range and the need for an individualized approach to treatment based on evidence [21,22]. There is an urgent need for larger, </w:t>
      </w:r>
      <w:r w:rsidR="008503AF">
        <w:rPr>
          <w:rFonts w:ascii="Times New Roman" w:hAnsi="Times New Roman" w:cs="Times New Roman"/>
          <w:sz w:val="20"/>
          <w:szCs w:val="20"/>
        </w:rPr>
        <w:t>well-powered</w:t>
      </w:r>
      <w:r w:rsidRPr="004D7AB9">
        <w:rPr>
          <w:rFonts w:ascii="Times New Roman" w:hAnsi="Times New Roman" w:cs="Times New Roman"/>
          <w:sz w:val="20"/>
          <w:szCs w:val="20"/>
        </w:rPr>
        <w:t>, prospective RCTs with standardised definitions of outcome.</w:t>
      </w:r>
    </w:p>
    <w:p w14:paraId="53A7E112" w14:textId="77777777" w:rsidR="00F502BA" w:rsidRDefault="00F502BA" w:rsidP="00440788">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lastRenderedPageBreak/>
        <w:t>References</w:t>
      </w:r>
    </w:p>
    <w:p w14:paraId="0AC9153A" w14:textId="0ECE31E0"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Yndigegn T, Lindahl B, Mars K, et al. Beta-Blockers after Myocardial Infarction and Preserved Ejection Fraction (REDUCE-AMI). N Engl J Med.</w:t>
      </w:r>
      <w:r>
        <w:rPr>
          <w:rFonts w:ascii="Times New Roman" w:hAnsi="Times New Roman"/>
          <w:sz w:val="20"/>
          <w:lang w:val="en-SG"/>
        </w:rPr>
        <w:t xml:space="preserve"> </w:t>
      </w:r>
      <w:r w:rsidRPr="00135A39">
        <w:rPr>
          <w:rFonts w:ascii="Times New Roman" w:hAnsi="Times New Roman"/>
          <w:sz w:val="20"/>
          <w:lang w:val="en-SG"/>
        </w:rPr>
        <w:t>390</w:t>
      </w:r>
      <w:r>
        <w:rPr>
          <w:rFonts w:ascii="Times New Roman" w:hAnsi="Times New Roman"/>
          <w:sz w:val="20"/>
          <w:lang w:val="en-SG"/>
        </w:rPr>
        <w:t xml:space="preserve"> </w:t>
      </w:r>
      <w:r w:rsidRPr="00135A39">
        <w:rPr>
          <w:rFonts w:ascii="Times New Roman" w:hAnsi="Times New Roman"/>
          <w:sz w:val="20"/>
          <w:lang w:val="en-SG"/>
        </w:rPr>
        <w:t>(</w:t>
      </w:r>
      <w:r>
        <w:rPr>
          <w:rFonts w:ascii="Times New Roman" w:hAnsi="Times New Roman"/>
          <w:sz w:val="20"/>
          <w:lang w:val="en-SG"/>
        </w:rPr>
        <w:t>2024</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 xml:space="preserve">1372–1381. </w:t>
      </w:r>
    </w:p>
    <w:p w14:paraId="5F401714" w14:textId="59EF4B66"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Silvain J, Cayla G, Ferrari E, et al. Beta-Blocker Interruption or Continuation after Myocardial Infarction (ABYSS). N Engl J Med.</w:t>
      </w:r>
      <w:r>
        <w:rPr>
          <w:rFonts w:ascii="Times New Roman" w:hAnsi="Times New Roman"/>
          <w:sz w:val="20"/>
          <w:lang w:val="en-SG"/>
        </w:rPr>
        <w:t xml:space="preserve"> </w:t>
      </w:r>
      <w:r w:rsidRPr="00135A39">
        <w:rPr>
          <w:rFonts w:ascii="Times New Roman" w:hAnsi="Times New Roman"/>
          <w:sz w:val="20"/>
          <w:lang w:val="en-SG"/>
        </w:rPr>
        <w:t>391</w:t>
      </w:r>
      <w:r>
        <w:rPr>
          <w:rFonts w:ascii="Times New Roman" w:hAnsi="Times New Roman"/>
          <w:sz w:val="20"/>
          <w:lang w:val="en-SG"/>
        </w:rPr>
        <w:t xml:space="preserve"> </w:t>
      </w:r>
      <w:r w:rsidRPr="00135A39">
        <w:rPr>
          <w:rFonts w:ascii="Times New Roman" w:hAnsi="Times New Roman"/>
          <w:sz w:val="20"/>
          <w:lang w:val="en-SG"/>
        </w:rPr>
        <w:t>(</w:t>
      </w:r>
      <w:r>
        <w:rPr>
          <w:rFonts w:ascii="Times New Roman" w:hAnsi="Times New Roman"/>
          <w:sz w:val="20"/>
          <w:lang w:val="en-SG"/>
        </w:rPr>
        <w:t>2024</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1099</w:t>
      </w:r>
      <w:r>
        <w:rPr>
          <w:rFonts w:ascii="Times New Roman" w:hAnsi="Times New Roman"/>
          <w:sz w:val="20"/>
          <w:lang w:val="en-SG"/>
        </w:rPr>
        <w:t>-</w:t>
      </w:r>
      <w:r w:rsidRPr="00135A39">
        <w:rPr>
          <w:rFonts w:ascii="Times New Roman" w:hAnsi="Times New Roman"/>
          <w:sz w:val="20"/>
          <w:lang w:val="en-SG"/>
        </w:rPr>
        <w:t xml:space="preserve">1110. </w:t>
      </w:r>
    </w:p>
    <w:p w14:paraId="38C25643" w14:textId="4C2C5EBF"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Mokhtar M, Thiele H, Poss J, et al. Beta-Blockers in Patients with Preserved EF after MI. </w:t>
      </w:r>
      <w:proofErr w:type="spellStart"/>
      <w:r w:rsidRPr="00135A39">
        <w:rPr>
          <w:rFonts w:ascii="Times New Roman" w:hAnsi="Times New Roman"/>
          <w:sz w:val="20"/>
          <w:lang w:val="en-SG"/>
        </w:rPr>
        <w:t>Eur</w:t>
      </w:r>
      <w:proofErr w:type="spellEnd"/>
      <w:r w:rsidRPr="00135A39">
        <w:rPr>
          <w:rFonts w:ascii="Times New Roman" w:hAnsi="Times New Roman"/>
          <w:sz w:val="20"/>
          <w:lang w:val="en-SG"/>
        </w:rPr>
        <w:t xml:space="preserve"> Heart J.</w:t>
      </w:r>
      <w:r>
        <w:rPr>
          <w:rFonts w:ascii="Times New Roman" w:hAnsi="Times New Roman"/>
          <w:sz w:val="20"/>
          <w:lang w:val="en-SG"/>
        </w:rPr>
        <w:t xml:space="preserve"> </w:t>
      </w:r>
      <w:r w:rsidRPr="00135A39">
        <w:rPr>
          <w:rFonts w:ascii="Times New Roman" w:hAnsi="Times New Roman"/>
          <w:sz w:val="20"/>
          <w:lang w:val="en-SG"/>
        </w:rPr>
        <w:t>45</w:t>
      </w:r>
      <w:r>
        <w:rPr>
          <w:rFonts w:ascii="Times New Roman" w:hAnsi="Times New Roman"/>
          <w:sz w:val="20"/>
          <w:lang w:val="en-SG"/>
        </w:rPr>
        <w:t xml:space="preserve"> </w:t>
      </w:r>
      <w:r w:rsidRPr="00135A39">
        <w:rPr>
          <w:rFonts w:ascii="Times New Roman" w:hAnsi="Times New Roman"/>
          <w:sz w:val="20"/>
          <w:lang w:val="en-SG"/>
        </w:rPr>
        <w:t>(2</w:t>
      </w:r>
      <w:r>
        <w:rPr>
          <w:rFonts w:ascii="Times New Roman" w:hAnsi="Times New Roman"/>
          <w:sz w:val="20"/>
          <w:lang w:val="en-SG"/>
        </w:rPr>
        <w:t>024</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113</w:t>
      </w:r>
      <w:r>
        <w:rPr>
          <w:rFonts w:ascii="Times New Roman" w:hAnsi="Times New Roman"/>
          <w:sz w:val="20"/>
          <w:lang w:val="en-SG"/>
        </w:rPr>
        <w:t>-</w:t>
      </w:r>
      <w:r w:rsidRPr="00135A39">
        <w:rPr>
          <w:rFonts w:ascii="Times New Roman" w:hAnsi="Times New Roman"/>
          <w:sz w:val="20"/>
          <w:lang w:val="en-SG"/>
        </w:rPr>
        <w:t xml:space="preserve">122. </w:t>
      </w:r>
    </w:p>
    <w:p w14:paraId="12742A80" w14:textId="5D3BA54B"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Bhatt DL, Lopes RD, Harrington RA. Diagnosis and Treatment of Acute Coronary Syndromes. JAMA.</w:t>
      </w:r>
      <w:r>
        <w:rPr>
          <w:rFonts w:ascii="Times New Roman" w:hAnsi="Times New Roman"/>
          <w:sz w:val="20"/>
          <w:lang w:val="en-SG"/>
        </w:rPr>
        <w:t xml:space="preserve"> </w:t>
      </w:r>
      <w:r w:rsidRPr="00135A39">
        <w:rPr>
          <w:rFonts w:ascii="Times New Roman" w:hAnsi="Times New Roman"/>
          <w:sz w:val="20"/>
          <w:lang w:val="en-SG"/>
        </w:rPr>
        <w:t>329</w:t>
      </w:r>
      <w:r>
        <w:rPr>
          <w:rFonts w:ascii="Times New Roman" w:hAnsi="Times New Roman"/>
          <w:sz w:val="20"/>
          <w:lang w:val="en-SG"/>
        </w:rPr>
        <w:t xml:space="preserve"> </w:t>
      </w:r>
      <w:r w:rsidRPr="00135A39">
        <w:rPr>
          <w:rFonts w:ascii="Times New Roman" w:hAnsi="Times New Roman"/>
          <w:sz w:val="20"/>
          <w:lang w:val="en-SG"/>
        </w:rPr>
        <w:t>(</w:t>
      </w:r>
      <w:r>
        <w:rPr>
          <w:rFonts w:ascii="Times New Roman" w:hAnsi="Times New Roman"/>
          <w:sz w:val="20"/>
          <w:lang w:val="en-SG"/>
        </w:rPr>
        <w:t>2023</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60</w:t>
      </w:r>
      <w:r>
        <w:rPr>
          <w:rFonts w:ascii="Times New Roman" w:hAnsi="Times New Roman"/>
          <w:sz w:val="20"/>
          <w:lang w:val="en-SG"/>
        </w:rPr>
        <w:t>-</w:t>
      </w:r>
      <w:r w:rsidRPr="00135A39">
        <w:rPr>
          <w:rFonts w:ascii="Times New Roman" w:hAnsi="Times New Roman"/>
          <w:sz w:val="20"/>
          <w:lang w:val="en-SG"/>
        </w:rPr>
        <w:t xml:space="preserve">71. </w:t>
      </w:r>
    </w:p>
    <w:p w14:paraId="0D8F2208" w14:textId="54411B44"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Page MJ, McKenzie JE, Bossuyt PM, et al. The PRISMA 2020 Statement. BMJ</w:t>
      </w:r>
      <w:r>
        <w:rPr>
          <w:rFonts w:ascii="Times New Roman" w:hAnsi="Times New Roman"/>
          <w:sz w:val="20"/>
          <w:lang w:val="en-SG"/>
        </w:rPr>
        <w:t xml:space="preserve"> </w:t>
      </w:r>
      <w:r w:rsidRPr="00135A39">
        <w:rPr>
          <w:rFonts w:ascii="Times New Roman" w:hAnsi="Times New Roman"/>
          <w:sz w:val="20"/>
          <w:lang w:val="en-SG"/>
        </w:rPr>
        <w:t>372</w:t>
      </w:r>
      <w:r>
        <w:rPr>
          <w:rFonts w:ascii="Times New Roman" w:hAnsi="Times New Roman"/>
          <w:sz w:val="20"/>
          <w:lang w:val="en-SG"/>
        </w:rPr>
        <w:t xml:space="preserve"> (2021)</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 xml:space="preserve">n71.  </w:t>
      </w:r>
    </w:p>
    <w:p w14:paraId="471942DB" w14:textId="60BFE48E"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Wells GA, Shea B, O'Connell D, et al. The Newcastle-Ottawa Scale (NOS). Ottawa Hospital Research Institute, 2013. https://www.scirp.org/reference/referencespapers?referenceid=2996632 </w:t>
      </w:r>
    </w:p>
    <w:p w14:paraId="2F269D02" w14:textId="3CB00828"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Sterne JAC, Savovic J, Page MJ, et al. </w:t>
      </w:r>
      <w:proofErr w:type="spellStart"/>
      <w:r w:rsidRPr="00135A39">
        <w:rPr>
          <w:rFonts w:ascii="Times New Roman" w:hAnsi="Times New Roman"/>
          <w:sz w:val="20"/>
          <w:lang w:val="en-SG"/>
        </w:rPr>
        <w:t>RoB</w:t>
      </w:r>
      <w:proofErr w:type="spellEnd"/>
      <w:r w:rsidRPr="00135A39">
        <w:rPr>
          <w:rFonts w:ascii="Times New Roman" w:hAnsi="Times New Roman"/>
          <w:sz w:val="20"/>
          <w:lang w:val="en-SG"/>
        </w:rPr>
        <w:t xml:space="preserve"> 2: A Revised Tool for Assessing Risk of Bias in RCTs. BMJ.</w:t>
      </w:r>
      <w:r>
        <w:rPr>
          <w:rFonts w:ascii="Times New Roman" w:hAnsi="Times New Roman"/>
          <w:sz w:val="20"/>
          <w:lang w:val="en-SG"/>
        </w:rPr>
        <w:t xml:space="preserve"> </w:t>
      </w:r>
      <w:r w:rsidRPr="00135A39">
        <w:rPr>
          <w:rFonts w:ascii="Times New Roman" w:hAnsi="Times New Roman"/>
          <w:sz w:val="20"/>
          <w:lang w:val="en-SG"/>
        </w:rPr>
        <w:t>366</w:t>
      </w:r>
      <w:r>
        <w:rPr>
          <w:rFonts w:ascii="Times New Roman" w:hAnsi="Times New Roman"/>
          <w:sz w:val="20"/>
          <w:lang w:val="en-SG"/>
        </w:rPr>
        <w:t xml:space="preserve"> (2019)</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 xml:space="preserve">l4898. </w:t>
      </w:r>
    </w:p>
    <w:p w14:paraId="77621A35" w14:textId="4835C7F0" w:rsidR="00135A39" w:rsidRPr="00135A39" w:rsidRDefault="00135A39" w:rsidP="00141DD9">
      <w:pPr>
        <w:pStyle w:val="MDPI71References"/>
        <w:numPr>
          <w:ilvl w:val="0"/>
          <w:numId w:val="27"/>
        </w:numPr>
        <w:spacing w:line="360" w:lineRule="auto"/>
        <w:rPr>
          <w:rFonts w:ascii="Times New Roman" w:hAnsi="Times New Roman"/>
          <w:sz w:val="20"/>
          <w:lang w:val="en-SG"/>
        </w:rPr>
      </w:pPr>
      <w:proofErr w:type="spellStart"/>
      <w:r w:rsidRPr="00135A39">
        <w:rPr>
          <w:rFonts w:ascii="Times New Roman" w:hAnsi="Times New Roman"/>
          <w:sz w:val="20"/>
          <w:lang w:val="en-SG"/>
        </w:rPr>
        <w:t>DerSimonian</w:t>
      </w:r>
      <w:proofErr w:type="spellEnd"/>
      <w:r w:rsidRPr="00135A39">
        <w:rPr>
          <w:rFonts w:ascii="Times New Roman" w:hAnsi="Times New Roman"/>
          <w:sz w:val="20"/>
          <w:lang w:val="en-SG"/>
        </w:rPr>
        <w:t xml:space="preserve"> R, Laird N. Meta-Analysis in Clinical Trials. Control Clin Trials.</w:t>
      </w:r>
      <w:r>
        <w:rPr>
          <w:rFonts w:ascii="Times New Roman" w:hAnsi="Times New Roman"/>
          <w:sz w:val="20"/>
          <w:lang w:val="en-SG"/>
        </w:rPr>
        <w:t xml:space="preserve"> </w:t>
      </w:r>
      <w:r w:rsidRPr="00135A39">
        <w:rPr>
          <w:rFonts w:ascii="Times New Roman" w:hAnsi="Times New Roman"/>
          <w:sz w:val="20"/>
          <w:lang w:val="en-SG"/>
        </w:rPr>
        <w:t>7</w:t>
      </w:r>
      <w:r>
        <w:rPr>
          <w:rFonts w:ascii="Times New Roman" w:hAnsi="Times New Roman"/>
          <w:sz w:val="20"/>
          <w:lang w:val="en-SG"/>
        </w:rPr>
        <w:t xml:space="preserve"> </w:t>
      </w:r>
      <w:r w:rsidRPr="00135A39">
        <w:rPr>
          <w:rFonts w:ascii="Times New Roman" w:hAnsi="Times New Roman"/>
          <w:sz w:val="20"/>
          <w:lang w:val="en-SG"/>
        </w:rPr>
        <w:t>(</w:t>
      </w:r>
      <w:r>
        <w:rPr>
          <w:rFonts w:ascii="Times New Roman" w:hAnsi="Times New Roman"/>
          <w:sz w:val="20"/>
          <w:lang w:val="en-SG"/>
        </w:rPr>
        <w:t>1986</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177</w:t>
      </w:r>
      <w:r>
        <w:rPr>
          <w:rFonts w:ascii="Times New Roman" w:hAnsi="Times New Roman"/>
          <w:sz w:val="20"/>
          <w:lang w:val="en-SG"/>
        </w:rPr>
        <w:t>-</w:t>
      </w:r>
      <w:r w:rsidRPr="00135A39">
        <w:rPr>
          <w:rFonts w:ascii="Times New Roman" w:hAnsi="Times New Roman"/>
          <w:sz w:val="20"/>
          <w:lang w:val="en-SG"/>
        </w:rPr>
        <w:t xml:space="preserve">188. </w:t>
      </w:r>
    </w:p>
    <w:p w14:paraId="09946436" w14:textId="5244211F"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Higgins JPT, Thompson SG, Deeks JJ, Altman DG. Measuring Inconsistency in Meta-Analyses. BMJ.</w:t>
      </w:r>
      <w:r>
        <w:rPr>
          <w:rFonts w:ascii="Times New Roman" w:hAnsi="Times New Roman"/>
          <w:sz w:val="20"/>
          <w:lang w:val="en-SG"/>
        </w:rPr>
        <w:t xml:space="preserve"> </w:t>
      </w:r>
      <w:r w:rsidRPr="00135A39">
        <w:rPr>
          <w:rFonts w:ascii="Times New Roman" w:hAnsi="Times New Roman"/>
          <w:sz w:val="20"/>
          <w:lang w:val="en-SG"/>
        </w:rPr>
        <w:t>327</w:t>
      </w:r>
      <w:r>
        <w:rPr>
          <w:rFonts w:ascii="Times New Roman" w:hAnsi="Times New Roman"/>
          <w:sz w:val="20"/>
          <w:lang w:val="en-SG"/>
        </w:rPr>
        <w:t xml:space="preserve"> </w:t>
      </w:r>
      <w:r w:rsidRPr="00135A39">
        <w:rPr>
          <w:rFonts w:ascii="Times New Roman" w:hAnsi="Times New Roman"/>
          <w:sz w:val="20"/>
          <w:lang w:val="en-SG"/>
        </w:rPr>
        <w:t>(</w:t>
      </w:r>
      <w:r>
        <w:rPr>
          <w:rFonts w:ascii="Times New Roman" w:hAnsi="Times New Roman"/>
          <w:sz w:val="20"/>
          <w:lang w:val="en-SG"/>
        </w:rPr>
        <w:t>2003</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557</w:t>
      </w:r>
      <w:r>
        <w:rPr>
          <w:rFonts w:ascii="Times New Roman" w:hAnsi="Times New Roman"/>
          <w:sz w:val="20"/>
          <w:lang w:val="en-SG"/>
        </w:rPr>
        <w:t>-</w:t>
      </w:r>
      <w:r w:rsidRPr="00135A39">
        <w:rPr>
          <w:rFonts w:ascii="Times New Roman" w:hAnsi="Times New Roman"/>
          <w:sz w:val="20"/>
          <w:lang w:val="en-SG"/>
        </w:rPr>
        <w:t xml:space="preserve">560. </w:t>
      </w:r>
    </w:p>
    <w:p w14:paraId="1CD50FF6" w14:textId="1AB7816C"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Egger M, Davey Smith G, Schneider M, Minder C. Bias in Meta-Analysis Detected by a Simple, Graphical Test. BMJ.</w:t>
      </w:r>
      <w:r>
        <w:rPr>
          <w:rFonts w:ascii="Times New Roman" w:hAnsi="Times New Roman"/>
          <w:sz w:val="20"/>
          <w:lang w:val="en-SG"/>
        </w:rPr>
        <w:t xml:space="preserve"> </w:t>
      </w:r>
      <w:r w:rsidRPr="00135A39">
        <w:rPr>
          <w:rFonts w:ascii="Times New Roman" w:hAnsi="Times New Roman"/>
          <w:sz w:val="20"/>
          <w:lang w:val="en-SG"/>
        </w:rPr>
        <w:t>315</w:t>
      </w:r>
      <w:r>
        <w:rPr>
          <w:rFonts w:ascii="Times New Roman" w:hAnsi="Times New Roman"/>
          <w:sz w:val="20"/>
          <w:lang w:val="en-SG"/>
        </w:rPr>
        <w:t xml:space="preserve"> </w:t>
      </w:r>
      <w:r w:rsidRPr="00135A39">
        <w:rPr>
          <w:rFonts w:ascii="Times New Roman" w:hAnsi="Times New Roman"/>
          <w:sz w:val="20"/>
          <w:lang w:val="en-SG"/>
        </w:rPr>
        <w:t>(</w:t>
      </w:r>
      <w:r>
        <w:rPr>
          <w:rFonts w:ascii="Times New Roman" w:hAnsi="Times New Roman"/>
          <w:sz w:val="20"/>
          <w:lang w:val="en-SG"/>
        </w:rPr>
        <w:t>1997</w:t>
      </w:r>
      <w:r w:rsidRPr="00135A39">
        <w:rPr>
          <w:rFonts w:ascii="Times New Roman" w:hAnsi="Times New Roman"/>
          <w:sz w:val="20"/>
          <w:lang w:val="en-SG"/>
        </w:rPr>
        <w:t>):</w:t>
      </w:r>
      <w:r>
        <w:rPr>
          <w:rFonts w:ascii="Times New Roman" w:hAnsi="Times New Roman"/>
          <w:sz w:val="20"/>
          <w:lang w:val="en-SG"/>
        </w:rPr>
        <w:t xml:space="preserve"> </w:t>
      </w:r>
      <w:r w:rsidRPr="00135A39">
        <w:rPr>
          <w:rFonts w:ascii="Times New Roman" w:hAnsi="Times New Roman"/>
          <w:sz w:val="20"/>
          <w:lang w:val="en-SG"/>
        </w:rPr>
        <w:t>629</w:t>
      </w:r>
      <w:r>
        <w:rPr>
          <w:rFonts w:ascii="Times New Roman" w:hAnsi="Times New Roman"/>
          <w:sz w:val="20"/>
          <w:lang w:val="en-SG"/>
        </w:rPr>
        <w:t>-</w:t>
      </w:r>
      <w:r w:rsidRPr="00135A39">
        <w:rPr>
          <w:rFonts w:ascii="Times New Roman" w:hAnsi="Times New Roman"/>
          <w:sz w:val="20"/>
          <w:lang w:val="en-SG"/>
        </w:rPr>
        <w:t xml:space="preserve">634. </w:t>
      </w:r>
    </w:p>
    <w:p w14:paraId="34D20784" w14:textId="0CECD9F0"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Yndigegn T, et al. REDUCE-AMI: Beta-Blockers after Preserved EF MI. N Engl J Med.</w:t>
      </w:r>
      <w:r w:rsidR="00116860">
        <w:rPr>
          <w:rFonts w:ascii="Times New Roman" w:hAnsi="Times New Roman"/>
          <w:sz w:val="20"/>
          <w:lang w:val="en-SG"/>
        </w:rPr>
        <w:t xml:space="preserve"> </w:t>
      </w:r>
      <w:r w:rsidRPr="00135A39">
        <w:rPr>
          <w:rFonts w:ascii="Times New Roman" w:hAnsi="Times New Roman"/>
          <w:sz w:val="20"/>
          <w:lang w:val="en-SG"/>
        </w:rPr>
        <w:t>390</w:t>
      </w:r>
      <w:r w:rsidR="00116860">
        <w:rPr>
          <w:rFonts w:ascii="Times New Roman" w:hAnsi="Times New Roman"/>
          <w:sz w:val="20"/>
          <w:lang w:val="en-SG"/>
        </w:rPr>
        <w:t xml:space="preserve"> (2024)</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 xml:space="preserve">1372. </w:t>
      </w:r>
    </w:p>
    <w:p w14:paraId="787720CD" w14:textId="75718D86"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Silvain J, et al. ABYSS: Beta-Blocker Interruption after MI. N Engl J Med.</w:t>
      </w:r>
      <w:r w:rsidR="00116860">
        <w:rPr>
          <w:rFonts w:ascii="Times New Roman" w:hAnsi="Times New Roman"/>
          <w:sz w:val="20"/>
          <w:lang w:val="en-SG"/>
        </w:rPr>
        <w:t xml:space="preserve"> </w:t>
      </w:r>
      <w:r w:rsidRPr="00135A39">
        <w:rPr>
          <w:rFonts w:ascii="Times New Roman" w:hAnsi="Times New Roman"/>
          <w:sz w:val="20"/>
          <w:lang w:val="en-SG"/>
        </w:rPr>
        <w:t>391</w:t>
      </w:r>
      <w:r w:rsidR="00116860">
        <w:rPr>
          <w:rFonts w:ascii="Times New Roman" w:hAnsi="Times New Roman"/>
          <w:sz w:val="20"/>
          <w:lang w:val="en-SG"/>
        </w:rPr>
        <w:t xml:space="preserve"> (2024)</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 xml:space="preserve">1099. </w:t>
      </w:r>
    </w:p>
    <w:p w14:paraId="0D324E1D" w14:textId="204F3682"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Bangalore S, Bhatt DL, Steg PG, et al. Beta-Blockers following MI in the Reperfusion Era. Am Heart J.</w:t>
      </w:r>
      <w:r w:rsidR="00116860">
        <w:rPr>
          <w:rFonts w:ascii="Times New Roman" w:hAnsi="Times New Roman"/>
          <w:sz w:val="20"/>
          <w:lang w:val="en-SG"/>
        </w:rPr>
        <w:t xml:space="preserve"> </w:t>
      </w:r>
      <w:r w:rsidRPr="00135A39">
        <w:rPr>
          <w:rFonts w:ascii="Times New Roman" w:hAnsi="Times New Roman"/>
          <w:sz w:val="20"/>
          <w:lang w:val="en-SG"/>
        </w:rPr>
        <w:t>248</w:t>
      </w:r>
      <w:r w:rsidR="00116860">
        <w:rPr>
          <w:rFonts w:ascii="Times New Roman" w:hAnsi="Times New Roman"/>
          <w:sz w:val="20"/>
          <w:lang w:val="en-SG"/>
        </w:rPr>
        <w:t xml:space="preserve"> (2022)</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82</w:t>
      </w:r>
      <w:r w:rsidR="00116860">
        <w:rPr>
          <w:rFonts w:ascii="Times New Roman" w:hAnsi="Times New Roman"/>
          <w:sz w:val="20"/>
          <w:lang w:val="en-SG"/>
        </w:rPr>
        <w:t>-</w:t>
      </w:r>
      <w:r w:rsidRPr="00135A39">
        <w:rPr>
          <w:rFonts w:ascii="Times New Roman" w:hAnsi="Times New Roman"/>
          <w:sz w:val="20"/>
          <w:lang w:val="en-SG"/>
        </w:rPr>
        <w:t xml:space="preserve">95. </w:t>
      </w:r>
    </w:p>
    <w:p w14:paraId="5DEB68E7" w14:textId="19EAD133"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Norwegian </w:t>
      </w:r>
      <w:proofErr w:type="spellStart"/>
      <w:r w:rsidRPr="00135A39">
        <w:rPr>
          <w:rFonts w:ascii="Times New Roman" w:hAnsi="Times New Roman"/>
          <w:sz w:val="20"/>
          <w:lang w:val="en-SG"/>
        </w:rPr>
        <w:t>Multicenter</w:t>
      </w:r>
      <w:proofErr w:type="spellEnd"/>
      <w:r w:rsidRPr="00135A39">
        <w:rPr>
          <w:rFonts w:ascii="Times New Roman" w:hAnsi="Times New Roman"/>
          <w:sz w:val="20"/>
          <w:lang w:val="en-SG"/>
        </w:rPr>
        <w:t xml:space="preserve"> Study Group. Timolol-Induced Reduction in Mortality after MI. N Engl J Med.</w:t>
      </w:r>
      <w:r w:rsidR="00116860">
        <w:rPr>
          <w:rFonts w:ascii="Times New Roman" w:hAnsi="Times New Roman"/>
          <w:sz w:val="20"/>
          <w:lang w:val="en-SG"/>
        </w:rPr>
        <w:t xml:space="preserve"> </w:t>
      </w:r>
      <w:r w:rsidRPr="00135A39">
        <w:rPr>
          <w:rFonts w:ascii="Times New Roman" w:hAnsi="Times New Roman"/>
          <w:sz w:val="20"/>
          <w:lang w:val="en-SG"/>
        </w:rPr>
        <w:t>304</w:t>
      </w:r>
      <w:r w:rsidR="00116860">
        <w:rPr>
          <w:rFonts w:ascii="Times New Roman" w:hAnsi="Times New Roman"/>
          <w:sz w:val="20"/>
          <w:lang w:val="en-SG"/>
        </w:rPr>
        <w:t xml:space="preserve"> (1981)</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801</w:t>
      </w:r>
      <w:r w:rsidR="00116860">
        <w:rPr>
          <w:rFonts w:ascii="Times New Roman" w:hAnsi="Times New Roman"/>
          <w:sz w:val="20"/>
          <w:lang w:val="en-SG"/>
        </w:rPr>
        <w:t>-</w:t>
      </w:r>
      <w:r w:rsidRPr="00135A39">
        <w:rPr>
          <w:rFonts w:ascii="Times New Roman" w:hAnsi="Times New Roman"/>
          <w:sz w:val="20"/>
          <w:lang w:val="en-SG"/>
        </w:rPr>
        <w:t xml:space="preserve">807. </w:t>
      </w:r>
    </w:p>
    <w:p w14:paraId="2B2452DE" w14:textId="60685F4D"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MERIT-HF Study Group. Effect of Metoprolol CR/XL in Chronic Heart Failure. Lancet.</w:t>
      </w:r>
      <w:r w:rsidR="00116860">
        <w:rPr>
          <w:rFonts w:ascii="Times New Roman" w:hAnsi="Times New Roman"/>
          <w:sz w:val="20"/>
          <w:lang w:val="en-SG"/>
        </w:rPr>
        <w:t xml:space="preserve"> </w:t>
      </w:r>
      <w:r w:rsidRPr="00135A39">
        <w:rPr>
          <w:rFonts w:ascii="Times New Roman" w:hAnsi="Times New Roman"/>
          <w:sz w:val="20"/>
          <w:lang w:val="en-SG"/>
        </w:rPr>
        <w:t>353</w:t>
      </w:r>
      <w:r w:rsidR="00116860">
        <w:rPr>
          <w:rFonts w:ascii="Times New Roman" w:hAnsi="Times New Roman"/>
          <w:sz w:val="20"/>
          <w:lang w:val="en-SG"/>
        </w:rPr>
        <w:t xml:space="preserve"> (1999)</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2001 2007.https://www.thelancet.com/action/showCitFormats?doi=10.1016%2FS0140-6736%2899%2904440-2&amp;pii=S0140-6736%2899%2904440-2</w:t>
      </w:r>
    </w:p>
    <w:p w14:paraId="2B8BC62C" w14:textId="1F1CFBA5" w:rsidR="00135A39" w:rsidRPr="00135A39" w:rsidRDefault="00135A39" w:rsidP="00141DD9">
      <w:pPr>
        <w:pStyle w:val="MDPI71References"/>
        <w:numPr>
          <w:ilvl w:val="0"/>
          <w:numId w:val="27"/>
        </w:numPr>
        <w:spacing w:line="360" w:lineRule="auto"/>
        <w:rPr>
          <w:rFonts w:ascii="Times New Roman" w:hAnsi="Times New Roman"/>
          <w:sz w:val="20"/>
          <w:lang w:val="en-SG"/>
        </w:rPr>
      </w:pPr>
      <w:proofErr w:type="spellStart"/>
      <w:r w:rsidRPr="00135A39">
        <w:rPr>
          <w:rFonts w:ascii="Times New Roman" w:hAnsi="Times New Roman"/>
          <w:sz w:val="20"/>
          <w:lang w:val="en-SG"/>
        </w:rPr>
        <w:t>Puymirat</w:t>
      </w:r>
      <w:proofErr w:type="spellEnd"/>
      <w:r w:rsidRPr="00135A39">
        <w:rPr>
          <w:rFonts w:ascii="Times New Roman" w:hAnsi="Times New Roman"/>
          <w:sz w:val="20"/>
          <w:lang w:val="en-SG"/>
        </w:rPr>
        <w:t xml:space="preserve"> E, Riant E, Aissaoui N, et al. Beta-Blockers and Mortality after Acute MI. BMJ.</w:t>
      </w:r>
      <w:r w:rsidR="00116860">
        <w:rPr>
          <w:rFonts w:ascii="Times New Roman" w:hAnsi="Times New Roman"/>
          <w:sz w:val="20"/>
          <w:lang w:val="en-SG"/>
        </w:rPr>
        <w:t xml:space="preserve"> </w:t>
      </w:r>
      <w:r w:rsidRPr="00135A39">
        <w:rPr>
          <w:rFonts w:ascii="Times New Roman" w:hAnsi="Times New Roman"/>
          <w:sz w:val="20"/>
          <w:lang w:val="en-SG"/>
        </w:rPr>
        <w:t>354</w:t>
      </w:r>
      <w:r w:rsidR="00116860">
        <w:rPr>
          <w:rFonts w:ascii="Times New Roman" w:hAnsi="Times New Roman"/>
          <w:sz w:val="20"/>
          <w:lang w:val="en-SG"/>
        </w:rPr>
        <w:t xml:space="preserve"> (2016)</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 xml:space="preserve">i4801. </w:t>
      </w:r>
    </w:p>
    <w:p w14:paraId="2C3E5051" w14:textId="35EEA748"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McDonagh TA, Metra M, Adamo M, et al. 2021 ESC Guidelines for Acute and Chronic Heart Failure. </w:t>
      </w:r>
      <w:proofErr w:type="spellStart"/>
      <w:r w:rsidRPr="00135A39">
        <w:rPr>
          <w:rFonts w:ascii="Times New Roman" w:hAnsi="Times New Roman"/>
          <w:sz w:val="20"/>
          <w:lang w:val="en-SG"/>
        </w:rPr>
        <w:t>Eur</w:t>
      </w:r>
      <w:proofErr w:type="spellEnd"/>
      <w:r w:rsidRPr="00135A39">
        <w:rPr>
          <w:rFonts w:ascii="Times New Roman" w:hAnsi="Times New Roman"/>
          <w:sz w:val="20"/>
          <w:lang w:val="en-SG"/>
        </w:rPr>
        <w:t xml:space="preserve"> Heart J.</w:t>
      </w:r>
      <w:r w:rsidR="00116860">
        <w:rPr>
          <w:rFonts w:ascii="Times New Roman" w:hAnsi="Times New Roman"/>
          <w:sz w:val="20"/>
          <w:lang w:val="en-SG"/>
        </w:rPr>
        <w:t xml:space="preserve"> </w:t>
      </w:r>
      <w:r w:rsidRPr="00135A39">
        <w:rPr>
          <w:rFonts w:ascii="Times New Roman" w:hAnsi="Times New Roman"/>
          <w:sz w:val="20"/>
          <w:lang w:val="en-SG"/>
        </w:rPr>
        <w:t>42</w:t>
      </w:r>
      <w:r w:rsidR="00116860">
        <w:rPr>
          <w:rFonts w:ascii="Times New Roman" w:hAnsi="Times New Roman"/>
          <w:sz w:val="20"/>
          <w:lang w:val="en-SG"/>
        </w:rPr>
        <w:t xml:space="preserve"> </w:t>
      </w:r>
      <w:r w:rsidRPr="00135A39">
        <w:rPr>
          <w:rFonts w:ascii="Times New Roman" w:hAnsi="Times New Roman"/>
          <w:sz w:val="20"/>
          <w:lang w:val="en-SG"/>
        </w:rPr>
        <w:t>(</w:t>
      </w:r>
      <w:r w:rsidR="00116860">
        <w:rPr>
          <w:rFonts w:ascii="Times New Roman" w:hAnsi="Times New Roman"/>
          <w:sz w:val="20"/>
          <w:lang w:val="en-SG"/>
        </w:rPr>
        <w:t>2021</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3599</w:t>
      </w:r>
      <w:r w:rsidR="00116860">
        <w:rPr>
          <w:rFonts w:ascii="Times New Roman" w:hAnsi="Times New Roman"/>
          <w:sz w:val="20"/>
          <w:lang w:val="en-SG"/>
        </w:rPr>
        <w:t>-</w:t>
      </w:r>
      <w:r w:rsidRPr="00135A39">
        <w:rPr>
          <w:rFonts w:ascii="Times New Roman" w:hAnsi="Times New Roman"/>
          <w:sz w:val="20"/>
          <w:lang w:val="en-SG"/>
        </w:rPr>
        <w:t xml:space="preserve">3726. </w:t>
      </w:r>
    </w:p>
    <w:p w14:paraId="6D9BEE18" w14:textId="1F9453CB"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O'Gara PT, Kushner FG, </w:t>
      </w:r>
      <w:proofErr w:type="spellStart"/>
      <w:r w:rsidRPr="00135A39">
        <w:rPr>
          <w:rFonts w:ascii="Times New Roman" w:hAnsi="Times New Roman"/>
          <w:sz w:val="20"/>
          <w:lang w:val="en-SG"/>
        </w:rPr>
        <w:t>Ascheim</w:t>
      </w:r>
      <w:proofErr w:type="spellEnd"/>
      <w:r w:rsidRPr="00135A39">
        <w:rPr>
          <w:rFonts w:ascii="Times New Roman" w:hAnsi="Times New Roman"/>
          <w:sz w:val="20"/>
          <w:lang w:val="en-SG"/>
        </w:rPr>
        <w:t xml:space="preserve"> DD, et al. 2013 ACCF/AHA Guideline for STEMI Management. Circulation.</w:t>
      </w:r>
      <w:r w:rsidR="00116860">
        <w:rPr>
          <w:rFonts w:ascii="Times New Roman" w:hAnsi="Times New Roman"/>
          <w:sz w:val="20"/>
          <w:lang w:val="en-SG"/>
        </w:rPr>
        <w:t xml:space="preserve"> </w:t>
      </w:r>
      <w:r w:rsidRPr="00135A39">
        <w:rPr>
          <w:rFonts w:ascii="Times New Roman" w:hAnsi="Times New Roman"/>
          <w:sz w:val="20"/>
          <w:lang w:val="en-SG"/>
        </w:rPr>
        <w:t>147</w:t>
      </w:r>
      <w:r w:rsidR="00116860">
        <w:rPr>
          <w:rFonts w:ascii="Times New Roman" w:hAnsi="Times New Roman"/>
          <w:sz w:val="20"/>
          <w:lang w:val="en-SG"/>
        </w:rPr>
        <w:t xml:space="preserve"> (2023)</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 xml:space="preserve">e6–e185. </w:t>
      </w:r>
    </w:p>
    <w:p w14:paraId="1209F12D" w14:textId="185F5609"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Chen HY, Bhatt DL, Foody JM, et al. Beta-Blocker Use and Clinical Outcomes after MI. Am Heart J.</w:t>
      </w:r>
      <w:r w:rsidR="00116860">
        <w:rPr>
          <w:rFonts w:ascii="Times New Roman" w:hAnsi="Times New Roman"/>
          <w:sz w:val="20"/>
          <w:lang w:val="en-SG"/>
        </w:rPr>
        <w:t xml:space="preserve"> </w:t>
      </w:r>
      <w:r w:rsidRPr="00135A39">
        <w:rPr>
          <w:rFonts w:ascii="Times New Roman" w:hAnsi="Times New Roman"/>
          <w:sz w:val="20"/>
          <w:lang w:val="en-SG"/>
        </w:rPr>
        <w:t>235</w:t>
      </w:r>
      <w:r w:rsidR="00116860">
        <w:rPr>
          <w:rFonts w:ascii="Times New Roman" w:hAnsi="Times New Roman"/>
          <w:sz w:val="20"/>
          <w:lang w:val="en-SG"/>
        </w:rPr>
        <w:t xml:space="preserve"> (2021)</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91</w:t>
      </w:r>
      <w:r w:rsidR="00116860">
        <w:rPr>
          <w:rFonts w:ascii="Times New Roman" w:hAnsi="Times New Roman"/>
          <w:sz w:val="20"/>
          <w:lang w:val="en-SG"/>
        </w:rPr>
        <w:t>-</w:t>
      </w:r>
      <w:r w:rsidRPr="00135A39">
        <w:rPr>
          <w:rFonts w:ascii="Times New Roman" w:hAnsi="Times New Roman"/>
          <w:sz w:val="20"/>
          <w:lang w:val="en-SG"/>
        </w:rPr>
        <w:t xml:space="preserve">99. </w:t>
      </w:r>
    </w:p>
    <w:p w14:paraId="227618E7" w14:textId="1C744F18"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Wen X, Chen Y, Li J, et al. Long-term Beta-Blocker Therapy and Outcomes after MI. Int J </w:t>
      </w:r>
      <w:proofErr w:type="spellStart"/>
      <w:r w:rsidRPr="00135A39">
        <w:rPr>
          <w:rFonts w:ascii="Times New Roman" w:hAnsi="Times New Roman"/>
          <w:sz w:val="20"/>
          <w:lang w:val="en-SG"/>
        </w:rPr>
        <w:t>Cardiol</w:t>
      </w:r>
      <w:proofErr w:type="spellEnd"/>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368</w:t>
      </w:r>
      <w:r w:rsidR="00116860">
        <w:rPr>
          <w:rFonts w:ascii="Times New Roman" w:hAnsi="Times New Roman"/>
          <w:sz w:val="20"/>
          <w:lang w:val="en-SG"/>
        </w:rPr>
        <w:t xml:space="preserve"> (2022)</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68</w:t>
      </w:r>
      <w:r w:rsidR="00116860">
        <w:rPr>
          <w:rFonts w:ascii="Times New Roman" w:hAnsi="Times New Roman"/>
          <w:sz w:val="20"/>
          <w:lang w:val="en-SG"/>
        </w:rPr>
        <w:t>-</w:t>
      </w:r>
      <w:r w:rsidRPr="00135A39">
        <w:rPr>
          <w:rFonts w:ascii="Times New Roman" w:hAnsi="Times New Roman"/>
          <w:sz w:val="20"/>
          <w:lang w:val="en-SG"/>
        </w:rPr>
        <w:t xml:space="preserve">75. </w:t>
      </w:r>
    </w:p>
    <w:p w14:paraId="27A60952" w14:textId="350B0B8F" w:rsidR="00135A39" w:rsidRPr="00135A39" w:rsidRDefault="00135A39" w:rsidP="00141DD9">
      <w:pPr>
        <w:pStyle w:val="MDPI71References"/>
        <w:numPr>
          <w:ilvl w:val="0"/>
          <w:numId w:val="27"/>
        </w:numPr>
        <w:spacing w:line="360" w:lineRule="auto"/>
        <w:rPr>
          <w:rFonts w:ascii="Times New Roman" w:hAnsi="Times New Roman"/>
          <w:sz w:val="20"/>
          <w:lang w:val="en-SG"/>
        </w:rPr>
      </w:pPr>
      <w:proofErr w:type="spellStart"/>
      <w:r w:rsidRPr="00135A39">
        <w:rPr>
          <w:rFonts w:ascii="Times New Roman" w:hAnsi="Times New Roman"/>
          <w:sz w:val="20"/>
          <w:lang w:val="en-SG"/>
        </w:rPr>
        <w:lastRenderedPageBreak/>
        <w:t>Janzon</w:t>
      </w:r>
      <w:proofErr w:type="spellEnd"/>
      <w:r w:rsidRPr="00135A39">
        <w:rPr>
          <w:rFonts w:ascii="Times New Roman" w:hAnsi="Times New Roman"/>
          <w:sz w:val="20"/>
          <w:lang w:val="en-SG"/>
        </w:rPr>
        <w:t xml:space="preserve"> M, James S, Lindahl B, et al. Beta-Blockers after MI with Preserved EF. JAMA </w:t>
      </w:r>
      <w:proofErr w:type="spellStart"/>
      <w:r w:rsidRPr="00135A39">
        <w:rPr>
          <w:rFonts w:ascii="Times New Roman" w:hAnsi="Times New Roman"/>
          <w:sz w:val="20"/>
          <w:lang w:val="en-SG"/>
        </w:rPr>
        <w:t>Cardiol</w:t>
      </w:r>
      <w:proofErr w:type="spellEnd"/>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9</w:t>
      </w:r>
      <w:r w:rsidR="00116860">
        <w:rPr>
          <w:rFonts w:ascii="Times New Roman" w:hAnsi="Times New Roman"/>
          <w:sz w:val="20"/>
          <w:lang w:val="en-SG"/>
        </w:rPr>
        <w:t xml:space="preserve"> </w:t>
      </w:r>
      <w:r w:rsidRPr="00135A39">
        <w:rPr>
          <w:rFonts w:ascii="Times New Roman" w:hAnsi="Times New Roman"/>
          <w:sz w:val="20"/>
          <w:lang w:val="en-SG"/>
        </w:rPr>
        <w:t>(</w:t>
      </w:r>
      <w:r w:rsidR="00116860">
        <w:rPr>
          <w:rFonts w:ascii="Times New Roman" w:hAnsi="Times New Roman"/>
          <w:sz w:val="20"/>
          <w:lang w:val="en-SG"/>
        </w:rPr>
        <w:t>2024</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423</w:t>
      </w:r>
      <w:r w:rsidR="00116860">
        <w:rPr>
          <w:rFonts w:ascii="Times New Roman" w:hAnsi="Times New Roman"/>
          <w:sz w:val="20"/>
          <w:lang w:val="en-SG"/>
        </w:rPr>
        <w:t>-</w:t>
      </w:r>
      <w:r w:rsidRPr="00135A39">
        <w:rPr>
          <w:rFonts w:ascii="Times New Roman" w:hAnsi="Times New Roman"/>
          <w:sz w:val="20"/>
          <w:lang w:val="en-SG"/>
        </w:rPr>
        <w:t xml:space="preserve">430. </w:t>
      </w:r>
    </w:p>
    <w:p w14:paraId="27C0597F" w14:textId="03C73D80"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Pitt B, Bhatt DL, Edelmann F, et al. Beta-Blockers in Preserved EF Post-AMI. </w:t>
      </w:r>
      <w:proofErr w:type="spellStart"/>
      <w:r w:rsidRPr="00135A39">
        <w:rPr>
          <w:rFonts w:ascii="Times New Roman" w:hAnsi="Times New Roman"/>
          <w:sz w:val="20"/>
          <w:lang w:val="en-SG"/>
        </w:rPr>
        <w:t>Eur</w:t>
      </w:r>
      <w:proofErr w:type="spellEnd"/>
      <w:r w:rsidRPr="00135A39">
        <w:rPr>
          <w:rFonts w:ascii="Times New Roman" w:hAnsi="Times New Roman"/>
          <w:sz w:val="20"/>
          <w:lang w:val="en-SG"/>
        </w:rPr>
        <w:t xml:space="preserve"> Heart J.</w:t>
      </w:r>
      <w:r w:rsidR="00116860">
        <w:rPr>
          <w:rFonts w:ascii="Times New Roman" w:hAnsi="Times New Roman"/>
          <w:sz w:val="20"/>
          <w:lang w:val="en-SG"/>
        </w:rPr>
        <w:t xml:space="preserve"> </w:t>
      </w:r>
      <w:r w:rsidRPr="00135A39">
        <w:rPr>
          <w:rFonts w:ascii="Times New Roman" w:hAnsi="Times New Roman"/>
          <w:sz w:val="20"/>
          <w:lang w:val="en-SG"/>
        </w:rPr>
        <w:t>45</w:t>
      </w:r>
      <w:r w:rsidR="00116860">
        <w:rPr>
          <w:rFonts w:ascii="Times New Roman" w:hAnsi="Times New Roman"/>
          <w:sz w:val="20"/>
          <w:lang w:val="en-SG"/>
        </w:rPr>
        <w:t xml:space="preserve"> </w:t>
      </w:r>
      <w:r w:rsidRPr="00135A39">
        <w:rPr>
          <w:rFonts w:ascii="Times New Roman" w:hAnsi="Times New Roman"/>
          <w:sz w:val="20"/>
          <w:lang w:val="en-SG"/>
        </w:rPr>
        <w:t>(</w:t>
      </w:r>
      <w:r w:rsidR="00116860">
        <w:rPr>
          <w:rFonts w:ascii="Times New Roman" w:hAnsi="Times New Roman"/>
          <w:sz w:val="20"/>
          <w:lang w:val="en-SG"/>
        </w:rPr>
        <w:t>2024</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198</w:t>
      </w:r>
      <w:r w:rsidR="00116860">
        <w:rPr>
          <w:rFonts w:ascii="Times New Roman" w:hAnsi="Times New Roman"/>
          <w:sz w:val="20"/>
          <w:lang w:val="en-SG"/>
        </w:rPr>
        <w:t>-</w:t>
      </w:r>
      <w:r w:rsidRPr="00135A39">
        <w:rPr>
          <w:rFonts w:ascii="Times New Roman" w:hAnsi="Times New Roman"/>
          <w:sz w:val="20"/>
          <w:lang w:val="en-SG"/>
        </w:rPr>
        <w:t xml:space="preserve">210. </w:t>
      </w:r>
    </w:p>
    <w:p w14:paraId="19361449" w14:textId="0D8F1518"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Dondo TB, Hall M, West RM, et al. Beta-Blockers and Mortality after Acute MI. Heart.</w:t>
      </w:r>
      <w:r w:rsidR="00116860">
        <w:rPr>
          <w:rFonts w:ascii="Times New Roman" w:hAnsi="Times New Roman"/>
          <w:sz w:val="20"/>
          <w:lang w:val="en-SG"/>
        </w:rPr>
        <w:t xml:space="preserve"> </w:t>
      </w:r>
      <w:r w:rsidRPr="00135A39">
        <w:rPr>
          <w:rFonts w:ascii="Times New Roman" w:hAnsi="Times New Roman"/>
          <w:sz w:val="20"/>
          <w:lang w:val="en-SG"/>
        </w:rPr>
        <w:t>103</w:t>
      </w:r>
      <w:r w:rsidR="00116860">
        <w:rPr>
          <w:rFonts w:ascii="Times New Roman" w:hAnsi="Times New Roman"/>
          <w:sz w:val="20"/>
          <w:lang w:val="en-SG"/>
        </w:rPr>
        <w:t xml:space="preserve"> </w:t>
      </w:r>
      <w:r w:rsidRPr="00135A39">
        <w:rPr>
          <w:rFonts w:ascii="Times New Roman" w:hAnsi="Times New Roman"/>
          <w:sz w:val="20"/>
          <w:lang w:val="en-SG"/>
        </w:rPr>
        <w:t>(</w:t>
      </w:r>
      <w:r w:rsidR="00116860">
        <w:rPr>
          <w:rFonts w:ascii="Times New Roman" w:hAnsi="Times New Roman"/>
          <w:sz w:val="20"/>
          <w:lang w:val="en-SG"/>
        </w:rPr>
        <w:t>2017</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 xml:space="preserve">337–343. </w:t>
      </w:r>
    </w:p>
    <w:p w14:paraId="4AB5025F" w14:textId="4528F908"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Liberati A, Altman DG, Tetzlaff J, et al. The PRISMA Statement. </w:t>
      </w:r>
      <w:proofErr w:type="spellStart"/>
      <w:r w:rsidRPr="00135A39">
        <w:rPr>
          <w:rFonts w:ascii="Times New Roman" w:hAnsi="Times New Roman"/>
          <w:sz w:val="20"/>
          <w:lang w:val="en-SG"/>
        </w:rPr>
        <w:t>PLoS</w:t>
      </w:r>
      <w:proofErr w:type="spellEnd"/>
      <w:r w:rsidRPr="00135A39">
        <w:rPr>
          <w:rFonts w:ascii="Times New Roman" w:hAnsi="Times New Roman"/>
          <w:sz w:val="20"/>
          <w:lang w:val="en-SG"/>
        </w:rPr>
        <w:t xml:space="preserve"> Med.</w:t>
      </w:r>
      <w:r w:rsidR="00116860">
        <w:rPr>
          <w:rFonts w:ascii="Times New Roman" w:hAnsi="Times New Roman"/>
          <w:sz w:val="20"/>
          <w:lang w:val="en-SG"/>
        </w:rPr>
        <w:t xml:space="preserve"> </w:t>
      </w:r>
      <w:r w:rsidRPr="00135A39">
        <w:rPr>
          <w:rFonts w:ascii="Times New Roman" w:hAnsi="Times New Roman"/>
          <w:sz w:val="20"/>
          <w:lang w:val="en-SG"/>
        </w:rPr>
        <w:t>6</w:t>
      </w:r>
      <w:r w:rsidR="00116860">
        <w:rPr>
          <w:rFonts w:ascii="Times New Roman" w:hAnsi="Times New Roman"/>
          <w:sz w:val="20"/>
          <w:lang w:val="en-SG"/>
        </w:rPr>
        <w:t xml:space="preserve"> </w:t>
      </w:r>
      <w:r w:rsidRPr="00135A39">
        <w:rPr>
          <w:rFonts w:ascii="Times New Roman" w:hAnsi="Times New Roman"/>
          <w:sz w:val="20"/>
          <w:lang w:val="en-SG"/>
        </w:rPr>
        <w:t>(</w:t>
      </w:r>
      <w:r w:rsidR="00116860">
        <w:rPr>
          <w:rFonts w:ascii="Times New Roman" w:hAnsi="Times New Roman"/>
          <w:sz w:val="20"/>
          <w:lang w:val="en-SG"/>
        </w:rPr>
        <w:t>2009</w:t>
      </w:r>
      <w:r w:rsidRPr="00135A39">
        <w:rPr>
          <w:rFonts w:ascii="Times New Roman" w:hAnsi="Times New Roman"/>
          <w:sz w:val="20"/>
          <w:lang w:val="en-SG"/>
        </w:rPr>
        <w:t>):</w:t>
      </w:r>
      <w:r w:rsidR="00116860">
        <w:rPr>
          <w:rFonts w:ascii="Times New Roman" w:hAnsi="Times New Roman"/>
          <w:sz w:val="20"/>
          <w:lang w:val="en-SG"/>
        </w:rPr>
        <w:t xml:space="preserve"> </w:t>
      </w:r>
      <w:r w:rsidRPr="00135A39">
        <w:rPr>
          <w:rFonts w:ascii="Times New Roman" w:hAnsi="Times New Roman"/>
          <w:sz w:val="20"/>
          <w:lang w:val="en-SG"/>
        </w:rPr>
        <w:t xml:space="preserve">e1000097. </w:t>
      </w:r>
    </w:p>
    <w:p w14:paraId="4038909A" w14:textId="4FE69467" w:rsidR="00135A39" w:rsidRPr="00116860" w:rsidRDefault="00135A39" w:rsidP="00141DD9">
      <w:pPr>
        <w:pStyle w:val="MDPI71References"/>
        <w:numPr>
          <w:ilvl w:val="0"/>
          <w:numId w:val="27"/>
        </w:numPr>
        <w:spacing w:line="360" w:lineRule="auto"/>
        <w:rPr>
          <w:rFonts w:ascii="Times New Roman" w:hAnsi="Times New Roman"/>
          <w:sz w:val="20"/>
          <w:lang w:val="en-SG"/>
        </w:rPr>
      </w:pPr>
      <w:r w:rsidRPr="00116860">
        <w:rPr>
          <w:rFonts w:ascii="Times New Roman" w:hAnsi="Times New Roman"/>
          <w:sz w:val="20"/>
          <w:lang w:val="en-SG"/>
        </w:rPr>
        <w:t>Sterne JAC, Egger M. Funnel Plots for Detecting Bias in Meta-Analysis. Stat Med.</w:t>
      </w:r>
      <w:r w:rsidR="004A43EB">
        <w:rPr>
          <w:rFonts w:ascii="Times New Roman" w:hAnsi="Times New Roman"/>
          <w:sz w:val="20"/>
          <w:lang w:val="en-SG"/>
        </w:rPr>
        <w:t xml:space="preserve"> </w:t>
      </w:r>
      <w:r w:rsidRPr="00116860">
        <w:rPr>
          <w:rFonts w:ascii="Times New Roman" w:hAnsi="Times New Roman"/>
          <w:sz w:val="20"/>
          <w:lang w:val="en-SG"/>
        </w:rPr>
        <w:t>20</w:t>
      </w:r>
      <w:r w:rsidR="004A43EB">
        <w:rPr>
          <w:rFonts w:ascii="Times New Roman" w:hAnsi="Times New Roman"/>
          <w:sz w:val="20"/>
          <w:lang w:val="en-SG"/>
        </w:rPr>
        <w:t xml:space="preserve"> </w:t>
      </w:r>
      <w:r w:rsidRPr="00116860">
        <w:rPr>
          <w:rFonts w:ascii="Times New Roman" w:hAnsi="Times New Roman"/>
          <w:sz w:val="20"/>
          <w:lang w:val="en-SG"/>
        </w:rPr>
        <w:t>(</w:t>
      </w:r>
      <w:r w:rsidR="004A43EB">
        <w:rPr>
          <w:rFonts w:ascii="Times New Roman" w:hAnsi="Times New Roman"/>
          <w:sz w:val="20"/>
          <w:lang w:val="en-SG"/>
        </w:rPr>
        <w:t>2001</w:t>
      </w:r>
      <w:r w:rsidRPr="00116860">
        <w:rPr>
          <w:rFonts w:ascii="Times New Roman" w:hAnsi="Times New Roman"/>
          <w:sz w:val="20"/>
          <w:lang w:val="en-SG"/>
        </w:rPr>
        <w:t>):</w:t>
      </w:r>
      <w:r w:rsidR="004A43EB">
        <w:rPr>
          <w:rFonts w:ascii="Times New Roman" w:hAnsi="Times New Roman"/>
          <w:sz w:val="20"/>
          <w:lang w:val="en-SG"/>
        </w:rPr>
        <w:t xml:space="preserve"> </w:t>
      </w:r>
      <w:r w:rsidRPr="00116860">
        <w:rPr>
          <w:rFonts w:ascii="Times New Roman" w:hAnsi="Times New Roman"/>
          <w:sz w:val="20"/>
          <w:lang w:val="en-SG"/>
        </w:rPr>
        <w:t xml:space="preserve">641–654. </w:t>
      </w:r>
    </w:p>
    <w:p w14:paraId="551042F4" w14:textId="5BD80DDB"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Schwarzer G. meta: An R Package for Meta-Analysis. R News</w:t>
      </w:r>
      <w:r w:rsidR="004A43EB">
        <w:rPr>
          <w:rFonts w:ascii="Times New Roman" w:hAnsi="Times New Roman"/>
          <w:sz w:val="20"/>
          <w:lang w:val="en-SG"/>
        </w:rPr>
        <w:t xml:space="preserve"> </w:t>
      </w:r>
      <w:r w:rsidRPr="00135A39">
        <w:rPr>
          <w:rFonts w:ascii="Times New Roman" w:hAnsi="Times New Roman"/>
          <w:sz w:val="20"/>
          <w:lang w:val="en-SG"/>
        </w:rPr>
        <w:t>7</w:t>
      </w:r>
      <w:r w:rsidR="004A43EB">
        <w:rPr>
          <w:rFonts w:ascii="Times New Roman" w:hAnsi="Times New Roman"/>
          <w:sz w:val="20"/>
          <w:lang w:val="en-SG"/>
        </w:rPr>
        <w:t xml:space="preserve"> </w:t>
      </w:r>
      <w:r w:rsidRPr="00135A39">
        <w:rPr>
          <w:rFonts w:ascii="Times New Roman" w:hAnsi="Times New Roman"/>
          <w:sz w:val="20"/>
          <w:lang w:val="en-SG"/>
        </w:rPr>
        <w:t>(</w:t>
      </w:r>
      <w:r w:rsidR="004A43EB">
        <w:rPr>
          <w:rFonts w:ascii="Times New Roman" w:hAnsi="Times New Roman"/>
          <w:sz w:val="20"/>
          <w:lang w:val="en-SG"/>
        </w:rPr>
        <w:t>2007</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40</w:t>
      </w:r>
      <w:r w:rsidR="004A43EB">
        <w:rPr>
          <w:rFonts w:ascii="Times New Roman" w:hAnsi="Times New Roman"/>
          <w:sz w:val="20"/>
          <w:lang w:val="en-SG"/>
        </w:rPr>
        <w:t>-</w:t>
      </w:r>
      <w:r w:rsidRPr="00135A39">
        <w:rPr>
          <w:rFonts w:ascii="Times New Roman" w:hAnsi="Times New Roman"/>
          <w:sz w:val="20"/>
          <w:lang w:val="en-SG"/>
        </w:rPr>
        <w:t xml:space="preserve">45. </w:t>
      </w:r>
    </w:p>
    <w:p w14:paraId="6BE570C4" w14:textId="0A986D9E" w:rsidR="00135A39" w:rsidRPr="00135A39" w:rsidRDefault="00135A39" w:rsidP="00141DD9">
      <w:pPr>
        <w:pStyle w:val="MDPI71References"/>
        <w:numPr>
          <w:ilvl w:val="0"/>
          <w:numId w:val="27"/>
        </w:numPr>
        <w:spacing w:line="360" w:lineRule="auto"/>
        <w:rPr>
          <w:rFonts w:ascii="Times New Roman" w:hAnsi="Times New Roman"/>
          <w:sz w:val="20"/>
          <w:lang w:val="en-SG"/>
        </w:rPr>
      </w:pPr>
      <w:proofErr w:type="spellStart"/>
      <w:r w:rsidRPr="00135A39">
        <w:rPr>
          <w:rFonts w:ascii="Times New Roman" w:hAnsi="Times New Roman"/>
          <w:sz w:val="20"/>
          <w:lang w:val="en-SG"/>
        </w:rPr>
        <w:t>Viechtbauer</w:t>
      </w:r>
      <w:proofErr w:type="spellEnd"/>
      <w:r w:rsidRPr="00135A39">
        <w:rPr>
          <w:rFonts w:ascii="Times New Roman" w:hAnsi="Times New Roman"/>
          <w:sz w:val="20"/>
          <w:lang w:val="en-SG"/>
        </w:rPr>
        <w:t xml:space="preserve"> W. Conducting Meta-Analyses in R with the </w:t>
      </w:r>
      <w:proofErr w:type="spellStart"/>
      <w:r w:rsidRPr="00135A39">
        <w:rPr>
          <w:rFonts w:ascii="Times New Roman" w:hAnsi="Times New Roman"/>
          <w:sz w:val="20"/>
          <w:lang w:val="en-SG"/>
        </w:rPr>
        <w:t>metafor</w:t>
      </w:r>
      <w:proofErr w:type="spellEnd"/>
      <w:r w:rsidRPr="00135A39">
        <w:rPr>
          <w:rFonts w:ascii="Times New Roman" w:hAnsi="Times New Roman"/>
          <w:sz w:val="20"/>
          <w:lang w:val="en-SG"/>
        </w:rPr>
        <w:t xml:space="preserve"> Package. J Stat </w:t>
      </w:r>
      <w:proofErr w:type="spellStart"/>
      <w:r w:rsidRPr="00135A39">
        <w:rPr>
          <w:rFonts w:ascii="Times New Roman" w:hAnsi="Times New Roman"/>
          <w:sz w:val="20"/>
          <w:lang w:val="en-SG"/>
        </w:rPr>
        <w:t>Softw</w:t>
      </w:r>
      <w:proofErr w:type="spellEnd"/>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36</w:t>
      </w:r>
      <w:r w:rsidR="004A43EB">
        <w:rPr>
          <w:rFonts w:ascii="Times New Roman" w:hAnsi="Times New Roman"/>
          <w:sz w:val="20"/>
          <w:lang w:val="en-SG"/>
        </w:rPr>
        <w:t xml:space="preserve"> </w:t>
      </w:r>
      <w:r w:rsidRPr="00135A39">
        <w:rPr>
          <w:rFonts w:ascii="Times New Roman" w:hAnsi="Times New Roman"/>
          <w:sz w:val="20"/>
          <w:lang w:val="en-SG"/>
        </w:rPr>
        <w:t>(</w:t>
      </w:r>
      <w:r w:rsidR="004A43EB">
        <w:rPr>
          <w:rFonts w:ascii="Times New Roman" w:hAnsi="Times New Roman"/>
          <w:sz w:val="20"/>
          <w:lang w:val="en-SG"/>
        </w:rPr>
        <w:t>2010</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1</w:t>
      </w:r>
      <w:r w:rsidR="004A43EB">
        <w:rPr>
          <w:rFonts w:ascii="Times New Roman" w:hAnsi="Times New Roman"/>
          <w:sz w:val="20"/>
          <w:lang w:val="en-SG"/>
        </w:rPr>
        <w:t>-</w:t>
      </w:r>
      <w:r w:rsidRPr="00135A39">
        <w:rPr>
          <w:rFonts w:ascii="Times New Roman" w:hAnsi="Times New Roman"/>
          <w:sz w:val="20"/>
          <w:lang w:val="en-SG"/>
        </w:rPr>
        <w:t xml:space="preserve">48. </w:t>
      </w:r>
    </w:p>
    <w:p w14:paraId="5C23FF25" w14:textId="14B1FED3"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Chen ZY, Lin HJ, Chen HY, et al. Beta-Blocker Use and Mortality in Post-AMI with Preserved EF. Am Heart J.</w:t>
      </w:r>
      <w:r w:rsidR="004A43EB">
        <w:rPr>
          <w:rFonts w:ascii="Times New Roman" w:hAnsi="Times New Roman"/>
          <w:sz w:val="20"/>
          <w:lang w:val="en-SG"/>
        </w:rPr>
        <w:t xml:space="preserve"> </w:t>
      </w:r>
      <w:r w:rsidRPr="00135A39">
        <w:rPr>
          <w:rFonts w:ascii="Times New Roman" w:hAnsi="Times New Roman"/>
          <w:sz w:val="20"/>
          <w:lang w:val="en-SG"/>
        </w:rPr>
        <w:t>235</w:t>
      </w:r>
      <w:r w:rsidR="004A43EB">
        <w:rPr>
          <w:rFonts w:ascii="Times New Roman" w:hAnsi="Times New Roman"/>
          <w:sz w:val="20"/>
          <w:lang w:val="en-SG"/>
        </w:rPr>
        <w:t xml:space="preserve"> (2021)</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91–99.</w:t>
      </w:r>
    </w:p>
    <w:p w14:paraId="6C0016AA" w14:textId="0B898F84"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Choo EH, Chang K, Lee KY, et al. Benefit of Beta-Blocker Treatment for Patients with AMI and Preserved Systolic Function. Int J </w:t>
      </w:r>
      <w:proofErr w:type="spellStart"/>
      <w:r w:rsidRPr="00135A39">
        <w:rPr>
          <w:rFonts w:ascii="Times New Roman" w:hAnsi="Times New Roman"/>
          <w:sz w:val="20"/>
          <w:lang w:val="en-SG"/>
        </w:rPr>
        <w:t>Cardiol</w:t>
      </w:r>
      <w:proofErr w:type="spellEnd"/>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170</w:t>
      </w:r>
      <w:r w:rsidR="004A43EB">
        <w:rPr>
          <w:rFonts w:ascii="Times New Roman" w:hAnsi="Times New Roman"/>
          <w:sz w:val="20"/>
          <w:lang w:val="en-SG"/>
        </w:rPr>
        <w:t xml:space="preserve"> </w:t>
      </w:r>
      <w:r w:rsidRPr="00135A39">
        <w:rPr>
          <w:rFonts w:ascii="Times New Roman" w:hAnsi="Times New Roman"/>
          <w:sz w:val="20"/>
          <w:lang w:val="en-SG"/>
        </w:rPr>
        <w:t>(</w:t>
      </w:r>
      <w:r w:rsidR="004A43EB">
        <w:rPr>
          <w:rFonts w:ascii="Times New Roman" w:hAnsi="Times New Roman"/>
          <w:sz w:val="20"/>
          <w:lang w:val="en-SG"/>
        </w:rPr>
        <w:t>2014</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 xml:space="preserve">352–357. </w:t>
      </w:r>
    </w:p>
    <w:p w14:paraId="5A726AFF" w14:textId="37536A89"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El </w:t>
      </w:r>
      <w:proofErr w:type="spellStart"/>
      <w:r w:rsidRPr="00135A39">
        <w:rPr>
          <w:rFonts w:ascii="Times New Roman" w:hAnsi="Times New Roman"/>
          <w:sz w:val="20"/>
          <w:lang w:val="en-SG"/>
        </w:rPr>
        <w:t>Nasasra</w:t>
      </w:r>
      <w:proofErr w:type="spellEnd"/>
      <w:r w:rsidRPr="00135A39">
        <w:rPr>
          <w:rFonts w:ascii="Times New Roman" w:hAnsi="Times New Roman"/>
          <w:sz w:val="20"/>
          <w:lang w:val="en-SG"/>
        </w:rPr>
        <w:t xml:space="preserve"> A, Atar S, </w:t>
      </w:r>
      <w:proofErr w:type="spellStart"/>
      <w:r w:rsidRPr="00135A39">
        <w:rPr>
          <w:rFonts w:ascii="Times New Roman" w:hAnsi="Times New Roman"/>
          <w:sz w:val="20"/>
          <w:lang w:val="en-SG"/>
        </w:rPr>
        <w:t>Cafri</w:t>
      </w:r>
      <w:proofErr w:type="spellEnd"/>
      <w:r w:rsidRPr="00135A39">
        <w:rPr>
          <w:rFonts w:ascii="Times New Roman" w:hAnsi="Times New Roman"/>
          <w:sz w:val="20"/>
          <w:lang w:val="en-SG"/>
        </w:rPr>
        <w:t xml:space="preserve"> C, et al. Beta-Blockers after MI with Preserved EF: Israeli Registry. Int J </w:t>
      </w:r>
      <w:proofErr w:type="spellStart"/>
      <w:r w:rsidRPr="00135A39">
        <w:rPr>
          <w:rFonts w:ascii="Times New Roman" w:hAnsi="Times New Roman"/>
          <w:sz w:val="20"/>
          <w:lang w:val="en-SG"/>
        </w:rPr>
        <w:t>Cardiol</w:t>
      </w:r>
      <w:proofErr w:type="spellEnd"/>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330</w:t>
      </w:r>
      <w:r w:rsidR="004A43EB">
        <w:rPr>
          <w:rFonts w:ascii="Times New Roman" w:hAnsi="Times New Roman"/>
          <w:sz w:val="20"/>
          <w:lang w:val="en-SG"/>
        </w:rPr>
        <w:t xml:space="preserve"> (2021)</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106</w:t>
      </w:r>
      <w:r w:rsidR="004A43EB">
        <w:rPr>
          <w:rFonts w:ascii="Times New Roman" w:hAnsi="Times New Roman"/>
          <w:sz w:val="20"/>
          <w:lang w:val="en-SG"/>
        </w:rPr>
        <w:t>-</w:t>
      </w:r>
      <w:r w:rsidRPr="00135A39">
        <w:rPr>
          <w:rFonts w:ascii="Times New Roman" w:hAnsi="Times New Roman"/>
          <w:sz w:val="20"/>
          <w:lang w:val="en-SG"/>
        </w:rPr>
        <w:t xml:space="preserve">111. </w:t>
      </w:r>
    </w:p>
    <w:p w14:paraId="727FA08F" w14:textId="162ACA5C"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Ishak MN, Aziz F, Kamarulzaman A, et al. Beta-Blocker Therapy in Post-MI Patients with Preserved EF: Malaysian Registry. Clin Res </w:t>
      </w:r>
      <w:proofErr w:type="spellStart"/>
      <w:r w:rsidRPr="00135A39">
        <w:rPr>
          <w:rFonts w:ascii="Times New Roman" w:hAnsi="Times New Roman"/>
          <w:sz w:val="20"/>
          <w:lang w:val="en-SG"/>
        </w:rPr>
        <w:t>Cardiol</w:t>
      </w:r>
      <w:proofErr w:type="spellEnd"/>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112</w:t>
      </w:r>
      <w:r w:rsidR="004A43EB">
        <w:rPr>
          <w:rFonts w:ascii="Times New Roman" w:hAnsi="Times New Roman"/>
          <w:sz w:val="20"/>
          <w:lang w:val="en-SG"/>
        </w:rPr>
        <w:t xml:space="preserve"> </w:t>
      </w:r>
      <w:r w:rsidRPr="00135A39">
        <w:rPr>
          <w:rFonts w:ascii="Times New Roman" w:hAnsi="Times New Roman"/>
          <w:sz w:val="20"/>
          <w:lang w:val="en-SG"/>
        </w:rPr>
        <w:t>(</w:t>
      </w:r>
      <w:r w:rsidR="004A43EB">
        <w:rPr>
          <w:rFonts w:ascii="Times New Roman" w:hAnsi="Times New Roman"/>
          <w:sz w:val="20"/>
          <w:lang w:val="en-SG"/>
        </w:rPr>
        <w:t>202</w:t>
      </w:r>
      <w:r w:rsidRPr="00135A39">
        <w:rPr>
          <w:rFonts w:ascii="Times New Roman" w:hAnsi="Times New Roman"/>
          <w:sz w:val="20"/>
          <w:lang w:val="en-SG"/>
        </w:rPr>
        <w:t>3):</w:t>
      </w:r>
      <w:r w:rsidR="004A43EB">
        <w:rPr>
          <w:rFonts w:ascii="Times New Roman" w:hAnsi="Times New Roman"/>
          <w:sz w:val="20"/>
          <w:lang w:val="en-SG"/>
        </w:rPr>
        <w:t xml:space="preserve"> </w:t>
      </w:r>
      <w:r w:rsidRPr="00135A39">
        <w:rPr>
          <w:rFonts w:ascii="Times New Roman" w:hAnsi="Times New Roman"/>
          <w:sz w:val="20"/>
          <w:lang w:val="en-SG"/>
        </w:rPr>
        <w:t>301</w:t>
      </w:r>
      <w:r w:rsidR="004A43EB">
        <w:rPr>
          <w:rFonts w:ascii="Times New Roman" w:hAnsi="Times New Roman"/>
          <w:sz w:val="20"/>
          <w:lang w:val="en-SG"/>
        </w:rPr>
        <w:t>-</w:t>
      </w:r>
      <w:r w:rsidRPr="00135A39">
        <w:rPr>
          <w:rFonts w:ascii="Times New Roman" w:hAnsi="Times New Roman"/>
          <w:sz w:val="20"/>
          <w:lang w:val="en-SG"/>
        </w:rPr>
        <w:t xml:space="preserve">312. </w:t>
      </w:r>
    </w:p>
    <w:p w14:paraId="253F8BAE" w14:textId="02A1F4EE"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Joo HJ, Ahn SG, Park JH, et al. Effects of Beta-Blocker Therapy in AMI Patients with Preserved Systolic Function. Int J </w:t>
      </w:r>
      <w:proofErr w:type="spellStart"/>
      <w:r w:rsidRPr="00135A39">
        <w:rPr>
          <w:rFonts w:ascii="Times New Roman" w:hAnsi="Times New Roman"/>
          <w:sz w:val="20"/>
          <w:lang w:val="en-SG"/>
        </w:rPr>
        <w:t>Cardiol</w:t>
      </w:r>
      <w:proofErr w:type="spellEnd"/>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335</w:t>
      </w:r>
      <w:r w:rsidR="004A43EB">
        <w:rPr>
          <w:rFonts w:ascii="Times New Roman" w:hAnsi="Times New Roman"/>
          <w:sz w:val="20"/>
          <w:lang w:val="en-SG"/>
        </w:rPr>
        <w:t xml:space="preserve"> (2021)</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59</w:t>
      </w:r>
      <w:r w:rsidR="004A43EB">
        <w:rPr>
          <w:rFonts w:ascii="Times New Roman" w:hAnsi="Times New Roman"/>
          <w:sz w:val="20"/>
          <w:lang w:val="en-SG"/>
        </w:rPr>
        <w:t>-</w:t>
      </w:r>
      <w:r w:rsidRPr="00135A39">
        <w:rPr>
          <w:rFonts w:ascii="Times New Roman" w:hAnsi="Times New Roman"/>
          <w:sz w:val="20"/>
          <w:lang w:val="en-SG"/>
        </w:rPr>
        <w:t xml:space="preserve">65. </w:t>
      </w:r>
    </w:p>
    <w:p w14:paraId="11DE6443" w14:textId="1A3E0935" w:rsidR="00135A39" w:rsidRPr="00135A39" w:rsidRDefault="00135A39" w:rsidP="00141DD9">
      <w:pPr>
        <w:pStyle w:val="MDPI71References"/>
        <w:numPr>
          <w:ilvl w:val="0"/>
          <w:numId w:val="27"/>
        </w:numPr>
        <w:spacing w:line="360" w:lineRule="auto"/>
        <w:rPr>
          <w:rFonts w:ascii="Times New Roman" w:hAnsi="Times New Roman"/>
          <w:sz w:val="20"/>
          <w:lang w:val="en-SG"/>
        </w:rPr>
      </w:pPr>
      <w:proofErr w:type="spellStart"/>
      <w:r w:rsidRPr="00135A39">
        <w:rPr>
          <w:rFonts w:ascii="Times New Roman" w:hAnsi="Times New Roman"/>
          <w:sz w:val="20"/>
          <w:lang w:val="en-SG"/>
        </w:rPr>
        <w:t>Raposeiras-Roubin</w:t>
      </w:r>
      <w:proofErr w:type="spellEnd"/>
      <w:r w:rsidRPr="00135A39">
        <w:rPr>
          <w:rFonts w:ascii="Times New Roman" w:hAnsi="Times New Roman"/>
          <w:sz w:val="20"/>
          <w:lang w:val="en-SG"/>
        </w:rPr>
        <w:t xml:space="preserve"> S, Abu Assi E, Cabanas-</w:t>
      </w:r>
      <w:proofErr w:type="spellStart"/>
      <w:r w:rsidRPr="00135A39">
        <w:rPr>
          <w:rFonts w:ascii="Times New Roman" w:hAnsi="Times New Roman"/>
          <w:sz w:val="20"/>
          <w:lang w:val="en-SG"/>
        </w:rPr>
        <w:t>Grandio</w:t>
      </w:r>
      <w:proofErr w:type="spellEnd"/>
      <w:r w:rsidRPr="00135A39">
        <w:rPr>
          <w:rFonts w:ascii="Times New Roman" w:hAnsi="Times New Roman"/>
          <w:sz w:val="20"/>
          <w:lang w:val="en-SG"/>
        </w:rPr>
        <w:t xml:space="preserve"> P, et al. Beta-Blocker Treatment and Mortality in AMI with Preserved LVEF. Int J </w:t>
      </w:r>
      <w:proofErr w:type="spellStart"/>
      <w:r w:rsidRPr="00135A39">
        <w:rPr>
          <w:rFonts w:ascii="Times New Roman" w:hAnsi="Times New Roman"/>
          <w:sz w:val="20"/>
          <w:lang w:val="en-SG"/>
        </w:rPr>
        <w:t>Cardiol</w:t>
      </w:r>
      <w:proofErr w:type="spellEnd"/>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186</w:t>
      </w:r>
      <w:r w:rsidR="004A43EB">
        <w:rPr>
          <w:rFonts w:ascii="Times New Roman" w:hAnsi="Times New Roman"/>
          <w:sz w:val="20"/>
          <w:lang w:val="en-SG"/>
        </w:rPr>
        <w:t xml:space="preserve"> (2015)</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223</w:t>
      </w:r>
      <w:r w:rsidR="004A43EB">
        <w:rPr>
          <w:rFonts w:ascii="Times New Roman" w:hAnsi="Times New Roman"/>
          <w:sz w:val="20"/>
          <w:lang w:val="en-SG"/>
        </w:rPr>
        <w:t>-</w:t>
      </w:r>
      <w:r w:rsidRPr="00135A39">
        <w:rPr>
          <w:rFonts w:ascii="Times New Roman" w:hAnsi="Times New Roman"/>
          <w:sz w:val="20"/>
          <w:lang w:val="en-SG"/>
        </w:rPr>
        <w:t xml:space="preserve">225. </w:t>
      </w:r>
    </w:p>
    <w:p w14:paraId="1BB90DD9" w14:textId="58F3F951"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Siu CW, Jim MH, Ho HH, et al. Beta-Blocker Use and Outcomes in AMI with Preserved LV Function. Int J </w:t>
      </w:r>
      <w:proofErr w:type="spellStart"/>
      <w:r w:rsidRPr="00135A39">
        <w:rPr>
          <w:rFonts w:ascii="Times New Roman" w:hAnsi="Times New Roman"/>
          <w:sz w:val="20"/>
          <w:lang w:val="en-SG"/>
        </w:rPr>
        <w:t>Cardiol</w:t>
      </w:r>
      <w:proofErr w:type="spellEnd"/>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145</w:t>
      </w:r>
      <w:r w:rsidR="004A43EB">
        <w:rPr>
          <w:rFonts w:ascii="Times New Roman" w:hAnsi="Times New Roman"/>
          <w:sz w:val="20"/>
          <w:lang w:val="en-SG"/>
        </w:rPr>
        <w:t xml:space="preserve"> </w:t>
      </w:r>
      <w:r w:rsidRPr="00135A39">
        <w:rPr>
          <w:rFonts w:ascii="Times New Roman" w:hAnsi="Times New Roman"/>
          <w:sz w:val="20"/>
          <w:lang w:val="en-SG"/>
        </w:rPr>
        <w:t>(</w:t>
      </w:r>
      <w:r w:rsidR="004A43EB">
        <w:rPr>
          <w:rFonts w:ascii="Times New Roman" w:hAnsi="Times New Roman"/>
          <w:sz w:val="20"/>
          <w:lang w:val="en-SG"/>
        </w:rPr>
        <w:t>2010</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153</w:t>
      </w:r>
      <w:r w:rsidR="004A43EB">
        <w:rPr>
          <w:rFonts w:ascii="Times New Roman" w:hAnsi="Times New Roman"/>
          <w:sz w:val="20"/>
          <w:lang w:val="en-SG"/>
        </w:rPr>
        <w:t>-</w:t>
      </w:r>
      <w:r w:rsidRPr="00135A39">
        <w:rPr>
          <w:rFonts w:ascii="Times New Roman" w:hAnsi="Times New Roman"/>
          <w:sz w:val="20"/>
          <w:lang w:val="en-SG"/>
        </w:rPr>
        <w:t xml:space="preserve">154. </w:t>
      </w:r>
    </w:p>
    <w:p w14:paraId="2554F774" w14:textId="22B078B6"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Song C, Fu R, Yang J, et al. Beta-Blocker Use and Mortality in Post-AMI with Preserved EF. Am Heart J.</w:t>
      </w:r>
      <w:r w:rsidR="004A43EB">
        <w:rPr>
          <w:rFonts w:ascii="Times New Roman" w:hAnsi="Times New Roman"/>
          <w:sz w:val="20"/>
          <w:lang w:val="en-SG"/>
        </w:rPr>
        <w:t xml:space="preserve"> </w:t>
      </w:r>
      <w:r w:rsidRPr="00135A39">
        <w:rPr>
          <w:rFonts w:ascii="Times New Roman" w:hAnsi="Times New Roman"/>
          <w:sz w:val="20"/>
          <w:lang w:val="en-SG"/>
        </w:rPr>
        <w:t>236</w:t>
      </w:r>
      <w:r w:rsidR="004A43EB">
        <w:rPr>
          <w:rFonts w:ascii="Times New Roman" w:hAnsi="Times New Roman"/>
          <w:sz w:val="20"/>
          <w:lang w:val="en-SG"/>
        </w:rPr>
        <w:t xml:space="preserve"> (2021)</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 xml:space="preserve">10–17. </w:t>
      </w:r>
    </w:p>
    <w:p w14:paraId="47A5EAC4" w14:textId="6713A140"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Di Fusco SA, Matteucci A, Alonzo A, et al. Beta-Blocker Therapy After Myocardial Infarction: A Systematic Review and Meta-Analysis of Contemporary Randomized Controlled Trials. Int J Mol Sci.</w:t>
      </w:r>
      <w:r w:rsidR="004A43EB">
        <w:rPr>
          <w:rFonts w:ascii="Times New Roman" w:hAnsi="Times New Roman"/>
          <w:sz w:val="20"/>
          <w:lang w:val="en-SG"/>
        </w:rPr>
        <w:t xml:space="preserve"> </w:t>
      </w:r>
      <w:r w:rsidRPr="00135A39">
        <w:rPr>
          <w:rFonts w:ascii="Times New Roman" w:hAnsi="Times New Roman"/>
          <w:sz w:val="20"/>
          <w:lang w:val="en-SG"/>
        </w:rPr>
        <w:t>27</w:t>
      </w:r>
      <w:r w:rsidR="004A43EB">
        <w:rPr>
          <w:rFonts w:ascii="Times New Roman" w:hAnsi="Times New Roman"/>
          <w:sz w:val="20"/>
          <w:lang w:val="en-SG"/>
        </w:rPr>
        <w:t xml:space="preserve"> </w:t>
      </w:r>
      <w:r w:rsidRPr="00135A39">
        <w:rPr>
          <w:rFonts w:ascii="Times New Roman" w:hAnsi="Times New Roman"/>
          <w:sz w:val="20"/>
          <w:lang w:val="en-SG"/>
        </w:rPr>
        <w:t>(</w:t>
      </w:r>
      <w:r w:rsidR="004A43EB">
        <w:rPr>
          <w:rFonts w:ascii="Times New Roman" w:hAnsi="Times New Roman"/>
          <w:sz w:val="20"/>
          <w:lang w:val="en-SG"/>
        </w:rPr>
        <w:t>2026</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 xml:space="preserve">2363. </w:t>
      </w:r>
    </w:p>
    <w:p w14:paraId="432C41F0" w14:textId="771E0ADC"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Bangalore S, Makani H, Radford M, et al. Clinical Outcomes with Beta-Blockers for MI: Meta-Analysis. Am J Med.</w:t>
      </w:r>
      <w:r w:rsidR="004A43EB">
        <w:rPr>
          <w:rFonts w:ascii="Times New Roman" w:hAnsi="Times New Roman"/>
          <w:sz w:val="20"/>
          <w:lang w:val="en-SG"/>
        </w:rPr>
        <w:t xml:space="preserve"> </w:t>
      </w:r>
      <w:r w:rsidRPr="00135A39">
        <w:rPr>
          <w:rFonts w:ascii="Times New Roman" w:hAnsi="Times New Roman"/>
          <w:sz w:val="20"/>
          <w:lang w:val="en-SG"/>
        </w:rPr>
        <w:t>127</w:t>
      </w:r>
      <w:r w:rsidR="004A43EB">
        <w:rPr>
          <w:rFonts w:ascii="Times New Roman" w:hAnsi="Times New Roman"/>
          <w:sz w:val="20"/>
          <w:lang w:val="en-SG"/>
        </w:rPr>
        <w:t xml:space="preserve"> </w:t>
      </w:r>
      <w:r w:rsidRPr="00135A39">
        <w:rPr>
          <w:rFonts w:ascii="Times New Roman" w:hAnsi="Times New Roman"/>
          <w:sz w:val="20"/>
          <w:lang w:val="en-SG"/>
        </w:rPr>
        <w:t>(</w:t>
      </w:r>
      <w:r w:rsidR="004A43EB">
        <w:rPr>
          <w:rFonts w:ascii="Times New Roman" w:hAnsi="Times New Roman"/>
          <w:sz w:val="20"/>
          <w:lang w:val="en-SG"/>
        </w:rPr>
        <w:t>2014</w:t>
      </w:r>
      <w:r w:rsidRPr="00135A39">
        <w:rPr>
          <w:rFonts w:ascii="Times New Roman" w:hAnsi="Times New Roman"/>
          <w:sz w:val="20"/>
          <w:lang w:val="en-SG"/>
        </w:rPr>
        <w:t>):</w:t>
      </w:r>
      <w:r w:rsidR="004A43EB">
        <w:rPr>
          <w:rFonts w:ascii="Times New Roman" w:hAnsi="Times New Roman"/>
          <w:sz w:val="20"/>
          <w:lang w:val="en-SG"/>
        </w:rPr>
        <w:t xml:space="preserve"> </w:t>
      </w:r>
      <w:r w:rsidRPr="00135A39">
        <w:rPr>
          <w:rFonts w:ascii="Times New Roman" w:hAnsi="Times New Roman"/>
          <w:sz w:val="20"/>
          <w:lang w:val="en-SG"/>
        </w:rPr>
        <w:t xml:space="preserve">939–953. </w:t>
      </w:r>
    </w:p>
    <w:p w14:paraId="20A91574" w14:textId="5693885D" w:rsidR="00135A39" w:rsidRPr="004A43EB" w:rsidRDefault="00135A39" w:rsidP="00141DD9">
      <w:pPr>
        <w:pStyle w:val="MDPI71References"/>
        <w:numPr>
          <w:ilvl w:val="0"/>
          <w:numId w:val="27"/>
        </w:numPr>
        <w:spacing w:line="360" w:lineRule="auto"/>
        <w:rPr>
          <w:rFonts w:ascii="Times New Roman" w:hAnsi="Times New Roman"/>
          <w:sz w:val="20"/>
          <w:lang w:val="en-SG"/>
        </w:rPr>
      </w:pPr>
      <w:r w:rsidRPr="004A43EB">
        <w:rPr>
          <w:rFonts w:ascii="Times New Roman" w:hAnsi="Times New Roman"/>
          <w:sz w:val="20"/>
          <w:lang w:val="en-SG"/>
        </w:rPr>
        <w:t>Packer M, Coats AJ, Fowler MB, et al. Effect of Carvedilol on Survival in Severe Chronic HF (COPERNICUS). N Engl J Med.</w:t>
      </w:r>
      <w:r w:rsidR="004A43EB">
        <w:rPr>
          <w:rFonts w:ascii="Times New Roman" w:hAnsi="Times New Roman"/>
          <w:sz w:val="20"/>
          <w:lang w:val="en-SG"/>
        </w:rPr>
        <w:t xml:space="preserve"> </w:t>
      </w:r>
      <w:r w:rsidRPr="004A43EB">
        <w:rPr>
          <w:rFonts w:ascii="Times New Roman" w:hAnsi="Times New Roman"/>
          <w:sz w:val="20"/>
          <w:lang w:val="en-SG"/>
        </w:rPr>
        <w:t>344</w:t>
      </w:r>
      <w:r w:rsidR="004A43EB">
        <w:rPr>
          <w:rFonts w:ascii="Times New Roman" w:hAnsi="Times New Roman"/>
          <w:sz w:val="20"/>
          <w:lang w:val="en-SG"/>
        </w:rPr>
        <w:t xml:space="preserve"> </w:t>
      </w:r>
      <w:r w:rsidRPr="004A43EB">
        <w:rPr>
          <w:rFonts w:ascii="Times New Roman" w:hAnsi="Times New Roman"/>
          <w:sz w:val="20"/>
          <w:lang w:val="en-SG"/>
        </w:rPr>
        <w:t>(</w:t>
      </w:r>
      <w:r w:rsidR="004A43EB">
        <w:rPr>
          <w:rFonts w:ascii="Times New Roman" w:hAnsi="Times New Roman"/>
          <w:sz w:val="20"/>
          <w:lang w:val="en-SG"/>
        </w:rPr>
        <w:t>2001</w:t>
      </w:r>
      <w:r w:rsidRPr="004A43EB">
        <w:rPr>
          <w:rFonts w:ascii="Times New Roman" w:hAnsi="Times New Roman"/>
          <w:sz w:val="20"/>
          <w:lang w:val="en-SG"/>
        </w:rPr>
        <w:t>):</w:t>
      </w:r>
      <w:r w:rsidR="004A43EB">
        <w:rPr>
          <w:rFonts w:ascii="Times New Roman" w:hAnsi="Times New Roman"/>
          <w:sz w:val="20"/>
          <w:lang w:val="en-SG"/>
        </w:rPr>
        <w:t xml:space="preserve"> </w:t>
      </w:r>
      <w:r w:rsidRPr="004A43EB">
        <w:rPr>
          <w:rFonts w:ascii="Times New Roman" w:hAnsi="Times New Roman"/>
          <w:sz w:val="20"/>
          <w:lang w:val="en-SG"/>
        </w:rPr>
        <w:t>1651</w:t>
      </w:r>
      <w:r w:rsidR="004A43EB">
        <w:rPr>
          <w:rFonts w:ascii="Times New Roman" w:hAnsi="Times New Roman"/>
          <w:sz w:val="20"/>
          <w:lang w:val="en-SG"/>
        </w:rPr>
        <w:t>-</w:t>
      </w:r>
      <w:r w:rsidRPr="004A43EB">
        <w:rPr>
          <w:rFonts w:ascii="Times New Roman" w:hAnsi="Times New Roman"/>
          <w:sz w:val="20"/>
          <w:lang w:val="en-SG"/>
        </w:rPr>
        <w:t xml:space="preserve">1658. </w:t>
      </w:r>
    </w:p>
    <w:p w14:paraId="11A8CD79" w14:textId="57D1920B" w:rsidR="00135A39" w:rsidRPr="00135A39"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 xml:space="preserve">Ibanez B, James S, </w:t>
      </w:r>
      <w:proofErr w:type="spellStart"/>
      <w:r w:rsidRPr="00135A39">
        <w:rPr>
          <w:rFonts w:ascii="Times New Roman" w:hAnsi="Times New Roman"/>
          <w:sz w:val="20"/>
          <w:lang w:val="en-SG"/>
        </w:rPr>
        <w:t>Agewall</w:t>
      </w:r>
      <w:proofErr w:type="spellEnd"/>
      <w:r w:rsidRPr="00135A39">
        <w:rPr>
          <w:rFonts w:ascii="Times New Roman" w:hAnsi="Times New Roman"/>
          <w:sz w:val="20"/>
          <w:lang w:val="en-SG"/>
        </w:rPr>
        <w:t xml:space="preserve"> S, et al. 2017 ESC Guidelines for Management of Acute MI. </w:t>
      </w:r>
      <w:proofErr w:type="spellStart"/>
      <w:r w:rsidRPr="00135A39">
        <w:rPr>
          <w:rFonts w:ascii="Times New Roman" w:hAnsi="Times New Roman"/>
          <w:sz w:val="20"/>
          <w:lang w:val="en-SG"/>
        </w:rPr>
        <w:t>Eur</w:t>
      </w:r>
      <w:proofErr w:type="spellEnd"/>
      <w:r w:rsidRPr="00135A39">
        <w:rPr>
          <w:rFonts w:ascii="Times New Roman" w:hAnsi="Times New Roman"/>
          <w:sz w:val="20"/>
          <w:lang w:val="en-SG"/>
        </w:rPr>
        <w:t xml:space="preserve"> Heart J.</w:t>
      </w:r>
      <w:r w:rsidR="004B4EED">
        <w:rPr>
          <w:rFonts w:ascii="Times New Roman" w:hAnsi="Times New Roman"/>
          <w:sz w:val="20"/>
          <w:lang w:val="en-SG"/>
        </w:rPr>
        <w:t xml:space="preserve"> </w:t>
      </w:r>
      <w:r w:rsidRPr="00135A39">
        <w:rPr>
          <w:rFonts w:ascii="Times New Roman" w:hAnsi="Times New Roman"/>
          <w:sz w:val="20"/>
          <w:lang w:val="en-SG"/>
        </w:rPr>
        <w:t>39</w:t>
      </w:r>
      <w:r w:rsidR="004B4EED">
        <w:rPr>
          <w:rFonts w:ascii="Times New Roman" w:hAnsi="Times New Roman"/>
          <w:sz w:val="20"/>
          <w:lang w:val="en-SG"/>
        </w:rPr>
        <w:t xml:space="preserve"> </w:t>
      </w:r>
      <w:r w:rsidRPr="00135A39">
        <w:rPr>
          <w:rFonts w:ascii="Times New Roman" w:hAnsi="Times New Roman"/>
          <w:sz w:val="20"/>
          <w:lang w:val="en-SG"/>
        </w:rPr>
        <w:t>(2</w:t>
      </w:r>
      <w:r w:rsidR="004B4EED">
        <w:rPr>
          <w:rFonts w:ascii="Times New Roman" w:hAnsi="Times New Roman"/>
          <w:sz w:val="20"/>
          <w:lang w:val="en-SG"/>
        </w:rPr>
        <w:t>018</w:t>
      </w:r>
      <w:r w:rsidRPr="00135A39">
        <w:rPr>
          <w:rFonts w:ascii="Times New Roman" w:hAnsi="Times New Roman"/>
          <w:sz w:val="20"/>
          <w:lang w:val="en-SG"/>
        </w:rPr>
        <w:t>):</w:t>
      </w:r>
      <w:r w:rsidR="004B4EED">
        <w:rPr>
          <w:rFonts w:ascii="Times New Roman" w:hAnsi="Times New Roman"/>
          <w:sz w:val="20"/>
          <w:lang w:val="en-SG"/>
        </w:rPr>
        <w:t xml:space="preserve"> </w:t>
      </w:r>
      <w:r w:rsidRPr="00135A39">
        <w:rPr>
          <w:rFonts w:ascii="Times New Roman" w:hAnsi="Times New Roman"/>
          <w:sz w:val="20"/>
          <w:lang w:val="en-SG"/>
        </w:rPr>
        <w:t>119</w:t>
      </w:r>
      <w:r w:rsidR="004B4EED">
        <w:rPr>
          <w:rFonts w:ascii="Times New Roman" w:hAnsi="Times New Roman"/>
          <w:sz w:val="20"/>
          <w:lang w:val="en-SG"/>
        </w:rPr>
        <w:t>-</w:t>
      </w:r>
      <w:r w:rsidRPr="00135A39">
        <w:rPr>
          <w:rFonts w:ascii="Times New Roman" w:hAnsi="Times New Roman"/>
          <w:sz w:val="20"/>
          <w:lang w:val="en-SG"/>
        </w:rPr>
        <w:t xml:space="preserve">177. </w:t>
      </w:r>
    </w:p>
    <w:p w14:paraId="1F8ECF6A" w14:textId="57317189" w:rsidR="005E03E4" w:rsidRDefault="00135A39" w:rsidP="00141DD9">
      <w:pPr>
        <w:pStyle w:val="MDPI71References"/>
        <w:numPr>
          <w:ilvl w:val="0"/>
          <w:numId w:val="27"/>
        </w:numPr>
        <w:spacing w:line="360" w:lineRule="auto"/>
        <w:rPr>
          <w:rFonts w:ascii="Times New Roman" w:hAnsi="Times New Roman"/>
          <w:sz w:val="20"/>
          <w:lang w:val="en-SG"/>
        </w:rPr>
      </w:pPr>
      <w:r w:rsidRPr="00135A39">
        <w:rPr>
          <w:rFonts w:ascii="Times New Roman" w:hAnsi="Times New Roman"/>
          <w:sz w:val="20"/>
          <w:lang w:val="en-SG"/>
        </w:rPr>
        <w:t>Gulati M, Levy PD, Mukherjee D, et al. 2021 AHA/ACC Guideline for Chest Pain Evaluation. Circulation.</w:t>
      </w:r>
      <w:r w:rsidR="00141DD9">
        <w:rPr>
          <w:rFonts w:ascii="Times New Roman" w:hAnsi="Times New Roman"/>
          <w:sz w:val="20"/>
          <w:lang w:val="en-SG"/>
        </w:rPr>
        <w:t xml:space="preserve"> </w:t>
      </w:r>
      <w:r w:rsidRPr="00135A39">
        <w:rPr>
          <w:rFonts w:ascii="Times New Roman" w:hAnsi="Times New Roman"/>
          <w:sz w:val="20"/>
          <w:lang w:val="en-SG"/>
        </w:rPr>
        <w:t>144</w:t>
      </w:r>
      <w:r w:rsidR="00141DD9">
        <w:rPr>
          <w:rFonts w:ascii="Times New Roman" w:hAnsi="Times New Roman"/>
          <w:sz w:val="20"/>
          <w:lang w:val="en-SG"/>
        </w:rPr>
        <w:t xml:space="preserve"> </w:t>
      </w:r>
      <w:r w:rsidRPr="00135A39">
        <w:rPr>
          <w:rFonts w:ascii="Times New Roman" w:hAnsi="Times New Roman"/>
          <w:sz w:val="20"/>
          <w:lang w:val="en-SG"/>
        </w:rPr>
        <w:t>(</w:t>
      </w:r>
      <w:r w:rsidR="00141DD9">
        <w:rPr>
          <w:rFonts w:ascii="Times New Roman" w:hAnsi="Times New Roman"/>
          <w:sz w:val="20"/>
          <w:lang w:val="en-SG"/>
        </w:rPr>
        <w:t>2021</w:t>
      </w:r>
      <w:r w:rsidRPr="00135A39">
        <w:rPr>
          <w:rFonts w:ascii="Times New Roman" w:hAnsi="Times New Roman"/>
          <w:sz w:val="20"/>
          <w:lang w:val="en-SG"/>
        </w:rPr>
        <w:t>):</w:t>
      </w:r>
      <w:r w:rsidR="00141DD9">
        <w:rPr>
          <w:rFonts w:ascii="Times New Roman" w:hAnsi="Times New Roman"/>
          <w:sz w:val="20"/>
          <w:lang w:val="en-SG"/>
        </w:rPr>
        <w:t xml:space="preserve"> </w:t>
      </w:r>
      <w:r w:rsidRPr="00135A39">
        <w:rPr>
          <w:rFonts w:ascii="Times New Roman" w:hAnsi="Times New Roman"/>
          <w:sz w:val="20"/>
          <w:lang w:val="en-SG"/>
        </w:rPr>
        <w:t>e368</w:t>
      </w:r>
      <w:r w:rsidR="00220E3F">
        <w:rPr>
          <w:rFonts w:ascii="Times New Roman" w:hAnsi="Times New Roman"/>
          <w:sz w:val="20"/>
          <w:lang w:val="en-SG"/>
        </w:rPr>
        <w:t>-</w:t>
      </w:r>
      <w:r w:rsidRPr="00135A39">
        <w:rPr>
          <w:rFonts w:ascii="Times New Roman" w:hAnsi="Times New Roman"/>
          <w:sz w:val="20"/>
          <w:lang w:val="en-SG"/>
        </w:rPr>
        <w:t xml:space="preserve">e454. </w:t>
      </w: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36"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37"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38"/>
      <w:footerReference w:type="default" r:id="rId39"/>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3B860" w14:textId="77777777" w:rsidR="008E05B4" w:rsidRDefault="008E05B4" w:rsidP="00A62EFF">
      <w:pPr>
        <w:spacing w:after="0" w:line="240" w:lineRule="auto"/>
      </w:pPr>
      <w:r>
        <w:separator/>
      </w:r>
    </w:p>
  </w:endnote>
  <w:endnote w:type="continuationSeparator" w:id="0">
    <w:p w14:paraId="02427BF3" w14:textId="77777777" w:rsidR="008E05B4" w:rsidRDefault="008E05B4"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EF63F" w14:textId="77777777" w:rsidR="008E05B4" w:rsidRDefault="008E05B4" w:rsidP="00A62EFF">
      <w:pPr>
        <w:spacing w:after="0" w:line="240" w:lineRule="auto"/>
      </w:pPr>
      <w:r>
        <w:separator/>
      </w:r>
    </w:p>
  </w:footnote>
  <w:footnote w:type="continuationSeparator" w:id="0">
    <w:p w14:paraId="268FA156" w14:textId="77777777" w:rsidR="008E05B4" w:rsidRDefault="008E05B4"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64F2EC24"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8E3A05">
      <w:rPr>
        <w:rFonts w:ascii="Times New Roman" w:hAnsi="Times New Roman" w:cs="Times New Roman"/>
        <w:b/>
        <w:i/>
        <w:color w:val="2E74B5" w:themeColor="accent1" w:themeShade="BF"/>
        <w:sz w:val="18"/>
        <w:szCs w:val="20"/>
      </w:rPr>
      <w:t>205</w:t>
    </w:r>
    <w:r>
      <w:rPr>
        <w:rFonts w:ascii="Times New Roman" w:hAnsi="Times New Roman" w:cs="Times New Roman"/>
        <w:b/>
        <w:i/>
        <w:color w:val="2E74B5" w:themeColor="accent1" w:themeShade="BF"/>
        <w:sz w:val="18"/>
        <w:szCs w:val="20"/>
      </w:rPr>
      <w:t>-</w:t>
    </w:r>
    <w:r w:rsidR="008E3A05">
      <w:rPr>
        <w:rFonts w:ascii="Times New Roman" w:hAnsi="Times New Roman" w:cs="Times New Roman"/>
        <w:b/>
        <w:i/>
        <w:color w:val="2E74B5" w:themeColor="accent1" w:themeShade="BF"/>
        <w:sz w:val="18"/>
        <w:szCs w:val="20"/>
      </w:rPr>
      <w:t>214</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8E3A05">
      <w:rPr>
        <w:rFonts w:ascii="Times New Roman" w:hAnsi="Times New Roman" w:cs="Times New Roman"/>
        <w:b/>
        <w:bCs/>
        <w:i/>
        <w:color w:val="2E74B6"/>
        <w:sz w:val="18"/>
        <w:szCs w:val="20"/>
      </w:rPr>
      <w:t>250</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5"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8"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2"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98C40AF"/>
    <w:multiLevelType w:val="hybridMultilevel"/>
    <w:tmpl w:val="8F5C4D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8E16AD9"/>
    <w:multiLevelType w:val="hybridMultilevel"/>
    <w:tmpl w:val="DA4891C4"/>
    <w:lvl w:ilvl="0" w:tplc="D06AF63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3" w15:restartNumberingAfterBreak="0">
    <w:nsid w:val="59C7671D"/>
    <w:multiLevelType w:val="hybridMultilevel"/>
    <w:tmpl w:val="BFA814D0"/>
    <w:lvl w:ilvl="0" w:tplc="4972E988">
      <w:start w:val="1"/>
      <w:numFmt w:val="decimal"/>
      <w:lvlText w:val="%1."/>
      <w:lvlJc w:val="left"/>
      <w:pPr>
        <w:ind w:left="815" w:hanging="39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4" w15:restartNumberingAfterBreak="0">
    <w:nsid w:val="6269309B"/>
    <w:multiLevelType w:val="hybridMultilevel"/>
    <w:tmpl w:val="F2A43F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7"/>
  </w:num>
  <w:num w:numId="2" w16cid:durableId="224924319">
    <w:abstractNumId w:val="5"/>
  </w:num>
  <w:num w:numId="3" w16cid:durableId="1776945922">
    <w:abstractNumId w:val="26"/>
  </w:num>
  <w:num w:numId="4" w16cid:durableId="627197771">
    <w:abstractNumId w:val="15"/>
  </w:num>
  <w:num w:numId="5" w16cid:durableId="1874345883">
    <w:abstractNumId w:val="1"/>
  </w:num>
  <w:num w:numId="6" w16cid:durableId="1994990649">
    <w:abstractNumId w:val="16"/>
  </w:num>
  <w:num w:numId="7" w16cid:durableId="108471266">
    <w:abstractNumId w:val="21"/>
  </w:num>
  <w:num w:numId="8" w16cid:durableId="603727170">
    <w:abstractNumId w:val="20"/>
  </w:num>
  <w:num w:numId="9" w16cid:durableId="974992919">
    <w:abstractNumId w:val="19"/>
  </w:num>
  <w:num w:numId="10" w16cid:durableId="693187251">
    <w:abstractNumId w:val="0"/>
  </w:num>
  <w:num w:numId="11" w16cid:durableId="956720353">
    <w:abstractNumId w:val="17"/>
  </w:num>
  <w:num w:numId="12" w16cid:durableId="1849830160">
    <w:abstractNumId w:val="14"/>
  </w:num>
  <w:num w:numId="13" w16cid:durableId="1263295588">
    <w:abstractNumId w:val="11"/>
  </w:num>
  <w:num w:numId="14" w16cid:durableId="215627726">
    <w:abstractNumId w:val="10"/>
  </w:num>
  <w:num w:numId="15" w16cid:durableId="1539274815">
    <w:abstractNumId w:val="25"/>
  </w:num>
  <w:num w:numId="16" w16cid:durableId="900364880">
    <w:abstractNumId w:val="8"/>
  </w:num>
  <w:num w:numId="17" w16cid:durableId="1614825159">
    <w:abstractNumId w:val="3"/>
  </w:num>
  <w:num w:numId="18" w16cid:durableId="852064401">
    <w:abstractNumId w:val="9"/>
  </w:num>
  <w:num w:numId="19" w16cid:durableId="729813747">
    <w:abstractNumId w:val="13"/>
  </w:num>
  <w:num w:numId="20" w16cid:durableId="2105804234">
    <w:abstractNumId w:val="4"/>
  </w:num>
  <w:num w:numId="21" w16cid:durableId="1572275193">
    <w:abstractNumId w:val="2"/>
  </w:num>
  <w:num w:numId="22" w16cid:durableId="1337608073">
    <w:abstractNumId w:val="6"/>
  </w:num>
  <w:num w:numId="23" w16cid:durableId="366177084">
    <w:abstractNumId w:val="12"/>
  </w:num>
  <w:num w:numId="24" w16cid:durableId="182476855">
    <w:abstractNumId w:val="27"/>
  </w:num>
  <w:num w:numId="25" w16cid:durableId="550002453">
    <w:abstractNumId w:val="24"/>
  </w:num>
  <w:num w:numId="26" w16cid:durableId="281569562">
    <w:abstractNumId w:val="22"/>
  </w:num>
  <w:num w:numId="27" w16cid:durableId="1608465303">
    <w:abstractNumId w:val="18"/>
  </w:num>
  <w:num w:numId="28" w16cid:durableId="983662097">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6F8F"/>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2D03"/>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2DA9"/>
    <w:rsid w:val="001131A9"/>
    <w:rsid w:val="001138C1"/>
    <w:rsid w:val="001138ED"/>
    <w:rsid w:val="00113B53"/>
    <w:rsid w:val="00113F03"/>
    <w:rsid w:val="00114324"/>
    <w:rsid w:val="00114DDE"/>
    <w:rsid w:val="001157E1"/>
    <w:rsid w:val="001162F1"/>
    <w:rsid w:val="00116860"/>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A39"/>
    <w:rsid w:val="00135C3B"/>
    <w:rsid w:val="00135D86"/>
    <w:rsid w:val="00135E4F"/>
    <w:rsid w:val="00136B21"/>
    <w:rsid w:val="0013793C"/>
    <w:rsid w:val="00137C14"/>
    <w:rsid w:val="001407B2"/>
    <w:rsid w:val="00141236"/>
    <w:rsid w:val="00141910"/>
    <w:rsid w:val="00141AE9"/>
    <w:rsid w:val="00141DD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0E3F"/>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83C"/>
    <w:rsid w:val="00240FEE"/>
    <w:rsid w:val="00241D7D"/>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36EA"/>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7CF"/>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2F88"/>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43E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EED"/>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AB9"/>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28D3"/>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3E2"/>
    <w:rsid w:val="005C755C"/>
    <w:rsid w:val="005C7EE8"/>
    <w:rsid w:val="005D05A0"/>
    <w:rsid w:val="005D0B75"/>
    <w:rsid w:val="005D0D03"/>
    <w:rsid w:val="005D1258"/>
    <w:rsid w:val="005D14F0"/>
    <w:rsid w:val="005D2227"/>
    <w:rsid w:val="005D2C7F"/>
    <w:rsid w:val="005D2D6E"/>
    <w:rsid w:val="005D3BA2"/>
    <w:rsid w:val="005D3C2E"/>
    <w:rsid w:val="005D3CAE"/>
    <w:rsid w:val="005D4440"/>
    <w:rsid w:val="005D4614"/>
    <w:rsid w:val="005D4FB0"/>
    <w:rsid w:val="005D529A"/>
    <w:rsid w:val="005D59BC"/>
    <w:rsid w:val="005D63A7"/>
    <w:rsid w:val="005D67C8"/>
    <w:rsid w:val="005D7422"/>
    <w:rsid w:val="005E03E4"/>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BA2"/>
    <w:rsid w:val="00665C6A"/>
    <w:rsid w:val="006666C9"/>
    <w:rsid w:val="006669E4"/>
    <w:rsid w:val="00666BB9"/>
    <w:rsid w:val="00666F3B"/>
    <w:rsid w:val="0066746F"/>
    <w:rsid w:val="00667525"/>
    <w:rsid w:val="00667E35"/>
    <w:rsid w:val="0067044B"/>
    <w:rsid w:val="00670E18"/>
    <w:rsid w:val="00670F46"/>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B1D"/>
    <w:rsid w:val="006E1216"/>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7D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312"/>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68FD"/>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3AF"/>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19CA"/>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BA4"/>
    <w:rsid w:val="008D4D7C"/>
    <w:rsid w:val="008D4E75"/>
    <w:rsid w:val="008D5E0A"/>
    <w:rsid w:val="008D5E4C"/>
    <w:rsid w:val="008D6A06"/>
    <w:rsid w:val="008D790E"/>
    <w:rsid w:val="008D7ADE"/>
    <w:rsid w:val="008D7C92"/>
    <w:rsid w:val="008D7CFC"/>
    <w:rsid w:val="008D7ED7"/>
    <w:rsid w:val="008E0033"/>
    <w:rsid w:val="008E05B4"/>
    <w:rsid w:val="008E2182"/>
    <w:rsid w:val="008E2A95"/>
    <w:rsid w:val="008E2DE5"/>
    <w:rsid w:val="008E3203"/>
    <w:rsid w:val="008E335D"/>
    <w:rsid w:val="008E36A6"/>
    <w:rsid w:val="008E3A05"/>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1A"/>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303"/>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4C1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01E"/>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929"/>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6FE"/>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0F4"/>
    <w:rsid w:val="00BB4BED"/>
    <w:rsid w:val="00BB4BF2"/>
    <w:rsid w:val="00BB4F01"/>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2AE1"/>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0B7A"/>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2B92"/>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EDF"/>
    <w:rsid w:val="00CE4218"/>
    <w:rsid w:val="00CE46A3"/>
    <w:rsid w:val="00CE490C"/>
    <w:rsid w:val="00CE4CFF"/>
    <w:rsid w:val="00CE4FAF"/>
    <w:rsid w:val="00CE562E"/>
    <w:rsid w:val="00CE5965"/>
    <w:rsid w:val="00CE6AE0"/>
    <w:rsid w:val="00CE6C89"/>
    <w:rsid w:val="00CE722B"/>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2309"/>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02BA"/>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D38"/>
    <w:rsid w:val="00F94AD7"/>
    <w:rsid w:val="00F95528"/>
    <w:rsid w:val="00F95838"/>
    <w:rsid w:val="00F96ADD"/>
    <w:rsid w:val="00F96C22"/>
    <w:rsid w:val="00F97D91"/>
    <w:rsid w:val="00FA04FE"/>
    <w:rsid w:val="00FA0C99"/>
    <w:rsid w:val="00FA1350"/>
    <w:rsid w:val="00FA16C0"/>
    <w:rsid w:val="00FA16D2"/>
    <w:rsid w:val="00FA1F1F"/>
    <w:rsid w:val="00FA2A64"/>
    <w:rsid w:val="00FA2EA3"/>
    <w:rsid w:val="00FA3665"/>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56/NEJMoa2311465" TargetMode="External"/><Relationship Id="rId18" Type="http://schemas.openxmlformats.org/officeDocument/2006/relationships/hyperlink" Target="https://doi.org/10.1016/j.ijcard.2021.01.020" TargetMode="External"/><Relationship Id="rId26" Type="http://schemas.openxmlformats.org/officeDocument/2006/relationships/image" Target="media/image6.png"/><Relationship Id="rId39" Type="http://schemas.openxmlformats.org/officeDocument/2006/relationships/footer" Target="footer1.xml"/><Relationship Id="rId21" Type="http://schemas.openxmlformats.org/officeDocument/2006/relationships/hyperlink" Target="https://doi.org/10.1016/j.ijcard.2015.02.012" TargetMode="External"/><Relationship Id="rId34" Type="http://schemas.openxmlformats.org/officeDocument/2006/relationships/image" Target="media/image1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ijcard.2022.11.023" TargetMode="External"/><Relationship Id="rId20" Type="http://schemas.openxmlformats.org/officeDocument/2006/relationships/hyperlink" Target="https://doi.org/10.1016/j.ahj.2021.05.001" TargetMode="External"/><Relationship Id="rId29" Type="http://schemas.openxmlformats.org/officeDocument/2006/relationships/image" Target="media/image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hyperlink" Target="http://creativecommons.org/licenses/by/4.0/"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07/s00392-022-02103-3" TargetMode="External"/><Relationship Id="rId23" Type="http://schemas.openxmlformats.org/officeDocument/2006/relationships/hyperlink" Target="https://doi.org/10.1016/j.ijcard.2009.03.078" TargetMode="External"/><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hyperlink" Target="http://www.fortunejournals.com/" TargetMode="External"/><Relationship Id="rId19" Type="http://schemas.openxmlformats.org/officeDocument/2006/relationships/hyperlink" Target="https://doi.org/10.1016/j.ijcard.2021.03.011"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56/NEJMoa2404388" TargetMode="External"/><Relationship Id="rId22" Type="http://schemas.openxmlformats.org/officeDocument/2006/relationships/hyperlink" Target="https://doi.org/10.1016/j.ijcard.2013.08.083"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8" Type="http://schemas.openxmlformats.org/officeDocument/2006/relationships/hyperlink" Target="http://www.fortunejournals.com/archives-of-microbiology-immunology-home-ami.php"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doi.org/10.1016/j.ahj.2021.03.011"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2671</TotalTime>
  <Pages>17</Pages>
  <Words>3704</Words>
  <Characters>21113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208</cp:revision>
  <dcterms:created xsi:type="dcterms:W3CDTF">2024-07-26T12:22:00Z</dcterms:created>
  <dcterms:modified xsi:type="dcterms:W3CDTF">2026-07-29T04:50:00Z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15da072c-7b5d-463c-bde7-fb6a5b2d70ff</vt:lpwstr>
  </property>
</Properties>
</file>