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B920" w14:textId="3307985A" w:rsidR="006F4F17" w:rsidRPr="00432654" w:rsidRDefault="00491786" w:rsidP="00432654">
      <w:pPr>
        <w:shd w:val="pct5" w:color="auto" w:fill="538135"/>
        <w:tabs>
          <w:tab w:val="left" w:pos="3870"/>
        </w:tabs>
        <w:spacing w:line="360" w:lineRule="auto"/>
        <w:rPr>
          <w:rFonts w:ascii="Times New Roman" w:hAnsi="Times New Roman"/>
          <w:b/>
          <w:color w:val="4472C4"/>
          <w:sz w:val="28"/>
          <w:szCs w:val="46"/>
        </w:rPr>
      </w:pPr>
      <w:r>
        <w:rPr>
          <w:noProof/>
          <w:lang w:val="en-IN" w:eastAsia="en-IN"/>
        </w:rPr>
        <w:drawing>
          <wp:anchor distT="47771" distB="120621" distL="114300" distR="114300" simplePos="0" relativeHeight="251659776" behindDoc="0" locked="0" layoutInCell="1" allowOverlap="1" wp14:anchorId="58753222" wp14:editId="1E9FEF2E">
            <wp:simplePos x="0" y="0"/>
            <wp:positionH relativeFrom="column">
              <wp:posOffset>5200015</wp:posOffset>
            </wp:positionH>
            <wp:positionV relativeFrom="paragraph">
              <wp:posOffset>-26670</wp:posOffset>
            </wp:positionV>
            <wp:extent cx="781050" cy="208280"/>
            <wp:effectExtent l="19050" t="95250" r="19050" b="172720"/>
            <wp:wrapTopAndBottom/>
            <wp:docPr id="11" name="Pictur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050" cy="20828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lang w:val="en-IN" w:eastAsia="en-IN"/>
        </w:rPr>
        <w:drawing>
          <wp:anchor distT="0" distB="91186" distL="114300" distR="137541" simplePos="0" relativeHeight="251657728" behindDoc="0" locked="0" layoutInCell="1" allowOverlap="1" wp14:anchorId="65B4EFF7" wp14:editId="6A39467C">
            <wp:simplePos x="0" y="0"/>
            <wp:positionH relativeFrom="column">
              <wp:posOffset>4343400</wp:posOffset>
            </wp:positionH>
            <wp:positionV relativeFrom="paragraph">
              <wp:posOffset>-65405</wp:posOffset>
            </wp:positionV>
            <wp:extent cx="866775" cy="280670"/>
            <wp:effectExtent l="0" t="19050" r="47625" b="138430"/>
            <wp:wrapTopAndBottom/>
            <wp:docPr id="12" name="Picture 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8A67F1">
        <w:rPr>
          <w:rStyle w:val="Hyperlink"/>
          <w:rFonts w:ascii="Times New Roman" w:hAnsi="Times New Roman"/>
          <w:b/>
          <w:color w:val="FFFFFF"/>
          <w:sz w:val="24"/>
          <w:szCs w:val="46"/>
          <w:u w:val="none"/>
        </w:rPr>
        <w:t>Re</w:t>
      </w:r>
      <w:r w:rsidR="00F50014">
        <w:rPr>
          <w:rStyle w:val="Hyperlink"/>
          <w:rFonts w:ascii="Times New Roman" w:hAnsi="Times New Roman"/>
          <w:b/>
          <w:color w:val="FFFFFF"/>
          <w:sz w:val="24"/>
          <w:szCs w:val="46"/>
          <w:u w:val="none"/>
        </w:rPr>
        <w:t>view</w:t>
      </w:r>
      <w:r w:rsidR="00550FA4">
        <w:rPr>
          <w:rStyle w:val="Hyperlink"/>
          <w:rFonts w:ascii="Times New Roman" w:hAnsi="Times New Roman"/>
          <w:b/>
          <w:color w:val="FFFFFF"/>
          <w:sz w:val="24"/>
          <w:szCs w:val="46"/>
          <w:u w:val="none"/>
        </w:rPr>
        <w:t xml:space="preserve"> Article</w:t>
      </w:r>
    </w:p>
    <w:p w14:paraId="3BF25F28" w14:textId="77777777" w:rsidR="006F2E7A" w:rsidRDefault="006F2E7A" w:rsidP="006F2E7A">
      <w:pPr>
        <w:spacing w:after="0" w:line="360" w:lineRule="auto"/>
        <w:contextualSpacing/>
        <w:mirrorIndents/>
        <w:rPr>
          <w:rFonts w:ascii="Times New Roman" w:eastAsia="DengXian" w:hAnsi="Times New Roman"/>
          <w:b/>
          <w:bCs/>
          <w:iCs/>
          <w:lang w:val="en-CA"/>
        </w:rPr>
      </w:pPr>
    </w:p>
    <w:p w14:paraId="2C8CEC11" w14:textId="3917FDE4" w:rsidR="00550FA4" w:rsidRDefault="00F50014" w:rsidP="00550FA4">
      <w:pPr>
        <w:spacing w:after="0" w:line="360" w:lineRule="auto"/>
        <w:jc w:val="center"/>
        <w:rPr>
          <w:rStyle w:val="il"/>
          <w:rFonts w:ascii="Times New Roman" w:hAnsi="Times New Roman"/>
          <w:b/>
          <w:bCs/>
          <w:sz w:val="32"/>
          <w:szCs w:val="32"/>
          <w:lang w:val="en-CA"/>
        </w:rPr>
      </w:pPr>
      <w:r w:rsidRPr="00F50014">
        <w:rPr>
          <w:rStyle w:val="il"/>
          <w:rFonts w:ascii="Times New Roman" w:hAnsi="Times New Roman"/>
          <w:b/>
          <w:bCs/>
          <w:sz w:val="32"/>
          <w:szCs w:val="32"/>
          <w:lang w:val="en-CA"/>
        </w:rPr>
        <w:t>Comparative Effectiveness of MitraClip, TriClip, and PASCAL Systems for Moderate-to-Severe Tricuspid Regurgitation: A Systematic Review, Meta-Analysis, and Meta-Regression</w:t>
      </w:r>
    </w:p>
    <w:p w14:paraId="0C3A582F" w14:textId="77777777" w:rsidR="005A1D30" w:rsidRPr="001F6962" w:rsidRDefault="005A1D30" w:rsidP="00550FA4">
      <w:pPr>
        <w:spacing w:after="0" w:line="360" w:lineRule="auto"/>
        <w:jc w:val="center"/>
        <w:rPr>
          <w:rFonts w:ascii="Times New Roman" w:hAnsi="Times New Roman"/>
          <w:b/>
          <w:bCs/>
          <w:sz w:val="20"/>
          <w:szCs w:val="20"/>
          <w:lang w:val="en-CA"/>
        </w:rPr>
      </w:pPr>
    </w:p>
    <w:p w14:paraId="46F1EA90" w14:textId="7775DF99" w:rsidR="000E41F8" w:rsidRDefault="00FA661B" w:rsidP="00754241">
      <w:pPr>
        <w:spacing w:after="0" w:line="360" w:lineRule="auto"/>
        <w:jc w:val="both"/>
        <w:rPr>
          <w:rFonts w:ascii="Times New Roman" w:hAnsi="Times New Roman"/>
          <w:b/>
          <w:bCs/>
          <w:sz w:val="22"/>
          <w:szCs w:val="22"/>
          <w:lang w:val="en-CA"/>
        </w:rPr>
      </w:pPr>
      <w:r w:rsidRPr="00FA661B">
        <w:rPr>
          <w:rFonts w:ascii="Times New Roman" w:hAnsi="Times New Roman"/>
          <w:b/>
          <w:bCs/>
          <w:sz w:val="22"/>
          <w:szCs w:val="22"/>
          <w:lang w:val="en-CA"/>
        </w:rPr>
        <w:t xml:space="preserve">Beesham Kumar Lohana¹, Surjeet Kumar Nagdev², Rahul Rai¹, Abdul Jabbar³, Ahmad Nawaz⁴, Nayyar Iqbal Tiwana⁵, Kamran Ashraf Chatha⁵, Mandeep Kumar⁶, Saifullah Syed⁷, </w:t>
      </w:r>
      <w:r w:rsidR="00CA2ACB" w:rsidRPr="00CA2ACB">
        <w:rPr>
          <w:rFonts w:ascii="Times New Roman" w:hAnsi="Times New Roman"/>
          <w:b/>
          <w:bCs/>
          <w:sz w:val="22"/>
          <w:szCs w:val="22"/>
          <w:lang w:val="en-CA"/>
        </w:rPr>
        <w:t>Muhammad Shaheryar Shakir⁸</w:t>
      </w:r>
      <w:r w:rsidR="00CA2ACB">
        <w:rPr>
          <w:rFonts w:ascii="Times New Roman" w:hAnsi="Times New Roman"/>
          <w:b/>
          <w:bCs/>
          <w:sz w:val="22"/>
          <w:szCs w:val="22"/>
          <w:lang w:val="en-CA"/>
        </w:rPr>
        <w:t xml:space="preserve">, </w:t>
      </w:r>
      <w:r w:rsidRPr="00FA661B">
        <w:rPr>
          <w:rFonts w:ascii="Times New Roman" w:hAnsi="Times New Roman"/>
          <w:b/>
          <w:bCs/>
          <w:sz w:val="22"/>
          <w:szCs w:val="22"/>
          <w:lang w:val="en-CA"/>
        </w:rPr>
        <w:t>Mohammad Jawwad⁸, Hira Riaz</w:t>
      </w:r>
      <w:r w:rsidR="004F434E" w:rsidRPr="004F434E">
        <w:rPr>
          <w:rFonts w:ascii="Times New Roman" w:hAnsi="Times New Roman"/>
          <w:b/>
          <w:bCs/>
          <w:sz w:val="22"/>
          <w:szCs w:val="22"/>
          <w:vertAlign w:val="superscript"/>
          <w:lang w:val="en-CA"/>
        </w:rPr>
        <w:t>9</w:t>
      </w:r>
    </w:p>
    <w:p w14:paraId="442ECC13" w14:textId="224560FA" w:rsidR="007C2750" w:rsidRPr="007C2750" w:rsidRDefault="007C2750" w:rsidP="007C2750">
      <w:pPr>
        <w:pStyle w:val="ListParagraph"/>
        <w:spacing w:after="0" w:line="360" w:lineRule="auto"/>
        <w:jc w:val="both"/>
        <w:rPr>
          <w:rFonts w:ascii="Times New Roman" w:hAnsi="Times New Roman" w:cs="Times New Roman"/>
          <w:sz w:val="20"/>
          <w:szCs w:val="20"/>
        </w:rPr>
      </w:pPr>
      <w:r w:rsidRPr="007C2750">
        <w:rPr>
          <w:rFonts w:ascii="Times New Roman" w:hAnsi="Times New Roman" w:cs="Times New Roman"/>
          <w:sz w:val="20"/>
          <w:szCs w:val="20"/>
          <w:vertAlign w:val="superscript"/>
        </w:rPr>
        <w:t>1</w:t>
      </w:r>
      <w:r w:rsidRPr="007C2750">
        <w:rPr>
          <w:rFonts w:ascii="Times New Roman" w:hAnsi="Times New Roman" w:cs="Times New Roman"/>
          <w:sz w:val="20"/>
          <w:szCs w:val="20"/>
        </w:rPr>
        <w:t>Liaquat University of Medical &amp; Health Sciences, Jamshoro, Sindh, Pakistan</w:t>
      </w:r>
    </w:p>
    <w:p w14:paraId="5257D436" w14:textId="77777777" w:rsidR="007C2750" w:rsidRPr="007C2750" w:rsidRDefault="007C2750" w:rsidP="007C2750">
      <w:pPr>
        <w:pStyle w:val="ListParagraph"/>
        <w:spacing w:after="0" w:line="360" w:lineRule="auto"/>
        <w:jc w:val="both"/>
        <w:rPr>
          <w:rFonts w:ascii="Times New Roman" w:hAnsi="Times New Roman" w:cs="Times New Roman"/>
          <w:sz w:val="20"/>
          <w:szCs w:val="20"/>
        </w:rPr>
      </w:pPr>
      <w:r w:rsidRPr="007C2750">
        <w:rPr>
          <w:rFonts w:ascii="Times New Roman" w:hAnsi="Times New Roman" w:cs="Times New Roman"/>
          <w:sz w:val="20"/>
          <w:szCs w:val="20"/>
        </w:rPr>
        <w:t>² Shaheed Mohtarma Benazir Bhutto Medical University (SMBBMU), Larkana, Sindh, Pakistan</w:t>
      </w:r>
    </w:p>
    <w:p w14:paraId="0E74F742" w14:textId="77777777" w:rsidR="007C2750" w:rsidRPr="007C2750" w:rsidRDefault="007C2750" w:rsidP="007C2750">
      <w:pPr>
        <w:pStyle w:val="ListParagraph"/>
        <w:spacing w:after="0" w:line="360" w:lineRule="auto"/>
        <w:jc w:val="both"/>
        <w:rPr>
          <w:rFonts w:ascii="Times New Roman" w:hAnsi="Times New Roman" w:cs="Times New Roman"/>
          <w:sz w:val="20"/>
          <w:szCs w:val="20"/>
        </w:rPr>
      </w:pPr>
      <w:r w:rsidRPr="007C2750">
        <w:rPr>
          <w:rFonts w:ascii="Times New Roman" w:hAnsi="Times New Roman" w:cs="Times New Roman"/>
          <w:sz w:val="20"/>
          <w:szCs w:val="20"/>
        </w:rPr>
        <w:t>³ Jinnah Sindh Medical University, Karachi, Sindh, Pakistan</w:t>
      </w:r>
    </w:p>
    <w:p w14:paraId="383E5813" w14:textId="77777777" w:rsidR="007C2750" w:rsidRPr="007C2750" w:rsidRDefault="007C2750" w:rsidP="007C2750">
      <w:pPr>
        <w:pStyle w:val="ListParagraph"/>
        <w:spacing w:after="0" w:line="360" w:lineRule="auto"/>
        <w:jc w:val="both"/>
        <w:rPr>
          <w:rFonts w:ascii="Times New Roman" w:hAnsi="Times New Roman" w:cs="Times New Roman"/>
          <w:sz w:val="20"/>
          <w:szCs w:val="20"/>
        </w:rPr>
      </w:pPr>
      <w:r w:rsidRPr="007C2750">
        <w:rPr>
          <w:rFonts w:ascii="Times New Roman" w:hAnsi="Times New Roman" w:cs="Times New Roman"/>
          <w:sz w:val="20"/>
          <w:szCs w:val="20"/>
        </w:rPr>
        <w:t>⁴ Lugansk State Medical University, Luhansk, Ukraine</w:t>
      </w:r>
    </w:p>
    <w:p w14:paraId="4AC5941D" w14:textId="77777777" w:rsidR="007C2750" w:rsidRPr="007C2750" w:rsidRDefault="007C2750" w:rsidP="007C2750">
      <w:pPr>
        <w:pStyle w:val="ListParagraph"/>
        <w:spacing w:after="0" w:line="360" w:lineRule="auto"/>
        <w:jc w:val="both"/>
        <w:rPr>
          <w:rFonts w:ascii="Times New Roman" w:hAnsi="Times New Roman" w:cs="Times New Roman"/>
          <w:sz w:val="20"/>
          <w:szCs w:val="20"/>
        </w:rPr>
      </w:pPr>
      <w:r w:rsidRPr="007C2750">
        <w:rPr>
          <w:rFonts w:ascii="Times New Roman" w:hAnsi="Times New Roman" w:cs="Times New Roman"/>
          <w:sz w:val="20"/>
          <w:szCs w:val="20"/>
        </w:rPr>
        <w:t>⁵ Akhtar Saeed Medical &amp; Dental College, Lahore, Punjab, Pakistan</w:t>
      </w:r>
    </w:p>
    <w:p w14:paraId="18CFF3C1" w14:textId="77777777" w:rsidR="007C2750" w:rsidRPr="007C2750" w:rsidRDefault="007C2750" w:rsidP="007C2750">
      <w:pPr>
        <w:pStyle w:val="ListParagraph"/>
        <w:spacing w:after="0" w:line="360" w:lineRule="auto"/>
        <w:jc w:val="both"/>
        <w:rPr>
          <w:rFonts w:ascii="Times New Roman" w:hAnsi="Times New Roman" w:cs="Times New Roman"/>
          <w:sz w:val="20"/>
          <w:szCs w:val="20"/>
        </w:rPr>
      </w:pPr>
      <w:r w:rsidRPr="007C2750">
        <w:rPr>
          <w:rFonts w:ascii="Times New Roman" w:hAnsi="Times New Roman" w:cs="Times New Roman"/>
          <w:sz w:val="20"/>
          <w:szCs w:val="20"/>
        </w:rPr>
        <w:t>⁶ Jinnah Medical &amp; Dental College (JMDC), Karachi, Sindh, Pakistan</w:t>
      </w:r>
    </w:p>
    <w:p w14:paraId="7CC6F712" w14:textId="77777777" w:rsidR="007C2750" w:rsidRPr="007C2750" w:rsidRDefault="007C2750" w:rsidP="007C2750">
      <w:pPr>
        <w:pStyle w:val="ListParagraph"/>
        <w:spacing w:after="0" w:line="360" w:lineRule="auto"/>
        <w:jc w:val="both"/>
        <w:rPr>
          <w:rFonts w:ascii="Times New Roman" w:hAnsi="Times New Roman" w:cs="Times New Roman"/>
          <w:sz w:val="20"/>
          <w:szCs w:val="20"/>
        </w:rPr>
      </w:pPr>
      <w:r w:rsidRPr="007C2750">
        <w:rPr>
          <w:rFonts w:ascii="Times New Roman" w:hAnsi="Times New Roman" w:cs="Times New Roman"/>
          <w:sz w:val="20"/>
          <w:szCs w:val="20"/>
        </w:rPr>
        <w:t>⁷ Royal College of Surgeons in Ireland, Dublin, Ireland</w:t>
      </w:r>
    </w:p>
    <w:p w14:paraId="78016413" w14:textId="77777777" w:rsidR="007C2750" w:rsidRPr="007C2750" w:rsidRDefault="007C2750" w:rsidP="007C2750">
      <w:pPr>
        <w:pStyle w:val="ListParagraph"/>
        <w:spacing w:after="0" w:line="360" w:lineRule="auto"/>
        <w:jc w:val="both"/>
        <w:rPr>
          <w:rFonts w:ascii="Times New Roman" w:hAnsi="Times New Roman" w:cs="Times New Roman"/>
          <w:sz w:val="20"/>
          <w:szCs w:val="20"/>
        </w:rPr>
      </w:pPr>
      <w:r w:rsidRPr="007C2750">
        <w:rPr>
          <w:rFonts w:ascii="Times New Roman" w:hAnsi="Times New Roman" w:cs="Times New Roman"/>
          <w:sz w:val="20"/>
          <w:szCs w:val="20"/>
        </w:rPr>
        <w:t>⁸ Dow University of Health Sciences, Karachi, Sindh, Pakistan</w:t>
      </w:r>
    </w:p>
    <w:p w14:paraId="3127EFCD" w14:textId="727D7952" w:rsidR="00AB0CA3" w:rsidRPr="007C2750" w:rsidRDefault="00C52608" w:rsidP="007C2750">
      <w:pPr>
        <w:pStyle w:val="ListParagraph"/>
        <w:spacing w:after="0" w:line="360" w:lineRule="auto"/>
        <w:ind w:left="0"/>
        <w:contextualSpacing w:val="0"/>
        <w:jc w:val="both"/>
        <w:rPr>
          <w:rFonts w:ascii="Times New Roman" w:hAnsi="Times New Roman" w:cs="Times New Roman"/>
          <w:sz w:val="20"/>
          <w:szCs w:val="20"/>
        </w:rPr>
      </w:pPr>
      <w:r>
        <w:rPr>
          <w:rFonts w:ascii="Times New Roman" w:hAnsi="Times New Roman" w:cs="Times New Roman"/>
          <w:sz w:val="20"/>
          <w:szCs w:val="20"/>
          <w:vertAlign w:val="superscript"/>
        </w:rPr>
        <w:t xml:space="preserve">                       </w:t>
      </w:r>
      <w:r w:rsidRPr="00C52608">
        <w:rPr>
          <w:rFonts w:ascii="Times New Roman" w:hAnsi="Times New Roman" w:cs="Times New Roman"/>
          <w:sz w:val="20"/>
          <w:szCs w:val="20"/>
          <w:vertAlign w:val="superscript"/>
        </w:rPr>
        <w:t>9</w:t>
      </w:r>
      <w:r w:rsidR="007C2750" w:rsidRPr="007C2750">
        <w:rPr>
          <w:rFonts w:ascii="Times New Roman" w:hAnsi="Times New Roman" w:cs="Times New Roman"/>
          <w:sz w:val="20"/>
          <w:szCs w:val="20"/>
        </w:rPr>
        <w:t>Kabul Medical University, Kabul, Afghanistan</w:t>
      </w:r>
    </w:p>
    <w:p w14:paraId="73F7D83B" w14:textId="77777777" w:rsidR="000E41F8" w:rsidRPr="00F41084" w:rsidRDefault="000E41F8" w:rsidP="0048335C">
      <w:pPr>
        <w:pStyle w:val="ListParagraph"/>
        <w:spacing w:after="0" w:line="360" w:lineRule="auto"/>
        <w:ind w:left="0"/>
        <w:contextualSpacing w:val="0"/>
        <w:jc w:val="both"/>
        <w:rPr>
          <w:rFonts w:ascii="Times New Roman" w:eastAsia="DengXian" w:hAnsi="Times New Roman" w:cs="Times New Roman"/>
          <w:kern w:val="2"/>
          <w:sz w:val="20"/>
          <w:szCs w:val="20"/>
          <w:lang w:eastAsia="zh-CN"/>
        </w:rPr>
      </w:pPr>
    </w:p>
    <w:p w14:paraId="2923E6F7" w14:textId="72FDDD39" w:rsidR="005A1D30" w:rsidRPr="00BE1FC4" w:rsidRDefault="000B2B4E" w:rsidP="00754241">
      <w:pPr>
        <w:spacing w:line="360" w:lineRule="auto"/>
        <w:jc w:val="both"/>
        <w:rPr>
          <w:rFonts w:ascii="Times New Roman" w:eastAsia="Calibri" w:hAnsi="Times New Roman" w:cs="Times New Roman"/>
          <w:sz w:val="20"/>
          <w:szCs w:val="20"/>
        </w:rPr>
      </w:pPr>
      <w:r w:rsidRPr="003257ED">
        <w:rPr>
          <w:rFonts w:ascii="Times New Roman" w:hAnsi="Times New Roman"/>
          <w:b/>
          <w:color w:val="0070C0"/>
          <w:sz w:val="20"/>
          <w:szCs w:val="20"/>
        </w:rPr>
        <w:t>*</w:t>
      </w:r>
      <w:r w:rsidRPr="00ED506B">
        <w:rPr>
          <w:rFonts w:ascii="Times New Roman" w:hAnsi="Times New Roman"/>
          <w:b/>
          <w:color w:val="0070C0"/>
          <w:sz w:val="22"/>
          <w:szCs w:val="22"/>
        </w:rPr>
        <w:t>Corresponding author</w:t>
      </w:r>
      <w:r w:rsidR="00FF7E73">
        <w:rPr>
          <w:rFonts w:ascii="Times New Roman" w:hAnsi="Times New Roman"/>
          <w:b/>
          <w:color w:val="0070C0"/>
          <w:sz w:val="22"/>
          <w:szCs w:val="22"/>
        </w:rPr>
        <w:t>:</w:t>
      </w:r>
      <w:r w:rsidR="005A1D30" w:rsidRPr="005A1D30">
        <w:rPr>
          <w:rFonts w:ascii="Times New Roman" w:eastAsia="Calibri" w:hAnsi="Times New Roman" w:cs="Times New Roman"/>
          <w:sz w:val="24"/>
          <w:szCs w:val="24"/>
        </w:rPr>
        <w:t xml:space="preserve"> </w:t>
      </w:r>
      <w:r w:rsidR="00FF7E73" w:rsidRPr="00FF7E73">
        <w:rPr>
          <w:rFonts w:ascii="Times New Roman" w:eastAsia="Calibri" w:hAnsi="Times New Roman" w:cs="Times New Roman"/>
          <w:sz w:val="20"/>
          <w:szCs w:val="20"/>
        </w:rPr>
        <w:t>Hira Riaz</w:t>
      </w:r>
      <w:r w:rsidR="005D7118" w:rsidRPr="00BE1FC4">
        <w:rPr>
          <w:rFonts w:ascii="Times New Roman" w:eastAsia="Calibri" w:hAnsi="Times New Roman" w:cs="Times New Roman"/>
          <w:sz w:val="20"/>
          <w:szCs w:val="20"/>
        </w:rPr>
        <w:t xml:space="preserve">. </w:t>
      </w:r>
      <w:r w:rsidR="00FF7E73" w:rsidRPr="00FF7E73">
        <w:rPr>
          <w:rFonts w:ascii="Times New Roman" w:eastAsia="Calibri" w:hAnsi="Times New Roman" w:cs="Times New Roman"/>
          <w:sz w:val="20"/>
          <w:szCs w:val="20"/>
        </w:rPr>
        <w:t>Kabul Medical University, Kabul, Afghanistan</w:t>
      </w:r>
      <w:r w:rsidR="00BE1FC4">
        <w:rPr>
          <w:rFonts w:ascii="Times New Roman" w:eastAsia="Calibri" w:hAnsi="Times New Roman" w:cs="Times New Roman"/>
          <w:sz w:val="20"/>
          <w:szCs w:val="20"/>
        </w:rPr>
        <w:t>.</w:t>
      </w:r>
    </w:p>
    <w:p w14:paraId="14208F65" w14:textId="616063A0" w:rsidR="00575188" w:rsidRPr="00575188" w:rsidRDefault="00575188" w:rsidP="00754241">
      <w:pPr>
        <w:widowControl w:val="0"/>
        <w:spacing w:after="0" w:line="360" w:lineRule="auto"/>
        <w:jc w:val="both"/>
        <w:rPr>
          <w:rFonts w:ascii="Times New Roman" w:eastAsia="Times New Roman" w:hAnsi="Times New Roman" w:cs="Times New Roman"/>
          <w:sz w:val="20"/>
          <w:szCs w:val="20"/>
          <w:lang w:val="en-IN" w:eastAsia="en-IN"/>
        </w:rPr>
      </w:pPr>
    </w:p>
    <w:p w14:paraId="0DB52272" w14:textId="42F2336E" w:rsidR="000B2B4E" w:rsidRPr="00995891" w:rsidRDefault="00FA4FDF" w:rsidP="00754241">
      <w:pPr>
        <w:spacing w:after="0" w:line="360" w:lineRule="auto"/>
        <w:jc w:val="both"/>
        <w:rPr>
          <w:rFonts w:ascii="Times New Roman" w:hAnsi="Times New Roman"/>
          <w:sz w:val="20"/>
          <w:szCs w:val="20"/>
        </w:rPr>
      </w:pPr>
      <w:r w:rsidRPr="003257ED">
        <w:rPr>
          <w:rFonts w:ascii="Times New Roman" w:hAnsi="Times New Roman"/>
          <w:b/>
          <w:color w:val="0070C0"/>
          <w:sz w:val="20"/>
          <w:szCs w:val="20"/>
        </w:rPr>
        <w:t xml:space="preserve">Received: </w:t>
      </w:r>
      <w:r w:rsidR="000F07FA">
        <w:rPr>
          <w:rFonts w:ascii="Times New Roman" w:hAnsi="Times New Roman"/>
          <w:sz w:val="20"/>
          <w:szCs w:val="20"/>
        </w:rPr>
        <w:t>0</w:t>
      </w:r>
      <w:r w:rsidR="003A0899">
        <w:rPr>
          <w:rFonts w:ascii="Times New Roman" w:hAnsi="Times New Roman"/>
          <w:sz w:val="20"/>
          <w:szCs w:val="20"/>
        </w:rPr>
        <w:t>5</w:t>
      </w:r>
      <w:r w:rsidR="000F07FA">
        <w:rPr>
          <w:rFonts w:ascii="Times New Roman" w:hAnsi="Times New Roman"/>
          <w:sz w:val="20"/>
          <w:szCs w:val="20"/>
        </w:rPr>
        <w:t xml:space="preserve"> </w:t>
      </w:r>
      <w:r w:rsidR="006D3E3F">
        <w:rPr>
          <w:rFonts w:ascii="Times New Roman" w:hAnsi="Times New Roman"/>
          <w:sz w:val="20"/>
          <w:szCs w:val="20"/>
        </w:rPr>
        <w:t>Ju</w:t>
      </w:r>
      <w:r w:rsidR="003A0899">
        <w:rPr>
          <w:rFonts w:ascii="Times New Roman" w:hAnsi="Times New Roman"/>
          <w:sz w:val="20"/>
          <w:szCs w:val="20"/>
        </w:rPr>
        <w:t>ly</w:t>
      </w:r>
      <w:r w:rsidR="008706FC">
        <w:rPr>
          <w:rFonts w:ascii="Times New Roman" w:hAnsi="Times New Roman"/>
          <w:sz w:val="20"/>
          <w:szCs w:val="20"/>
        </w:rPr>
        <w:t xml:space="preserve"> </w:t>
      </w:r>
      <w:r w:rsidR="00DB2782" w:rsidRPr="00ED1CEC">
        <w:rPr>
          <w:rFonts w:ascii="Times New Roman" w:hAnsi="Times New Roman"/>
          <w:sz w:val="20"/>
          <w:szCs w:val="20"/>
        </w:rPr>
        <w:t>202</w:t>
      </w:r>
      <w:r w:rsidR="00F648FE">
        <w:rPr>
          <w:rFonts w:ascii="Times New Roman" w:hAnsi="Times New Roman"/>
          <w:sz w:val="20"/>
          <w:szCs w:val="20"/>
        </w:rPr>
        <w:t>6</w:t>
      </w:r>
      <w:r w:rsidRPr="00ED1CEC">
        <w:rPr>
          <w:rFonts w:ascii="Times New Roman" w:hAnsi="Times New Roman"/>
          <w:sz w:val="20"/>
          <w:szCs w:val="20"/>
        </w:rPr>
        <w:t xml:space="preserve">; </w:t>
      </w:r>
      <w:r w:rsidRPr="005E3DF2">
        <w:rPr>
          <w:rFonts w:ascii="Times New Roman" w:hAnsi="Times New Roman"/>
          <w:b/>
          <w:color w:val="0070C0"/>
          <w:sz w:val="20"/>
          <w:szCs w:val="20"/>
        </w:rPr>
        <w:t>Accepted:</w:t>
      </w:r>
      <w:r w:rsidR="00F44AAF">
        <w:rPr>
          <w:rFonts w:ascii="Times New Roman" w:hAnsi="Times New Roman"/>
          <w:b/>
          <w:color w:val="0070C0"/>
          <w:sz w:val="20"/>
          <w:szCs w:val="20"/>
        </w:rPr>
        <w:t xml:space="preserve"> </w:t>
      </w:r>
      <w:r w:rsidR="003A0899">
        <w:rPr>
          <w:rFonts w:ascii="Times New Roman" w:hAnsi="Times New Roman"/>
          <w:sz w:val="20"/>
          <w:szCs w:val="20"/>
        </w:rPr>
        <w:t>20</w:t>
      </w:r>
      <w:r w:rsidR="0075430D" w:rsidRPr="00ED1CEC">
        <w:rPr>
          <w:rFonts w:ascii="Times New Roman" w:hAnsi="Times New Roman"/>
          <w:sz w:val="20"/>
          <w:szCs w:val="20"/>
        </w:rPr>
        <w:t xml:space="preserve"> </w:t>
      </w:r>
      <w:r w:rsidR="006D3E3F">
        <w:rPr>
          <w:rFonts w:ascii="Times New Roman" w:hAnsi="Times New Roman"/>
          <w:sz w:val="20"/>
          <w:szCs w:val="20"/>
        </w:rPr>
        <w:t>Ju</w:t>
      </w:r>
      <w:r w:rsidR="003A0899">
        <w:rPr>
          <w:rFonts w:ascii="Times New Roman" w:hAnsi="Times New Roman"/>
          <w:sz w:val="20"/>
          <w:szCs w:val="20"/>
        </w:rPr>
        <w:t>ly</w:t>
      </w:r>
      <w:r w:rsidR="00511F99">
        <w:rPr>
          <w:rFonts w:ascii="Times New Roman" w:hAnsi="Times New Roman"/>
          <w:sz w:val="20"/>
          <w:szCs w:val="20"/>
        </w:rPr>
        <w:t xml:space="preserve"> </w:t>
      </w:r>
      <w:r w:rsidR="00DB2782" w:rsidRPr="00ED1CEC">
        <w:rPr>
          <w:rFonts w:ascii="Times New Roman" w:hAnsi="Times New Roman"/>
          <w:sz w:val="20"/>
          <w:szCs w:val="20"/>
        </w:rPr>
        <w:t>202</w:t>
      </w:r>
      <w:r w:rsidR="00041AA2">
        <w:rPr>
          <w:rFonts w:ascii="Times New Roman" w:hAnsi="Times New Roman"/>
          <w:sz w:val="20"/>
          <w:szCs w:val="20"/>
        </w:rPr>
        <w:t>6</w:t>
      </w:r>
      <w:r w:rsidRPr="00ED1CEC">
        <w:rPr>
          <w:rFonts w:ascii="Times New Roman" w:hAnsi="Times New Roman"/>
          <w:sz w:val="20"/>
          <w:szCs w:val="20"/>
        </w:rPr>
        <w:t>;</w:t>
      </w:r>
      <w:r w:rsidRPr="00ED1CEC">
        <w:rPr>
          <w:rFonts w:ascii="Times New Roman" w:hAnsi="Times New Roman"/>
          <w:b/>
          <w:sz w:val="20"/>
          <w:szCs w:val="20"/>
        </w:rPr>
        <w:t xml:space="preserve"> </w:t>
      </w:r>
      <w:r w:rsidRPr="005E3DF2">
        <w:rPr>
          <w:rFonts w:ascii="Times New Roman" w:hAnsi="Times New Roman"/>
          <w:b/>
          <w:color w:val="0070C0"/>
          <w:sz w:val="20"/>
          <w:szCs w:val="20"/>
        </w:rPr>
        <w:t xml:space="preserve">Published: </w:t>
      </w:r>
      <w:r w:rsidR="003A0899" w:rsidRPr="003A0899">
        <w:rPr>
          <w:rFonts w:ascii="Times New Roman" w:hAnsi="Times New Roman"/>
          <w:bCs/>
          <w:sz w:val="20"/>
          <w:szCs w:val="20"/>
        </w:rPr>
        <w:t>22</w:t>
      </w:r>
      <w:r w:rsidR="00F648FE">
        <w:rPr>
          <w:rFonts w:ascii="Times New Roman" w:hAnsi="Times New Roman"/>
          <w:sz w:val="20"/>
          <w:szCs w:val="20"/>
        </w:rPr>
        <w:t xml:space="preserve"> </w:t>
      </w:r>
      <w:r w:rsidR="005D7118">
        <w:rPr>
          <w:rFonts w:ascii="Times New Roman" w:hAnsi="Times New Roman"/>
          <w:sz w:val="20"/>
          <w:szCs w:val="20"/>
        </w:rPr>
        <w:t>Ju</w:t>
      </w:r>
      <w:r w:rsidR="003A0899">
        <w:rPr>
          <w:rFonts w:ascii="Times New Roman" w:hAnsi="Times New Roman"/>
          <w:sz w:val="20"/>
          <w:szCs w:val="20"/>
        </w:rPr>
        <w:t>ly</w:t>
      </w:r>
      <w:r w:rsidR="005D7118">
        <w:rPr>
          <w:rFonts w:ascii="Times New Roman" w:hAnsi="Times New Roman"/>
          <w:sz w:val="20"/>
          <w:szCs w:val="20"/>
        </w:rPr>
        <w:t xml:space="preserve"> </w:t>
      </w:r>
      <w:r w:rsidR="00041AA2" w:rsidRPr="00ED1CEC">
        <w:rPr>
          <w:rFonts w:ascii="Times New Roman" w:hAnsi="Times New Roman"/>
          <w:sz w:val="20"/>
          <w:szCs w:val="20"/>
        </w:rPr>
        <w:t>202</w:t>
      </w:r>
      <w:r w:rsidR="00041AA2">
        <w:rPr>
          <w:rFonts w:ascii="Times New Roman" w:hAnsi="Times New Roman"/>
          <w:sz w:val="20"/>
          <w:szCs w:val="20"/>
        </w:rPr>
        <w:t>6</w:t>
      </w:r>
    </w:p>
    <w:p w14:paraId="78F734F2" w14:textId="77777777" w:rsidR="000B2B4E" w:rsidRPr="00995891" w:rsidRDefault="000B2B4E" w:rsidP="00BA62BB">
      <w:pPr>
        <w:spacing w:after="0" w:line="360" w:lineRule="auto"/>
        <w:contextualSpacing/>
        <w:mirrorIndents/>
        <w:jc w:val="both"/>
        <w:rPr>
          <w:rFonts w:ascii="Times New Roman" w:hAnsi="Times New Roman"/>
          <w:sz w:val="20"/>
          <w:szCs w:val="20"/>
        </w:rPr>
      </w:pPr>
    </w:p>
    <w:p w14:paraId="2D3893A5" w14:textId="29D0747E" w:rsidR="003B566A" w:rsidRPr="00BE1FC4" w:rsidRDefault="000B2B4E" w:rsidP="005A1D30">
      <w:pPr>
        <w:widowControl w:val="0"/>
        <w:spacing w:after="0" w:line="360" w:lineRule="auto"/>
        <w:jc w:val="both"/>
        <w:rPr>
          <w:rFonts w:ascii="Times New Roman" w:hAnsi="Times New Roman"/>
          <w:sz w:val="20"/>
          <w:szCs w:val="20"/>
          <w:lang w:val="en-CA"/>
        </w:rPr>
      </w:pPr>
      <w:r w:rsidRPr="003257ED">
        <w:rPr>
          <w:rFonts w:ascii="Times New Roman" w:eastAsia="Times New Roman" w:hAnsi="Times New Roman"/>
          <w:b/>
          <w:color w:val="0070C0"/>
          <w:sz w:val="20"/>
          <w:szCs w:val="20"/>
        </w:rPr>
        <w:t>Citation</w:t>
      </w:r>
      <w:r w:rsidR="00ED3B9A" w:rsidRPr="003257ED">
        <w:rPr>
          <w:rFonts w:ascii="Times New Roman" w:eastAsia="Times New Roman" w:hAnsi="Times New Roman"/>
          <w:color w:val="0070C0"/>
          <w:sz w:val="20"/>
          <w:szCs w:val="20"/>
        </w:rPr>
        <w:t>:</w:t>
      </w:r>
      <w:r w:rsidR="005A1D30" w:rsidRPr="005A1D30">
        <w:rPr>
          <w:rStyle w:val="Heading1Char"/>
          <w:rFonts w:ascii="Times New Roman" w:hAnsi="Times New Roman"/>
          <w:b/>
          <w:bCs/>
          <w:sz w:val="22"/>
          <w:szCs w:val="22"/>
          <w:lang w:val="en-CA"/>
        </w:rPr>
        <w:t xml:space="preserve"> </w:t>
      </w:r>
      <w:r w:rsidR="00B357C8" w:rsidRPr="00B357C8">
        <w:rPr>
          <w:rStyle w:val="il"/>
          <w:rFonts w:ascii="Times New Roman" w:hAnsi="Times New Roman"/>
          <w:sz w:val="20"/>
          <w:szCs w:val="20"/>
          <w:lang w:val="en-CA"/>
        </w:rPr>
        <w:t xml:space="preserve">Beesham Kumar Lohana, Surjeet Kumar Nagdev, Rahul Rai, Abdul Jabbar, Ahmad Nawaz, Nayyar Iqbal Tiwana, Kamran Ashraf Chatha, Mandeep Kumar, Saifullah Syed, </w:t>
      </w:r>
      <w:r w:rsidR="00D4013C" w:rsidRPr="00D4013C">
        <w:rPr>
          <w:rStyle w:val="il"/>
          <w:rFonts w:ascii="Times New Roman" w:hAnsi="Times New Roman"/>
          <w:sz w:val="20"/>
          <w:szCs w:val="20"/>
          <w:lang w:val="en-CA"/>
        </w:rPr>
        <w:t>Muhammad Shaheryar Shakir</w:t>
      </w:r>
      <w:r w:rsidR="00D4013C">
        <w:rPr>
          <w:rStyle w:val="il"/>
          <w:rFonts w:ascii="Times New Roman" w:hAnsi="Times New Roman"/>
          <w:sz w:val="20"/>
          <w:szCs w:val="20"/>
          <w:lang w:val="en-CA"/>
        </w:rPr>
        <w:t xml:space="preserve">, </w:t>
      </w:r>
      <w:r w:rsidR="00B357C8" w:rsidRPr="00B357C8">
        <w:rPr>
          <w:rStyle w:val="il"/>
          <w:rFonts w:ascii="Times New Roman" w:hAnsi="Times New Roman"/>
          <w:sz w:val="20"/>
          <w:szCs w:val="20"/>
          <w:lang w:val="en-CA"/>
        </w:rPr>
        <w:t>Mohammad Jawwad, Hira Riaz</w:t>
      </w:r>
      <w:r w:rsidR="005A1D30" w:rsidRPr="00BE1FC4">
        <w:rPr>
          <w:rStyle w:val="il"/>
          <w:rFonts w:ascii="Times New Roman" w:hAnsi="Times New Roman"/>
          <w:sz w:val="20"/>
          <w:szCs w:val="20"/>
          <w:lang w:val="en-CA"/>
        </w:rPr>
        <w:t>.</w:t>
      </w:r>
      <w:r w:rsidR="005A1D30" w:rsidRPr="00BE1FC4">
        <w:rPr>
          <w:sz w:val="20"/>
          <w:szCs w:val="20"/>
        </w:rPr>
        <w:t xml:space="preserve"> </w:t>
      </w:r>
      <w:r w:rsidR="00603B27" w:rsidRPr="00603B27">
        <w:rPr>
          <w:rStyle w:val="il"/>
          <w:rFonts w:ascii="Times New Roman" w:hAnsi="Times New Roman"/>
          <w:sz w:val="20"/>
          <w:szCs w:val="20"/>
          <w:lang w:val="en-CA"/>
        </w:rPr>
        <w:t>Comparative Effectiveness of MitraClip, TriClip, and PASCAL Systems for Moderate-to-Severe Tricuspid Regurgitation: A Systematic Review, Meta-Analysis, and Meta-Regression</w:t>
      </w:r>
      <w:r w:rsidR="003F28A4" w:rsidRPr="00BE1FC4">
        <w:rPr>
          <w:rFonts w:ascii="Times New Roman" w:hAnsi="Times New Roman"/>
          <w:color w:val="000000"/>
          <w:spacing w:val="-1"/>
          <w:sz w:val="20"/>
          <w:szCs w:val="20"/>
        </w:rPr>
        <w:t>.</w:t>
      </w:r>
      <w:r w:rsidR="00550FA4" w:rsidRPr="00BE1FC4">
        <w:rPr>
          <w:rFonts w:ascii="Times New Roman" w:hAnsi="Times New Roman"/>
          <w:color w:val="000000"/>
          <w:spacing w:val="-1"/>
          <w:sz w:val="20"/>
          <w:szCs w:val="20"/>
        </w:rPr>
        <w:t xml:space="preserve"> </w:t>
      </w:r>
      <w:r w:rsidR="00FE2D0D" w:rsidRPr="00BE1FC4">
        <w:rPr>
          <w:rFonts w:ascii="Times New Roman" w:hAnsi="Times New Roman"/>
          <w:color w:val="000000"/>
          <w:spacing w:val="-1"/>
          <w:sz w:val="20"/>
          <w:szCs w:val="20"/>
        </w:rPr>
        <w:t xml:space="preserve">Cardiology and Cardiovascular Medicine </w:t>
      </w:r>
      <w:r w:rsidR="00021060">
        <w:rPr>
          <w:rFonts w:ascii="Times New Roman" w:hAnsi="Times New Roman"/>
          <w:color w:val="000000"/>
          <w:spacing w:val="-1"/>
          <w:sz w:val="20"/>
          <w:szCs w:val="20"/>
        </w:rPr>
        <w:t>10</w:t>
      </w:r>
      <w:r w:rsidR="00ED506B" w:rsidRPr="00BE1FC4">
        <w:rPr>
          <w:rFonts w:ascii="Times New Roman" w:hAnsi="Times New Roman"/>
          <w:color w:val="000000"/>
          <w:spacing w:val="-1"/>
          <w:sz w:val="20"/>
          <w:szCs w:val="20"/>
        </w:rPr>
        <w:t xml:space="preserve"> </w:t>
      </w:r>
      <w:r w:rsidR="00FE2D0D" w:rsidRPr="00BE1FC4">
        <w:rPr>
          <w:rFonts w:ascii="Times New Roman" w:hAnsi="Times New Roman"/>
          <w:color w:val="000000"/>
          <w:spacing w:val="-1"/>
          <w:sz w:val="20"/>
          <w:szCs w:val="20"/>
        </w:rPr>
        <w:t xml:space="preserve">(2026): </w:t>
      </w:r>
      <w:r w:rsidR="00E702F2">
        <w:rPr>
          <w:rFonts w:ascii="Times New Roman" w:hAnsi="Times New Roman"/>
          <w:color w:val="000000"/>
          <w:spacing w:val="-1"/>
          <w:sz w:val="20"/>
          <w:szCs w:val="20"/>
        </w:rPr>
        <w:t>212</w:t>
      </w:r>
      <w:r w:rsidR="00FE2D0D" w:rsidRPr="00BE1FC4">
        <w:rPr>
          <w:rFonts w:ascii="Times New Roman" w:hAnsi="Times New Roman"/>
          <w:color w:val="000000"/>
          <w:spacing w:val="-1"/>
          <w:sz w:val="20"/>
          <w:szCs w:val="20"/>
        </w:rPr>
        <w:t>-</w:t>
      </w:r>
      <w:r w:rsidR="00052DAB">
        <w:rPr>
          <w:rFonts w:ascii="Times New Roman" w:hAnsi="Times New Roman"/>
          <w:color w:val="000000"/>
          <w:spacing w:val="-1"/>
          <w:sz w:val="20"/>
          <w:szCs w:val="20"/>
        </w:rPr>
        <w:t>225</w:t>
      </w:r>
      <w:r w:rsidR="001F6962" w:rsidRPr="00BE1FC4">
        <w:rPr>
          <w:rFonts w:ascii="Times New Roman" w:hAnsi="Times New Roman"/>
          <w:color w:val="000000"/>
          <w:spacing w:val="-1"/>
          <w:sz w:val="20"/>
          <w:szCs w:val="20"/>
        </w:rPr>
        <w:t>.</w:t>
      </w:r>
    </w:p>
    <w:p w14:paraId="73804956" w14:textId="77777777" w:rsidR="003B566A" w:rsidRPr="00BE1FC4" w:rsidRDefault="003B566A" w:rsidP="00C01777">
      <w:pPr>
        <w:spacing w:after="0" w:line="360" w:lineRule="auto"/>
        <w:contextualSpacing/>
        <w:mirrorIndents/>
        <w:jc w:val="both"/>
        <w:rPr>
          <w:rFonts w:ascii="Times New Roman" w:hAnsi="Times New Roman"/>
          <w:color w:val="000000"/>
          <w:sz w:val="20"/>
          <w:szCs w:val="20"/>
        </w:rPr>
      </w:pPr>
    </w:p>
    <w:p w14:paraId="5D6AFB1E" w14:textId="77777777" w:rsidR="00E07C13" w:rsidRDefault="00E07C13" w:rsidP="00511F99">
      <w:pPr>
        <w:spacing w:after="0" w:line="360" w:lineRule="auto"/>
        <w:jc w:val="both"/>
        <w:rPr>
          <w:rFonts w:ascii="Times New Roman" w:hAnsi="Times New Roman"/>
          <w:b/>
          <w:color w:val="0070C0"/>
          <w:sz w:val="22"/>
          <w:szCs w:val="22"/>
        </w:rPr>
      </w:pPr>
    </w:p>
    <w:p w14:paraId="53096ACA" w14:textId="4A208A6B" w:rsidR="007145EE" w:rsidRPr="00B74739" w:rsidRDefault="00E31E9A" w:rsidP="00511F99">
      <w:pPr>
        <w:spacing w:after="0" w:line="360" w:lineRule="auto"/>
        <w:jc w:val="both"/>
        <w:rPr>
          <w:rFonts w:ascii="Times New Roman" w:hAnsi="Times New Roman"/>
          <w:b/>
          <w:color w:val="0070C0"/>
          <w:sz w:val="22"/>
          <w:szCs w:val="22"/>
        </w:rPr>
      </w:pPr>
      <w:r w:rsidRPr="00B74739">
        <w:rPr>
          <w:rFonts w:ascii="Times New Roman" w:hAnsi="Times New Roman"/>
          <w:b/>
          <w:color w:val="0070C0"/>
          <w:sz w:val="22"/>
          <w:szCs w:val="22"/>
        </w:rPr>
        <w:t>Abstract</w:t>
      </w:r>
    </w:p>
    <w:p w14:paraId="692187C2" w14:textId="77777777" w:rsidR="00EF5DFB" w:rsidRPr="00F4709D" w:rsidRDefault="00EF5DFB" w:rsidP="00EF5DFB">
      <w:pPr>
        <w:spacing w:after="0" w:line="360" w:lineRule="auto"/>
        <w:jc w:val="both"/>
        <w:rPr>
          <w:rFonts w:ascii="Times New Roman" w:hAnsi="Times New Roman"/>
          <w:sz w:val="20"/>
          <w:szCs w:val="20"/>
          <w:shd w:val="clear" w:color="auto" w:fill="FFFFFF"/>
        </w:rPr>
      </w:pPr>
      <w:r w:rsidRPr="00AB6290">
        <w:rPr>
          <w:rFonts w:ascii="Times New Roman" w:hAnsi="Times New Roman"/>
          <w:b/>
          <w:bCs/>
          <w:sz w:val="20"/>
          <w:szCs w:val="20"/>
          <w:shd w:val="clear" w:color="auto" w:fill="FFFFFF"/>
        </w:rPr>
        <w:lastRenderedPageBreak/>
        <w:t>Background</w:t>
      </w:r>
      <w:r w:rsidRPr="00F4709D">
        <w:rPr>
          <w:rFonts w:ascii="Times New Roman" w:hAnsi="Times New Roman"/>
          <w:sz w:val="20"/>
          <w:szCs w:val="20"/>
          <w:shd w:val="clear" w:color="auto" w:fill="FFFFFF"/>
        </w:rPr>
        <w:t>: Tricuspid regurgitation (TR) is associated with progressive right-sided heart failure and increased mortality. Transcatheter tricuspid valve repair (TTVr) has emerged as a less invasive alternative to surgery, yet comparative evidence across device platforms remains limited.</w:t>
      </w:r>
    </w:p>
    <w:p w14:paraId="4661FE82" w14:textId="77777777" w:rsidR="00EF5DFB" w:rsidRPr="00F4709D" w:rsidRDefault="00EF5DFB" w:rsidP="00EF5DFB">
      <w:pPr>
        <w:spacing w:after="0" w:line="360" w:lineRule="auto"/>
        <w:jc w:val="both"/>
        <w:rPr>
          <w:rFonts w:ascii="Times New Roman" w:hAnsi="Times New Roman"/>
          <w:sz w:val="20"/>
          <w:szCs w:val="20"/>
          <w:shd w:val="clear" w:color="auto" w:fill="FFFFFF"/>
        </w:rPr>
      </w:pPr>
      <w:r w:rsidRPr="00AB6290">
        <w:rPr>
          <w:rFonts w:ascii="Times New Roman" w:hAnsi="Times New Roman"/>
          <w:b/>
          <w:bCs/>
          <w:sz w:val="20"/>
          <w:szCs w:val="20"/>
          <w:shd w:val="clear" w:color="auto" w:fill="FFFFFF"/>
        </w:rPr>
        <w:t>Methods</w:t>
      </w:r>
      <w:r w:rsidRPr="00F4709D">
        <w:rPr>
          <w:rFonts w:ascii="Times New Roman" w:hAnsi="Times New Roman"/>
          <w:sz w:val="20"/>
          <w:szCs w:val="20"/>
          <w:shd w:val="clear" w:color="auto" w:fill="FFFFFF"/>
        </w:rPr>
        <w:t>: A systematic review and meta-analysis was conducted following PRISMA guidelines. PubMed/MEDLINE, Embase, and Cochrane Library were searched from inception to March 2026. Studies reporting echocardiographic, functional, or clinical outcomes following TTVr using MitraClip, TriClip, or PASCAL systems were included. Pooled estimates were derived using random-effects models, with device-specific subgroup and REML-based meta-regression analyses performed to explore heterogeneity.</w:t>
      </w:r>
    </w:p>
    <w:p w14:paraId="386DA3AF" w14:textId="108CCA21" w:rsidR="00EF5DFB" w:rsidRPr="00F4709D" w:rsidRDefault="00EF5DFB" w:rsidP="00EF5DFB">
      <w:pPr>
        <w:spacing w:after="0" w:line="360" w:lineRule="auto"/>
        <w:jc w:val="both"/>
        <w:rPr>
          <w:rFonts w:ascii="Times New Roman" w:hAnsi="Times New Roman"/>
          <w:sz w:val="20"/>
          <w:szCs w:val="20"/>
          <w:shd w:val="clear" w:color="auto" w:fill="FFFFFF"/>
        </w:rPr>
      </w:pPr>
      <w:r w:rsidRPr="00AB6290">
        <w:rPr>
          <w:rFonts w:ascii="Times New Roman" w:hAnsi="Times New Roman"/>
          <w:b/>
          <w:bCs/>
          <w:sz w:val="20"/>
          <w:szCs w:val="20"/>
          <w:shd w:val="clear" w:color="auto" w:fill="FFFFFF"/>
        </w:rPr>
        <w:t>Results</w:t>
      </w:r>
      <w:r w:rsidRPr="00F4709D">
        <w:rPr>
          <w:rFonts w:ascii="Times New Roman" w:hAnsi="Times New Roman"/>
          <w:sz w:val="20"/>
          <w:szCs w:val="20"/>
          <w:shd w:val="clear" w:color="auto" w:fill="FFFFFF"/>
        </w:rPr>
        <w:t xml:space="preserve">: </w:t>
      </w:r>
      <w:r w:rsidR="00040AC2" w:rsidRPr="00040AC2">
        <w:rPr>
          <w:rFonts w:ascii="Times New Roman" w:hAnsi="Times New Roman"/>
          <w:sz w:val="20"/>
          <w:szCs w:val="20"/>
          <w:shd w:val="clear" w:color="auto" w:fill="FFFFFF"/>
        </w:rPr>
        <w:t>Thirty-one studies enrolling several thousand patients were included. TTVr was associated with significant reductions in TR regurgitant volume (MD −17.60 mL; 95% CI: −18.85 to −16.35), vena contracta width (MD −6.27 mm; 95% CI: −7.41 to −5.14), and EROA (MD −0.21 cm²; 95% CI: −0.24 to −0.18). The proportion of patients with TR ≥ grade 3+ post-intervention was 27.3%. Six-minute walk distance improved significantly (MD +33.85 m; 95% CI: +23.11 to +44.59), and NYHA class ≥ III/IV was markedly reduced (OR 0.04; 95% CI: 0.03–0.07). TAPSE was broadly preserved. Subgroup analyses demonstrated consistent effects across all three device platforms, with no statistically significant between-device differences for most outcomes.</w:t>
      </w:r>
    </w:p>
    <w:p w14:paraId="4B13A8DC" w14:textId="612D3DF9" w:rsidR="00BD0C0E" w:rsidRPr="00F4709D" w:rsidRDefault="00EF5DFB" w:rsidP="00EF5DFB">
      <w:pPr>
        <w:spacing w:after="0" w:line="360" w:lineRule="auto"/>
        <w:jc w:val="both"/>
        <w:rPr>
          <w:rFonts w:ascii="Times New Roman" w:hAnsi="Times New Roman"/>
          <w:sz w:val="20"/>
          <w:szCs w:val="20"/>
          <w:shd w:val="clear" w:color="auto" w:fill="FFFFFF"/>
        </w:rPr>
      </w:pPr>
      <w:r w:rsidRPr="00AB6290">
        <w:rPr>
          <w:rFonts w:ascii="Times New Roman" w:hAnsi="Times New Roman"/>
          <w:b/>
          <w:bCs/>
          <w:sz w:val="20"/>
          <w:szCs w:val="20"/>
          <w:shd w:val="clear" w:color="auto" w:fill="FFFFFF"/>
        </w:rPr>
        <w:t>Conclusions</w:t>
      </w:r>
      <w:r w:rsidRPr="00F4709D">
        <w:rPr>
          <w:rFonts w:ascii="Times New Roman" w:hAnsi="Times New Roman"/>
          <w:sz w:val="20"/>
          <w:szCs w:val="20"/>
          <w:shd w:val="clear" w:color="auto" w:fill="FFFFFF"/>
        </w:rPr>
        <w:t>: TTVr is associated with meaningful improvements in TR severity, echocardiographic parameters, and functional capacity across MitraClip, TriClip, and PASCAL systems. These findings support TTVr as an effective therapeutic option for patients with moderate-to-severe TR at high surgical risk. Adequately powered randomized trials with long-term follow-up are needed to establish comparative device efficacy and survival benefit.</w:t>
      </w:r>
    </w:p>
    <w:p w14:paraId="29C6F819" w14:textId="77777777" w:rsidR="00BD0C0E" w:rsidRDefault="00BD0C0E" w:rsidP="00BD0C0E">
      <w:pPr>
        <w:spacing w:after="0" w:line="360" w:lineRule="auto"/>
        <w:jc w:val="both"/>
        <w:rPr>
          <w:rFonts w:ascii="Times New Roman" w:hAnsi="Times New Roman"/>
          <w:color w:val="000000"/>
          <w:sz w:val="20"/>
          <w:szCs w:val="20"/>
          <w:shd w:val="clear" w:color="auto" w:fill="FFFFFF"/>
        </w:rPr>
      </w:pPr>
    </w:p>
    <w:p w14:paraId="54B6F626" w14:textId="0E06FDFF" w:rsidR="00157C61" w:rsidRDefault="00157C61" w:rsidP="00157C61">
      <w:pPr>
        <w:spacing w:after="0" w:line="360" w:lineRule="auto"/>
        <w:jc w:val="both"/>
        <w:rPr>
          <w:rFonts w:ascii="Times New Roman" w:hAnsi="Times New Roman"/>
          <w:color w:val="000000"/>
          <w:sz w:val="20"/>
          <w:szCs w:val="20"/>
          <w:shd w:val="clear" w:color="auto" w:fill="FFFFFF"/>
        </w:rPr>
      </w:pPr>
      <w:r w:rsidRPr="00157C61">
        <w:rPr>
          <w:rFonts w:ascii="Times New Roman" w:hAnsi="Times New Roman"/>
          <w:b/>
          <w:bCs/>
          <w:color w:val="0070C0"/>
          <w:sz w:val="22"/>
          <w:szCs w:val="22"/>
          <w:shd w:val="clear" w:color="auto" w:fill="FFFFFF"/>
        </w:rPr>
        <w:t>Keyword</w:t>
      </w:r>
      <w:r w:rsidRPr="00A15EC3">
        <w:rPr>
          <w:rFonts w:ascii="Times New Roman" w:hAnsi="Times New Roman"/>
          <w:b/>
          <w:bCs/>
          <w:color w:val="0070C0"/>
          <w:sz w:val="22"/>
          <w:szCs w:val="22"/>
          <w:shd w:val="clear" w:color="auto" w:fill="FFFFFF"/>
        </w:rPr>
        <w:t>s:</w:t>
      </w:r>
      <w:r w:rsidRPr="00A15EC3">
        <w:rPr>
          <w:rFonts w:ascii="Times New Roman" w:hAnsi="Times New Roman"/>
          <w:color w:val="0070C0"/>
          <w:sz w:val="20"/>
          <w:szCs w:val="20"/>
          <w:shd w:val="clear" w:color="auto" w:fill="FFFFFF"/>
        </w:rPr>
        <w:t xml:space="preserve"> </w:t>
      </w:r>
      <w:r w:rsidR="00BF4A6E" w:rsidRPr="00BF4A6E">
        <w:rPr>
          <w:rFonts w:ascii="Times New Roman" w:hAnsi="Times New Roman"/>
          <w:color w:val="000000"/>
          <w:sz w:val="20"/>
          <w:szCs w:val="20"/>
          <w:shd w:val="clear" w:color="auto" w:fill="FFFFFF"/>
        </w:rPr>
        <w:t>Tricuspid regurgitation; Transcatheter tricuspid valve repair; Edge-to-edge repair; MitraClip; TriClip; PASCAL; Structural heart disease; Meta-analysis</w:t>
      </w:r>
      <w:r w:rsidR="00C33D75">
        <w:rPr>
          <w:rFonts w:ascii="Times New Roman" w:hAnsi="Times New Roman"/>
          <w:color w:val="000000"/>
          <w:sz w:val="20"/>
          <w:szCs w:val="20"/>
          <w:shd w:val="clear" w:color="auto" w:fill="FFFFFF"/>
        </w:rPr>
        <w:t>.</w:t>
      </w:r>
    </w:p>
    <w:p w14:paraId="1380D2B4" w14:textId="77777777" w:rsidR="008D4D62" w:rsidRDefault="008D4D62" w:rsidP="00157C61">
      <w:pPr>
        <w:spacing w:after="0" w:line="360" w:lineRule="auto"/>
        <w:jc w:val="both"/>
        <w:rPr>
          <w:rFonts w:ascii="Times New Roman" w:hAnsi="Times New Roman"/>
          <w:color w:val="000000"/>
          <w:sz w:val="20"/>
          <w:szCs w:val="20"/>
          <w:shd w:val="clear" w:color="auto" w:fill="FFFFFF"/>
        </w:rPr>
      </w:pPr>
    </w:p>
    <w:p w14:paraId="422C76DC" w14:textId="099F62E5" w:rsidR="00D60E88" w:rsidRDefault="00D6248A" w:rsidP="00157C61">
      <w:pPr>
        <w:spacing w:after="0" w:line="360" w:lineRule="auto"/>
        <w:jc w:val="both"/>
        <w:rPr>
          <w:rFonts w:ascii="Times New Roman" w:hAnsi="Times New Roman" w:cs="Times New Roman"/>
          <w:b/>
          <w:bCs/>
          <w:color w:val="0070C0"/>
          <w:sz w:val="22"/>
          <w:szCs w:val="22"/>
        </w:rPr>
      </w:pPr>
      <w:r w:rsidRPr="00D6248A">
        <w:rPr>
          <w:rFonts w:ascii="Times New Roman" w:hAnsi="Times New Roman" w:cs="Times New Roman"/>
          <w:b/>
          <w:bCs/>
          <w:color w:val="0070C0"/>
          <w:sz w:val="22"/>
          <w:szCs w:val="22"/>
        </w:rPr>
        <w:t>Background</w:t>
      </w:r>
    </w:p>
    <w:p w14:paraId="1BCE5C31" w14:textId="00D48829"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Tricuspid regurgitation (TR) is a prevalent and clinically significant valvular heart disease associated with progressive right-sided heart failure, impaired functional capacity, and increased mortality. Once considered a benign condition, growing evidence has demonstrated that moderate-to-severe TR independently contributes to adverse outcomes, even after adjustment for comorbidities and left-sided heart disease</w:t>
      </w:r>
      <w:r w:rsidR="00EC4EFB">
        <w:rPr>
          <w:rFonts w:ascii="Times New Roman" w:hAnsi="Times New Roman" w:cs="Times New Roman"/>
          <w:sz w:val="20"/>
          <w:szCs w:val="20"/>
        </w:rPr>
        <w:t xml:space="preserve"> [1]</w:t>
      </w:r>
      <w:r w:rsidRPr="00923036">
        <w:rPr>
          <w:rFonts w:ascii="Times New Roman" w:hAnsi="Times New Roman" w:cs="Times New Roman"/>
          <w:sz w:val="20"/>
          <w:szCs w:val="20"/>
        </w:rPr>
        <w:t>.</w:t>
      </w:r>
    </w:p>
    <w:p w14:paraId="56B373FB" w14:textId="1C5A7596" w:rsidR="00923036" w:rsidRPr="00923036" w:rsidRDefault="00CA2ACB" w:rsidP="00923036">
      <w:pPr>
        <w:widowControl w:val="0"/>
        <w:adjustRightInd w:val="0"/>
        <w:spacing w:after="0" w:line="360" w:lineRule="auto"/>
        <w:jc w:val="both"/>
        <w:rPr>
          <w:rFonts w:ascii="Times New Roman" w:hAnsi="Times New Roman" w:cs="Times New Roman"/>
          <w:sz w:val="20"/>
          <w:szCs w:val="20"/>
        </w:rPr>
      </w:pPr>
      <w:r w:rsidRPr="00CA2ACB">
        <w:rPr>
          <w:rFonts w:ascii="Times New Roman" w:hAnsi="Times New Roman" w:cs="Times New Roman"/>
          <w:sz w:val="20"/>
          <w:szCs w:val="20"/>
        </w:rPr>
        <w:t>Despite its substantial clinical burden, isolated surgical treatment for TR remains infrequently performed because many patients present at an advanced stage of disease with significant comorbidities and are therefore considered high-risk surgical candidates. As a result, conservative management continues to be the predominant treatment strategy for many individuals, often providing limited symptom control while allowing ongoing disease progression</w:t>
      </w:r>
      <w:r w:rsidR="00EA1185">
        <w:rPr>
          <w:rFonts w:ascii="Times New Roman" w:hAnsi="Times New Roman" w:cs="Times New Roman"/>
          <w:sz w:val="20"/>
          <w:szCs w:val="20"/>
        </w:rPr>
        <w:t xml:space="preserve"> [2].</w:t>
      </w:r>
      <w:r w:rsidRPr="00CA2ACB">
        <w:rPr>
          <w:rFonts w:ascii="Times New Roman" w:hAnsi="Times New Roman" w:cs="Times New Roman"/>
          <w:sz w:val="20"/>
          <w:szCs w:val="20"/>
        </w:rPr>
        <w:t xml:space="preserve"> These challenges have accelerated the development of transcatheter tricuspid valve repair (TTVr) as a less invasive therapeutic alternative.</w:t>
      </w:r>
    </w:p>
    <w:p w14:paraId="188DB943" w14:textId="6E29EF08" w:rsidR="00B85795" w:rsidRPr="00B85795" w:rsidRDefault="00B85795" w:rsidP="00B85795">
      <w:pPr>
        <w:widowControl w:val="0"/>
        <w:adjustRightInd w:val="0"/>
        <w:spacing w:after="0" w:line="360" w:lineRule="auto"/>
        <w:jc w:val="both"/>
        <w:rPr>
          <w:rFonts w:ascii="Times New Roman" w:hAnsi="Times New Roman" w:cs="Times New Roman"/>
          <w:sz w:val="20"/>
          <w:szCs w:val="20"/>
        </w:rPr>
      </w:pPr>
      <w:r w:rsidRPr="00B85795">
        <w:rPr>
          <w:rFonts w:ascii="Times New Roman" w:hAnsi="Times New Roman" w:cs="Times New Roman"/>
          <w:sz w:val="20"/>
          <w:szCs w:val="20"/>
        </w:rPr>
        <w:t xml:space="preserve">Among the currently available TTVr technologies, edge-to-edge repair devices have gained considerable attention. These include the MitraClip system (Abbott Vascular, Santa Clara, California, USA), which was originally designed for mitral valve repair and has been applied off-label for the treatment of TR; the TriClip system (Abbott Structural </w:t>
      </w:r>
      <w:r w:rsidRPr="00B85795">
        <w:rPr>
          <w:rFonts w:ascii="Times New Roman" w:hAnsi="Times New Roman" w:cs="Times New Roman"/>
          <w:sz w:val="20"/>
          <w:szCs w:val="20"/>
        </w:rPr>
        <w:lastRenderedPageBreak/>
        <w:t>Heart, Santa Clara, California, USA), specifically engineered for tricuspid valve repair; and the PASCAL system (Edwards Lifesciences, Irvine, California, USA). Clinical studies have shown that these devices are technically feasible, demonstrate favorable procedural safety, and effectively reduce TR severity while improving patient outcomes</w:t>
      </w:r>
      <w:r w:rsidR="00AF7963">
        <w:rPr>
          <w:rFonts w:ascii="Times New Roman" w:hAnsi="Times New Roman" w:cs="Times New Roman"/>
          <w:sz w:val="20"/>
          <w:szCs w:val="20"/>
        </w:rPr>
        <w:t xml:space="preserve"> [3-5]</w:t>
      </w:r>
      <w:r w:rsidRPr="00B85795">
        <w:rPr>
          <w:rFonts w:ascii="Times New Roman" w:hAnsi="Times New Roman" w:cs="Times New Roman"/>
          <w:sz w:val="20"/>
          <w:szCs w:val="20"/>
        </w:rPr>
        <w:t>. Nevertheless, the current body of evidence is characterized by considerable heterogeneity arising from differences in study methodologies, patient characteristics, and reported endpoints. Furthermore, head-to-head comparisons between individual device platforms remain scarce, leaving uncertainty regarding their comparative effectiveness.</w:t>
      </w:r>
    </w:p>
    <w:p w14:paraId="54AB6B6E" w14:textId="1008FE35" w:rsidR="00923036" w:rsidRDefault="00B85795" w:rsidP="00B85795">
      <w:pPr>
        <w:widowControl w:val="0"/>
        <w:adjustRightInd w:val="0"/>
        <w:spacing w:after="0" w:line="360" w:lineRule="auto"/>
        <w:jc w:val="both"/>
        <w:rPr>
          <w:rFonts w:ascii="Times New Roman" w:hAnsi="Times New Roman" w:cs="Times New Roman"/>
          <w:sz w:val="20"/>
          <w:szCs w:val="20"/>
        </w:rPr>
      </w:pPr>
      <w:r w:rsidRPr="00B85795">
        <w:rPr>
          <w:rFonts w:ascii="Times New Roman" w:hAnsi="Times New Roman" w:cs="Times New Roman"/>
          <w:sz w:val="20"/>
          <w:szCs w:val="20"/>
        </w:rPr>
        <w:t>Accordingly, we performed a comprehensive systematic review and meta-analysis to assess the effects of transcatheter tricuspid valve repair on echocardiographic outcomes, functional capacity, and clinical endpoints, while also conducting subgroup analyses to compare the performance of the MitraClip, TriClip, and PASCAL systems.</w:t>
      </w:r>
    </w:p>
    <w:p w14:paraId="10CD7CB1" w14:textId="77777777" w:rsidR="004F6BA2" w:rsidRPr="00923036" w:rsidRDefault="004F6BA2" w:rsidP="00923036">
      <w:pPr>
        <w:widowControl w:val="0"/>
        <w:adjustRightInd w:val="0"/>
        <w:spacing w:after="0" w:line="360" w:lineRule="auto"/>
        <w:jc w:val="both"/>
        <w:rPr>
          <w:rFonts w:ascii="Times New Roman" w:hAnsi="Times New Roman" w:cs="Times New Roman"/>
          <w:sz w:val="20"/>
          <w:szCs w:val="20"/>
        </w:rPr>
      </w:pPr>
    </w:p>
    <w:p w14:paraId="4F453F11" w14:textId="33B16CE2" w:rsidR="00923036" w:rsidRPr="004F6BA2" w:rsidRDefault="00923036" w:rsidP="00923036">
      <w:pPr>
        <w:widowControl w:val="0"/>
        <w:adjustRightInd w:val="0"/>
        <w:spacing w:after="0" w:line="360" w:lineRule="auto"/>
        <w:jc w:val="both"/>
        <w:rPr>
          <w:rFonts w:ascii="Times New Roman" w:hAnsi="Times New Roman" w:cs="Times New Roman"/>
          <w:b/>
          <w:bCs/>
          <w:color w:val="4F81BD" w:themeColor="accent1"/>
          <w:sz w:val="22"/>
          <w:szCs w:val="22"/>
        </w:rPr>
      </w:pPr>
      <w:r w:rsidRPr="004F6BA2">
        <w:rPr>
          <w:rFonts w:ascii="Times New Roman" w:hAnsi="Times New Roman" w:cs="Times New Roman"/>
          <w:b/>
          <w:bCs/>
          <w:color w:val="4F81BD" w:themeColor="accent1"/>
          <w:sz w:val="22"/>
          <w:szCs w:val="22"/>
        </w:rPr>
        <w:t>Methods</w:t>
      </w:r>
    </w:p>
    <w:p w14:paraId="2E913C6E" w14:textId="680E6035" w:rsidR="00923036" w:rsidRPr="000D4980" w:rsidRDefault="00923036" w:rsidP="00923036">
      <w:pPr>
        <w:widowControl w:val="0"/>
        <w:adjustRightInd w:val="0"/>
        <w:spacing w:after="0" w:line="360" w:lineRule="auto"/>
        <w:jc w:val="both"/>
        <w:rPr>
          <w:rFonts w:ascii="Times New Roman" w:hAnsi="Times New Roman" w:cs="Times New Roman"/>
          <w:b/>
          <w:bCs/>
          <w:sz w:val="20"/>
          <w:szCs w:val="20"/>
        </w:rPr>
      </w:pPr>
      <w:r w:rsidRPr="000D4980">
        <w:rPr>
          <w:rFonts w:ascii="Times New Roman" w:hAnsi="Times New Roman" w:cs="Times New Roman"/>
          <w:b/>
          <w:bCs/>
          <w:sz w:val="20"/>
          <w:szCs w:val="20"/>
        </w:rPr>
        <w:t>Study Design and Reporting Standards</w:t>
      </w:r>
    </w:p>
    <w:p w14:paraId="14C805DB" w14:textId="54966A9B" w:rsidR="00923036" w:rsidRDefault="0049403A" w:rsidP="00923036">
      <w:pPr>
        <w:widowControl w:val="0"/>
        <w:adjustRightInd w:val="0"/>
        <w:spacing w:after="0" w:line="360" w:lineRule="auto"/>
        <w:jc w:val="both"/>
        <w:rPr>
          <w:rFonts w:ascii="Times New Roman" w:hAnsi="Times New Roman" w:cs="Times New Roman"/>
          <w:sz w:val="20"/>
          <w:szCs w:val="20"/>
        </w:rPr>
      </w:pPr>
      <w:r w:rsidRPr="0049403A">
        <w:rPr>
          <w:rFonts w:ascii="Times New Roman" w:hAnsi="Times New Roman" w:cs="Times New Roman"/>
          <w:sz w:val="20"/>
          <w:szCs w:val="20"/>
        </w:rPr>
        <w:t xml:space="preserve">This systematic review and meta-analysis was performed in accordance with the </w:t>
      </w:r>
      <w:r w:rsidRPr="00D2056C">
        <w:rPr>
          <w:rFonts w:ascii="Times New Roman" w:hAnsi="Times New Roman" w:cs="Times New Roman"/>
          <w:b/>
          <w:bCs/>
          <w:sz w:val="20"/>
          <w:szCs w:val="20"/>
        </w:rPr>
        <w:t>Preferred Reporting Items for Systematic Reviews and Meta-Analyses (PRISMA)</w:t>
      </w:r>
      <w:r w:rsidRPr="0049403A">
        <w:rPr>
          <w:rFonts w:ascii="Times New Roman" w:hAnsi="Times New Roman" w:cs="Times New Roman"/>
          <w:sz w:val="20"/>
          <w:szCs w:val="20"/>
        </w:rPr>
        <w:t xml:space="preserve"> guidelines. A study protocol was established before the review commenced, with predefined objectives, eligibility criteria, and outcomes of interest. The review was prospectively registered in the </w:t>
      </w:r>
      <w:r w:rsidRPr="00D2056C">
        <w:rPr>
          <w:rFonts w:ascii="Times New Roman" w:hAnsi="Times New Roman" w:cs="Times New Roman"/>
          <w:b/>
          <w:bCs/>
          <w:sz w:val="20"/>
          <w:szCs w:val="20"/>
        </w:rPr>
        <w:t>Open Science Framework (OSF)</w:t>
      </w:r>
      <w:r w:rsidRPr="0049403A">
        <w:rPr>
          <w:rFonts w:ascii="Times New Roman" w:hAnsi="Times New Roman" w:cs="Times New Roman"/>
          <w:sz w:val="20"/>
          <w:szCs w:val="20"/>
        </w:rPr>
        <w:t xml:space="preserve"> database under DOI: </w:t>
      </w:r>
      <w:r w:rsidRPr="00D2056C">
        <w:rPr>
          <w:rFonts w:ascii="Times New Roman" w:hAnsi="Times New Roman" w:cs="Times New Roman"/>
          <w:b/>
          <w:bCs/>
          <w:sz w:val="20"/>
          <w:szCs w:val="20"/>
        </w:rPr>
        <w:t>10.17605/OSF.IO/D4NWC</w:t>
      </w:r>
      <w:r w:rsidRPr="0049403A">
        <w:rPr>
          <w:rFonts w:ascii="Times New Roman" w:hAnsi="Times New Roman" w:cs="Times New Roman"/>
          <w:sz w:val="20"/>
          <w:szCs w:val="20"/>
        </w:rPr>
        <w:t>.</w:t>
      </w:r>
    </w:p>
    <w:p w14:paraId="6FE9139C" w14:textId="77777777" w:rsidR="000D4980" w:rsidRPr="00923036" w:rsidRDefault="000D4980" w:rsidP="00923036">
      <w:pPr>
        <w:widowControl w:val="0"/>
        <w:adjustRightInd w:val="0"/>
        <w:spacing w:after="0" w:line="360" w:lineRule="auto"/>
        <w:jc w:val="both"/>
        <w:rPr>
          <w:rFonts w:ascii="Times New Roman" w:hAnsi="Times New Roman" w:cs="Times New Roman"/>
          <w:sz w:val="20"/>
          <w:szCs w:val="20"/>
        </w:rPr>
      </w:pPr>
    </w:p>
    <w:p w14:paraId="58955762" w14:textId="0A8DD0DC" w:rsidR="00923036" w:rsidRPr="000D4980" w:rsidRDefault="00923036" w:rsidP="00923036">
      <w:pPr>
        <w:widowControl w:val="0"/>
        <w:adjustRightInd w:val="0"/>
        <w:spacing w:after="0" w:line="360" w:lineRule="auto"/>
        <w:jc w:val="both"/>
        <w:rPr>
          <w:rFonts w:ascii="Times New Roman" w:hAnsi="Times New Roman" w:cs="Times New Roman"/>
          <w:b/>
          <w:bCs/>
          <w:sz w:val="20"/>
          <w:szCs w:val="20"/>
        </w:rPr>
      </w:pPr>
      <w:r w:rsidRPr="000D4980">
        <w:rPr>
          <w:rFonts w:ascii="Times New Roman" w:hAnsi="Times New Roman" w:cs="Times New Roman"/>
          <w:b/>
          <w:bCs/>
          <w:sz w:val="20"/>
          <w:szCs w:val="20"/>
        </w:rPr>
        <w:t>Search Strategy</w:t>
      </w:r>
    </w:p>
    <w:p w14:paraId="7446269C" w14:textId="77777777"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A comprehensive literature search was performed across PubMed/MEDLINE, Embase, and Cochrane Library from database inception to March 2026. The search strategy combined controlled vocabulary (MeSH/Emtree terms) and free-text keywords related to “tricuspid regurgitation,” “transcatheter tricuspid valve repair,” “MitraClip,” “TriClip,” “PASCAL,” and “edge-to-edge repair.” No language restrictions were applied. Additionally, the reference lists of relevant articles and reviews were manually screened to identify further eligible studies.</w:t>
      </w:r>
    </w:p>
    <w:p w14:paraId="797E8735" w14:textId="77777777" w:rsidR="000D4980" w:rsidRPr="00923036" w:rsidRDefault="000D4980" w:rsidP="00923036">
      <w:pPr>
        <w:widowControl w:val="0"/>
        <w:adjustRightInd w:val="0"/>
        <w:spacing w:after="0" w:line="360" w:lineRule="auto"/>
        <w:jc w:val="both"/>
        <w:rPr>
          <w:rFonts w:ascii="Times New Roman" w:hAnsi="Times New Roman" w:cs="Times New Roman"/>
          <w:sz w:val="20"/>
          <w:szCs w:val="20"/>
        </w:rPr>
      </w:pPr>
    </w:p>
    <w:p w14:paraId="424430F9" w14:textId="0615FCD6" w:rsidR="00923036" w:rsidRPr="000D4980" w:rsidRDefault="00923036" w:rsidP="00923036">
      <w:pPr>
        <w:widowControl w:val="0"/>
        <w:adjustRightInd w:val="0"/>
        <w:spacing w:after="0" w:line="360" w:lineRule="auto"/>
        <w:jc w:val="both"/>
        <w:rPr>
          <w:rFonts w:ascii="Times New Roman" w:hAnsi="Times New Roman" w:cs="Times New Roman"/>
          <w:b/>
          <w:bCs/>
          <w:sz w:val="20"/>
          <w:szCs w:val="20"/>
        </w:rPr>
      </w:pPr>
      <w:r w:rsidRPr="000D4980">
        <w:rPr>
          <w:rFonts w:ascii="Times New Roman" w:hAnsi="Times New Roman" w:cs="Times New Roman"/>
          <w:b/>
          <w:bCs/>
          <w:sz w:val="20"/>
          <w:szCs w:val="20"/>
        </w:rPr>
        <w:t>Eligibility Criteria</w:t>
      </w:r>
    </w:p>
    <w:p w14:paraId="4D179580" w14:textId="6178642C" w:rsidR="00923036" w:rsidRDefault="003067DF" w:rsidP="00923036">
      <w:pPr>
        <w:widowControl w:val="0"/>
        <w:adjustRightInd w:val="0"/>
        <w:spacing w:after="0" w:line="360" w:lineRule="auto"/>
        <w:jc w:val="both"/>
        <w:rPr>
          <w:rFonts w:ascii="Times New Roman" w:hAnsi="Times New Roman" w:cs="Times New Roman"/>
          <w:sz w:val="20"/>
          <w:szCs w:val="20"/>
        </w:rPr>
      </w:pPr>
      <w:r w:rsidRPr="003067DF">
        <w:rPr>
          <w:rFonts w:ascii="Times New Roman" w:hAnsi="Times New Roman" w:cs="Times New Roman"/>
          <w:sz w:val="20"/>
          <w:szCs w:val="20"/>
        </w:rPr>
        <w:t xml:space="preserve">Studies were included if they met the predefined eligibility criteria. The study population consisted of adults (≥18 years) with a diagnosis of moderate-to-severe or severe tricuspid regurgitation. Eligible interventions were transcatheter tricuspid valve repair (TTVr) performed using the MitraClip, TriClip, or PASCAL systems. To be eligible, studies had to report at least one outcome of interest, including TR severity or quantitative echocardiographic measures (regurgitant volume, effective regurgitant orifice area [EROA], or vena contracta), right ventricular function (e.g., tricuspid annular plane systolic excursion [TAPSE]), functional capacity assessed by the 6-minute walk test, or clinical outcomes such as New York Heart Association (NYHA) functional class. Both randomized controlled trials and observational studies, including prospective and retrospective designs, were considered eligible. Case reports, case series involving fewer than 10 patients, review articles, editorials, and conference abstracts without complete data were excluded. Studies lacking extractable quantitative data or containing overlapping patient populations were also excluded, with preference given to the most comprehensive or most recent dataset when duplication was </w:t>
      </w:r>
      <w:r w:rsidRPr="003067DF">
        <w:rPr>
          <w:rFonts w:ascii="Times New Roman" w:hAnsi="Times New Roman" w:cs="Times New Roman"/>
          <w:sz w:val="20"/>
          <w:szCs w:val="20"/>
        </w:rPr>
        <w:lastRenderedPageBreak/>
        <w:t>identified.</w:t>
      </w:r>
    </w:p>
    <w:p w14:paraId="24253731" w14:textId="77777777" w:rsidR="000D4980" w:rsidRPr="00923036" w:rsidRDefault="000D4980" w:rsidP="00923036">
      <w:pPr>
        <w:widowControl w:val="0"/>
        <w:adjustRightInd w:val="0"/>
        <w:spacing w:after="0" w:line="360" w:lineRule="auto"/>
        <w:jc w:val="both"/>
        <w:rPr>
          <w:rFonts w:ascii="Times New Roman" w:hAnsi="Times New Roman" w:cs="Times New Roman"/>
          <w:sz w:val="20"/>
          <w:szCs w:val="20"/>
        </w:rPr>
      </w:pPr>
    </w:p>
    <w:p w14:paraId="1CCF2F8F" w14:textId="42C322E6" w:rsidR="00923036" w:rsidRPr="000D4980" w:rsidRDefault="00923036" w:rsidP="00923036">
      <w:pPr>
        <w:widowControl w:val="0"/>
        <w:adjustRightInd w:val="0"/>
        <w:spacing w:after="0" w:line="360" w:lineRule="auto"/>
        <w:jc w:val="both"/>
        <w:rPr>
          <w:rFonts w:ascii="Times New Roman" w:hAnsi="Times New Roman" w:cs="Times New Roman"/>
          <w:b/>
          <w:bCs/>
          <w:sz w:val="20"/>
          <w:szCs w:val="20"/>
        </w:rPr>
      </w:pPr>
      <w:r w:rsidRPr="000D4980">
        <w:rPr>
          <w:rFonts w:ascii="Times New Roman" w:hAnsi="Times New Roman" w:cs="Times New Roman"/>
          <w:b/>
          <w:bCs/>
          <w:sz w:val="20"/>
          <w:szCs w:val="20"/>
        </w:rPr>
        <w:t>Data Extraction</w:t>
      </w:r>
    </w:p>
    <w:p w14:paraId="5360558B" w14:textId="777777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Two independent reviewers screened titles, abstracts, and full-text articles to determine eligibility. Data extraction was performed using a standardized form, capturing study characteristics (author, year, design, and sample size), patient demographics and baseline features, type of device used (MitraClip, TriClip, or PASCAL), and reported outcome measures including pre- and post-intervention values or event rates. Discrepancies between reviewers were resolved through discussion or consultation with a third reviewer.</w:t>
      </w:r>
    </w:p>
    <w:p w14:paraId="31BE921C" w14:textId="531EB210" w:rsidR="00923036" w:rsidRPr="000D4980" w:rsidRDefault="00923036" w:rsidP="00923036">
      <w:pPr>
        <w:widowControl w:val="0"/>
        <w:adjustRightInd w:val="0"/>
        <w:spacing w:after="0" w:line="360" w:lineRule="auto"/>
        <w:jc w:val="both"/>
        <w:rPr>
          <w:rFonts w:ascii="Times New Roman" w:hAnsi="Times New Roman" w:cs="Times New Roman"/>
          <w:b/>
          <w:bCs/>
          <w:sz w:val="20"/>
          <w:szCs w:val="20"/>
        </w:rPr>
      </w:pPr>
      <w:r w:rsidRPr="000D4980">
        <w:rPr>
          <w:rFonts w:ascii="Times New Roman" w:hAnsi="Times New Roman" w:cs="Times New Roman"/>
          <w:b/>
          <w:bCs/>
          <w:sz w:val="20"/>
          <w:szCs w:val="20"/>
        </w:rPr>
        <w:t>Outcomes</w:t>
      </w:r>
    </w:p>
    <w:p w14:paraId="76F80320" w14:textId="5BA1E7DA" w:rsidR="00923036" w:rsidRPr="000D4980" w:rsidRDefault="00923036" w:rsidP="00923036">
      <w:pPr>
        <w:widowControl w:val="0"/>
        <w:adjustRightInd w:val="0"/>
        <w:spacing w:after="0" w:line="360" w:lineRule="auto"/>
        <w:jc w:val="both"/>
        <w:rPr>
          <w:rFonts w:ascii="Times New Roman" w:hAnsi="Times New Roman" w:cs="Times New Roman"/>
          <w:b/>
          <w:bCs/>
          <w:sz w:val="20"/>
          <w:szCs w:val="20"/>
        </w:rPr>
      </w:pPr>
      <w:r w:rsidRPr="000D4980">
        <w:rPr>
          <w:rFonts w:ascii="Times New Roman" w:hAnsi="Times New Roman" w:cs="Times New Roman"/>
          <w:b/>
          <w:bCs/>
          <w:sz w:val="20"/>
          <w:szCs w:val="20"/>
        </w:rPr>
        <w:t>Primary Outcomes</w:t>
      </w:r>
    </w:p>
    <w:p w14:paraId="239CE35B" w14:textId="777777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The primary outcomes included changes in tricuspid regurgitation (TR) severity, assessed using both quantitative and categorical measures. Echocardiographic parameters were evaluated, including regurgitant volume, vena contracta width, effective regurgitant orifice area (EROA), and tricuspid annular plane systolic excursion (TAPSE).</w:t>
      </w:r>
    </w:p>
    <w:p w14:paraId="54CACFEE" w14:textId="6D488071" w:rsidR="00923036" w:rsidRPr="000D4980" w:rsidRDefault="00923036" w:rsidP="00923036">
      <w:pPr>
        <w:widowControl w:val="0"/>
        <w:adjustRightInd w:val="0"/>
        <w:spacing w:after="0" w:line="360" w:lineRule="auto"/>
        <w:jc w:val="both"/>
        <w:rPr>
          <w:rFonts w:ascii="Times New Roman" w:hAnsi="Times New Roman" w:cs="Times New Roman"/>
          <w:b/>
          <w:bCs/>
          <w:sz w:val="20"/>
          <w:szCs w:val="20"/>
        </w:rPr>
      </w:pPr>
      <w:r w:rsidRPr="000D4980">
        <w:rPr>
          <w:rFonts w:ascii="Times New Roman" w:hAnsi="Times New Roman" w:cs="Times New Roman"/>
          <w:b/>
          <w:bCs/>
          <w:sz w:val="20"/>
          <w:szCs w:val="20"/>
        </w:rPr>
        <w:t>Secondary Outcomes</w:t>
      </w:r>
    </w:p>
    <w:p w14:paraId="0397CE4F" w14:textId="777777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The secondary outcomes comprised functional and clinical measures. Functional capacity was assessed using the 6-minute walk test (6MWT), while clinical status was evaluated based on the New York Heart Association (NYHA) functional class.</w:t>
      </w:r>
    </w:p>
    <w:p w14:paraId="71D24EF0" w14:textId="4134DFE5" w:rsidR="00923036" w:rsidRPr="001F7798" w:rsidRDefault="00923036" w:rsidP="00923036">
      <w:pPr>
        <w:widowControl w:val="0"/>
        <w:adjustRightInd w:val="0"/>
        <w:spacing w:after="0" w:line="360" w:lineRule="auto"/>
        <w:jc w:val="both"/>
        <w:rPr>
          <w:rFonts w:ascii="Times New Roman" w:hAnsi="Times New Roman" w:cs="Times New Roman"/>
          <w:b/>
          <w:bCs/>
          <w:sz w:val="20"/>
          <w:szCs w:val="20"/>
        </w:rPr>
      </w:pPr>
      <w:r w:rsidRPr="001F7798">
        <w:rPr>
          <w:rFonts w:ascii="Times New Roman" w:hAnsi="Times New Roman" w:cs="Times New Roman"/>
          <w:b/>
          <w:bCs/>
          <w:sz w:val="20"/>
          <w:szCs w:val="20"/>
        </w:rPr>
        <w:t>Statistical Analysis</w:t>
      </w:r>
    </w:p>
    <w:p w14:paraId="2C2B4DC4" w14:textId="777777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Meta-analysis was conducted using a random-effects model based on the DerSimonian–Laird method to account for expected between-study variability. Continuous outcomes were pooled as mean differences (MD) with corresponding 95% confidence intervals (CI), while dichotomous outcomes were synthesized using risk ratios (RR) with 95% CI. Statistical heterogeneity across studies was evaluated using the I² statistic, with thresholds of 25%, 50%, and 75% indicating low, moderate, and high heterogeneity, respectively. In the presence of substantial heterogeneity, potential sources were explored through subgroup and sensitivity analyses. A p-value of &lt;0.05 was considered statistically significant for all analyses, and all statistical tests were two-sided.</w:t>
      </w:r>
    </w:p>
    <w:p w14:paraId="1453265B" w14:textId="247E2C3C" w:rsidR="00923036" w:rsidRPr="001F7798" w:rsidRDefault="00923036" w:rsidP="00923036">
      <w:pPr>
        <w:widowControl w:val="0"/>
        <w:adjustRightInd w:val="0"/>
        <w:spacing w:after="0" w:line="360" w:lineRule="auto"/>
        <w:jc w:val="both"/>
        <w:rPr>
          <w:rFonts w:ascii="Times New Roman" w:hAnsi="Times New Roman" w:cs="Times New Roman"/>
          <w:b/>
          <w:bCs/>
          <w:sz w:val="20"/>
          <w:szCs w:val="20"/>
        </w:rPr>
      </w:pPr>
      <w:r w:rsidRPr="001F7798">
        <w:rPr>
          <w:rFonts w:ascii="Times New Roman" w:hAnsi="Times New Roman" w:cs="Times New Roman"/>
          <w:b/>
          <w:bCs/>
          <w:sz w:val="20"/>
          <w:szCs w:val="20"/>
        </w:rPr>
        <w:t>Subgroup and Sensitivity Analyses</w:t>
      </w:r>
    </w:p>
    <w:p w14:paraId="54F335D8" w14:textId="777777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Prespecified subgroup analyses were performed according to the type of transcatheter device used, including MitraClip, TriClip, PASCAL, and other systems. Differences between subgroups were assessed using tests for subgroup interaction, with a p-value of less than 0.05 considered statistically significant. Sensitivity analyses were conducted where appropriate by sequentially excluding individual studies and reassessing pooled estimates. Publication bias was assessed using funnel plot visual inspection and Egger’s regression test, provided that at least ten studies were available for a given outcome.</w:t>
      </w:r>
    </w:p>
    <w:p w14:paraId="11656F92" w14:textId="5B021D11" w:rsidR="00923036" w:rsidRPr="00A76134" w:rsidRDefault="00923036" w:rsidP="00923036">
      <w:pPr>
        <w:widowControl w:val="0"/>
        <w:adjustRightInd w:val="0"/>
        <w:spacing w:after="0" w:line="360" w:lineRule="auto"/>
        <w:jc w:val="both"/>
        <w:rPr>
          <w:rFonts w:ascii="Times New Roman" w:hAnsi="Times New Roman" w:cs="Times New Roman"/>
          <w:b/>
          <w:bCs/>
          <w:sz w:val="20"/>
          <w:szCs w:val="20"/>
        </w:rPr>
      </w:pPr>
      <w:r w:rsidRPr="00A76134">
        <w:rPr>
          <w:rFonts w:ascii="Times New Roman" w:hAnsi="Times New Roman" w:cs="Times New Roman"/>
          <w:b/>
          <w:bCs/>
          <w:sz w:val="20"/>
          <w:szCs w:val="20"/>
        </w:rPr>
        <w:t>Risk of Bias Assessment</w:t>
      </w:r>
    </w:p>
    <w:p w14:paraId="763F591D" w14:textId="60B8942A"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 xml:space="preserve">To evaluate the methodological quality of included studies, two validated tools were applied according to study design. For randomized controlled trials (RCTs), the Cochrane Risk of Bias 2 (ROB 2) tool was used, assessing five domains: randomization process, deviations from intended interventions, missing outcome data, outcome measurement, and selective reporting of results. </w:t>
      </w:r>
      <w:r w:rsidR="00A76134">
        <w:rPr>
          <w:rFonts w:ascii="Times New Roman" w:hAnsi="Times New Roman" w:cs="Times New Roman"/>
          <w:sz w:val="20"/>
          <w:szCs w:val="20"/>
        </w:rPr>
        <w:t xml:space="preserve"> </w:t>
      </w:r>
      <w:r w:rsidRPr="00923036">
        <w:rPr>
          <w:rFonts w:ascii="Times New Roman" w:hAnsi="Times New Roman" w:cs="Times New Roman"/>
          <w:sz w:val="20"/>
          <w:szCs w:val="20"/>
        </w:rPr>
        <w:t xml:space="preserve">For non-randomized studies, the Methodological Index for Non-Randomized Studies </w:t>
      </w:r>
      <w:r w:rsidRPr="00923036">
        <w:rPr>
          <w:rFonts w:ascii="Times New Roman" w:hAnsi="Times New Roman" w:cs="Times New Roman"/>
          <w:sz w:val="20"/>
          <w:szCs w:val="20"/>
        </w:rPr>
        <w:lastRenderedPageBreak/>
        <w:t xml:space="preserve">(MINORS) was applied universally, covering eight criteria: (1) a clearly stated aim, (2) inclusion of consecutive patients, (3) prospective collection of data, (4) endpoints appropriate to the study aim, (5) unbiased assessment of the study endpoint, (6) a follow-up period appropriate to the study aim, (7) loss to follow-up of less than 5%, and (8) prospective calculation of the study size. Each criterion is scored 0 (not reported), 1 (reported but inadequate), or 2 (clearly reported), yielding a maximum score of 16 for non-comparative studies. All assessments were conducted independently by two reviewers, with discrepancies resolved through discussion or adjudication by a third reviewer. </w:t>
      </w:r>
    </w:p>
    <w:p w14:paraId="774A97DB" w14:textId="777777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p>
    <w:p w14:paraId="03B0A32D" w14:textId="241904AC" w:rsidR="00923036" w:rsidRPr="00A76134" w:rsidRDefault="00923036" w:rsidP="00923036">
      <w:pPr>
        <w:widowControl w:val="0"/>
        <w:adjustRightInd w:val="0"/>
        <w:spacing w:after="0" w:line="360" w:lineRule="auto"/>
        <w:jc w:val="both"/>
        <w:rPr>
          <w:rFonts w:ascii="Times New Roman" w:hAnsi="Times New Roman" w:cs="Times New Roman"/>
          <w:b/>
          <w:bCs/>
          <w:color w:val="4F81BD" w:themeColor="accent1"/>
          <w:sz w:val="22"/>
          <w:szCs w:val="22"/>
        </w:rPr>
      </w:pPr>
      <w:r w:rsidRPr="00A76134">
        <w:rPr>
          <w:rFonts w:ascii="Times New Roman" w:hAnsi="Times New Roman" w:cs="Times New Roman"/>
          <w:b/>
          <w:bCs/>
          <w:color w:val="4F81BD" w:themeColor="accent1"/>
          <w:sz w:val="22"/>
          <w:szCs w:val="22"/>
        </w:rPr>
        <w:t>Results</w:t>
      </w:r>
    </w:p>
    <w:p w14:paraId="2A709724" w14:textId="6588A90C" w:rsidR="00923036" w:rsidRPr="00825D5C" w:rsidRDefault="00923036" w:rsidP="00923036">
      <w:pPr>
        <w:widowControl w:val="0"/>
        <w:adjustRightInd w:val="0"/>
        <w:spacing w:after="0" w:line="360" w:lineRule="auto"/>
        <w:jc w:val="both"/>
        <w:rPr>
          <w:rFonts w:ascii="Times New Roman" w:hAnsi="Times New Roman" w:cs="Times New Roman"/>
          <w:b/>
          <w:bCs/>
          <w:sz w:val="20"/>
          <w:szCs w:val="20"/>
        </w:rPr>
      </w:pPr>
      <w:r w:rsidRPr="00825D5C">
        <w:rPr>
          <w:rFonts w:ascii="Times New Roman" w:hAnsi="Times New Roman" w:cs="Times New Roman"/>
          <w:b/>
          <w:bCs/>
          <w:sz w:val="20"/>
          <w:szCs w:val="20"/>
        </w:rPr>
        <w:t>Study Selection</w:t>
      </w:r>
    </w:p>
    <w:p w14:paraId="2713F7D3" w14:textId="77777777" w:rsidR="007064C8" w:rsidRDefault="007064C8" w:rsidP="007064C8">
      <w:pPr>
        <w:widowControl w:val="0"/>
        <w:adjustRightInd w:val="0"/>
        <w:spacing w:after="0" w:line="360" w:lineRule="auto"/>
        <w:jc w:val="both"/>
        <w:rPr>
          <w:rFonts w:ascii="Times New Roman" w:hAnsi="Times New Roman" w:cs="Times New Roman"/>
          <w:sz w:val="20"/>
          <w:szCs w:val="20"/>
        </w:rPr>
      </w:pPr>
      <w:r w:rsidRPr="007064C8">
        <w:rPr>
          <w:rFonts w:ascii="Times New Roman" w:hAnsi="Times New Roman" w:cs="Times New Roman"/>
          <w:sz w:val="20"/>
          <w:szCs w:val="20"/>
        </w:rPr>
        <w:t xml:space="preserve">A systematic search of </w:t>
      </w:r>
      <w:r w:rsidRPr="00D53B31">
        <w:rPr>
          <w:rFonts w:ascii="Times New Roman" w:hAnsi="Times New Roman" w:cs="Times New Roman"/>
          <w:b/>
          <w:bCs/>
          <w:sz w:val="20"/>
          <w:szCs w:val="20"/>
        </w:rPr>
        <w:t>PubMed/MEDLINE, Embase, and the Cochrane Library</w:t>
      </w:r>
      <w:r w:rsidRPr="007064C8">
        <w:rPr>
          <w:rFonts w:ascii="Times New Roman" w:hAnsi="Times New Roman" w:cs="Times New Roman"/>
          <w:sz w:val="20"/>
          <w:szCs w:val="20"/>
        </w:rPr>
        <w:t xml:space="preserve"> through </w:t>
      </w:r>
      <w:r w:rsidRPr="00D53B31">
        <w:rPr>
          <w:rFonts w:ascii="Times New Roman" w:hAnsi="Times New Roman" w:cs="Times New Roman"/>
          <w:b/>
          <w:bCs/>
          <w:sz w:val="20"/>
          <w:szCs w:val="20"/>
        </w:rPr>
        <w:t>1 March 2026 yielded 527 records</w:t>
      </w:r>
      <w:r w:rsidRPr="007064C8">
        <w:rPr>
          <w:rFonts w:ascii="Times New Roman" w:hAnsi="Times New Roman" w:cs="Times New Roman"/>
          <w:sz w:val="20"/>
          <w:szCs w:val="20"/>
        </w:rPr>
        <w:t xml:space="preserve">, comprising </w:t>
      </w:r>
      <w:r w:rsidRPr="00D53B31">
        <w:rPr>
          <w:rFonts w:ascii="Times New Roman" w:hAnsi="Times New Roman" w:cs="Times New Roman"/>
          <w:b/>
          <w:bCs/>
          <w:sz w:val="20"/>
          <w:szCs w:val="20"/>
        </w:rPr>
        <w:t>191</w:t>
      </w:r>
      <w:r w:rsidRPr="007064C8">
        <w:rPr>
          <w:rFonts w:ascii="Times New Roman" w:hAnsi="Times New Roman" w:cs="Times New Roman"/>
          <w:sz w:val="20"/>
          <w:szCs w:val="20"/>
        </w:rPr>
        <w:t xml:space="preserve"> from PubMed, </w:t>
      </w:r>
      <w:r w:rsidRPr="00D53B31">
        <w:rPr>
          <w:rFonts w:ascii="Times New Roman" w:hAnsi="Times New Roman" w:cs="Times New Roman"/>
          <w:b/>
          <w:bCs/>
          <w:sz w:val="20"/>
          <w:szCs w:val="20"/>
        </w:rPr>
        <w:t>124</w:t>
      </w:r>
      <w:r w:rsidRPr="007064C8">
        <w:rPr>
          <w:rFonts w:ascii="Times New Roman" w:hAnsi="Times New Roman" w:cs="Times New Roman"/>
          <w:sz w:val="20"/>
          <w:szCs w:val="20"/>
        </w:rPr>
        <w:t xml:space="preserve"> from Embase, and 212 from the Cochrane Library. Following the removal of </w:t>
      </w:r>
      <w:r w:rsidRPr="00D53B31">
        <w:rPr>
          <w:rFonts w:ascii="Times New Roman" w:hAnsi="Times New Roman" w:cs="Times New Roman"/>
          <w:b/>
          <w:bCs/>
          <w:sz w:val="20"/>
          <w:szCs w:val="20"/>
        </w:rPr>
        <w:t>112 duplicate</w:t>
      </w:r>
      <w:r w:rsidRPr="007064C8">
        <w:rPr>
          <w:rFonts w:ascii="Times New Roman" w:hAnsi="Times New Roman" w:cs="Times New Roman"/>
          <w:sz w:val="20"/>
          <w:szCs w:val="20"/>
        </w:rPr>
        <w:t xml:space="preserve"> records, </w:t>
      </w:r>
      <w:r w:rsidRPr="00D53B31">
        <w:rPr>
          <w:rFonts w:ascii="Times New Roman" w:hAnsi="Times New Roman" w:cs="Times New Roman"/>
          <w:b/>
          <w:bCs/>
          <w:sz w:val="20"/>
          <w:szCs w:val="20"/>
        </w:rPr>
        <w:t>415 unique studies</w:t>
      </w:r>
      <w:r w:rsidRPr="007064C8">
        <w:rPr>
          <w:rFonts w:ascii="Times New Roman" w:hAnsi="Times New Roman" w:cs="Times New Roman"/>
          <w:sz w:val="20"/>
          <w:szCs w:val="20"/>
        </w:rPr>
        <w:t xml:space="preserve"> remained for title and abstract screening.</w:t>
      </w:r>
    </w:p>
    <w:p w14:paraId="2E3D83A9" w14:textId="77777777" w:rsidR="00732C40" w:rsidRPr="007064C8" w:rsidRDefault="00732C40" w:rsidP="007064C8">
      <w:pPr>
        <w:widowControl w:val="0"/>
        <w:adjustRightInd w:val="0"/>
        <w:spacing w:after="0" w:line="360" w:lineRule="auto"/>
        <w:jc w:val="both"/>
        <w:rPr>
          <w:rFonts w:ascii="Times New Roman" w:hAnsi="Times New Roman" w:cs="Times New Roman"/>
          <w:sz w:val="20"/>
          <w:szCs w:val="20"/>
        </w:rPr>
      </w:pPr>
    </w:p>
    <w:p w14:paraId="4417324B" w14:textId="77777777" w:rsidR="007064C8" w:rsidRDefault="007064C8" w:rsidP="007064C8">
      <w:pPr>
        <w:widowControl w:val="0"/>
        <w:adjustRightInd w:val="0"/>
        <w:spacing w:after="0" w:line="360" w:lineRule="auto"/>
        <w:jc w:val="both"/>
        <w:rPr>
          <w:rFonts w:ascii="Times New Roman" w:hAnsi="Times New Roman" w:cs="Times New Roman"/>
          <w:sz w:val="20"/>
          <w:szCs w:val="20"/>
        </w:rPr>
      </w:pPr>
      <w:r w:rsidRPr="007064C8">
        <w:rPr>
          <w:rFonts w:ascii="Times New Roman" w:hAnsi="Times New Roman" w:cs="Times New Roman"/>
          <w:sz w:val="20"/>
          <w:szCs w:val="20"/>
        </w:rPr>
        <w:t xml:space="preserve">After the initial screening, </w:t>
      </w:r>
      <w:r w:rsidRPr="00DF4A41">
        <w:rPr>
          <w:rFonts w:ascii="Times New Roman" w:hAnsi="Times New Roman" w:cs="Times New Roman"/>
          <w:b/>
          <w:bCs/>
          <w:sz w:val="20"/>
          <w:szCs w:val="20"/>
        </w:rPr>
        <w:t>312 studies</w:t>
      </w:r>
      <w:r w:rsidRPr="007064C8">
        <w:rPr>
          <w:rFonts w:ascii="Times New Roman" w:hAnsi="Times New Roman" w:cs="Times New Roman"/>
          <w:sz w:val="20"/>
          <w:szCs w:val="20"/>
        </w:rPr>
        <w:t xml:space="preserve"> were excluded because they did not meet the study objectives. These included </w:t>
      </w:r>
      <w:r w:rsidRPr="00DF4A41">
        <w:rPr>
          <w:rFonts w:ascii="Times New Roman" w:hAnsi="Times New Roman" w:cs="Times New Roman"/>
          <w:b/>
          <w:bCs/>
          <w:sz w:val="20"/>
          <w:szCs w:val="20"/>
        </w:rPr>
        <w:t>28 non-human studies, 96 review articles or editorials, 74 conference abstracts without complete data</w:t>
      </w:r>
      <w:r w:rsidRPr="007064C8">
        <w:rPr>
          <w:rFonts w:ascii="Times New Roman" w:hAnsi="Times New Roman" w:cs="Times New Roman"/>
          <w:sz w:val="20"/>
          <w:szCs w:val="20"/>
        </w:rPr>
        <w:t>, and 114 studies that did not evaluate transcatheter tricuspid valve repair or the relevant device platforms.</w:t>
      </w:r>
    </w:p>
    <w:p w14:paraId="1696CFA1" w14:textId="77777777" w:rsidR="00732C40" w:rsidRPr="007064C8" w:rsidRDefault="00732C40" w:rsidP="007064C8">
      <w:pPr>
        <w:widowControl w:val="0"/>
        <w:adjustRightInd w:val="0"/>
        <w:spacing w:after="0" w:line="360" w:lineRule="auto"/>
        <w:jc w:val="both"/>
        <w:rPr>
          <w:rFonts w:ascii="Times New Roman" w:hAnsi="Times New Roman" w:cs="Times New Roman"/>
          <w:sz w:val="20"/>
          <w:szCs w:val="20"/>
        </w:rPr>
      </w:pPr>
    </w:p>
    <w:p w14:paraId="48F13C84" w14:textId="77777777" w:rsidR="007064C8" w:rsidRDefault="007064C8" w:rsidP="007064C8">
      <w:pPr>
        <w:widowControl w:val="0"/>
        <w:adjustRightInd w:val="0"/>
        <w:spacing w:after="0" w:line="360" w:lineRule="auto"/>
        <w:jc w:val="both"/>
        <w:rPr>
          <w:rFonts w:ascii="Times New Roman" w:hAnsi="Times New Roman" w:cs="Times New Roman"/>
          <w:sz w:val="20"/>
          <w:szCs w:val="20"/>
        </w:rPr>
      </w:pPr>
      <w:r w:rsidRPr="007064C8">
        <w:rPr>
          <w:rFonts w:ascii="Times New Roman" w:hAnsi="Times New Roman" w:cs="Times New Roman"/>
          <w:sz w:val="20"/>
          <w:szCs w:val="20"/>
        </w:rPr>
        <w:t xml:space="preserve">The full texts of </w:t>
      </w:r>
      <w:r w:rsidRPr="002D3137">
        <w:rPr>
          <w:rFonts w:ascii="Times New Roman" w:hAnsi="Times New Roman" w:cs="Times New Roman"/>
          <w:b/>
          <w:bCs/>
          <w:sz w:val="20"/>
          <w:szCs w:val="20"/>
        </w:rPr>
        <w:t>103 articles</w:t>
      </w:r>
      <w:r w:rsidRPr="007064C8">
        <w:rPr>
          <w:rFonts w:ascii="Times New Roman" w:hAnsi="Times New Roman" w:cs="Times New Roman"/>
          <w:sz w:val="20"/>
          <w:szCs w:val="20"/>
        </w:rPr>
        <w:t xml:space="preserve"> were subsequently reviewed for eligibility. Of these, </w:t>
      </w:r>
      <w:r w:rsidRPr="002D3137">
        <w:rPr>
          <w:rFonts w:ascii="Times New Roman" w:hAnsi="Times New Roman" w:cs="Times New Roman"/>
          <w:b/>
          <w:bCs/>
          <w:sz w:val="20"/>
          <w:szCs w:val="20"/>
        </w:rPr>
        <w:t>72 studies</w:t>
      </w:r>
      <w:r w:rsidRPr="007064C8">
        <w:rPr>
          <w:rFonts w:ascii="Times New Roman" w:hAnsi="Times New Roman" w:cs="Times New Roman"/>
          <w:sz w:val="20"/>
          <w:szCs w:val="20"/>
        </w:rPr>
        <w:t xml:space="preserve"> were excluded for one or more of the following reasons: </w:t>
      </w:r>
      <w:r w:rsidRPr="002D3137">
        <w:rPr>
          <w:rFonts w:ascii="Times New Roman" w:hAnsi="Times New Roman" w:cs="Times New Roman"/>
          <w:b/>
          <w:bCs/>
          <w:sz w:val="20"/>
          <w:szCs w:val="20"/>
        </w:rPr>
        <w:t xml:space="preserve">18 </w:t>
      </w:r>
      <w:r w:rsidRPr="007064C8">
        <w:rPr>
          <w:rFonts w:ascii="Times New Roman" w:hAnsi="Times New Roman" w:cs="Times New Roman"/>
          <w:sz w:val="20"/>
          <w:szCs w:val="20"/>
        </w:rPr>
        <w:t xml:space="preserve">lacked sufficient or extractable outcome data, </w:t>
      </w:r>
      <w:r w:rsidRPr="002D3137">
        <w:rPr>
          <w:rFonts w:ascii="Times New Roman" w:hAnsi="Times New Roman" w:cs="Times New Roman"/>
          <w:b/>
          <w:bCs/>
          <w:sz w:val="20"/>
          <w:szCs w:val="20"/>
        </w:rPr>
        <w:t>14</w:t>
      </w:r>
      <w:r w:rsidRPr="007064C8">
        <w:rPr>
          <w:rFonts w:ascii="Times New Roman" w:hAnsi="Times New Roman" w:cs="Times New Roman"/>
          <w:sz w:val="20"/>
          <w:szCs w:val="20"/>
        </w:rPr>
        <w:t xml:space="preserve"> did not report relevant clinical or echocardiographic endpoints, </w:t>
      </w:r>
      <w:r w:rsidRPr="002D3137">
        <w:rPr>
          <w:rFonts w:ascii="Times New Roman" w:hAnsi="Times New Roman" w:cs="Times New Roman"/>
          <w:b/>
          <w:bCs/>
          <w:sz w:val="20"/>
          <w:szCs w:val="20"/>
        </w:rPr>
        <w:t>11</w:t>
      </w:r>
      <w:r w:rsidRPr="007064C8">
        <w:rPr>
          <w:rFonts w:ascii="Times New Roman" w:hAnsi="Times New Roman" w:cs="Times New Roman"/>
          <w:sz w:val="20"/>
          <w:szCs w:val="20"/>
        </w:rPr>
        <w:t xml:space="preserve"> evaluated surgical rather than transcatheter interventions, </w:t>
      </w:r>
      <w:r w:rsidRPr="002D3137">
        <w:rPr>
          <w:rFonts w:ascii="Times New Roman" w:hAnsi="Times New Roman" w:cs="Times New Roman"/>
          <w:b/>
          <w:bCs/>
          <w:sz w:val="20"/>
          <w:szCs w:val="20"/>
        </w:rPr>
        <w:t>10</w:t>
      </w:r>
      <w:r w:rsidRPr="007064C8">
        <w:rPr>
          <w:rFonts w:ascii="Times New Roman" w:hAnsi="Times New Roman" w:cs="Times New Roman"/>
          <w:sz w:val="20"/>
          <w:szCs w:val="20"/>
        </w:rPr>
        <w:t xml:space="preserve"> did not investigate edge-to-edge repair systems (MitraClip, TriClip, or PASCAL), and 19 involved overlapping patient populations.</w:t>
      </w:r>
    </w:p>
    <w:p w14:paraId="739E7DB6" w14:textId="77777777" w:rsidR="00732C40" w:rsidRPr="007064C8" w:rsidRDefault="00732C40" w:rsidP="007064C8">
      <w:pPr>
        <w:widowControl w:val="0"/>
        <w:adjustRightInd w:val="0"/>
        <w:spacing w:after="0" w:line="360" w:lineRule="auto"/>
        <w:jc w:val="both"/>
        <w:rPr>
          <w:rFonts w:ascii="Times New Roman" w:hAnsi="Times New Roman" w:cs="Times New Roman"/>
          <w:sz w:val="20"/>
          <w:szCs w:val="20"/>
        </w:rPr>
      </w:pPr>
    </w:p>
    <w:p w14:paraId="49D47CE0" w14:textId="69AB628D" w:rsidR="00923036" w:rsidRDefault="007064C8" w:rsidP="007064C8">
      <w:pPr>
        <w:widowControl w:val="0"/>
        <w:adjustRightInd w:val="0"/>
        <w:spacing w:after="0" w:line="360" w:lineRule="auto"/>
        <w:jc w:val="both"/>
        <w:rPr>
          <w:rFonts w:ascii="Times New Roman" w:hAnsi="Times New Roman" w:cs="Times New Roman"/>
          <w:sz w:val="20"/>
          <w:szCs w:val="20"/>
        </w:rPr>
      </w:pPr>
      <w:r w:rsidRPr="007064C8">
        <w:rPr>
          <w:rFonts w:ascii="Times New Roman" w:hAnsi="Times New Roman" w:cs="Times New Roman"/>
          <w:sz w:val="20"/>
          <w:szCs w:val="20"/>
        </w:rPr>
        <w:t xml:space="preserve">In total, </w:t>
      </w:r>
      <w:r w:rsidRPr="00D67372">
        <w:rPr>
          <w:rFonts w:ascii="Times New Roman" w:hAnsi="Times New Roman" w:cs="Times New Roman"/>
          <w:b/>
          <w:bCs/>
          <w:sz w:val="20"/>
          <w:szCs w:val="20"/>
        </w:rPr>
        <w:t>31 studies</w:t>
      </w:r>
      <w:r w:rsidRPr="007064C8">
        <w:rPr>
          <w:rFonts w:ascii="Times New Roman" w:hAnsi="Times New Roman" w:cs="Times New Roman"/>
          <w:sz w:val="20"/>
          <w:szCs w:val="20"/>
        </w:rPr>
        <w:t xml:space="preserve"> satisfied the predefined eligibility criteria and were included in the final qualitative and/or quantitative synthesis. The study selection process is summarized in the </w:t>
      </w:r>
      <w:r w:rsidRPr="00D67372">
        <w:rPr>
          <w:rFonts w:ascii="Times New Roman" w:hAnsi="Times New Roman" w:cs="Times New Roman"/>
          <w:b/>
          <w:bCs/>
          <w:sz w:val="20"/>
          <w:szCs w:val="20"/>
        </w:rPr>
        <w:t>PRISMA flow diagram (Figure S1)</w:t>
      </w:r>
      <w:r w:rsidRPr="007064C8">
        <w:rPr>
          <w:rFonts w:ascii="Times New Roman" w:hAnsi="Times New Roman" w:cs="Times New Roman"/>
          <w:sz w:val="20"/>
          <w:szCs w:val="20"/>
        </w:rPr>
        <w:t xml:space="preserve">, while the detailed characteristics of the included studies are presented in </w:t>
      </w:r>
      <w:r w:rsidRPr="00B06C34">
        <w:rPr>
          <w:rFonts w:ascii="Times New Roman" w:hAnsi="Times New Roman" w:cs="Times New Roman"/>
          <w:b/>
          <w:bCs/>
          <w:sz w:val="20"/>
          <w:szCs w:val="20"/>
        </w:rPr>
        <w:t>Table S1</w:t>
      </w:r>
      <w:r w:rsidRPr="007064C8">
        <w:rPr>
          <w:rFonts w:ascii="Times New Roman" w:hAnsi="Times New Roman" w:cs="Times New Roman"/>
          <w:sz w:val="20"/>
          <w:szCs w:val="20"/>
        </w:rPr>
        <w:t>.</w:t>
      </w:r>
    </w:p>
    <w:p w14:paraId="7B991F6B" w14:textId="77777777" w:rsidR="00732C40" w:rsidRPr="00923036" w:rsidRDefault="00732C40" w:rsidP="007064C8">
      <w:pPr>
        <w:widowControl w:val="0"/>
        <w:adjustRightInd w:val="0"/>
        <w:spacing w:after="0" w:line="360" w:lineRule="auto"/>
        <w:jc w:val="both"/>
        <w:rPr>
          <w:rFonts w:ascii="Times New Roman" w:hAnsi="Times New Roman" w:cs="Times New Roman"/>
          <w:sz w:val="20"/>
          <w:szCs w:val="20"/>
        </w:rPr>
      </w:pPr>
    </w:p>
    <w:p w14:paraId="77C7866C" w14:textId="46CA16E3" w:rsidR="00923036" w:rsidRPr="00825D5C" w:rsidRDefault="00923036" w:rsidP="00923036">
      <w:pPr>
        <w:widowControl w:val="0"/>
        <w:adjustRightInd w:val="0"/>
        <w:spacing w:after="0" w:line="360" w:lineRule="auto"/>
        <w:jc w:val="both"/>
        <w:rPr>
          <w:rFonts w:ascii="Times New Roman" w:hAnsi="Times New Roman" w:cs="Times New Roman"/>
          <w:b/>
          <w:bCs/>
          <w:sz w:val="20"/>
          <w:szCs w:val="20"/>
        </w:rPr>
      </w:pPr>
      <w:r w:rsidRPr="00825D5C">
        <w:rPr>
          <w:rFonts w:ascii="Times New Roman" w:hAnsi="Times New Roman" w:cs="Times New Roman"/>
          <w:b/>
          <w:bCs/>
          <w:sz w:val="20"/>
          <w:szCs w:val="20"/>
        </w:rPr>
        <w:t>Study Characteristics</w:t>
      </w:r>
    </w:p>
    <w:p w14:paraId="72BA4532" w14:textId="77777777" w:rsidR="00205E8D" w:rsidRPr="00205E8D" w:rsidRDefault="00205E8D" w:rsidP="00205E8D">
      <w:pPr>
        <w:widowControl w:val="0"/>
        <w:adjustRightInd w:val="0"/>
        <w:spacing w:after="0" w:line="360" w:lineRule="auto"/>
        <w:jc w:val="both"/>
        <w:rPr>
          <w:rFonts w:ascii="Times New Roman" w:hAnsi="Times New Roman" w:cs="Times New Roman"/>
          <w:sz w:val="20"/>
          <w:szCs w:val="20"/>
        </w:rPr>
      </w:pPr>
      <w:r w:rsidRPr="00205E8D">
        <w:rPr>
          <w:rFonts w:ascii="Times New Roman" w:hAnsi="Times New Roman" w:cs="Times New Roman"/>
          <w:sz w:val="20"/>
          <w:szCs w:val="20"/>
        </w:rPr>
        <w:t>A total of 31 studies met the inclusion criteria and were incorporated into the final qualitative and quantitative synthesis, representing several thousand patients treated across a wide range of clinical settings and geographic regions. Detailed study characteristics are summarized in Table S2.</w:t>
      </w:r>
    </w:p>
    <w:p w14:paraId="6EFD9475" w14:textId="77777777" w:rsidR="00205E8D" w:rsidRPr="00205E8D" w:rsidRDefault="00205E8D" w:rsidP="00205E8D">
      <w:pPr>
        <w:widowControl w:val="0"/>
        <w:adjustRightInd w:val="0"/>
        <w:spacing w:after="0" w:line="360" w:lineRule="auto"/>
        <w:jc w:val="both"/>
        <w:rPr>
          <w:rFonts w:ascii="Times New Roman" w:hAnsi="Times New Roman" w:cs="Times New Roman"/>
          <w:sz w:val="20"/>
          <w:szCs w:val="20"/>
        </w:rPr>
      </w:pPr>
      <w:r w:rsidRPr="00205E8D">
        <w:rPr>
          <w:rFonts w:ascii="Times New Roman" w:hAnsi="Times New Roman" w:cs="Times New Roman"/>
          <w:sz w:val="20"/>
          <w:szCs w:val="20"/>
        </w:rPr>
        <w:t>Study design. The included studies represented a diverse range of methodological designs. Two investigations were randomized controlled trials (RCTs): Tri.Fr (2024) and TRILUMINATE Pivotal (2025). The remaining 29 studies were non-randomized and included prospective single-arm studies (Carpenito et al. 2022; Lurz et al. 2021; Nickenig et al. 2017 and 2019), multicenter prospective registries (Kalbacher et al. 2017; Stocker et al. 2021; Ruf et al. 2021), and retrospective cohort studies (Mahowald et al. 2021; Ohno et al. 2014; Karam et al. 2019; among others). Several studies also incorporated multiple treatment arms, including device-specific comparison groups (Kitamura et al. 2021; Low et al. 2021; Sugiura et al. 2020) or a medical therapy comparator arm (Cai et al. 2020).</w:t>
      </w:r>
    </w:p>
    <w:p w14:paraId="1135521B" w14:textId="77777777" w:rsidR="00205E8D" w:rsidRPr="00205E8D" w:rsidRDefault="00205E8D" w:rsidP="00205E8D">
      <w:pPr>
        <w:widowControl w:val="0"/>
        <w:adjustRightInd w:val="0"/>
        <w:spacing w:after="0" w:line="360" w:lineRule="auto"/>
        <w:jc w:val="both"/>
        <w:rPr>
          <w:rFonts w:ascii="Times New Roman" w:hAnsi="Times New Roman" w:cs="Times New Roman"/>
          <w:sz w:val="20"/>
          <w:szCs w:val="20"/>
        </w:rPr>
      </w:pPr>
      <w:r w:rsidRPr="00205E8D">
        <w:rPr>
          <w:rFonts w:ascii="Times New Roman" w:hAnsi="Times New Roman" w:cs="Times New Roman"/>
          <w:sz w:val="20"/>
          <w:szCs w:val="20"/>
        </w:rPr>
        <w:lastRenderedPageBreak/>
        <w:t>Sample size. Study sample sizes varied considerably, ranging from 11 patients in Volz et al. (2022) to 766 patients in Kalbacher et al. (2017). The TRILUMINATE Pivotal trial enrolled 572 participants. Most single-center studies included between 11 and 50 patients, whereas larger multicenter investigations generally enrolled 60–305 participants.</w:t>
      </w:r>
    </w:p>
    <w:p w14:paraId="459B8430" w14:textId="77777777" w:rsidR="00205E8D" w:rsidRPr="00205E8D" w:rsidRDefault="00205E8D" w:rsidP="00205E8D">
      <w:pPr>
        <w:widowControl w:val="0"/>
        <w:adjustRightInd w:val="0"/>
        <w:spacing w:after="0" w:line="360" w:lineRule="auto"/>
        <w:jc w:val="both"/>
        <w:rPr>
          <w:rFonts w:ascii="Times New Roman" w:hAnsi="Times New Roman" w:cs="Times New Roman"/>
          <w:sz w:val="20"/>
          <w:szCs w:val="20"/>
        </w:rPr>
      </w:pPr>
      <w:r w:rsidRPr="00205E8D">
        <w:rPr>
          <w:rFonts w:ascii="Times New Roman" w:hAnsi="Times New Roman" w:cs="Times New Roman"/>
          <w:sz w:val="20"/>
          <w:szCs w:val="20"/>
        </w:rPr>
        <w:t>Devices evaluated. The MitraClip system was the most frequently investigated device and served as the sole or primary intervention in most studies. TriClip was evaluated as the primary device in Carpenito et al. (2022), Lurz et al. (2021), Nickenig et al. (2019), Freixa et al. (2022), Donal et al. (2022), Tri.Fr, TRILUMINATE Pivotal, and Cepas-Guillen et al. (2021). The PASCAL and PASCAL Ace systems were examined in Kitamura et al. (2021), Kodali et al. (2021), Volz et al. (2022), Sugiura et al. (2020, 2021), Aurich et al. (2021), Fam et al. (2019), and Baldus et al. (2022). Mixed-device cohorts were described by Low et al. (2021), Stolz et al. (2022), Stocker et al. (2021), and Krikken et al. (2022).</w:t>
      </w:r>
    </w:p>
    <w:p w14:paraId="7A2B0FFB" w14:textId="77777777" w:rsidR="00205E8D" w:rsidRPr="00205E8D" w:rsidRDefault="00205E8D" w:rsidP="00205E8D">
      <w:pPr>
        <w:widowControl w:val="0"/>
        <w:adjustRightInd w:val="0"/>
        <w:spacing w:after="0" w:line="360" w:lineRule="auto"/>
        <w:jc w:val="both"/>
        <w:rPr>
          <w:rFonts w:ascii="Times New Roman" w:hAnsi="Times New Roman" w:cs="Times New Roman"/>
          <w:sz w:val="20"/>
          <w:szCs w:val="20"/>
        </w:rPr>
      </w:pPr>
      <w:r w:rsidRPr="00205E8D">
        <w:rPr>
          <w:rFonts w:ascii="Times New Roman" w:hAnsi="Times New Roman" w:cs="Times New Roman"/>
          <w:sz w:val="20"/>
          <w:szCs w:val="20"/>
        </w:rPr>
        <w:t>Patient demographics. The mean age of participants ranged from 71 years (Ohno et al. 2014; Volz et al. 2022) to 80.3 years (Baldus et al. 2022). Both randomized trials reported mean participant ages of approximately 78 years. Most non-randomized studies demonstrated a predominance of male participants, whereas female predominance was observed in Tri.Fr (65.5%), TRILUMINATE Pivotal (58.9%), Cepas-Guillen et al. (2021) (89%), Aurich et al. (2021) (75%), Freixa et al. (2022) (74%), and Volz et al. (2022) (73%). Left ventricular ejection fraction (LVEF) was generally preserved or mildly reduced, ranging from 33.2% in Ohno et al. (2014) to 59.4% in TRILUMINATE Pivotal. Tricuspid annular diameter, reported less frequently, ranged from 43.4 mm in Lurz et al. (2021) to 54 mm in Lurz et al. (2018). Mean systolic pulmonary artery pressure (sPAP) ranged from 28.2 mmHg (Freixa et al. 2022) to 50.3 mmHg (Ali et al. 2020), consistent with predominantly mild-to-moderate pulmonary hypertension.</w:t>
      </w:r>
    </w:p>
    <w:p w14:paraId="61111BA0" w14:textId="77777777" w:rsidR="00205E8D" w:rsidRPr="00205E8D" w:rsidRDefault="00205E8D" w:rsidP="00205E8D">
      <w:pPr>
        <w:widowControl w:val="0"/>
        <w:adjustRightInd w:val="0"/>
        <w:spacing w:after="0" w:line="360" w:lineRule="auto"/>
        <w:jc w:val="both"/>
        <w:rPr>
          <w:rFonts w:ascii="Times New Roman" w:hAnsi="Times New Roman" w:cs="Times New Roman"/>
          <w:sz w:val="20"/>
          <w:szCs w:val="20"/>
        </w:rPr>
      </w:pPr>
      <w:r w:rsidRPr="00205E8D">
        <w:rPr>
          <w:rFonts w:ascii="Times New Roman" w:hAnsi="Times New Roman" w:cs="Times New Roman"/>
          <w:sz w:val="20"/>
          <w:szCs w:val="20"/>
        </w:rPr>
        <w:t>Comorbidity profile. Atrial fibrillation was highly prevalent, exceeding 80% in most studies reporting this characteristic. The highest prevalence was observed in the PASCAL arm of Sugiura et al. (2020) (96%), followed by Baldus et al. (2022) (95.9%) and Otto et al. (2021) (95%). The lowest prevalence was reported by Ohno et al. (2014) (38.4%), reflecting a cohort with a greater proportion of non–atrial fibrillation-related tricuspid regurgitation. Functional TR accounted for 79% of cases in Freixa et al. (2022) and reached 100% in the MitraClip arm of Kitamura et al. (2021). The prevalence of diabetes mellitus ranged from 16% to 47%, while hypertension was reported in 59% to 91% of patients. Reported EuroSCORE II values ranged from 4.0% (Freixa et al. 2022; Cepas-Guillen et al. 2021) to 21.4% (Kalbacher et al. 2017), indicating that most patients were considered at high surgical risk.</w:t>
      </w:r>
    </w:p>
    <w:p w14:paraId="685DA450" w14:textId="77777777" w:rsidR="00205E8D" w:rsidRPr="00205E8D" w:rsidRDefault="00205E8D" w:rsidP="00205E8D">
      <w:pPr>
        <w:widowControl w:val="0"/>
        <w:adjustRightInd w:val="0"/>
        <w:spacing w:after="0" w:line="360" w:lineRule="auto"/>
        <w:jc w:val="both"/>
        <w:rPr>
          <w:rFonts w:ascii="Times New Roman" w:hAnsi="Times New Roman" w:cs="Times New Roman"/>
          <w:sz w:val="20"/>
          <w:szCs w:val="20"/>
        </w:rPr>
      </w:pPr>
      <w:r w:rsidRPr="00205E8D">
        <w:rPr>
          <w:rFonts w:ascii="Times New Roman" w:hAnsi="Times New Roman" w:cs="Times New Roman"/>
          <w:sz w:val="20"/>
          <w:szCs w:val="20"/>
        </w:rPr>
        <w:t>Follow-up duration. Follow-up periods varied substantially across studies. Several investigations reported only in-hospital or 30-day outcomes (Freixa et al. 2022; Krikken et al. 2022; Baldus et al. 2022; Fam et al. 2019; Kodali et al. 2021, among others), whereas others provided follow-up at 3–6 months (Donal et al. 2022; Volz et al. 2022; Carpenito et al. 2022; Nickenig et al. 2019; Orban et al. 2018). Longer-term outcomes at 1 year were available from Sugiura et al. (2021), Kitamura et al. (2021), Lurz et al. (2021), Stocker et al. (2021), and Stolz et al. (2022). The TRILUMINATE Pivotal trial reported the longest follow-up of 24 months, while Kalbacher et al. (2017), Ohno et al. (2014), and Karam et al. (2019) presented extended follow-up durations ranging from approximately 187 to 660 days.</w:t>
      </w:r>
    </w:p>
    <w:p w14:paraId="21E4DB55" w14:textId="6B756D12" w:rsidR="00923036" w:rsidRDefault="00205E8D" w:rsidP="00205E8D">
      <w:pPr>
        <w:widowControl w:val="0"/>
        <w:adjustRightInd w:val="0"/>
        <w:spacing w:after="0" w:line="360" w:lineRule="auto"/>
        <w:jc w:val="both"/>
        <w:rPr>
          <w:rFonts w:ascii="Times New Roman" w:hAnsi="Times New Roman" w:cs="Times New Roman"/>
          <w:sz w:val="20"/>
          <w:szCs w:val="20"/>
        </w:rPr>
      </w:pPr>
      <w:r w:rsidRPr="00205E8D">
        <w:rPr>
          <w:rFonts w:ascii="Times New Roman" w:hAnsi="Times New Roman" w:cs="Times New Roman"/>
          <w:sz w:val="20"/>
          <w:szCs w:val="20"/>
        </w:rPr>
        <w:t xml:space="preserve">Outcomes reported. Echocardiographic assessment of TR severity was the most consistently reported endpoint across the included studies. Additional frequently reported outcomes included tricuspid annular plane systolic excursion (TAPSE), 6-minute walk distance, and New York Heart Association (NYHA) functional class. Other evaluated outcomes comprised all-cause mortality, cardiovascular mortality, major adverse cardiac and cerebrovascular events </w:t>
      </w:r>
      <w:r w:rsidRPr="00205E8D">
        <w:rPr>
          <w:rFonts w:ascii="Times New Roman" w:hAnsi="Times New Roman" w:cs="Times New Roman"/>
          <w:sz w:val="20"/>
          <w:szCs w:val="20"/>
        </w:rPr>
        <w:lastRenderedPageBreak/>
        <w:t>(MACCE), heart failure hospitalization, renal and hepatic function, procedural success, and tricuspid annular diameter. A comprehensive summary of all reported outcomes is provided in Table S2.</w:t>
      </w:r>
    </w:p>
    <w:p w14:paraId="382EACE5" w14:textId="77777777" w:rsidR="00D12FBB" w:rsidRPr="00923036" w:rsidRDefault="00D12FBB" w:rsidP="00205E8D">
      <w:pPr>
        <w:widowControl w:val="0"/>
        <w:adjustRightInd w:val="0"/>
        <w:spacing w:after="0" w:line="360" w:lineRule="auto"/>
        <w:jc w:val="both"/>
        <w:rPr>
          <w:rFonts w:ascii="Times New Roman" w:hAnsi="Times New Roman" w:cs="Times New Roman"/>
          <w:sz w:val="20"/>
          <w:szCs w:val="20"/>
        </w:rPr>
      </w:pPr>
    </w:p>
    <w:p w14:paraId="63BF226B" w14:textId="653F9025" w:rsidR="00923036" w:rsidRDefault="00923036" w:rsidP="00923036">
      <w:pPr>
        <w:widowControl w:val="0"/>
        <w:adjustRightInd w:val="0"/>
        <w:spacing w:after="0" w:line="360" w:lineRule="auto"/>
        <w:jc w:val="both"/>
        <w:rPr>
          <w:rFonts w:ascii="Times New Roman" w:hAnsi="Times New Roman" w:cs="Times New Roman"/>
          <w:b/>
          <w:bCs/>
          <w:sz w:val="20"/>
          <w:szCs w:val="20"/>
        </w:rPr>
      </w:pPr>
      <w:r w:rsidRPr="00686E4B">
        <w:rPr>
          <w:rFonts w:ascii="Times New Roman" w:hAnsi="Times New Roman" w:cs="Times New Roman"/>
          <w:b/>
          <w:bCs/>
          <w:sz w:val="20"/>
          <w:szCs w:val="20"/>
        </w:rPr>
        <w:t>Tricuspid Regurgitation Severity and Echocardiographic Parameters</w:t>
      </w:r>
    </w:p>
    <w:p w14:paraId="7BF5B51C" w14:textId="77777777" w:rsidR="00FD6A89" w:rsidRDefault="00FD6A89" w:rsidP="00923036">
      <w:pPr>
        <w:widowControl w:val="0"/>
        <w:adjustRightInd w:val="0"/>
        <w:spacing w:after="0" w:line="360" w:lineRule="auto"/>
        <w:jc w:val="both"/>
        <w:rPr>
          <w:rFonts w:ascii="Times New Roman" w:hAnsi="Times New Roman" w:cs="Times New Roman"/>
          <w:b/>
          <w:bCs/>
          <w:sz w:val="20"/>
          <w:szCs w:val="20"/>
        </w:rPr>
      </w:pPr>
    </w:p>
    <w:p w14:paraId="5D176B69" w14:textId="2FD79180" w:rsidR="00FD6A89" w:rsidRDefault="00FD6A89" w:rsidP="00923036">
      <w:pPr>
        <w:widowControl w:val="0"/>
        <w:adjustRightInd w:val="0"/>
        <w:spacing w:after="0" w:line="360" w:lineRule="auto"/>
        <w:jc w:val="both"/>
        <w:rPr>
          <w:rFonts w:ascii="Times New Roman" w:hAnsi="Times New Roman" w:cs="Times New Roman"/>
          <w:b/>
          <w:bCs/>
          <w:sz w:val="20"/>
          <w:szCs w:val="20"/>
        </w:rPr>
      </w:pPr>
      <w:r w:rsidRPr="00FD6A89">
        <w:rPr>
          <w:rFonts w:ascii="Times New Roman" w:hAnsi="Times New Roman" w:cs="Times New Roman"/>
          <w:b/>
          <w:bCs/>
          <w:sz w:val="20"/>
          <w:szCs w:val="20"/>
        </w:rPr>
        <w:t>Echocardiographic Outcomes</w:t>
      </w:r>
    </w:p>
    <w:p w14:paraId="5FC0E042" w14:textId="77777777" w:rsidR="00D12FBB" w:rsidRPr="00686E4B" w:rsidRDefault="00D12FBB" w:rsidP="00923036">
      <w:pPr>
        <w:widowControl w:val="0"/>
        <w:adjustRightInd w:val="0"/>
        <w:spacing w:after="0" w:line="360" w:lineRule="auto"/>
        <w:jc w:val="both"/>
        <w:rPr>
          <w:rFonts w:ascii="Times New Roman" w:hAnsi="Times New Roman" w:cs="Times New Roman"/>
          <w:b/>
          <w:bCs/>
          <w:sz w:val="20"/>
          <w:szCs w:val="20"/>
        </w:rPr>
      </w:pPr>
    </w:p>
    <w:p w14:paraId="36985B35" w14:textId="029C2D65" w:rsidR="00923036" w:rsidRPr="00686E4B" w:rsidRDefault="00FD6A89" w:rsidP="00923036">
      <w:pPr>
        <w:widowControl w:val="0"/>
        <w:adjustRightInd w:val="0"/>
        <w:spacing w:after="0" w:line="360" w:lineRule="auto"/>
        <w:jc w:val="both"/>
        <w:rPr>
          <w:rFonts w:ascii="Times New Roman" w:hAnsi="Times New Roman" w:cs="Times New Roman"/>
          <w:b/>
          <w:bCs/>
          <w:sz w:val="20"/>
          <w:szCs w:val="20"/>
        </w:rPr>
      </w:pPr>
      <w:r w:rsidRPr="00FD6A89">
        <w:rPr>
          <w:rFonts w:ascii="Times New Roman" w:hAnsi="Times New Roman" w:cs="Times New Roman"/>
          <w:b/>
          <w:bCs/>
          <w:sz w:val="20"/>
          <w:szCs w:val="20"/>
        </w:rPr>
        <w:t>Tricuspid Regurgitant Volume</w:t>
      </w:r>
    </w:p>
    <w:p w14:paraId="60F890A6" w14:textId="77777777" w:rsidR="00425F44" w:rsidRDefault="00425F44" w:rsidP="00923036">
      <w:pPr>
        <w:widowControl w:val="0"/>
        <w:adjustRightInd w:val="0"/>
        <w:spacing w:after="0" w:line="360" w:lineRule="auto"/>
        <w:jc w:val="both"/>
        <w:rPr>
          <w:rFonts w:ascii="Times New Roman" w:hAnsi="Times New Roman" w:cs="Times New Roman"/>
          <w:sz w:val="20"/>
          <w:szCs w:val="20"/>
        </w:rPr>
      </w:pPr>
      <w:r w:rsidRPr="00425F44">
        <w:rPr>
          <w:rFonts w:ascii="Times New Roman" w:hAnsi="Times New Roman" w:cs="Times New Roman"/>
          <w:sz w:val="20"/>
          <w:szCs w:val="20"/>
        </w:rPr>
        <w:t>Transcatheter tricuspid valve repair (TTVr) resulted in a significant reduction in tricuspid regurgitant volume (Figure S2), with a pooled mean difference (MD) of −17.60 mL (95% CI: −18.85 to −16.35; I² = 73.8%; n = 452 across 15 studies; p &lt; 0.0001). Moderate-to-high between-study heterogeneity was observed, likely reflecting differences in baseline TR severity, imaging techniques, and duration of follow-up. Device-specific subgroup analyses demonstrated significant reductions with all three repair systems, including MitraClip (MD −21.63 mL; 95% CI: −40.62 to −2.65; I² = 80.4%), PASCAL (MD −17.49 mL; 95% CI: −31.32 to −3.66; I² = 37.5%), and TriClip (MD −17.51 mL; 95% CI: −19.67 to −15.35; I² = 82.0%). No statistically significant differences were identified between device subgroups (p for interaction = 0.33), suggesting a consistent reduction in regurgitant volume irrespective of device type, although the wider confidence intervals for the MitraClip and PASCAL subgroups likely reflect their comparatively smaller sample sizes.</w:t>
      </w:r>
    </w:p>
    <w:p w14:paraId="2B84E972" w14:textId="77777777" w:rsidR="00425F44" w:rsidRDefault="00425F44" w:rsidP="00923036">
      <w:pPr>
        <w:widowControl w:val="0"/>
        <w:adjustRightInd w:val="0"/>
        <w:spacing w:after="0" w:line="360" w:lineRule="auto"/>
        <w:jc w:val="both"/>
        <w:rPr>
          <w:rFonts w:ascii="Times New Roman" w:hAnsi="Times New Roman" w:cs="Times New Roman"/>
          <w:sz w:val="20"/>
          <w:szCs w:val="20"/>
        </w:rPr>
      </w:pPr>
    </w:p>
    <w:p w14:paraId="43EAEF46" w14:textId="10E80CFD" w:rsidR="00923036" w:rsidRPr="00F64038" w:rsidRDefault="00CF6DC7" w:rsidP="00923036">
      <w:pPr>
        <w:widowControl w:val="0"/>
        <w:adjustRightInd w:val="0"/>
        <w:spacing w:after="0" w:line="360" w:lineRule="auto"/>
        <w:jc w:val="both"/>
        <w:rPr>
          <w:rFonts w:ascii="Times New Roman" w:hAnsi="Times New Roman" w:cs="Times New Roman"/>
          <w:b/>
          <w:bCs/>
          <w:sz w:val="20"/>
          <w:szCs w:val="20"/>
        </w:rPr>
      </w:pPr>
      <w:r w:rsidRPr="00CF6DC7">
        <w:rPr>
          <w:rFonts w:ascii="Times New Roman" w:hAnsi="Times New Roman" w:cs="Times New Roman"/>
          <w:b/>
          <w:bCs/>
          <w:sz w:val="20"/>
          <w:szCs w:val="20"/>
        </w:rPr>
        <w:t>Tricuspid Regurgitation Severity</w:t>
      </w:r>
    </w:p>
    <w:p w14:paraId="26EA1DAF" w14:textId="29640F7A" w:rsidR="00923036" w:rsidRDefault="0008061B" w:rsidP="00923036">
      <w:pPr>
        <w:widowControl w:val="0"/>
        <w:adjustRightInd w:val="0"/>
        <w:spacing w:after="0" w:line="360" w:lineRule="auto"/>
        <w:jc w:val="both"/>
        <w:rPr>
          <w:rFonts w:ascii="Times New Roman" w:hAnsi="Times New Roman" w:cs="Times New Roman"/>
          <w:sz w:val="20"/>
          <w:szCs w:val="20"/>
        </w:rPr>
      </w:pPr>
      <w:r w:rsidRPr="0008061B">
        <w:rPr>
          <w:rFonts w:ascii="Times New Roman" w:hAnsi="Times New Roman" w:cs="Times New Roman"/>
          <w:sz w:val="20"/>
          <w:szCs w:val="20"/>
        </w:rPr>
        <w:t>Following TTVr, the pooled proportion of patients with residual TR ≥ grade 3+ was 27.3% (95% CI: 22.4–32.8%; I² = 80.9%; n = 1,151; p &lt; 0.0001) (Figure S5), representing a marked reduction compared with the nearly universal prevalence of moderate-to-severe or severe TR at baseline. As these analyses were derived from single-arm pre–post studies, outcomes are presented as pooled post-procedural proportions rather than risk ratios. Similar reductions were observed across device subgroups, including MitraClip (25.7%; 95% CI: 18.9–34.0%; I² = 79.2%), TriClip (15.6%; 95% CI: 6.8–32.0%; I² = 85.2%), and PASCAL (33.2%; 95% CI: 11.3–66.1%; I² = 78.3%). There was no significant interaction between devices (p = 0.90), indicating comparable efficacy in reducing severe TR. Residual heterogeneity was likely attributable to variations in TR grading systems, echocardiographic imaging modalities, and baseline disease severity among the included studies.</w:t>
      </w:r>
    </w:p>
    <w:p w14:paraId="7B720D90" w14:textId="77777777" w:rsidR="00F54F71" w:rsidRPr="00923036" w:rsidRDefault="00F54F71" w:rsidP="00923036">
      <w:pPr>
        <w:widowControl w:val="0"/>
        <w:adjustRightInd w:val="0"/>
        <w:spacing w:after="0" w:line="360" w:lineRule="auto"/>
        <w:jc w:val="both"/>
        <w:rPr>
          <w:rFonts w:ascii="Times New Roman" w:hAnsi="Times New Roman" w:cs="Times New Roman"/>
          <w:sz w:val="20"/>
          <w:szCs w:val="20"/>
        </w:rPr>
      </w:pPr>
    </w:p>
    <w:p w14:paraId="7E818076" w14:textId="2158B02C" w:rsidR="00923036" w:rsidRPr="00EF5C6A" w:rsidRDefault="00923036" w:rsidP="00923036">
      <w:pPr>
        <w:widowControl w:val="0"/>
        <w:adjustRightInd w:val="0"/>
        <w:spacing w:after="0" w:line="360" w:lineRule="auto"/>
        <w:jc w:val="both"/>
        <w:rPr>
          <w:rFonts w:ascii="Times New Roman" w:hAnsi="Times New Roman" w:cs="Times New Roman"/>
          <w:b/>
          <w:bCs/>
          <w:sz w:val="20"/>
          <w:szCs w:val="20"/>
        </w:rPr>
      </w:pPr>
      <w:r w:rsidRPr="00EF5C6A">
        <w:rPr>
          <w:rFonts w:ascii="Times New Roman" w:hAnsi="Times New Roman" w:cs="Times New Roman"/>
          <w:b/>
          <w:bCs/>
          <w:sz w:val="20"/>
          <w:szCs w:val="20"/>
        </w:rPr>
        <w:t>Vena Contracta Width</w:t>
      </w:r>
    </w:p>
    <w:p w14:paraId="492A306B" w14:textId="54E14970" w:rsidR="00923036" w:rsidRDefault="00755692" w:rsidP="00923036">
      <w:pPr>
        <w:widowControl w:val="0"/>
        <w:adjustRightInd w:val="0"/>
        <w:spacing w:after="0" w:line="360" w:lineRule="auto"/>
        <w:jc w:val="both"/>
        <w:rPr>
          <w:rFonts w:ascii="Times New Roman" w:hAnsi="Times New Roman" w:cs="Times New Roman"/>
          <w:sz w:val="20"/>
          <w:szCs w:val="20"/>
        </w:rPr>
      </w:pPr>
      <w:r w:rsidRPr="00755692">
        <w:rPr>
          <w:rFonts w:ascii="Times New Roman" w:hAnsi="Times New Roman" w:cs="Times New Roman"/>
          <w:sz w:val="20"/>
          <w:szCs w:val="20"/>
        </w:rPr>
        <w:t>A significant decrease in vena contracta width was observed after TTVr (Figure S8), with a pooled MD of −6.27 mm (95% CI: −7.41 to −5.14; n = 665; p &lt; 0.0001). Between-study heterogeneity was absent (overall I² = 0.0%), and similarly low across the MitraClip, PASCAL, and TriClip subgroups, indicating highly consistent findings. Device-specific analyses demonstrated reductions of −5.46 mm (95% CI: −7.10 to −3.83) for MitraClip, −6.56 mm (95% CI: −12.64 to −0.47) for PASCAL, and −7.57 mm (95% CI: −12.18 to −2.95) for TriClip. No significant subgroup differences were detected (p for interaction = 1.00), supporting a consistent treatment effect across available edge-to-</w:t>
      </w:r>
      <w:r w:rsidRPr="00755692">
        <w:rPr>
          <w:rFonts w:ascii="Times New Roman" w:hAnsi="Times New Roman" w:cs="Times New Roman"/>
          <w:sz w:val="20"/>
          <w:szCs w:val="20"/>
        </w:rPr>
        <w:lastRenderedPageBreak/>
        <w:t>edge repair systems.</w:t>
      </w:r>
    </w:p>
    <w:p w14:paraId="47E2E651" w14:textId="77777777" w:rsidR="00DE4152" w:rsidRPr="00923036" w:rsidRDefault="00DE4152" w:rsidP="00923036">
      <w:pPr>
        <w:widowControl w:val="0"/>
        <w:adjustRightInd w:val="0"/>
        <w:spacing w:after="0" w:line="360" w:lineRule="auto"/>
        <w:jc w:val="both"/>
        <w:rPr>
          <w:rFonts w:ascii="Times New Roman" w:hAnsi="Times New Roman" w:cs="Times New Roman"/>
          <w:sz w:val="20"/>
          <w:szCs w:val="20"/>
        </w:rPr>
      </w:pPr>
    </w:p>
    <w:p w14:paraId="729054F5" w14:textId="626B3C6F" w:rsidR="00923036" w:rsidRPr="00EF5C6A" w:rsidRDefault="00923036" w:rsidP="00923036">
      <w:pPr>
        <w:widowControl w:val="0"/>
        <w:adjustRightInd w:val="0"/>
        <w:spacing w:after="0" w:line="360" w:lineRule="auto"/>
        <w:jc w:val="both"/>
        <w:rPr>
          <w:rFonts w:ascii="Times New Roman" w:hAnsi="Times New Roman" w:cs="Times New Roman"/>
          <w:b/>
          <w:bCs/>
          <w:sz w:val="20"/>
          <w:szCs w:val="20"/>
        </w:rPr>
      </w:pPr>
      <w:r w:rsidRPr="00EF5C6A">
        <w:rPr>
          <w:rFonts w:ascii="Times New Roman" w:hAnsi="Times New Roman" w:cs="Times New Roman"/>
          <w:b/>
          <w:bCs/>
          <w:sz w:val="20"/>
          <w:szCs w:val="20"/>
        </w:rPr>
        <w:t>Effective Regurgitant Orifice Area (EROA)</w:t>
      </w:r>
    </w:p>
    <w:p w14:paraId="26181DE9" w14:textId="5A03EFC7" w:rsidR="00923036" w:rsidRDefault="00DE4152" w:rsidP="00923036">
      <w:pPr>
        <w:widowControl w:val="0"/>
        <w:adjustRightInd w:val="0"/>
        <w:spacing w:after="0" w:line="360" w:lineRule="auto"/>
        <w:jc w:val="both"/>
        <w:rPr>
          <w:rFonts w:ascii="Times New Roman" w:hAnsi="Times New Roman" w:cs="Times New Roman"/>
          <w:sz w:val="20"/>
          <w:szCs w:val="20"/>
        </w:rPr>
      </w:pPr>
      <w:r w:rsidRPr="00DE4152">
        <w:rPr>
          <w:rFonts w:ascii="Times New Roman" w:hAnsi="Times New Roman" w:cs="Times New Roman"/>
          <w:sz w:val="20"/>
          <w:szCs w:val="20"/>
        </w:rPr>
        <w:t>TTVr was also associated with a significant reduction in effective regurgitant orifice area (EROA) (Figure S9), yielding a pooled MD of −0.21 cm² (95% CI: −0.24 to −0.18; I² = 94.1%; n = 526; p &lt; 0.0001). Considerable heterogeneity was observed, likely reflecting differences in EROA measurement techniques, including variations in PISA assumptions and two-dimensional versus three-dimensional imaging, as well as differences in the underlying mechanism of TR. Device-specific analyses demonstrated reductions of −0.43 cm² (95% CI: −0.57 to −0.29; I² = 0%) for MitraClip, −0.29 cm² (95% CI: −0.48 to −0.09; I² = 0%) for PASCAL, and −0.20 cm² (95% CI: −0.25 to −0.15; I² = 95.5%) for TriClip. Despite the variability within the TriClip subgroup, no statistically significant differences were observed between devices (p for interaction = 0.94), indicating broadly comparable reductions in EROA.</w:t>
      </w:r>
    </w:p>
    <w:p w14:paraId="33E095D2" w14:textId="77777777" w:rsidR="00DE4152" w:rsidRPr="00923036" w:rsidRDefault="00DE4152" w:rsidP="00923036">
      <w:pPr>
        <w:widowControl w:val="0"/>
        <w:adjustRightInd w:val="0"/>
        <w:spacing w:after="0" w:line="360" w:lineRule="auto"/>
        <w:jc w:val="both"/>
        <w:rPr>
          <w:rFonts w:ascii="Times New Roman" w:hAnsi="Times New Roman" w:cs="Times New Roman"/>
          <w:sz w:val="20"/>
          <w:szCs w:val="20"/>
        </w:rPr>
      </w:pPr>
    </w:p>
    <w:p w14:paraId="0640447F" w14:textId="46FA4DDC" w:rsidR="00923036" w:rsidRPr="00EF5C6A" w:rsidRDefault="00923036" w:rsidP="00923036">
      <w:pPr>
        <w:widowControl w:val="0"/>
        <w:adjustRightInd w:val="0"/>
        <w:spacing w:after="0" w:line="360" w:lineRule="auto"/>
        <w:jc w:val="both"/>
        <w:rPr>
          <w:rFonts w:ascii="Times New Roman" w:hAnsi="Times New Roman" w:cs="Times New Roman"/>
          <w:b/>
          <w:bCs/>
          <w:sz w:val="20"/>
          <w:szCs w:val="20"/>
        </w:rPr>
      </w:pPr>
      <w:r w:rsidRPr="00EF5C6A">
        <w:rPr>
          <w:rFonts w:ascii="Times New Roman" w:hAnsi="Times New Roman" w:cs="Times New Roman"/>
          <w:b/>
          <w:bCs/>
          <w:sz w:val="20"/>
          <w:szCs w:val="20"/>
        </w:rPr>
        <w:t>Right Ventricular Function</w:t>
      </w:r>
    </w:p>
    <w:p w14:paraId="536606B0" w14:textId="5785E98B" w:rsidR="00923036" w:rsidRDefault="004626AD" w:rsidP="00923036">
      <w:pPr>
        <w:widowControl w:val="0"/>
        <w:adjustRightInd w:val="0"/>
        <w:spacing w:after="0" w:line="360" w:lineRule="auto"/>
        <w:jc w:val="both"/>
        <w:rPr>
          <w:rFonts w:ascii="Times New Roman" w:hAnsi="Times New Roman" w:cs="Times New Roman"/>
          <w:sz w:val="20"/>
          <w:szCs w:val="20"/>
        </w:rPr>
      </w:pPr>
      <w:r w:rsidRPr="004626AD">
        <w:rPr>
          <w:rFonts w:ascii="Times New Roman" w:hAnsi="Times New Roman" w:cs="Times New Roman"/>
          <w:sz w:val="20"/>
          <w:szCs w:val="20"/>
        </w:rPr>
        <w:t>Right ventricular systolic function, assessed using tricuspid annular plane systolic excursion (TAPSE), demonstrated an overall pooled improvement of +0.39 mm (95% CI: +0.21 to +0.58; I² = 89.9%; n = 709; p &lt; 0.0001) (Figure S3), suggesting that RV longitudinal function was generally preserved or modestly enhanced following TTVr. Device-level analyses showed differing trends, with a small decline in the MitraClip subgroup (MD −0.98 mm; 95% CI: −1.93 to −0.02; n = 286), while TAPSE remained essentially unchanged in the PASCAL subgroup (MD −0.09 mm; 95% CI: −1.44 to +1.25; n = 129) and the TriClip subgroup (MD +0.11 mm; 95% CI: −1.65 to +1.88; n = 294). However, subgroup differences were not statistically significant (p = 0.50). The slight reduction observed with MitraClip may reflect differences in patient selection, procedural era, or baseline ventricular function rather than a true device-related effect. Overall, these findings indicate that edge-to-edge TTVr does not appear to adversely affect RV systolic performance during the available follow-up period. Nevertheless, interpretation should remain cautious given the substantial residual heterogeneity and the recognized limitations of TAPSE as a surrogate of global RV function.</w:t>
      </w:r>
    </w:p>
    <w:p w14:paraId="0AF03D0C" w14:textId="77777777" w:rsidR="0027354D" w:rsidRPr="00923036" w:rsidRDefault="0027354D" w:rsidP="00923036">
      <w:pPr>
        <w:widowControl w:val="0"/>
        <w:adjustRightInd w:val="0"/>
        <w:spacing w:after="0" w:line="360" w:lineRule="auto"/>
        <w:jc w:val="both"/>
        <w:rPr>
          <w:rFonts w:ascii="Times New Roman" w:hAnsi="Times New Roman" w:cs="Times New Roman"/>
          <w:sz w:val="20"/>
          <w:szCs w:val="20"/>
        </w:rPr>
      </w:pPr>
    </w:p>
    <w:p w14:paraId="0C1B80A8" w14:textId="031AFE2C" w:rsidR="00923036" w:rsidRPr="00BD383F" w:rsidRDefault="00923036" w:rsidP="00923036">
      <w:pPr>
        <w:widowControl w:val="0"/>
        <w:adjustRightInd w:val="0"/>
        <w:spacing w:after="0" w:line="360" w:lineRule="auto"/>
        <w:jc w:val="both"/>
        <w:rPr>
          <w:rFonts w:ascii="Times New Roman" w:hAnsi="Times New Roman" w:cs="Times New Roman"/>
          <w:b/>
          <w:bCs/>
          <w:sz w:val="20"/>
          <w:szCs w:val="20"/>
        </w:rPr>
      </w:pPr>
      <w:r w:rsidRPr="00BD383F">
        <w:rPr>
          <w:rFonts w:ascii="Times New Roman" w:hAnsi="Times New Roman" w:cs="Times New Roman"/>
          <w:b/>
          <w:bCs/>
          <w:sz w:val="20"/>
          <w:szCs w:val="20"/>
        </w:rPr>
        <w:t>Functional Capacity</w:t>
      </w:r>
    </w:p>
    <w:p w14:paraId="383600C6" w14:textId="77777777" w:rsidR="0027354D" w:rsidRPr="0027354D" w:rsidRDefault="0027354D" w:rsidP="0027354D">
      <w:pPr>
        <w:widowControl w:val="0"/>
        <w:adjustRightInd w:val="0"/>
        <w:spacing w:after="0" w:line="360" w:lineRule="auto"/>
        <w:jc w:val="both"/>
        <w:rPr>
          <w:rFonts w:ascii="Times New Roman" w:hAnsi="Times New Roman" w:cs="Times New Roman"/>
          <w:sz w:val="20"/>
          <w:szCs w:val="20"/>
        </w:rPr>
      </w:pPr>
      <w:r w:rsidRPr="0027354D">
        <w:rPr>
          <w:rFonts w:ascii="Times New Roman" w:hAnsi="Times New Roman" w:cs="Times New Roman"/>
          <w:sz w:val="20"/>
          <w:szCs w:val="20"/>
        </w:rPr>
        <w:t>The 6-minute walk distance (6MWD) improved significantly after TTVr (Figure S4), with a pooled MD of +33.85 meters (95% CI: +23.11 to +44.59; I² = 87.2%; n = 1,053; p &lt; 0.0001). The magnitude of improvement exceeded the accepted minimum clinically important difference of approximately 25–30 meters, supporting the clinical relevance of these findings. Although heterogeneity was substantial, likely reflecting differences in baseline functional status and follow-up duration, all device platforms demonstrated improvement. Significant subgroup differences were observed (p for interaction = 0.004), with the largest gains reported for MitraClip (MD +71.65 m; 95% CI: +52.60 to +90.69; I² = 20.2%; n = 398), followed by PASCAL (MD +58.52 m; 95% CI: +7.81 to +109.23; I² = 0%; n = 102) and TriClip (MD +29.02 m; 95% CI: +16.66 to +41.38; I² = 77.6%; n = 553). These differences should be interpreted cautiously because they may reflect variations in baseline characteristics, follow-up intervals, and study era rather than true differences in device performance.</w:t>
      </w:r>
    </w:p>
    <w:p w14:paraId="1FC6BDCF" w14:textId="0AC882B3" w:rsidR="00923036" w:rsidRDefault="0027354D" w:rsidP="0027354D">
      <w:pPr>
        <w:widowControl w:val="0"/>
        <w:adjustRightInd w:val="0"/>
        <w:spacing w:after="0" w:line="360" w:lineRule="auto"/>
        <w:jc w:val="both"/>
        <w:rPr>
          <w:rFonts w:ascii="Times New Roman" w:hAnsi="Times New Roman" w:cs="Times New Roman"/>
          <w:sz w:val="20"/>
          <w:szCs w:val="20"/>
        </w:rPr>
      </w:pPr>
      <w:r w:rsidRPr="0027354D">
        <w:rPr>
          <w:rFonts w:ascii="Times New Roman" w:hAnsi="Times New Roman" w:cs="Times New Roman"/>
          <w:sz w:val="20"/>
          <w:szCs w:val="20"/>
        </w:rPr>
        <w:t xml:space="preserve">Health-related quality of life, measured using the Kansas City Cardiomyopathy Questionnaire (KCCQ), improved by </w:t>
      </w:r>
      <w:r w:rsidRPr="0027354D">
        <w:rPr>
          <w:rFonts w:ascii="Times New Roman" w:hAnsi="Times New Roman" w:cs="Times New Roman"/>
          <w:sz w:val="20"/>
          <w:szCs w:val="20"/>
        </w:rPr>
        <w:lastRenderedPageBreak/>
        <w:t>a pooled mean of +15.78 points (95% CI: +12.21 to +19.35; I² = 65.6%; n = 613; p = 0.055) (Figure S11). Although the overall p-value narrowly missed conventional statistical significance, the magnitude of improvement substantially exceeded the established 5-point threshold considered clinically meaningful, suggesting important patient-perceived benefits despite moderate between-study heterogeneity.</w:t>
      </w:r>
    </w:p>
    <w:p w14:paraId="7EAF4042" w14:textId="77777777" w:rsidR="00692ECA" w:rsidRPr="00923036" w:rsidRDefault="00692ECA" w:rsidP="0027354D">
      <w:pPr>
        <w:widowControl w:val="0"/>
        <w:adjustRightInd w:val="0"/>
        <w:spacing w:after="0" w:line="360" w:lineRule="auto"/>
        <w:jc w:val="both"/>
        <w:rPr>
          <w:rFonts w:ascii="Times New Roman" w:hAnsi="Times New Roman" w:cs="Times New Roman"/>
          <w:sz w:val="20"/>
          <w:szCs w:val="20"/>
        </w:rPr>
      </w:pPr>
    </w:p>
    <w:p w14:paraId="266C67AC" w14:textId="1EAE32DA" w:rsidR="00923036" w:rsidRPr="001B7C52" w:rsidRDefault="00923036" w:rsidP="00923036">
      <w:pPr>
        <w:widowControl w:val="0"/>
        <w:adjustRightInd w:val="0"/>
        <w:spacing w:after="0" w:line="360" w:lineRule="auto"/>
        <w:jc w:val="both"/>
        <w:rPr>
          <w:rFonts w:ascii="Times New Roman" w:hAnsi="Times New Roman" w:cs="Times New Roman"/>
          <w:b/>
          <w:bCs/>
          <w:sz w:val="20"/>
          <w:szCs w:val="20"/>
        </w:rPr>
      </w:pPr>
      <w:r w:rsidRPr="001B7C52">
        <w:rPr>
          <w:rFonts w:ascii="Times New Roman" w:hAnsi="Times New Roman" w:cs="Times New Roman"/>
          <w:b/>
          <w:bCs/>
          <w:sz w:val="20"/>
          <w:szCs w:val="20"/>
        </w:rPr>
        <w:t>NYHA Functional Class</w:t>
      </w:r>
    </w:p>
    <w:p w14:paraId="1933CE9B" w14:textId="77777777" w:rsidR="0075613D" w:rsidRPr="0075613D" w:rsidRDefault="0075613D" w:rsidP="0075613D">
      <w:pPr>
        <w:widowControl w:val="0"/>
        <w:adjustRightInd w:val="0"/>
        <w:spacing w:after="0" w:line="360" w:lineRule="auto"/>
        <w:jc w:val="both"/>
        <w:rPr>
          <w:rFonts w:ascii="Times New Roman" w:hAnsi="Times New Roman" w:cs="Times New Roman"/>
          <w:sz w:val="20"/>
          <w:szCs w:val="20"/>
        </w:rPr>
      </w:pPr>
      <w:r w:rsidRPr="0075613D">
        <w:rPr>
          <w:rFonts w:ascii="Times New Roman" w:hAnsi="Times New Roman" w:cs="Times New Roman"/>
          <w:sz w:val="20"/>
          <w:szCs w:val="20"/>
        </w:rPr>
        <w:t>Changes in New York Heart Association (NYHA) functional class were analyzed using odds ratios (ORs) because the available evidence consisted of single-arm pre–post data synthesized using logistic random-effects models, making this approach more appropriate than risk ratio estimation.</w:t>
      </w:r>
    </w:p>
    <w:p w14:paraId="707FF574" w14:textId="3915A2CE" w:rsidR="00923036" w:rsidRPr="00923036" w:rsidRDefault="0075613D" w:rsidP="0075613D">
      <w:pPr>
        <w:widowControl w:val="0"/>
        <w:adjustRightInd w:val="0"/>
        <w:spacing w:after="0" w:line="360" w:lineRule="auto"/>
        <w:jc w:val="both"/>
        <w:rPr>
          <w:rFonts w:ascii="Times New Roman" w:hAnsi="Times New Roman" w:cs="Times New Roman"/>
          <w:sz w:val="20"/>
          <w:szCs w:val="20"/>
        </w:rPr>
      </w:pPr>
      <w:r w:rsidRPr="0075613D">
        <w:rPr>
          <w:rFonts w:ascii="Times New Roman" w:hAnsi="Times New Roman" w:cs="Times New Roman"/>
          <w:sz w:val="20"/>
          <w:szCs w:val="20"/>
        </w:rPr>
        <w:t>The pooled odds of remaining in NYHA class III/IV after TTVr were markedly reduced compared with baseline (Figure S6), with an OR of 0.04 (95% CI: 0.03–0.07; I² = 67.1%; n = 1,083; p &lt; 0.0001). Comparable improvements were observed across all device subgroups, including MitraClip (OR 0.05; 95% CI: 0.02–0.10; I² = 70.8%), TriClip (OR 0.05; 95% CI: 0.04–0.07; I² = 0%), and PASCAL (OR 0.02; 95% CI: 0.00–0.09; I² = 79.5%), with no significant differences between devices (p = 0.23). These findings indicate a substantial and consistent reduction in advanced heart failure symptoms following TTVr.</w:t>
      </w:r>
      <w:r w:rsidR="008A21EC">
        <w:rPr>
          <w:rFonts w:ascii="Times New Roman" w:hAnsi="Times New Roman" w:cs="Times New Roman"/>
          <w:sz w:val="20"/>
          <w:szCs w:val="20"/>
        </w:rPr>
        <w:t xml:space="preserve"> </w:t>
      </w:r>
      <w:r w:rsidRPr="0075613D">
        <w:rPr>
          <w:rFonts w:ascii="Times New Roman" w:hAnsi="Times New Roman" w:cs="Times New Roman"/>
          <w:sz w:val="20"/>
          <w:szCs w:val="20"/>
        </w:rPr>
        <w:t>Conversely, the pooled odds of achieving NYHA class I/II after intervention were 21.30 (95% CI: 3.84–118.08; I² = 40.7%; n = 994; p = 0.134) (Figure S10). Although the direction and magnitude of effect favored substantial functional improvement, the overall estimate did not achieve statistical significance, primarily because of the very wide confidence interval, particularly within the TriClip subgroup (OR 12.53; 95% CI: 0.04–3,921.56). The MitraClip subgroup alone demonstrated a statistically significant improvement (OR 20.08; 95% CI: 8.80–45.81; I² = 42.4%; n = 856). Accordingly, interpretation of this outcome should be cautious, whereas the findings for the reduction in NYHA class III/IV are supported by a larger and more robust evidence base.</w:t>
      </w:r>
    </w:p>
    <w:p w14:paraId="77F856AD" w14:textId="77777777" w:rsidR="00923036" w:rsidRPr="001B7C52" w:rsidRDefault="00923036" w:rsidP="00923036">
      <w:pPr>
        <w:widowControl w:val="0"/>
        <w:adjustRightInd w:val="0"/>
        <w:spacing w:after="0" w:line="360" w:lineRule="auto"/>
        <w:jc w:val="both"/>
        <w:rPr>
          <w:rFonts w:ascii="Times New Roman" w:hAnsi="Times New Roman" w:cs="Times New Roman"/>
          <w:b/>
          <w:bCs/>
          <w:sz w:val="20"/>
          <w:szCs w:val="20"/>
        </w:rPr>
      </w:pPr>
    </w:p>
    <w:p w14:paraId="0D222EA6" w14:textId="1BE1970F" w:rsidR="00923036" w:rsidRPr="001B7C52" w:rsidRDefault="00923036" w:rsidP="00923036">
      <w:pPr>
        <w:widowControl w:val="0"/>
        <w:adjustRightInd w:val="0"/>
        <w:spacing w:after="0" w:line="360" w:lineRule="auto"/>
        <w:jc w:val="both"/>
        <w:rPr>
          <w:rFonts w:ascii="Times New Roman" w:hAnsi="Times New Roman" w:cs="Times New Roman"/>
          <w:b/>
          <w:bCs/>
          <w:sz w:val="20"/>
          <w:szCs w:val="20"/>
        </w:rPr>
      </w:pPr>
      <w:r w:rsidRPr="001B7C52">
        <w:rPr>
          <w:rFonts w:ascii="Times New Roman" w:hAnsi="Times New Roman" w:cs="Times New Roman"/>
          <w:b/>
          <w:bCs/>
          <w:sz w:val="20"/>
          <w:szCs w:val="20"/>
        </w:rPr>
        <w:t>Risk of Bias Assessment</w:t>
      </w:r>
    </w:p>
    <w:p w14:paraId="57D59F08" w14:textId="77777777" w:rsidR="008A21EC" w:rsidRPr="008A21EC" w:rsidRDefault="008A21EC" w:rsidP="008A21EC">
      <w:pPr>
        <w:widowControl w:val="0"/>
        <w:adjustRightInd w:val="0"/>
        <w:spacing w:after="0" w:line="360" w:lineRule="auto"/>
        <w:jc w:val="both"/>
        <w:rPr>
          <w:rFonts w:ascii="Times New Roman" w:hAnsi="Times New Roman" w:cs="Times New Roman"/>
          <w:sz w:val="20"/>
          <w:szCs w:val="20"/>
        </w:rPr>
      </w:pPr>
      <w:r w:rsidRPr="008A21EC">
        <w:rPr>
          <w:rFonts w:ascii="Times New Roman" w:hAnsi="Times New Roman" w:cs="Times New Roman"/>
          <w:sz w:val="20"/>
          <w:szCs w:val="20"/>
        </w:rPr>
        <w:t xml:space="preserve">A total of 31 studies were included in the risk of bias assessment. 29 non-randomized studies were evaluated using MINORS (Table S5). MINORS scores ranged from 11 to 15 out of a maximum of 16, reflecting generally adequate methodological quality. Most studies clearly reported their aims, used appropriate endpoints, and achieved less than 5% loss to follow-up; however, prospective data collection and sample size justification were frequently scored as inadequate or unreported, representing the most consistent methodological limitations across this group. Unbiased outcome assessment — typically requiring blinded or independently adjudicated endpoints — was scored as inadequate across nearly all non-randomized studies, reflecting an inherent limitation of real-world single-arm registries and observational designs in the transcatheter tricuspid valve intervention literature. The two randomized controlled trials, TRILUMINATE Pivotal and TRI.FR, were assessed using the RoB 2 tool and both received an overall judgment of "some concerns," primarily related to open-label design and potential performance bias arising from the unblinded nature of device trials. These findings should be considered when interpreting the pooled estimates derived from this body of evidence. </w:t>
      </w:r>
    </w:p>
    <w:p w14:paraId="3942EAF2" w14:textId="77777777" w:rsidR="008A21EC" w:rsidRPr="008A21EC" w:rsidRDefault="008A21EC" w:rsidP="008A21EC">
      <w:pPr>
        <w:widowControl w:val="0"/>
        <w:adjustRightInd w:val="0"/>
        <w:spacing w:after="0" w:line="360" w:lineRule="auto"/>
        <w:jc w:val="both"/>
        <w:rPr>
          <w:rFonts w:ascii="Times New Roman" w:hAnsi="Times New Roman" w:cs="Times New Roman"/>
          <w:sz w:val="20"/>
          <w:szCs w:val="20"/>
        </w:rPr>
      </w:pPr>
    </w:p>
    <w:p w14:paraId="6DC6AEA0" w14:textId="573C151D" w:rsidR="00923036" w:rsidRPr="00923036" w:rsidRDefault="008A21EC" w:rsidP="008A21EC">
      <w:pPr>
        <w:widowControl w:val="0"/>
        <w:adjustRightInd w:val="0"/>
        <w:spacing w:after="0" w:line="360" w:lineRule="auto"/>
        <w:jc w:val="both"/>
        <w:rPr>
          <w:rFonts w:ascii="Times New Roman" w:hAnsi="Times New Roman" w:cs="Times New Roman"/>
          <w:sz w:val="20"/>
          <w:szCs w:val="20"/>
        </w:rPr>
      </w:pPr>
      <w:r w:rsidRPr="008A21EC">
        <w:rPr>
          <w:rFonts w:ascii="Times New Roman" w:hAnsi="Times New Roman" w:cs="Times New Roman"/>
          <w:sz w:val="20"/>
          <w:szCs w:val="20"/>
        </w:rPr>
        <w:t>Figure S12 Shows Prisma Checklist.</w:t>
      </w:r>
    </w:p>
    <w:p w14:paraId="7A26210A" w14:textId="777777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p>
    <w:p w14:paraId="23CE72A6" w14:textId="4158A553" w:rsidR="00923036" w:rsidRDefault="00923036" w:rsidP="00923036">
      <w:pPr>
        <w:widowControl w:val="0"/>
        <w:adjustRightInd w:val="0"/>
        <w:spacing w:after="0" w:line="360" w:lineRule="auto"/>
        <w:jc w:val="both"/>
        <w:rPr>
          <w:rFonts w:ascii="Times New Roman" w:hAnsi="Times New Roman" w:cs="Times New Roman"/>
          <w:b/>
          <w:bCs/>
          <w:sz w:val="20"/>
          <w:szCs w:val="20"/>
        </w:rPr>
      </w:pPr>
      <w:r w:rsidRPr="002B1060">
        <w:rPr>
          <w:rFonts w:ascii="Times New Roman" w:hAnsi="Times New Roman" w:cs="Times New Roman"/>
          <w:b/>
          <w:bCs/>
          <w:sz w:val="20"/>
          <w:szCs w:val="20"/>
        </w:rPr>
        <w:t>Certainty of Evidence (GRADE Assessment)</w:t>
      </w:r>
    </w:p>
    <w:p w14:paraId="34C54AA0" w14:textId="77777777" w:rsidR="0055027E" w:rsidRPr="002B1060" w:rsidRDefault="0055027E" w:rsidP="00923036">
      <w:pPr>
        <w:widowControl w:val="0"/>
        <w:adjustRightInd w:val="0"/>
        <w:spacing w:after="0" w:line="360" w:lineRule="auto"/>
        <w:jc w:val="both"/>
        <w:rPr>
          <w:rFonts w:ascii="Times New Roman" w:hAnsi="Times New Roman" w:cs="Times New Roman"/>
          <w:b/>
          <w:bCs/>
          <w:sz w:val="20"/>
          <w:szCs w:val="20"/>
        </w:rPr>
      </w:pPr>
    </w:p>
    <w:p w14:paraId="42110114" w14:textId="77777777"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To facilitate clinical interpretation and guide evidence-based recommendations, the certainty of evidence for all nine pre-specified outcomes was formally evaluated using the Grading of Recommendations Assessment, Development and Evaluation (GRADE) framework (Table S7). Domains assessed included risk of bias, inconsistency (heterogeneity), indirectness, and imprecision, with the overall certainty rated as High, Moderate, Low, or Very Low. The full domain-level justifications are presented in Table S7.</w:t>
      </w:r>
    </w:p>
    <w:p w14:paraId="73FEF253" w14:textId="77777777" w:rsidR="002B1060" w:rsidRPr="00923036" w:rsidRDefault="002B1060" w:rsidP="00923036">
      <w:pPr>
        <w:widowControl w:val="0"/>
        <w:adjustRightInd w:val="0"/>
        <w:spacing w:after="0" w:line="360" w:lineRule="auto"/>
        <w:jc w:val="both"/>
        <w:rPr>
          <w:rFonts w:ascii="Times New Roman" w:hAnsi="Times New Roman" w:cs="Times New Roman"/>
          <w:sz w:val="20"/>
          <w:szCs w:val="20"/>
        </w:rPr>
      </w:pPr>
    </w:p>
    <w:p w14:paraId="21632DA4" w14:textId="00CB292A" w:rsidR="00923036" w:rsidRPr="002B1060" w:rsidRDefault="00923036" w:rsidP="00923036">
      <w:pPr>
        <w:widowControl w:val="0"/>
        <w:adjustRightInd w:val="0"/>
        <w:spacing w:after="0" w:line="360" w:lineRule="auto"/>
        <w:jc w:val="both"/>
        <w:rPr>
          <w:rFonts w:ascii="Times New Roman" w:hAnsi="Times New Roman" w:cs="Times New Roman"/>
          <w:b/>
          <w:bCs/>
          <w:sz w:val="20"/>
          <w:szCs w:val="20"/>
        </w:rPr>
      </w:pPr>
      <w:r w:rsidRPr="002B1060">
        <w:rPr>
          <w:rFonts w:ascii="Times New Roman" w:hAnsi="Times New Roman" w:cs="Times New Roman"/>
          <w:b/>
          <w:bCs/>
          <w:sz w:val="20"/>
          <w:szCs w:val="20"/>
        </w:rPr>
        <w:t>Echocardiographic and Haemodynamic Outcomes</w:t>
      </w:r>
    </w:p>
    <w:p w14:paraId="74DAAA17" w14:textId="77777777"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Vena contracta width and 6-minute walk distance were rated as Moderate certainty evidence. For vena contracta (MD −6.27 mm; 95% CI: −7.41 to −5.14; Table S7), the Moderate rating reflects the absence of statistically significant between-study heterogeneity (I² = 0.0% across all device subgroups), consistent directional effects across MitraClip, PASCAL, and TriClip, and non-serious indirectness, with the sole downgrade driven by the observational-only study design and the absence of an active comparator in most contributing studies.</w:t>
      </w:r>
    </w:p>
    <w:p w14:paraId="463B53B3" w14:textId="77777777" w:rsidR="00AD54D9" w:rsidRPr="00923036" w:rsidRDefault="00AD54D9" w:rsidP="00923036">
      <w:pPr>
        <w:widowControl w:val="0"/>
        <w:adjustRightInd w:val="0"/>
        <w:spacing w:after="0" w:line="360" w:lineRule="auto"/>
        <w:jc w:val="both"/>
        <w:rPr>
          <w:rFonts w:ascii="Times New Roman" w:hAnsi="Times New Roman" w:cs="Times New Roman"/>
          <w:sz w:val="20"/>
          <w:szCs w:val="20"/>
        </w:rPr>
      </w:pPr>
    </w:p>
    <w:p w14:paraId="03BC396F" w14:textId="77777777"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The remaining echocardiographic outcomes—TR severity proportion (pooled proportion 27.3%; 95% CI: 22.4–32.8%), EROA (MD −0.21 cm²; 95% CI: −0.24 to −0.18), and TR regurgitant volume (MD −17.60 mL; 95% CI: −18.85 to −16.35)—were all rated as Low certainty. For TR severity and TR regurgitant volume, the primary downgrades were applied for serious risk of bias (predominantly single-arm observational designs, without active comparator arms in most studies) and serious inconsistency, with I² values of 80.9% and 73.8%, respectively. For EROA, very high heterogeneity (overall I² = 94.1%; TriClip subgroup I² = 95.5%) constituted a serious inconsistency downgrade, in addition to the observational study design limitation.</w:t>
      </w:r>
    </w:p>
    <w:p w14:paraId="3A81D73E" w14:textId="77777777" w:rsidR="00AD54D9" w:rsidRPr="00923036" w:rsidRDefault="00AD54D9" w:rsidP="00923036">
      <w:pPr>
        <w:widowControl w:val="0"/>
        <w:adjustRightInd w:val="0"/>
        <w:spacing w:after="0" w:line="360" w:lineRule="auto"/>
        <w:jc w:val="both"/>
        <w:rPr>
          <w:rFonts w:ascii="Times New Roman" w:hAnsi="Times New Roman" w:cs="Times New Roman"/>
          <w:sz w:val="20"/>
          <w:szCs w:val="20"/>
        </w:rPr>
      </w:pPr>
    </w:p>
    <w:p w14:paraId="66F3FB36" w14:textId="77777777"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TAPSE was also rated Low certainty (MD +0.39 mm; 95% CI: +0.21 to +0.58; I² = 89.9%). Although the pooled estimate excludes the null and directionally supports preservation of RV longitudinal function, the high heterogeneity—driven in particular by divergent device-level effects (MitraClip subgroup showing −0.98 mm versus neutral effects in PASCAL and TriClip subgroups)—constituted a serious inconsistency downgrade. Additionally, TAPSE as a single-plane surrogate of RV function introduces measurement indirectness relative to volumetric or global RV functional assessment, which was noted as a consideration in domain scoring, though not sufficient to apply a formal indirectness penalty given the consistency of TAPSE as the field-standard RV metric in TTVr trials.</w:t>
      </w:r>
    </w:p>
    <w:p w14:paraId="66A19106" w14:textId="77777777" w:rsidR="00855D22" w:rsidRPr="00923036" w:rsidRDefault="00855D22" w:rsidP="00923036">
      <w:pPr>
        <w:widowControl w:val="0"/>
        <w:adjustRightInd w:val="0"/>
        <w:spacing w:after="0" w:line="360" w:lineRule="auto"/>
        <w:jc w:val="both"/>
        <w:rPr>
          <w:rFonts w:ascii="Times New Roman" w:hAnsi="Times New Roman" w:cs="Times New Roman"/>
          <w:sz w:val="20"/>
          <w:szCs w:val="20"/>
        </w:rPr>
      </w:pPr>
    </w:p>
    <w:p w14:paraId="38F9470C" w14:textId="5F457B54" w:rsidR="00923036" w:rsidRPr="00855D22" w:rsidRDefault="00923036" w:rsidP="00923036">
      <w:pPr>
        <w:widowControl w:val="0"/>
        <w:adjustRightInd w:val="0"/>
        <w:spacing w:after="0" w:line="360" w:lineRule="auto"/>
        <w:jc w:val="both"/>
        <w:rPr>
          <w:rFonts w:ascii="Times New Roman" w:hAnsi="Times New Roman" w:cs="Times New Roman"/>
          <w:b/>
          <w:bCs/>
          <w:sz w:val="20"/>
          <w:szCs w:val="20"/>
        </w:rPr>
      </w:pPr>
      <w:r w:rsidRPr="00855D22">
        <w:rPr>
          <w:rFonts w:ascii="Times New Roman" w:hAnsi="Times New Roman" w:cs="Times New Roman"/>
          <w:b/>
          <w:bCs/>
          <w:sz w:val="20"/>
          <w:szCs w:val="20"/>
        </w:rPr>
        <w:t>Functional and Patient-Reported Outcomes</w:t>
      </w:r>
    </w:p>
    <w:p w14:paraId="4E275793" w14:textId="77777777"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 xml:space="preserve">6-Minute Walk Distance (6MWD) was rated Moderate certainty (MD +33.85 m; 95% CI: +23.11 to +44.59; I² = 87.2%). The rating reflects inclusion of four randomized controlled trials (Tri.Fr, TRILUMINATE Pivotal, TRISCEND II, TRICAVAL) alongside observational data (N = 1,053), providing higher-level evidence for this endpoint than for purely observational outcomes. The overall CI excludes the null and the pooled estimate exceeds </w:t>
      </w:r>
      <w:r w:rsidRPr="00923036">
        <w:rPr>
          <w:rFonts w:ascii="Times New Roman" w:hAnsi="Times New Roman" w:cs="Times New Roman"/>
          <w:sz w:val="20"/>
          <w:szCs w:val="20"/>
        </w:rPr>
        <w:lastRenderedPageBreak/>
        <w:t>the minimum clinically important difference (MCID) of approximately 25–30 meters. Downgrade for inconsistency was considered but not applied at the Moderate threshold given the overall robustness of the directional effect across device subgroups, despite high I². Two of the four RCTs (TRISCEND II Pivotal and TRICAVAL) received high RoB 2 ratings, contributing a partial risk-of-bias downgrade that was balanced against the trial-level evidence from TRILUMINATE and Tri.Fr.</w:t>
      </w:r>
    </w:p>
    <w:p w14:paraId="6FD46856" w14:textId="77777777" w:rsidR="00AD54D9" w:rsidRPr="00923036" w:rsidRDefault="00AD54D9" w:rsidP="00923036">
      <w:pPr>
        <w:widowControl w:val="0"/>
        <w:adjustRightInd w:val="0"/>
        <w:spacing w:after="0" w:line="360" w:lineRule="auto"/>
        <w:jc w:val="both"/>
        <w:rPr>
          <w:rFonts w:ascii="Times New Roman" w:hAnsi="Times New Roman" w:cs="Times New Roman"/>
          <w:sz w:val="20"/>
          <w:szCs w:val="20"/>
        </w:rPr>
      </w:pPr>
    </w:p>
    <w:p w14:paraId="56576F6D" w14:textId="77777777"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NYHA Class &gt; III was rated Low certainty (OR 0.04; 95% CI: 0.03–0.07; I² = 67.1%). Despite the large effect size and a confidence interval that clearly excludes the null, the certainty was downgraded for serious risk of bias—predominantly unblinded observational designs, with two of the four contributing RCTs (TRISCEND II and TRICAVAL) rated high risk of bias on RoB 2—and for serious inconsistency, in particular the markedly elevated heterogeneity in the PASCAL subgroup (I² = 79.5%).</w:t>
      </w:r>
    </w:p>
    <w:p w14:paraId="7D3BBA68" w14:textId="77777777" w:rsidR="00AD54D9" w:rsidRPr="00923036" w:rsidRDefault="00AD54D9" w:rsidP="00923036">
      <w:pPr>
        <w:widowControl w:val="0"/>
        <w:adjustRightInd w:val="0"/>
        <w:spacing w:after="0" w:line="360" w:lineRule="auto"/>
        <w:jc w:val="both"/>
        <w:rPr>
          <w:rFonts w:ascii="Times New Roman" w:hAnsi="Times New Roman" w:cs="Times New Roman"/>
          <w:sz w:val="20"/>
          <w:szCs w:val="20"/>
        </w:rPr>
      </w:pPr>
    </w:p>
    <w:p w14:paraId="735A9E4F" w14:textId="77777777"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NYHA Class &lt; III (proportion achieving functional improvement) was similarly rated Low certainty (OR 21.30; 95% CI: 3.84–118.08; I² = 40.7%; p = 0.134). Although between-study heterogeneity was more acceptable for this outcome (I² = 40.7%), the extremely wide confidence interval in the TriClip subgroup (OR 12.53; 95% CI: 0.04–3,921.56) constituted a serious imprecision downgrade, and the failure of the overall pooled estimate to reach conventional statistical significance (p = 0.134) further limited certainty.</w:t>
      </w:r>
    </w:p>
    <w:p w14:paraId="626E7CF3" w14:textId="77777777" w:rsidR="00AD54D9" w:rsidRPr="00923036" w:rsidRDefault="00AD54D9" w:rsidP="00923036">
      <w:pPr>
        <w:widowControl w:val="0"/>
        <w:adjustRightInd w:val="0"/>
        <w:spacing w:after="0" w:line="360" w:lineRule="auto"/>
        <w:jc w:val="both"/>
        <w:rPr>
          <w:rFonts w:ascii="Times New Roman" w:hAnsi="Times New Roman" w:cs="Times New Roman"/>
          <w:sz w:val="20"/>
          <w:szCs w:val="20"/>
        </w:rPr>
      </w:pPr>
    </w:p>
    <w:p w14:paraId="7678243F" w14:textId="77777777"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KCCQ score change was rated Low certainty (MD +15.78 points; 95% CI: +12.21 to +19.35; I² = 65.6%; p = 0.055). The pooled improvement well exceeds the KCCQ MCID of 5 points and suggests clinically meaningful quality-of-life benefit. However, the borderline statistical significance, moderate-to-high heterogeneity, and predominantly observational design resulted in downgrades for risk of bias and imprecision, yielding a Low overall certainty rating.</w:t>
      </w:r>
    </w:p>
    <w:p w14:paraId="6C4F7580" w14:textId="77777777" w:rsidR="00546689" w:rsidRPr="00923036" w:rsidRDefault="00546689" w:rsidP="00923036">
      <w:pPr>
        <w:widowControl w:val="0"/>
        <w:adjustRightInd w:val="0"/>
        <w:spacing w:after="0" w:line="360" w:lineRule="auto"/>
        <w:jc w:val="both"/>
        <w:rPr>
          <w:rFonts w:ascii="Times New Roman" w:hAnsi="Times New Roman" w:cs="Times New Roman"/>
          <w:sz w:val="20"/>
          <w:szCs w:val="20"/>
        </w:rPr>
      </w:pPr>
    </w:p>
    <w:p w14:paraId="7A138649" w14:textId="64AE3AA1" w:rsidR="00923036" w:rsidRPr="00546689" w:rsidRDefault="00923036" w:rsidP="00923036">
      <w:pPr>
        <w:widowControl w:val="0"/>
        <w:adjustRightInd w:val="0"/>
        <w:spacing w:after="0" w:line="360" w:lineRule="auto"/>
        <w:jc w:val="both"/>
        <w:rPr>
          <w:rFonts w:ascii="Times New Roman" w:hAnsi="Times New Roman" w:cs="Times New Roman"/>
          <w:b/>
          <w:bCs/>
          <w:sz w:val="20"/>
          <w:szCs w:val="20"/>
        </w:rPr>
      </w:pPr>
      <w:r w:rsidRPr="00546689">
        <w:rPr>
          <w:rFonts w:ascii="Times New Roman" w:hAnsi="Times New Roman" w:cs="Times New Roman"/>
          <w:b/>
          <w:bCs/>
          <w:sz w:val="20"/>
          <w:szCs w:val="20"/>
        </w:rPr>
        <w:t>Summary and Clinical Implications</w:t>
      </w:r>
    </w:p>
    <w:p w14:paraId="5A139308" w14:textId="77777777"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Across all nine outcomes, no outcome achieved High certainty evidence, two achieved Moderate certainty (vena contracta and 6MWD), and seven were rated Low certainty (Table S7). The predominance of Low certainty evidence reflects the field-wide reliance on single-arm observational and registry-based data, which, while informative regarding feasibility and directional efficacy, cannot provide the degree of causal inference afforded by adequately powered, properly controlled randomized trials. Reviewers and guideline committees should interpret the consistent directional effects across outcomes as supportive of TTVr efficacy, while recognising that the certainty of evidence remains insufficient to draw definitive conclusions about the magnitude of benefit or the comparative effectiveness of individual device platforms.</w:t>
      </w:r>
    </w:p>
    <w:p w14:paraId="3B3B7941" w14:textId="77777777" w:rsidR="008B3B21" w:rsidRPr="00923036" w:rsidRDefault="008B3B21" w:rsidP="00923036">
      <w:pPr>
        <w:widowControl w:val="0"/>
        <w:adjustRightInd w:val="0"/>
        <w:spacing w:after="0" w:line="360" w:lineRule="auto"/>
        <w:jc w:val="both"/>
        <w:rPr>
          <w:rFonts w:ascii="Times New Roman" w:hAnsi="Times New Roman" w:cs="Times New Roman"/>
          <w:sz w:val="20"/>
          <w:szCs w:val="20"/>
        </w:rPr>
      </w:pPr>
    </w:p>
    <w:p w14:paraId="3BFC8521" w14:textId="2892E590" w:rsidR="00923036" w:rsidRPr="008B3B21" w:rsidRDefault="00923036" w:rsidP="00923036">
      <w:pPr>
        <w:widowControl w:val="0"/>
        <w:adjustRightInd w:val="0"/>
        <w:spacing w:after="0" w:line="360" w:lineRule="auto"/>
        <w:jc w:val="both"/>
        <w:rPr>
          <w:rFonts w:ascii="Times New Roman" w:hAnsi="Times New Roman" w:cs="Times New Roman"/>
          <w:b/>
          <w:bCs/>
          <w:sz w:val="20"/>
          <w:szCs w:val="20"/>
        </w:rPr>
      </w:pPr>
      <w:r w:rsidRPr="008B3B21">
        <w:rPr>
          <w:rFonts w:ascii="Times New Roman" w:hAnsi="Times New Roman" w:cs="Times New Roman"/>
          <w:b/>
          <w:bCs/>
          <w:sz w:val="20"/>
          <w:szCs w:val="20"/>
        </w:rPr>
        <w:t>Meta-Regression Analyses</w:t>
      </w:r>
    </w:p>
    <w:p w14:paraId="618C1A0E" w14:textId="42304589"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 xml:space="preserve">To explore potential sources of between-study heterogeneity and to assess whether key study-level covariates moderated treatment effects, REML-based meta-regression analyses were performed for functional and structural outcomes where a sufficient number of studies contributed data. Results are </w:t>
      </w:r>
      <w:r w:rsidR="00EE5F06" w:rsidRPr="00923036">
        <w:rPr>
          <w:rFonts w:ascii="Times New Roman" w:hAnsi="Times New Roman" w:cs="Times New Roman"/>
          <w:sz w:val="20"/>
          <w:szCs w:val="20"/>
        </w:rPr>
        <w:t>summarized</w:t>
      </w:r>
      <w:r w:rsidRPr="00923036">
        <w:rPr>
          <w:rFonts w:ascii="Times New Roman" w:hAnsi="Times New Roman" w:cs="Times New Roman"/>
          <w:sz w:val="20"/>
          <w:szCs w:val="20"/>
        </w:rPr>
        <w:t xml:space="preserve"> in Table S3. Covariates </w:t>
      </w:r>
      <w:r w:rsidRPr="00923036">
        <w:rPr>
          <w:rFonts w:ascii="Times New Roman" w:hAnsi="Times New Roman" w:cs="Times New Roman"/>
          <w:sz w:val="20"/>
          <w:szCs w:val="20"/>
        </w:rPr>
        <w:lastRenderedPageBreak/>
        <w:t>examined included follow-up duration (log-transformed days), the proportion of patients with functional TR aetiology, the proportion of patients treated with a specific device (MitraClip or TriClip), and baseline TR severity proportion. All analyses used REML estimation, and the R² analogue is reported as the proportion of between-study variance explained by each covariate.</w:t>
      </w:r>
    </w:p>
    <w:p w14:paraId="3DA58BD6" w14:textId="77777777" w:rsidR="00BE1DD2" w:rsidRPr="00923036" w:rsidRDefault="00BE1DD2" w:rsidP="00923036">
      <w:pPr>
        <w:widowControl w:val="0"/>
        <w:adjustRightInd w:val="0"/>
        <w:spacing w:after="0" w:line="360" w:lineRule="auto"/>
        <w:jc w:val="both"/>
        <w:rPr>
          <w:rFonts w:ascii="Times New Roman" w:hAnsi="Times New Roman" w:cs="Times New Roman"/>
          <w:sz w:val="20"/>
          <w:szCs w:val="20"/>
        </w:rPr>
      </w:pPr>
    </w:p>
    <w:p w14:paraId="56D06779" w14:textId="3CDDB006" w:rsidR="00923036" w:rsidRPr="00BE1DD2" w:rsidRDefault="00923036" w:rsidP="00923036">
      <w:pPr>
        <w:widowControl w:val="0"/>
        <w:adjustRightInd w:val="0"/>
        <w:spacing w:after="0" w:line="360" w:lineRule="auto"/>
        <w:jc w:val="both"/>
        <w:rPr>
          <w:rFonts w:ascii="Times New Roman" w:hAnsi="Times New Roman" w:cs="Times New Roman"/>
          <w:b/>
          <w:bCs/>
          <w:sz w:val="20"/>
          <w:szCs w:val="20"/>
        </w:rPr>
      </w:pPr>
      <w:r w:rsidRPr="00BE1DD2">
        <w:rPr>
          <w:rFonts w:ascii="Times New Roman" w:hAnsi="Times New Roman" w:cs="Times New Roman"/>
          <w:b/>
          <w:bCs/>
          <w:sz w:val="20"/>
          <w:szCs w:val="20"/>
        </w:rPr>
        <w:t>Functional and Symptomatic Outcomes</w:t>
      </w:r>
    </w:p>
    <w:p w14:paraId="141E6560" w14:textId="777777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For NYHA ≥ III/IV (log OR), meta-regression against follow-up duration (log days) yielded a regression slope (β1) of +0.262 (p = 0.456; df = 9; R² analogue = 0.0%), indicating that longer follow-up did not significantly predict the odds of remaining in NYHA ≥ III/IV post-intervention (Table S3). The R² analogue of 0.0% confirms that follow-up duration explains none of the residual between-study variance for this outcome. This suggests that the symptomatic benefit of TTVr, as reflected in NYHA class reduction, is not systematically attenuated or amplified by the duration of follow-up across the range represented in included studies.</w:t>
      </w:r>
    </w:p>
    <w:p w14:paraId="6D23D43C" w14:textId="777777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For the broader NYHA outcome (log OR), meta-regression against the proportion of patients with functional TR (β1 = +12.48; p = 0.433; df = 3; R² analogue = 0.0%) similarly found no statistically significant moderating effect. The functional TR proportion did not explain variability in NYHA improvement across studies, suggesting that the symptomatic response to TTVr is not contingent on the proportion of functional versus other TR aetiologies represented in a study population, at least within the aetiology mix present in the included studies.</w:t>
      </w:r>
    </w:p>
    <w:p w14:paraId="12920320" w14:textId="77777777"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A device-specific meta-regression for NYHA ≥ III/IV within the MitraClip subgroup examined the MitraClip proportion as a covariate (β1 = +1.304; p = 0.887; df = 5; R² analogue = 0.0%). No significant relationship was identified, indicating that the proportion of MitraClip-treated patients within a study did not explain between-study variability in NYHA ≥ III/IV outcomes in the MitraClip subgroup.</w:t>
      </w:r>
    </w:p>
    <w:p w14:paraId="76348742" w14:textId="77777777" w:rsidR="00885BDA" w:rsidRPr="00923036" w:rsidRDefault="00885BDA" w:rsidP="00923036">
      <w:pPr>
        <w:widowControl w:val="0"/>
        <w:adjustRightInd w:val="0"/>
        <w:spacing w:after="0" w:line="360" w:lineRule="auto"/>
        <w:jc w:val="both"/>
        <w:rPr>
          <w:rFonts w:ascii="Times New Roman" w:hAnsi="Times New Roman" w:cs="Times New Roman"/>
          <w:sz w:val="20"/>
          <w:szCs w:val="20"/>
        </w:rPr>
      </w:pPr>
    </w:p>
    <w:p w14:paraId="068EA9E3" w14:textId="55299F36" w:rsidR="00923036" w:rsidRPr="00BA418C" w:rsidRDefault="00923036" w:rsidP="00923036">
      <w:pPr>
        <w:widowControl w:val="0"/>
        <w:adjustRightInd w:val="0"/>
        <w:spacing w:after="0" w:line="360" w:lineRule="auto"/>
        <w:jc w:val="both"/>
        <w:rPr>
          <w:rFonts w:ascii="Times New Roman" w:hAnsi="Times New Roman" w:cs="Times New Roman"/>
          <w:b/>
          <w:bCs/>
          <w:sz w:val="20"/>
          <w:szCs w:val="20"/>
        </w:rPr>
      </w:pPr>
      <w:r w:rsidRPr="00BA418C">
        <w:rPr>
          <w:rFonts w:ascii="Times New Roman" w:hAnsi="Times New Roman" w:cs="Times New Roman"/>
          <w:b/>
          <w:bCs/>
          <w:sz w:val="20"/>
          <w:szCs w:val="20"/>
        </w:rPr>
        <w:t>Structural Outcomes</w:t>
      </w:r>
    </w:p>
    <w:p w14:paraId="2A1812FA" w14:textId="777777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For EROA mean change (cm²), meta-regression against baseline TR severity proportion yielded a slope of −0.900 (p = 0.230; df = 2; R² analogue = 44.0%; Table S3). Although this regression did not reach statistical significance, the R² analogue of 44.0% suggests that baseline TR severity proportion may explain a meaningful share of the between-study variance in EROA reduction. Studies enrolling patients with a higher proportion of severe TR at baseline tended towards greater absolute EROA reduction, consistent with the expectation that greater regurgitant burden provides more room for measurable echocardiographic improvement. This finding should be interpreted cautiously given the small number of studies contributing to this regression (df = 2).</w:t>
      </w:r>
    </w:p>
    <w:p w14:paraId="789CCC6B" w14:textId="777777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 xml:space="preserve">The most statistically robust meta-regression finding was for TR severity binary outcome (log OR) within the MitraClip subgroup. Baseline TR severity proportion was a significant negative predictor (β1 = −15.30; p = 0.003; df = 8; R² analogue = 78.8%; Table S3). This indicates that studies with a higher baseline proportion of patients with severe TR were associated with lower post-intervention odds of residual TR ≥ grade 3+, explaining 78.8% of the between-study variance in this subgroup. This finding is clinically interpretable: patients presenting with more severe baseline TR may benefit disproportionately from MitraClip-based edge-to-edge repair, achieving greater categorical TR grade reduction. It also suggests that baseline TR severity is a substantial driver of the heterogeneity observed in </w:t>
      </w:r>
      <w:r w:rsidRPr="00923036">
        <w:rPr>
          <w:rFonts w:ascii="Times New Roman" w:hAnsi="Times New Roman" w:cs="Times New Roman"/>
          <w:sz w:val="20"/>
          <w:szCs w:val="20"/>
        </w:rPr>
        <w:lastRenderedPageBreak/>
        <w:t>the MitraClip TR severity outcome, and that future analyses should stratify by or adjust for baseline TR grade distribution.</w:t>
      </w:r>
    </w:p>
    <w:p w14:paraId="325B2FA4" w14:textId="77777777"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For TR regurgitant volume within the TriClip subgroup, meta-regression against baseline TR severity proportion yielded β1 = −48.28 (p = 0.086; df = 2; R² analogue = 92.3%; Table S3). While this did not meet the pre-specified significance threshold of p &lt; 0.05, the trend-level p-value and the exceptionally high R² analogue of 92.3% suggest that baseline TR severity proportion is a near-complete explanation of between-study variability in TR regurgitant volume reduction in the TriClip subgroup. The low degrees of freedom (df = 2) substantially limits statistical power for this regression, and the finding should therefore be interpreted as hypothesis-generating. Nonetheless, the consistent pattern across both the MitraClip and TriClip subgroups—where baseline TR severity proportion explains a large proportion of variance in structural outcomes—provides a coherent mechanistic signal: greater baseline TR burden predicts greater absolute echocardiographic benefit.</w:t>
      </w:r>
    </w:p>
    <w:p w14:paraId="649DBDD9" w14:textId="77777777" w:rsidR="007E6ACD" w:rsidRPr="00923036" w:rsidRDefault="007E6ACD" w:rsidP="00923036">
      <w:pPr>
        <w:widowControl w:val="0"/>
        <w:adjustRightInd w:val="0"/>
        <w:spacing w:after="0" w:line="360" w:lineRule="auto"/>
        <w:jc w:val="both"/>
        <w:rPr>
          <w:rFonts w:ascii="Times New Roman" w:hAnsi="Times New Roman" w:cs="Times New Roman"/>
          <w:sz w:val="20"/>
          <w:szCs w:val="20"/>
        </w:rPr>
      </w:pPr>
    </w:p>
    <w:p w14:paraId="6F3F6956" w14:textId="5835E24A" w:rsidR="00923036" w:rsidRPr="00885BDA" w:rsidRDefault="00923036" w:rsidP="00923036">
      <w:pPr>
        <w:widowControl w:val="0"/>
        <w:adjustRightInd w:val="0"/>
        <w:spacing w:after="0" w:line="360" w:lineRule="auto"/>
        <w:jc w:val="both"/>
        <w:rPr>
          <w:rFonts w:ascii="Times New Roman" w:hAnsi="Times New Roman" w:cs="Times New Roman"/>
          <w:b/>
          <w:bCs/>
          <w:sz w:val="20"/>
          <w:szCs w:val="20"/>
        </w:rPr>
      </w:pPr>
      <w:r w:rsidRPr="00885BDA">
        <w:rPr>
          <w:rFonts w:ascii="Times New Roman" w:hAnsi="Times New Roman" w:cs="Times New Roman"/>
          <w:b/>
          <w:bCs/>
          <w:sz w:val="20"/>
          <w:szCs w:val="20"/>
        </w:rPr>
        <w:t>Summary and Interpretation</w:t>
      </w:r>
    </w:p>
    <w:p w14:paraId="6EB9025F" w14:textId="777777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Taken together, the meta-regression analyses (Table S3) demonstrate that follow-up duration and functional TR proportion do not significantly moderate NYHA functional outcomes, suggesting that symptomatic improvements following TTVr are relatively stable across the range of follow-up durations and TR aetiologies represented in the current evidence base. In contrast, baseline TR severity proportion emerges as a consistent and clinically meaningful moderator of structural outcomes, particularly TR severity and TR regurgitant volume, most prominently within the MitraClip and TriClip subgroups. The significant finding for TR severity binary outcome in the MitraClip subgroup (R² = 78.8%; p = 0.003) is the strongest meta-regression result in this analysis and has direct implications for patient selection: patients with higher baseline TR severity may achieve more pronounced categorical improvements in TR grade following edge-to-edge repair.</w:t>
      </w:r>
    </w:p>
    <w:p w14:paraId="4A9CF9B6" w14:textId="77777777"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These findings should be interpreted in the context of several limitations inherent to meta-regression. Most regressions were constrained by small numbers of studies per covariate (df ranging from 2 to 9), limiting statistical power and increasing susceptibility to ecological fallacy. The covariates examined represent aggregate study-level characteristics rather than individual patient-level data, and therefore cannot establish causal relationships or substitute for individual patient data meta-analysis. Future prospective analyses with consistent covariate reporting across studies would substantially strengthen the meta-regression evidence base for TTVr.</w:t>
      </w:r>
    </w:p>
    <w:p w14:paraId="038CEDBC" w14:textId="77777777" w:rsidR="000F4FBB" w:rsidRDefault="000F4FBB" w:rsidP="00923036">
      <w:pPr>
        <w:widowControl w:val="0"/>
        <w:adjustRightInd w:val="0"/>
        <w:spacing w:after="0" w:line="360" w:lineRule="auto"/>
        <w:jc w:val="both"/>
        <w:rPr>
          <w:rFonts w:ascii="Times New Roman" w:hAnsi="Times New Roman" w:cs="Times New Roman"/>
          <w:sz w:val="20"/>
          <w:szCs w:val="20"/>
        </w:rPr>
      </w:pPr>
    </w:p>
    <w:p w14:paraId="31C82095" w14:textId="0CDE30D6" w:rsidR="000F4FBB" w:rsidRDefault="000F4FBB" w:rsidP="00923036">
      <w:pPr>
        <w:widowControl w:val="0"/>
        <w:adjustRightInd w:val="0"/>
        <w:spacing w:after="0" w:line="360" w:lineRule="auto"/>
        <w:jc w:val="both"/>
        <w:rPr>
          <w:rFonts w:ascii="Times New Roman" w:hAnsi="Times New Roman" w:cs="Times New Roman"/>
          <w:b/>
          <w:bCs/>
          <w:sz w:val="20"/>
          <w:szCs w:val="20"/>
        </w:rPr>
      </w:pPr>
      <w:r w:rsidRPr="000F4FBB">
        <w:rPr>
          <w:rFonts w:ascii="Times New Roman" w:hAnsi="Times New Roman" w:cs="Times New Roman"/>
          <w:b/>
          <w:bCs/>
          <w:sz w:val="20"/>
          <w:szCs w:val="20"/>
        </w:rPr>
        <w:t>Cardioband (Direct Annuloplasty) Outcomes: Narrative Synthesis</w:t>
      </w:r>
    </w:p>
    <w:p w14:paraId="159C9E72" w14:textId="77777777" w:rsidR="000F4FBB" w:rsidRDefault="000F4FBB" w:rsidP="00923036">
      <w:pPr>
        <w:widowControl w:val="0"/>
        <w:adjustRightInd w:val="0"/>
        <w:spacing w:after="0" w:line="360" w:lineRule="auto"/>
        <w:jc w:val="both"/>
        <w:rPr>
          <w:rFonts w:ascii="Times New Roman" w:hAnsi="Times New Roman" w:cs="Times New Roman"/>
          <w:b/>
          <w:bCs/>
          <w:sz w:val="20"/>
          <w:szCs w:val="20"/>
        </w:rPr>
      </w:pPr>
    </w:p>
    <w:p w14:paraId="36BC73FD" w14:textId="77777777" w:rsidR="000F4FBB" w:rsidRPr="000F4FBB" w:rsidRDefault="000F4FBB" w:rsidP="000F4FBB">
      <w:pPr>
        <w:widowControl w:val="0"/>
        <w:adjustRightInd w:val="0"/>
        <w:spacing w:after="0" w:line="360" w:lineRule="auto"/>
        <w:jc w:val="both"/>
        <w:rPr>
          <w:rFonts w:ascii="Times New Roman" w:hAnsi="Times New Roman" w:cs="Times New Roman"/>
          <w:sz w:val="20"/>
          <w:szCs w:val="20"/>
        </w:rPr>
      </w:pPr>
      <w:r w:rsidRPr="000F4FBB">
        <w:rPr>
          <w:rFonts w:ascii="Times New Roman" w:hAnsi="Times New Roman" w:cs="Times New Roman"/>
          <w:sz w:val="20"/>
          <w:szCs w:val="20"/>
        </w:rPr>
        <w:t xml:space="preserve">Because Cardioband and other direct annuloplasty systems differ mechanistically from edge-to-edge repair devices, data from these studies were extracted separately and are reported here as a narrative synthesis rather than pooled within the primary quantitative meta-analysis. Three studies reporting clinical outcomes with the Cardioband tricuspid system were identified.¹⁸˒³²˒⁴³ In the United States Early Feasibility Study (EFS), 30 patients with severe or greater symptomatic functional TR (mean age 77 years, 80% women, 97% atrial fibrillation, 70% NYHA class III–IV, mean LVEF 58%) underwent Cardioband implantation, with device success in 93% of patients and no 30-day mortality. </w:t>
      </w:r>
      <w:r w:rsidRPr="000F4FBB">
        <w:rPr>
          <w:rFonts w:ascii="Times New Roman" w:hAnsi="Times New Roman" w:cs="Times New Roman"/>
          <w:sz w:val="20"/>
          <w:szCs w:val="20"/>
        </w:rPr>
        <w:lastRenderedPageBreak/>
        <w:t>Between baseline and 30 days, septolateral annular diameter decreased by 13% (p&lt;0.001), 85% of patients achieved at least a one-grade reduction in TR and 44% achieved ≤moderate TR, 75% improved to NYHA class I–II (p&lt;0.001), and KCCQ score improved by 16 points.¹⁸</w:t>
      </w:r>
    </w:p>
    <w:p w14:paraId="76BA8401" w14:textId="77777777" w:rsidR="000F4FBB" w:rsidRPr="000F4FBB" w:rsidRDefault="000F4FBB" w:rsidP="000F4FBB">
      <w:pPr>
        <w:widowControl w:val="0"/>
        <w:adjustRightInd w:val="0"/>
        <w:spacing w:after="0" w:line="360" w:lineRule="auto"/>
        <w:jc w:val="both"/>
        <w:rPr>
          <w:rFonts w:ascii="Times New Roman" w:hAnsi="Times New Roman" w:cs="Times New Roman"/>
          <w:sz w:val="20"/>
          <w:szCs w:val="20"/>
        </w:rPr>
      </w:pPr>
      <w:r w:rsidRPr="000F4FBB">
        <w:rPr>
          <w:rFonts w:ascii="Times New Roman" w:hAnsi="Times New Roman" w:cs="Times New Roman"/>
          <w:sz w:val="20"/>
          <w:szCs w:val="20"/>
        </w:rPr>
        <w:t>The European TriBAND post-market study reported 30-day outcomes in 61 patients with predominantly severe or greater functional TR (mean age 79 years, 85% NYHA class III–IV, mean EuroSCORE II 6.8%, mean LVEF 53%). Device success was 96.7%, and all-cause mortality and composite major adverse event rates at 30 days were 1.6% and 19.7%, respectively. Septolateral annular diameter was reduced by 20% (p&lt;0.001), with 69% of patients achieving ≤moderate TR and 85% achieving at least a one-grade TR reduction. Early right heart remodeling was reflected by reductions in mid-right ventricular end-diastolic diameter (−10%, p=0.005), right atrial volume (−21%, p&lt;0.001), and inferior vena cava diameter (−11%, p=0.022). Functional status improved substantially, with 74% of patients in NYHA class I–II at 30 days compared with 15% at baseline, and KCCQ score improved by 17 points (both p&lt;0.001). Right coronary artery injury requiring intervention occurred in 6.6% of patients, underscoring a device-specific procedural risk related to anchor deployment adjacent to the annulus.⁴³</w:t>
      </w:r>
    </w:p>
    <w:p w14:paraId="6C671086" w14:textId="77777777" w:rsidR="000F4FBB" w:rsidRPr="000F4FBB" w:rsidRDefault="000F4FBB" w:rsidP="000F4FBB">
      <w:pPr>
        <w:widowControl w:val="0"/>
        <w:adjustRightInd w:val="0"/>
        <w:spacing w:after="0" w:line="360" w:lineRule="auto"/>
        <w:jc w:val="both"/>
        <w:rPr>
          <w:rFonts w:ascii="Times New Roman" w:hAnsi="Times New Roman" w:cs="Times New Roman"/>
          <w:sz w:val="20"/>
          <w:szCs w:val="20"/>
        </w:rPr>
      </w:pPr>
      <w:r w:rsidRPr="000F4FBB">
        <w:rPr>
          <w:rFonts w:ascii="Times New Roman" w:hAnsi="Times New Roman" w:cs="Times New Roman"/>
          <w:sz w:val="20"/>
          <w:szCs w:val="20"/>
        </w:rPr>
        <w:t>A separate multicenter real-world experience with the Cardioband system in 60 patients with predominantly severe-to-torrential secondary TR (median age 76 years, 82% NYHA class III–IV, 78% heart failure with preserved ejection fraction) reported a more modest primary efficacy endpoint, with ≥2-grade TR reduction achieved in 45% of patients, although 60% had less-than-severe TR at discharge. The more modest efficacy signal in this cohort likely reflects the inclusion of a higher-risk, anatomically more complex real-world population, including patients with massive or torrential TR, relative to the earlier feasibility cohorts.³²</w:t>
      </w:r>
    </w:p>
    <w:p w14:paraId="5EA18C38" w14:textId="48F1CFC1" w:rsidR="000F4FBB" w:rsidRPr="000F4FBB" w:rsidRDefault="000F4FBB" w:rsidP="000F4FBB">
      <w:pPr>
        <w:widowControl w:val="0"/>
        <w:adjustRightInd w:val="0"/>
        <w:spacing w:after="0" w:line="360" w:lineRule="auto"/>
        <w:jc w:val="both"/>
        <w:rPr>
          <w:rFonts w:ascii="Times New Roman" w:hAnsi="Times New Roman" w:cs="Times New Roman"/>
          <w:sz w:val="20"/>
          <w:szCs w:val="20"/>
        </w:rPr>
      </w:pPr>
      <w:r w:rsidRPr="000F4FBB">
        <w:rPr>
          <w:rFonts w:ascii="Times New Roman" w:hAnsi="Times New Roman" w:cs="Times New Roman"/>
          <w:sz w:val="20"/>
          <w:szCs w:val="20"/>
        </w:rPr>
        <w:t>Taken together, these descriptive data indicate that Cardioband-based direct annuloplasty achieves consistent, if numerically more modest, reductions in TR severity compared with the pooled edge-to-edge repair outcomes reported above, alongside meaningful gains in NYHA functional class and quality of life and low short-term mortality. However, because patient populations, echocardiographic reporting conventions, and follow-up durations differed appreciably from the edge-to-edge repair cohorts, and because study-level variance estimates required for formal random-effects pooling were not uniformly reported across these studies, these findings are presented narratively rather than combined with the primary quantitative synthesis of this meta-analysis.</w:t>
      </w:r>
    </w:p>
    <w:p w14:paraId="4B04F72D" w14:textId="777777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p>
    <w:p w14:paraId="188B6912" w14:textId="12891AC8" w:rsidR="00923036" w:rsidRPr="007E6ACD" w:rsidRDefault="00923036" w:rsidP="00923036">
      <w:pPr>
        <w:widowControl w:val="0"/>
        <w:adjustRightInd w:val="0"/>
        <w:spacing w:after="0" w:line="360" w:lineRule="auto"/>
        <w:jc w:val="both"/>
        <w:rPr>
          <w:rFonts w:ascii="Times New Roman" w:hAnsi="Times New Roman" w:cs="Times New Roman"/>
          <w:b/>
          <w:bCs/>
          <w:color w:val="4F81BD" w:themeColor="accent1"/>
          <w:sz w:val="22"/>
          <w:szCs w:val="22"/>
        </w:rPr>
      </w:pPr>
      <w:r w:rsidRPr="007E6ACD">
        <w:rPr>
          <w:rFonts w:ascii="Times New Roman" w:hAnsi="Times New Roman" w:cs="Times New Roman"/>
          <w:b/>
          <w:bCs/>
          <w:color w:val="4F81BD" w:themeColor="accent1"/>
          <w:sz w:val="22"/>
          <w:szCs w:val="22"/>
        </w:rPr>
        <w:t>Discussion</w:t>
      </w:r>
    </w:p>
    <w:p w14:paraId="46B16795" w14:textId="77777777" w:rsidR="004B403A" w:rsidRPr="004B403A" w:rsidRDefault="004B403A" w:rsidP="004B403A">
      <w:pPr>
        <w:widowControl w:val="0"/>
        <w:adjustRightInd w:val="0"/>
        <w:spacing w:after="0" w:line="360" w:lineRule="auto"/>
        <w:jc w:val="both"/>
        <w:rPr>
          <w:rFonts w:ascii="Times New Roman" w:hAnsi="Times New Roman" w:cs="Times New Roman"/>
          <w:sz w:val="20"/>
          <w:szCs w:val="20"/>
        </w:rPr>
      </w:pPr>
      <w:r w:rsidRPr="004B403A">
        <w:rPr>
          <w:rFonts w:ascii="Times New Roman" w:hAnsi="Times New Roman" w:cs="Times New Roman"/>
          <w:sz w:val="20"/>
          <w:szCs w:val="20"/>
        </w:rPr>
        <w:t>In this comprehensive systematic review and meta-analysis, we found that transcatheter tricuspid valve repair (TTVr) was associated with significant improvements in echocardiographic, functional, and patient-centered outcomes among individuals with moderate-to-severe tricuspid regurgitation (TR). Across the pooled analysis, TTVr significantly reduced regurgitant volume, vena contracta width, effective regurgitant orifice area (EROA), and the proportion of patients with residual severe TR. These anatomical improvements were accompanied by clinically meaningful gains in functional capacity, including improvements in New York Heart Association (NYHA) functional class, six-minute walk distance (6MWD), and health-related quality of life. Collectively, these findings support the expanding role of transcatheter edge-to-edge repair as an effective therapeutic option for patients who are at high or prohibitive surgical risk.</w:t>
      </w:r>
    </w:p>
    <w:p w14:paraId="1EDFA675" w14:textId="77777777" w:rsidR="004B403A" w:rsidRPr="004B403A" w:rsidRDefault="004B403A" w:rsidP="004B403A">
      <w:pPr>
        <w:widowControl w:val="0"/>
        <w:adjustRightInd w:val="0"/>
        <w:spacing w:after="0" w:line="360" w:lineRule="auto"/>
        <w:jc w:val="both"/>
        <w:rPr>
          <w:rFonts w:ascii="Times New Roman" w:hAnsi="Times New Roman" w:cs="Times New Roman"/>
          <w:sz w:val="20"/>
          <w:szCs w:val="20"/>
        </w:rPr>
      </w:pPr>
      <w:r w:rsidRPr="004B403A">
        <w:rPr>
          <w:rFonts w:ascii="Times New Roman" w:hAnsi="Times New Roman" w:cs="Times New Roman"/>
          <w:sz w:val="20"/>
          <w:szCs w:val="20"/>
        </w:rPr>
        <w:lastRenderedPageBreak/>
        <w:t>One of the principal findings of this meta-analysis is the consistency of treatment benefit across currently available edge-to-edge repair systems. Device-specific subgroup analyses demonstrated significant reductions in TR severity and favorable changes in quantitative echocardiographic parameters with the MitraClip, TriClip, and PASCAL systems. Importantly, formal subgroup analyses showed no statistically significant differences between devices for regurgitant volume, TR severity, vena contracta width, EROA, TAPSE, or NYHA functional outcomes. Although numerical differences were observed for selected endpoints, these findings should not be interpreted as evidence of superiority because subgroup analyses were limited by unequal sample sizes, differences in patient characteristics, procedural era, and study design. Instead, the overall findings support a potential class effect of edge-to-edge repair technologies, consistent with previous registry and clinical trial data demonstrating substantial TR reduction and symptomatic improvement following transcatheter intervention.³⁻⁴</w:t>
      </w:r>
    </w:p>
    <w:p w14:paraId="05019C7E" w14:textId="77777777" w:rsidR="004B403A" w:rsidRPr="004B403A" w:rsidRDefault="004B403A" w:rsidP="004B403A">
      <w:pPr>
        <w:widowControl w:val="0"/>
        <w:adjustRightInd w:val="0"/>
        <w:spacing w:after="0" w:line="360" w:lineRule="auto"/>
        <w:jc w:val="both"/>
        <w:rPr>
          <w:rFonts w:ascii="Times New Roman" w:hAnsi="Times New Roman" w:cs="Times New Roman"/>
          <w:sz w:val="20"/>
          <w:szCs w:val="20"/>
        </w:rPr>
      </w:pPr>
      <w:r w:rsidRPr="004B403A">
        <w:rPr>
          <w:rFonts w:ascii="Times New Roman" w:hAnsi="Times New Roman" w:cs="Times New Roman"/>
          <w:sz w:val="20"/>
          <w:szCs w:val="20"/>
        </w:rPr>
        <w:t>The observed improvements in quantitative echocardiographic parameters further strengthen the mechanistic basis of TTVr. Significant reductions in regurgitant volume, vena contracta width, and EROA indicate effective restoration of leaflet coaptation and reduction of regurgitant burden across different device platforms. Although moderate-to-high heterogeneity was present for several outcomes, this variability is expected given differences in imaging methodology, TR grading systems, baseline disease severity, and follow-up duration among the included studies. Nevertheless, the direction and magnitude of treatment effect remained remarkably consistent, supporting the robustness of the overall findings.</w:t>
      </w:r>
    </w:p>
    <w:p w14:paraId="29DD33EA" w14:textId="77777777" w:rsidR="004B403A" w:rsidRPr="004B403A" w:rsidRDefault="004B403A" w:rsidP="004B403A">
      <w:pPr>
        <w:widowControl w:val="0"/>
        <w:adjustRightInd w:val="0"/>
        <w:spacing w:after="0" w:line="360" w:lineRule="auto"/>
        <w:jc w:val="both"/>
        <w:rPr>
          <w:rFonts w:ascii="Times New Roman" w:hAnsi="Times New Roman" w:cs="Times New Roman"/>
          <w:sz w:val="20"/>
          <w:szCs w:val="20"/>
        </w:rPr>
      </w:pPr>
      <w:r w:rsidRPr="004B403A">
        <w:rPr>
          <w:rFonts w:ascii="Times New Roman" w:hAnsi="Times New Roman" w:cs="Times New Roman"/>
          <w:sz w:val="20"/>
          <w:szCs w:val="20"/>
        </w:rPr>
        <w:t>An important aspect of our analysis relates to right ventricular (RV) function. Contrary to some earlier reports suggesting deterioration in RV longitudinal mechanics following successful TR reduction, our updated pooled analysis demonstrated that TAPSE was largely preserved, with a small overall increase. Device-specific analyses showed a modest decline in the MitraClip subgroup, whereas essentially neutral changes were observed with TriClip and PASCAL. These subgroup differences were not statistically significant. The slight reduction observed in some studies may reflect altered loading conditions after elimination of severe TR rather than intrinsic deterioration in myocardial contractility. Acute reduction of severe regurgitation increases effective forward stroke volume and RV afterload, potentially resulting in transient reductions in longitudinal shortening despite preserved or improved global ventricular performance. Because TAPSE reflects only one component of RV function and is highly load dependent, its interpretation following TTVr should be made cautiously and ideally alongside additional indices of RV remodeling and systolic performance.</w:t>
      </w:r>
    </w:p>
    <w:p w14:paraId="261D5CF2" w14:textId="77777777" w:rsidR="004B403A" w:rsidRPr="004B403A" w:rsidRDefault="004B403A" w:rsidP="004B403A">
      <w:pPr>
        <w:widowControl w:val="0"/>
        <w:adjustRightInd w:val="0"/>
        <w:spacing w:after="0" w:line="360" w:lineRule="auto"/>
        <w:jc w:val="both"/>
        <w:rPr>
          <w:rFonts w:ascii="Times New Roman" w:hAnsi="Times New Roman" w:cs="Times New Roman"/>
          <w:sz w:val="20"/>
          <w:szCs w:val="20"/>
        </w:rPr>
      </w:pPr>
      <w:r w:rsidRPr="004B403A">
        <w:rPr>
          <w:rFonts w:ascii="Times New Roman" w:hAnsi="Times New Roman" w:cs="Times New Roman"/>
          <w:sz w:val="20"/>
          <w:szCs w:val="20"/>
        </w:rPr>
        <w:t xml:space="preserve">The improvements in functional capacity observed in this study are particularly noteworthy. Patients experienced a pooled increase in 6MWD that exceeded the accepted minimum clinically important difference for patients with heart failure and valvular disease, suggesting that the observed benefits are clinically meaningful rather than merely statistically significant. Similarly, KCCQ scores improved by more than 15 points, substantially exceeding the established threshold for clinically important improvement in health-related quality of life. Although significant subgroup differences were identified for 6MWD, with numerically greater improvements in the MitraClip and PASCAL subgroups than in the TriClip subgroup, these findings should be interpreted cautiously because they likely reflect differences in baseline functional status, follow-up duration, patient selection, and procedural experience rather than true device-related superiority. Likewise, while improvement in NYHA functional class was observed across all </w:t>
      </w:r>
      <w:r w:rsidRPr="004B403A">
        <w:rPr>
          <w:rFonts w:ascii="Times New Roman" w:hAnsi="Times New Roman" w:cs="Times New Roman"/>
          <w:sz w:val="20"/>
          <w:szCs w:val="20"/>
        </w:rPr>
        <w:lastRenderedPageBreak/>
        <w:t>platforms, statistical precision varied between device-specific analyses owing to differences in sample size and available data.</w:t>
      </w:r>
    </w:p>
    <w:p w14:paraId="460130A2" w14:textId="4F836796" w:rsidR="00923036" w:rsidRDefault="004B403A" w:rsidP="004B403A">
      <w:pPr>
        <w:widowControl w:val="0"/>
        <w:adjustRightInd w:val="0"/>
        <w:spacing w:after="0" w:line="360" w:lineRule="auto"/>
        <w:jc w:val="both"/>
        <w:rPr>
          <w:rFonts w:ascii="Times New Roman" w:hAnsi="Times New Roman" w:cs="Times New Roman"/>
          <w:sz w:val="20"/>
          <w:szCs w:val="20"/>
        </w:rPr>
      </w:pPr>
      <w:r w:rsidRPr="004B403A">
        <w:rPr>
          <w:rFonts w:ascii="Times New Roman" w:hAnsi="Times New Roman" w:cs="Times New Roman"/>
          <w:sz w:val="20"/>
          <w:szCs w:val="20"/>
        </w:rPr>
        <w:t>These findings are broadly consistent with contemporary evidence from prospective registries and randomized trials. Studies such as TRILUMINATE Pivotal and Tri.Fr have demonstrated significant improvements in symptom burden, exercise capacity, and quality of life following edge-to-edge tricuspid repair while maintaining favorable procedural safety profiles. Similarly, investigations evaluating the PASCAL system have reported meaningful reductions in TR severity accompanied by improvements in functional status. Our meta-analysis extends these observations by integrating data across multiple device platforms and demonstrates that these favorable outcomes appear consistent throughout the currently available evidence base.</w:t>
      </w:r>
    </w:p>
    <w:p w14:paraId="1ED07129" w14:textId="77777777" w:rsidR="00057E74" w:rsidRPr="00923036" w:rsidRDefault="00057E74" w:rsidP="00923036">
      <w:pPr>
        <w:widowControl w:val="0"/>
        <w:adjustRightInd w:val="0"/>
        <w:spacing w:after="0" w:line="360" w:lineRule="auto"/>
        <w:jc w:val="both"/>
        <w:rPr>
          <w:rFonts w:ascii="Times New Roman" w:hAnsi="Times New Roman" w:cs="Times New Roman"/>
          <w:sz w:val="20"/>
          <w:szCs w:val="20"/>
        </w:rPr>
      </w:pPr>
    </w:p>
    <w:p w14:paraId="36B38920" w14:textId="04A562DC" w:rsidR="00923036" w:rsidRPr="00057E74" w:rsidRDefault="00923036" w:rsidP="00923036">
      <w:pPr>
        <w:widowControl w:val="0"/>
        <w:adjustRightInd w:val="0"/>
        <w:spacing w:after="0" w:line="360" w:lineRule="auto"/>
        <w:jc w:val="both"/>
        <w:rPr>
          <w:rFonts w:ascii="Times New Roman" w:hAnsi="Times New Roman" w:cs="Times New Roman"/>
          <w:b/>
          <w:bCs/>
          <w:sz w:val="20"/>
          <w:szCs w:val="20"/>
        </w:rPr>
      </w:pPr>
      <w:r w:rsidRPr="00057E74">
        <w:rPr>
          <w:rFonts w:ascii="Times New Roman" w:hAnsi="Times New Roman" w:cs="Times New Roman"/>
          <w:b/>
          <w:bCs/>
          <w:sz w:val="20"/>
          <w:szCs w:val="20"/>
        </w:rPr>
        <w:t>Clinical Significance and Mechanistic Correlation</w:t>
      </w:r>
    </w:p>
    <w:p w14:paraId="1663C27A" w14:textId="77777777" w:rsidR="00F52A16" w:rsidRPr="00F52A16" w:rsidRDefault="00F52A16" w:rsidP="00F52A16">
      <w:pPr>
        <w:widowControl w:val="0"/>
        <w:adjustRightInd w:val="0"/>
        <w:spacing w:after="0" w:line="360" w:lineRule="auto"/>
        <w:jc w:val="both"/>
        <w:rPr>
          <w:rFonts w:ascii="Times New Roman" w:hAnsi="Times New Roman" w:cs="Times New Roman"/>
          <w:sz w:val="20"/>
          <w:szCs w:val="20"/>
        </w:rPr>
      </w:pPr>
      <w:r w:rsidRPr="00F52A16">
        <w:rPr>
          <w:rFonts w:ascii="Times New Roman" w:hAnsi="Times New Roman" w:cs="Times New Roman"/>
          <w:sz w:val="20"/>
          <w:szCs w:val="20"/>
        </w:rPr>
        <w:t>The clinical implications of these findings extend beyond echocardiographic improvement alone. Persistent severe TR is associated with progressive right-sided heart failure, repeated heart failure hospitalization, impaired quality of life, hepatic and renal dysfunction, and increased mortality. By consistently reducing regurgitant burden while simultaneously improving exercise tolerance, symptom severity, and patient-reported quality of life, TTVr addresses several clinically meaningful aspects of disease burden in patients who frequently have limited treatment options because of excessive operative risk.</w:t>
      </w:r>
    </w:p>
    <w:p w14:paraId="0C288CCD" w14:textId="77777777" w:rsidR="00F52A16" w:rsidRPr="00F52A16" w:rsidRDefault="00F52A16" w:rsidP="00F52A16">
      <w:pPr>
        <w:widowControl w:val="0"/>
        <w:adjustRightInd w:val="0"/>
        <w:spacing w:after="0" w:line="360" w:lineRule="auto"/>
        <w:jc w:val="both"/>
        <w:rPr>
          <w:rFonts w:ascii="Times New Roman" w:hAnsi="Times New Roman" w:cs="Times New Roman"/>
          <w:sz w:val="20"/>
          <w:szCs w:val="20"/>
        </w:rPr>
      </w:pPr>
      <w:r w:rsidRPr="00F52A16">
        <w:rPr>
          <w:rFonts w:ascii="Times New Roman" w:hAnsi="Times New Roman" w:cs="Times New Roman"/>
          <w:sz w:val="20"/>
          <w:szCs w:val="20"/>
        </w:rPr>
        <w:t>The improvements in KCCQ score and 6MWD further suggest that successful reduction of TR translates into measurable benefits from the patient's perspective. Improvement in forward cardiac output, reduction of systemic venous congestion, and reversal of right-sided volume overload likely contribute collectively to these favorable clinical outcomes. However, whether these short-term physiological improvements ultimately translate into improved survival or reductions in heart failure hospitalization remains uncertain because long-term outcome data remain limited.</w:t>
      </w:r>
    </w:p>
    <w:p w14:paraId="41EB0DE4" w14:textId="0AAE5D15" w:rsidR="00923036" w:rsidRDefault="00F52A16" w:rsidP="00F52A16">
      <w:pPr>
        <w:widowControl w:val="0"/>
        <w:adjustRightInd w:val="0"/>
        <w:spacing w:after="0" w:line="360" w:lineRule="auto"/>
        <w:jc w:val="both"/>
        <w:rPr>
          <w:rFonts w:ascii="Times New Roman" w:hAnsi="Times New Roman" w:cs="Times New Roman"/>
          <w:sz w:val="20"/>
          <w:szCs w:val="20"/>
        </w:rPr>
      </w:pPr>
      <w:r w:rsidRPr="00F52A16">
        <w:rPr>
          <w:rFonts w:ascii="Times New Roman" w:hAnsi="Times New Roman" w:cs="Times New Roman"/>
          <w:sz w:val="20"/>
          <w:szCs w:val="20"/>
        </w:rPr>
        <w:t>The considerable heterogeneity observed across several pooled analyses likely reflects differences in patient selection, TR etiology, imaging methodology, baseline RV function, procedural techniques, operator experience, and duration of follow-up. Despite this variability, treatment effects consistently favored TTVr across nearly all outcomes examined, increasing confidence in the overall conclusions.</w:t>
      </w:r>
    </w:p>
    <w:p w14:paraId="207A053B" w14:textId="77777777" w:rsidR="00196E3D" w:rsidRDefault="00196E3D" w:rsidP="00F52A16">
      <w:pPr>
        <w:widowControl w:val="0"/>
        <w:adjustRightInd w:val="0"/>
        <w:spacing w:after="0" w:line="360" w:lineRule="auto"/>
        <w:jc w:val="both"/>
        <w:rPr>
          <w:rFonts w:ascii="Times New Roman" w:hAnsi="Times New Roman" w:cs="Times New Roman"/>
          <w:sz w:val="20"/>
          <w:szCs w:val="20"/>
        </w:rPr>
      </w:pPr>
    </w:p>
    <w:p w14:paraId="1CDF314C" w14:textId="77777777" w:rsidR="00D626C4" w:rsidRPr="00196E3D" w:rsidRDefault="00D626C4" w:rsidP="00D626C4">
      <w:pPr>
        <w:widowControl w:val="0"/>
        <w:adjustRightInd w:val="0"/>
        <w:spacing w:after="0" w:line="360" w:lineRule="auto"/>
        <w:jc w:val="both"/>
        <w:rPr>
          <w:rFonts w:ascii="Times New Roman" w:hAnsi="Times New Roman" w:cs="Times New Roman"/>
          <w:b/>
          <w:bCs/>
          <w:sz w:val="20"/>
          <w:szCs w:val="20"/>
        </w:rPr>
      </w:pPr>
      <w:r w:rsidRPr="00196E3D">
        <w:rPr>
          <w:rFonts w:ascii="Times New Roman" w:hAnsi="Times New Roman" w:cs="Times New Roman"/>
          <w:b/>
          <w:bCs/>
          <w:sz w:val="20"/>
          <w:szCs w:val="20"/>
        </w:rPr>
        <w:t>Alternative Approaches: Direct Annuloplasty (Cardioband)</w:t>
      </w:r>
    </w:p>
    <w:p w14:paraId="77620FC4" w14:textId="77777777" w:rsidR="00196E3D" w:rsidRPr="00D626C4" w:rsidRDefault="00196E3D" w:rsidP="00D626C4">
      <w:pPr>
        <w:widowControl w:val="0"/>
        <w:adjustRightInd w:val="0"/>
        <w:spacing w:after="0" w:line="360" w:lineRule="auto"/>
        <w:jc w:val="both"/>
        <w:rPr>
          <w:rFonts w:ascii="Times New Roman" w:hAnsi="Times New Roman" w:cs="Times New Roman"/>
          <w:sz w:val="20"/>
          <w:szCs w:val="20"/>
        </w:rPr>
      </w:pPr>
    </w:p>
    <w:p w14:paraId="39730175" w14:textId="77777777" w:rsidR="00D626C4" w:rsidRPr="00D626C4" w:rsidRDefault="00D626C4" w:rsidP="00D626C4">
      <w:pPr>
        <w:widowControl w:val="0"/>
        <w:adjustRightInd w:val="0"/>
        <w:spacing w:after="0" w:line="360" w:lineRule="auto"/>
        <w:jc w:val="both"/>
        <w:rPr>
          <w:rFonts w:ascii="Times New Roman" w:hAnsi="Times New Roman" w:cs="Times New Roman"/>
          <w:sz w:val="20"/>
          <w:szCs w:val="20"/>
        </w:rPr>
      </w:pPr>
      <w:r w:rsidRPr="00D626C4">
        <w:rPr>
          <w:rFonts w:ascii="Times New Roman" w:hAnsi="Times New Roman" w:cs="Times New Roman"/>
          <w:sz w:val="20"/>
          <w:szCs w:val="20"/>
        </w:rPr>
        <w:t>In addition to edge-to-edge leaflet approximation, direct annuloplasty represents a mechanistically distinct transcatheter strategy for tricuspid valve repair. The Cardioband Tricuspid System employs a contractible band anchored circumferentially along the tricuspid annulus, reducing annular dilation and restoring leaflet coaptation through annular remodeling rather than direct leaflet capture. Conceptually closer to surgical ring annuloplasty, this approach may in theory avoid certain limitations of edge-to-edge devices, such as residual multi-jet regurgitation or iatrogenic leaflet tethering, although it introduces its own procedural considerations, including anchor deployment adjacent to the right coronary artery and the atrioventricular conduction system.</w:t>
      </w:r>
    </w:p>
    <w:p w14:paraId="0C0BBEF9" w14:textId="77777777" w:rsidR="00D626C4" w:rsidRPr="00D626C4" w:rsidRDefault="00D626C4" w:rsidP="00D626C4">
      <w:pPr>
        <w:widowControl w:val="0"/>
        <w:adjustRightInd w:val="0"/>
        <w:spacing w:after="0" w:line="360" w:lineRule="auto"/>
        <w:jc w:val="both"/>
        <w:rPr>
          <w:rFonts w:ascii="Times New Roman" w:hAnsi="Times New Roman" w:cs="Times New Roman"/>
          <w:sz w:val="20"/>
          <w:szCs w:val="20"/>
        </w:rPr>
      </w:pPr>
      <w:r w:rsidRPr="00D626C4">
        <w:rPr>
          <w:rFonts w:ascii="Times New Roman" w:hAnsi="Times New Roman" w:cs="Times New Roman"/>
          <w:sz w:val="20"/>
          <w:szCs w:val="20"/>
        </w:rPr>
        <w:lastRenderedPageBreak/>
        <w:t>Early feasibility data have shown encouraging results with this technology. The Early Feasibility Study of the Cardioband system reported significant reductions in TR severity and annular dimensions at 30 days with an acceptable procedural safety profile.¹⁸ These findings were corroborated by 30-day outcomes from the TriBAND study, which similarly demonstrated significant TR reduction and functional improvement following Cardioband implantation in patients with symptomatic functional TR.⁴³ Complementary evidence from a related direct annuloplasty platform has further supported the feasibility of transcatheter annular reduction as a therapeutic strategy in secondary TR.³²</w:t>
      </w:r>
    </w:p>
    <w:p w14:paraId="53709BF4" w14:textId="39AA054A" w:rsidR="00D626C4" w:rsidRDefault="00D626C4" w:rsidP="00D626C4">
      <w:pPr>
        <w:widowControl w:val="0"/>
        <w:adjustRightInd w:val="0"/>
        <w:spacing w:after="0" w:line="360" w:lineRule="auto"/>
        <w:jc w:val="both"/>
        <w:rPr>
          <w:rFonts w:ascii="Times New Roman" w:hAnsi="Times New Roman" w:cs="Times New Roman"/>
          <w:sz w:val="20"/>
          <w:szCs w:val="20"/>
        </w:rPr>
      </w:pPr>
      <w:r w:rsidRPr="00D626C4">
        <w:rPr>
          <w:rFonts w:ascii="Times New Roman" w:hAnsi="Times New Roman" w:cs="Times New Roman"/>
          <w:sz w:val="20"/>
          <w:szCs w:val="20"/>
        </w:rPr>
        <w:t>Because these studies differ substantially from edge-to-edge repair trials in device mechanism, patient selection, and reported outcome metrics, Cardioband and other annuloplasty-based devices were not incorporated into the primary quantitative synthesis of this meta-analysis. The available evidence nonetheless suggests that direct annuloplasty represents a complementary rather than competing strategy within the expanding transcatheter tricuspid repair landscape. Future comparative studies, ideally randomized, are warranted to clarify the relative efficacy, durability, and safety of annuloplasty-based versus edge-to-edge repair approaches, as well as their potential combined or staged use in patients with complex tricuspid valve pathology and marked annular dilation.</w:t>
      </w:r>
    </w:p>
    <w:p w14:paraId="51516955" w14:textId="77777777" w:rsidR="003B34EA" w:rsidRPr="00923036" w:rsidRDefault="003B34EA" w:rsidP="00923036">
      <w:pPr>
        <w:widowControl w:val="0"/>
        <w:adjustRightInd w:val="0"/>
        <w:spacing w:after="0" w:line="360" w:lineRule="auto"/>
        <w:jc w:val="both"/>
        <w:rPr>
          <w:rFonts w:ascii="Times New Roman" w:hAnsi="Times New Roman" w:cs="Times New Roman"/>
          <w:sz w:val="20"/>
          <w:szCs w:val="20"/>
        </w:rPr>
      </w:pPr>
    </w:p>
    <w:p w14:paraId="7180B293" w14:textId="3F76C985" w:rsidR="00923036" w:rsidRPr="003B34EA" w:rsidRDefault="00923036" w:rsidP="00923036">
      <w:pPr>
        <w:widowControl w:val="0"/>
        <w:adjustRightInd w:val="0"/>
        <w:spacing w:after="0" w:line="360" w:lineRule="auto"/>
        <w:jc w:val="both"/>
        <w:rPr>
          <w:rFonts w:ascii="Times New Roman" w:hAnsi="Times New Roman" w:cs="Times New Roman"/>
          <w:b/>
          <w:bCs/>
          <w:color w:val="4F81BD" w:themeColor="accent1"/>
          <w:sz w:val="22"/>
          <w:szCs w:val="22"/>
        </w:rPr>
      </w:pPr>
      <w:r w:rsidRPr="003B34EA">
        <w:rPr>
          <w:rFonts w:ascii="Times New Roman" w:hAnsi="Times New Roman" w:cs="Times New Roman"/>
          <w:b/>
          <w:bCs/>
          <w:color w:val="4F81BD" w:themeColor="accent1"/>
          <w:sz w:val="22"/>
          <w:szCs w:val="22"/>
        </w:rPr>
        <w:t>Strengths and Limitations</w:t>
      </w:r>
    </w:p>
    <w:p w14:paraId="714FADEE" w14:textId="3B42BF64" w:rsidR="00923036" w:rsidRPr="003B34EA" w:rsidRDefault="00923036" w:rsidP="00923036">
      <w:pPr>
        <w:widowControl w:val="0"/>
        <w:adjustRightInd w:val="0"/>
        <w:spacing w:after="0" w:line="360" w:lineRule="auto"/>
        <w:jc w:val="both"/>
        <w:rPr>
          <w:rFonts w:ascii="Times New Roman" w:hAnsi="Times New Roman" w:cs="Times New Roman"/>
          <w:b/>
          <w:bCs/>
          <w:sz w:val="20"/>
          <w:szCs w:val="20"/>
        </w:rPr>
      </w:pPr>
      <w:r w:rsidRPr="003B34EA">
        <w:rPr>
          <w:rFonts w:ascii="Times New Roman" w:hAnsi="Times New Roman" w:cs="Times New Roman"/>
          <w:b/>
          <w:bCs/>
          <w:sz w:val="20"/>
          <w:szCs w:val="20"/>
        </w:rPr>
        <w:t>Strengths</w:t>
      </w:r>
    </w:p>
    <w:p w14:paraId="18D07F78" w14:textId="0629EC47" w:rsidR="00923036" w:rsidRPr="00923036" w:rsidRDefault="00196E3D" w:rsidP="00923036">
      <w:pPr>
        <w:widowControl w:val="0"/>
        <w:adjustRightInd w:val="0"/>
        <w:spacing w:after="0" w:line="360" w:lineRule="auto"/>
        <w:jc w:val="both"/>
        <w:rPr>
          <w:rFonts w:ascii="Times New Roman" w:hAnsi="Times New Roman" w:cs="Times New Roman"/>
          <w:sz w:val="20"/>
          <w:szCs w:val="20"/>
        </w:rPr>
      </w:pPr>
      <w:r w:rsidRPr="00196E3D">
        <w:rPr>
          <w:rFonts w:ascii="Times New Roman" w:hAnsi="Times New Roman" w:cs="Times New Roman"/>
          <w:sz w:val="20"/>
          <w:szCs w:val="20"/>
        </w:rPr>
        <w:t>This study has several important strengths. First, it represents one of the most comprehensive syntheses of contemporary evidence evaluating transcatheter edge-to-edge tricuspid valve repair across multiple commercially available device platforms. Second, a broad range of clinically relevant outcomes was examined, including quantitative echocardiographic parameters, right ventricular function, exercise capacity, quality of life, and functional status. Third, predefined subgroup analyses enabled assessment of device-specific outcomes while maintaining an overall pooled estimate. Finally, inclusion of a large cumulative patient population across diverse clinical settings enhances the precision and generalizability of the findings.</w:t>
      </w:r>
    </w:p>
    <w:p w14:paraId="11B6E9C0" w14:textId="0AB52D2F" w:rsidR="00923036" w:rsidRPr="003B34EA" w:rsidRDefault="00923036" w:rsidP="00923036">
      <w:pPr>
        <w:widowControl w:val="0"/>
        <w:adjustRightInd w:val="0"/>
        <w:spacing w:after="0" w:line="360" w:lineRule="auto"/>
        <w:jc w:val="both"/>
        <w:rPr>
          <w:rFonts w:ascii="Times New Roman" w:hAnsi="Times New Roman" w:cs="Times New Roman"/>
          <w:b/>
          <w:bCs/>
          <w:sz w:val="20"/>
          <w:szCs w:val="20"/>
        </w:rPr>
      </w:pPr>
      <w:r w:rsidRPr="003B34EA">
        <w:rPr>
          <w:rFonts w:ascii="Times New Roman" w:hAnsi="Times New Roman" w:cs="Times New Roman"/>
          <w:b/>
          <w:bCs/>
          <w:sz w:val="20"/>
          <w:szCs w:val="20"/>
        </w:rPr>
        <w:t>Limitations</w:t>
      </w:r>
    </w:p>
    <w:p w14:paraId="11E66607" w14:textId="09A94CB6" w:rsidR="00923036" w:rsidRPr="00923036" w:rsidRDefault="005D1C93" w:rsidP="00923036">
      <w:pPr>
        <w:widowControl w:val="0"/>
        <w:adjustRightInd w:val="0"/>
        <w:spacing w:after="0" w:line="360" w:lineRule="auto"/>
        <w:jc w:val="both"/>
        <w:rPr>
          <w:rFonts w:ascii="Times New Roman" w:hAnsi="Times New Roman" w:cs="Times New Roman"/>
          <w:sz w:val="20"/>
          <w:szCs w:val="20"/>
        </w:rPr>
      </w:pPr>
      <w:r w:rsidRPr="005D1C93">
        <w:rPr>
          <w:rFonts w:ascii="Times New Roman" w:hAnsi="Times New Roman" w:cs="Times New Roman"/>
          <w:sz w:val="20"/>
          <w:szCs w:val="20"/>
        </w:rPr>
        <w:t>Several limitations should be considered when interpreting these results. Most included studies were observational and single-arm in design, increasing susceptibility to selection bias, confounding, and uncontrolled baseline differences. Only two randomized controlled trials were available, limiting the overall certainty of comparative evidence. High between-study heterogeneity persisted for several endpoints because of differences in patient populations, imaging techniques, outcome definitions, procedural experience, and follow-up duration. Individual patient-level data were unavailable, precluding adjustment for important clinical variables or more detailed subgroup analyses. Furthermore, direct head-to-head comparisons between MitraClip, TriClip, and PASCAL systems remain scarce; therefore, the absence of statistically significant subgroup differences should not be interpreted as evidence of therapeutic equivalence. Finally, most available evidence focuses on surrogate echocardiographic and short-term functional outcomes, whereas robust data regarding long-term durability, heart failure hospitalization, reintervention, and survival remain limited.</w:t>
      </w:r>
    </w:p>
    <w:p w14:paraId="4EE4E5FF" w14:textId="510FACAC" w:rsidR="00923036" w:rsidRDefault="00923036" w:rsidP="00923036">
      <w:pPr>
        <w:widowControl w:val="0"/>
        <w:adjustRightInd w:val="0"/>
        <w:spacing w:after="0" w:line="360" w:lineRule="auto"/>
        <w:jc w:val="both"/>
        <w:rPr>
          <w:rFonts w:ascii="Times New Roman" w:hAnsi="Times New Roman" w:cs="Times New Roman"/>
          <w:sz w:val="20"/>
          <w:szCs w:val="20"/>
        </w:rPr>
      </w:pPr>
    </w:p>
    <w:p w14:paraId="0F2B392C" w14:textId="7A1A7431" w:rsidR="00323ABE" w:rsidRPr="00323ABE" w:rsidRDefault="00323ABE" w:rsidP="00323ABE">
      <w:pPr>
        <w:widowControl w:val="0"/>
        <w:adjustRightInd w:val="0"/>
        <w:spacing w:after="0" w:line="360" w:lineRule="auto"/>
        <w:jc w:val="both"/>
        <w:rPr>
          <w:rFonts w:ascii="Times New Roman" w:hAnsi="Times New Roman" w:cs="Times New Roman"/>
          <w:b/>
          <w:bCs/>
          <w:color w:val="1F497D" w:themeColor="text2"/>
          <w:sz w:val="22"/>
          <w:szCs w:val="22"/>
        </w:rPr>
      </w:pPr>
      <w:r w:rsidRPr="00323ABE">
        <w:rPr>
          <w:rFonts w:ascii="Times New Roman" w:hAnsi="Times New Roman" w:cs="Times New Roman"/>
          <w:b/>
          <w:bCs/>
          <w:color w:val="1F497D" w:themeColor="text2"/>
          <w:sz w:val="22"/>
          <w:szCs w:val="22"/>
        </w:rPr>
        <w:lastRenderedPageBreak/>
        <w:t>Future Directions</w:t>
      </w:r>
    </w:p>
    <w:p w14:paraId="11E38147" w14:textId="2B4B9F4E" w:rsidR="00323ABE" w:rsidRPr="00323ABE" w:rsidRDefault="00323ABE" w:rsidP="00323ABE">
      <w:pPr>
        <w:widowControl w:val="0"/>
        <w:adjustRightInd w:val="0"/>
        <w:spacing w:after="0" w:line="360" w:lineRule="auto"/>
        <w:jc w:val="both"/>
        <w:rPr>
          <w:rFonts w:ascii="Times New Roman" w:hAnsi="Times New Roman" w:cs="Times New Roman"/>
          <w:sz w:val="20"/>
          <w:szCs w:val="20"/>
        </w:rPr>
      </w:pPr>
      <w:r w:rsidRPr="00323ABE">
        <w:rPr>
          <w:rFonts w:ascii="Times New Roman" w:hAnsi="Times New Roman" w:cs="Times New Roman"/>
          <w:sz w:val="20"/>
          <w:szCs w:val="20"/>
        </w:rPr>
        <w:t xml:space="preserve">Future investigations should prioritize adequately powered randomized controlled trials directly comparing currently available TTVr systems to better define their relative efficacy and safety. Extended follow-up studies are required to determine the durability of TR reduction, long-term right ventricular remodeling, structural valve integrity, and survival benefit. Greater standardization of imaging protocols, TR grading </w:t>
      </w:r>
      <w:r w:rsidRPr="00323ABE">
        <w:rPr>
          <w:rFonts w:ascii="Times New Roman" w:hAnsi="Times New Roman" w:cs="Times New Roman"/>
          <w:color w:val="007BB8"/>
          <w:sz w:val="20"/>
          <w:szCs w:val="20"/>
        </w:rPr>
        <w:t>systems</w:t>
      </w:r>
      <w:r w:rsidRPr="00323ABE">
        <w:rPr>
          <w:rFonts w:ascii="Times New Roman" w:hAnsi="Times New Roman" w:cs="Times New Roman"/>
          <w:sz w:val="20"/>
          <w:szCs w:val="20"/>
        </w:rPr>
        <w:t>, and clinical endpoint definitions would improve comparability across future studies and reduce methodological heterogeneity.</w:t>
      </w:r>
    </w:p>
    <w:p w14:paraId="02479A62" w14:textId="5FE33A43" w:rsidR="00323ABE" w:rsidRDefault="00323ABE" w:rsidP="00323ABE">
      <w:pPr>
        <w:widowControl w:val="0"/>
        <w:adjustRightInd w:val="0"/>
        <w:spacing w:after="0" w:line="360" w:lineRule="auto"/>
        <w:jc w:val="both"/>
        <w:rPr>
          <w:rFonts w:ascii="Times New Roman" w:hAnsi="Times New Roman" w:cs="Times New Roman"/>
          <w:sz w:val="20"/>
          <w:szCs w:val="20"/>
        </w:rPr>
      </w:pPr>
      <w:r w:rsidRPr="00323ABE">
        <w:rPr>
          <w:rFonts w:ascii="Times New Roman" w:hAnsi="Times New Roman" w:cs="Times New Roman"/>
          <w:sz w:val="20"/>
          <w:szCs w:val="20"/>
        </w:rPr>
        <w:t>Further research should also focus on optimizing patient selection through integration of multimodality imaging, RV functional assessment, and clinical phenotyping to identify patients most likely to benefit from intervention and determine the optimal timing of treatment before irreversible right ventricular dysfunction develops. Finally, future studies should clarify whether observed changes in TAPSE represent true alterations in myocardial performance or simply physiological adaptation to changing loading conditions following successful TR reduction.</w:t>
      </w:r>
    </w:p>
    <w:p w14:paraId="6EE38538" w14:textId="77777777" w:rsidR="008C5E53" w:rsidRPr="00923036" w:rsidRDefault="008C5E53" w:rsidP="00923036">
      <w:pPr>
        <w:widowControl w:val="0"/>
        <w:adjustRightInd w:val="0"/>
        <w:spacing w:after="0" w:line="360" w:lineRule="auto"/>
        <w:jc w:val="both"/>
        <w:rPr>
          <w:rFonts w:ascii="Times New Roman" w:hAnsi="Times New Roman" w:cs="Times New Roman"/>
          <w:sz w:val="20"/>
          <w:szCs w:val="20"/>
        </w:rPr>
      </w:pPr>
    </w:p>
    <w:p w14:paraId="3E583E1B" w14:textId="6F9D441B" w:rsidR="00923036" w:rsidRPr="008C5E53" w:rsidRDefault="00923036" w:rsidP="00923036">
      <w:pPr>
        <w:widowControl w:val="0"/>
        <w:adjustRightInd w:val="0"/>
        <w:spacing w:after="0" w:line="360" w:lineRule="auto"/>
        <w:jc w:val="both"/>
        <w:rPr>
          <w:rFonts w:ascii="Times New Roman" w:hAnsi="Times New Roman" w:cs="Times New Roman"/>
          <w:b/>
          <w:bCs/>
          <w:color w:val="4F81BD" w:themeColor="accent1"/>
          <w:sz w:val="22"/>
          <w:szCs w:val="22"/>
        </w:rPr>
      </w:pPr>
      <w:r w:rsidRPr="008C5E53">
        <w:rPr>
          <w:rFonts w:ascii="Times New Roman" w:hAnsi="Times New Roman" w:cs="Times New Roman"/>
          <w:b/>
          <w:bCs/>
          <w:color w:val="4F81BD" w:themeColor="accent1"/>
          <w:sz w:val="22"/>
          <w:szCs w:val="22"/>
        </w:rPr>
        <w:t>Conclusions</w:t>
      </w:r>
    </w:p>
    <w:p w14:paraId="3DD0070E" w14:textId="1AD27A79" w:rsidR="00AF0408" w:rsidRPr="00AF0408" w:rsidRDefault="00AF0408" w:rsidP="00AF0408">
      <w:pPr>
        <w:widowControl w:val="0"/>
        <w:adjustRightInd w:val="0"/>
        <w:spacing w:after="0" w:line="360" w:lineRule="auto"/>
        <w:jc w:val="both"/>
        <w:rPr>
          <w:rFonts w:ascii="Times New Roman" w:hAnsi="Times New Roman" w:cs="Times New Roman"/>
          <w:sz w:val="20"/>
          <w:szCs w:val="20"/>
        </w:rPr>
      </w:pPr>
      <w:r w:rsidRPr="00AF0408">
        <w:rPr>
          <w:rFonts w:ascii="Times New Roman" w:hAnsi="Times New Roman" w:cs="Times New Roman"/>
          <w:sz w:val="20"/>
          <w:szCs w:val="20"/>
        </w:rPr>
        <w:t>This systematic review and meta-analysis demonstrates that transcatheter tricuspid valve repair using the MitraClip, TriClip, and PASCAL systems is consistently associated with significant reductions in tricuspid regurgitation severity and quantitative echocardiographic measures, accompanied by meaningful improvements in functional status, exercise capacity, and health-related quality of life among patients with moderate-to-severe TR who are at elevated surgical risk.</w:t>
      </w:r>
      <w:r w:rsidR="002E11A6">
        <w:rPr>
          <w:rFonts w:ascii="Times New Roman" w:hAnsi="Times New Roman" w:cs="Times New Roman"/>
          <w:sz w:val="20"/>
          <w:szCs w:val="20"/>
        </w:rPr>
        <w:t xml:space="preserve"> </w:t>
      </w:r>
      <w:r w:rsidRPr="00AF0408">
        <w:rPr>
          <w:rFonts w:ascii="Times New Roman" w:hAnsi="Times New Roman" w:cs="Times New Roman"/>
          <w:sz w:val="20"/>
          <w:szCs w:val="20"/>
        </w:rPr>
        <w:t>The consistency of benefit observed across device platforms supports the concept of a shared therapeutic effect of edge-to-edge repair technologies. Nevertheless, these findings should be interpreted in the context of important limitations, including the predominance of observational single-arm studies, substantial between-study heterogeneity, and relatively short follow-up durations. Furthermore, the absence of statistically significant subgroup differences should not be interpreted as evidence of equivalent efficacy between devices because the currently available evidence is insufficient for definitive comparative effectiveness assessment.</w:t>
      </w:r>
    </w:p>
    <w:p w14:paraId="04D3D165" w14:textId="70AB766E" w:rsidR="005B5FEC" w:rsidRDefault="00AF0408" w:rsidP="00AF0408">
      <w:pPr>
        <w:widowControl w:val="0"/>
        <w:adjustRightInd w:val="0"/>
        <w:spacing w:after="0" w:line="360" w:lineRule="auto"/>
        <w:jc w:val="both"/>
        <w:rPr>
          <w:rFonts w:ascii="Times New Roman" w:hAnsi="Times New Roman" w:cs="Times New Roman"/>
          <w:sz w:val="20"/>
          <w:szCs w:val="20"/>
        </w:rPr>
      </w:pPr>
      <w:r w:rsidRPr="00AF0408">
        <w:rPr>
          <w:rFonts w:ascii="Times New Roman" w:hAnsi="Times New Roman" w:cs="Times New Roman"/>
          <w:sz w:val="20"/>
          <w:szCs w:val="20"/>
        </w:rPr>
        <w:t>Although the available data consistently demonstrate improvements in surrogate echocardiographic and functional outcomes, robust evidence regarding long-term mortality, heart failure hospitalization, right ventricular remodeling, and durability of repair remains limited. Overall, TTVr represents a promising therapeutic strategy for carefully selected patients with severe TR who are poor candidates for surgery; however, large prospective head-to-head randomized trials with long-term follow-up are needed to define the comparative effectiveness and durability of currently available repair systems.</w:t>
      </w:r>
    </w:p>
    <w:p w14:paraId="396BF3C4" w14:textId="77777777" w:rsidR="00167B3D" w:rsidRDefault="00167B3D" w:rsidP="00FB7F00">
      <w:pPr>
        <w:widowControl w:val="0"/>
        <w:adjustRightInd w:val="0"/>
        <w:spacing w:after="0" w:line="360" w:lineRule="auto"/>
        <w:jc w:val="both"/>
        <w:rPr>
          <w:rFonts w:ascii="Times New Roman" w:hAnsi="Times New Roman" w:cs="Times New Roman"/>
          <w:sz w:val="20"/>
          <w:szCs w:val="20"/>
        </w:rPr>
      </w:pPr>
    </w:p>
    <w:p w14:paraId="5043B75A" w14:textId="29222FC3" w:rsidR="00167B3D" w:rsidRDefault="00167B3D" w:rsidP="00FB7F00">
      <w:pPr>
        <w:widowControl w:val="0"/>
        <w:adjustRightInd w:val="0"/>
        <w:spacing w:after="0" w:line="360" w:lineRule="auto"/>
        <w:jc w:val="both"/>
        <w:rPr>
          <w:rFonts w:ascii="Times New Roman" w:hAnsi="Times New Roman" w:cs="Times New Roman"/>
          <w:color w:val="00B0F0"/>
          <w:sz w:val="22"/>
          <w:szCs w:val="22"/>
        </w:rPr>
      </w:pPr>
      <w:r w:rsidRPr="00167B3D">
        <w:rPr>
          <w:rFonts w:ascii="Times New Roman" w:hAnsi="Times New Roman" w:cs="Times New Roman"/>
          <w:color w:val="00B0F0"/>
          <w:sz w:val="22"/>
          <w:szCs w:val="22"/>
        </w:rPr>
        <w:t>References</w:t>
      </w:r>
    </w:p>
    <w:p w14:paraId="2CA6D2C7" w14:textId="48C2AF20"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1.</w:t>
      </w:r>
      <w:r w:rsidRPr="00923036">
        <w:rPr>
          <w:rFonts w:ascii="Times New Roman" w:hAnsi="Times New Roman" w:cs="Times New Roman"/>
          <w:sz w:val="20"/>
          <w:szCs w:val="20"/>
        </w:rPr>
        <w:tab/>
        <w:t>Nath J, Foster E, Heidenreich PA. Impact of tricuspid regurgitation on long-term survival. J Am Coll Cardiol 43(</w:t>
      </w:r>
      <w:r w:rsidR="00790031">
        <w:rPr>
          <w:rFonts w:ascii="Times New Roman" w:hAnsi="Times New Roman" w:cs="Times New Roman"/>
          <w:sz w:val="20"/>
          <w:szCs w:val="20"/>
        </w:rPr>
        <w:t>2004</w:t>
      </w:r>
      <w:r w:rsidRPr="00923036">
        <w:rPr>
          <w:rFonts w:ascii="Times New Roman" w:hAnsi="Times New Roman" w:cs="Times New Roman"/>
          <w:sz w:val="20"/>
          <w:szCs w:val="20"/>
        </w:rPr>
        <w:t>):</w:t>
      </w:r>
      <w:r w:rsidR="00790031">
        <w:rPr>
          <w:rFonts w:ascii="Times New Roman" w:hAnsi="Times New Roman" w:cs="Times New Roman"/>
          <w:sz w:val="20"/>
          <w:szCs w:val="20"/>
        </w:rPr>
        <w:t xml:space="preserve"> </w:t>
      </w:r>
      <w:r w:rsidRPr="00923036">
        <w:rPr>
          <w:rFonts w:ascii="Times New Roman" w:hAnsi="Times New Roman" w:cs="Times New Roman"/>
          <w:sz w:val="20"/>
          <w:szCs w:val="20"/>
        </w:rPr>
        <w:t>405–409.</w:t>
      </w:r>
    </w:p>
    <w:p w14:paraId="16F0DA09" w14:textId="308B39F3"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2.</w:t>
      </w:r>
      <w:r w:rsidRPr="00923036">
        <w:rPr>
          <w:rFonts w:ascii="Times New Roman" w:hAnsi="Times New Roman" w:cs="Times New Roman"/>
          <w:sz w:val="20"/>
          <w:szCs w:val="20"/>
        </w:rPr>
        <w:tab/>
        <w:t>Dreyfus GD, Martin RP, Chan KMJ, Dulguerov F, Alexandrescu C. Functional tricuspid regurgitation: a need to revise our understanding. J Am Coll Cardiol 65(</w:t>
      </w:r>
      <w:r w:rsidR="00BA4D16">
        <w:rPr>
          <w:rFonts w:ascii="Times New Roman" w:hAnsi="Times New Roman" w:cs="Times New Roman"/>
          <w:sz w:val="20"/>
          <w:szCs w:val="20"/>
        </w:rPr>
        <w:t>2015</w:t>
      </w:r>
      <w:r w:rsidRPr="00923036">
        <w:rPr>
          <w:rFonts w:ascii="Times New Roman" w:hAnsi="Times New Roman" w:cs="Times New Roman"/>
          <w:sz w:val="20"/>
          <w:szCs w:val="20"/>
        </w:rPr>
        <w:t>):</w:t>
      </w:r>
      <w:r w:rsidR="00BA4D16">
        <w:rPr>
          <w:rFonts w:ascii="Times New Roman" w:hAnsi="Times New Roman" w:cs="Times New Roman"/>
          <w:sz w:val="20"/>
          <w:szCs w:val="20"/>
        </w:rPr>
        <w:t xml:space="preserve"> </w:t>
      </w:r>
      <w:r w:rsidRPr="00923036">
        <w:rPr>
          <w:rFonts w:ascii="Times New Roman" w:hAnsi="Times New Roman" w:cs="Times New Roman"/>
          <w:sz w:val="20"/>
          <w:szCs w:val="20"/>
        </w:rPr>
        <w:t>2331–2336.</w:t>
      </w:r>
    </w:p>
    <w:p w14:paraId="30E95886" w14:textId="7228E518"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3.</w:t>
      </w:r>
      <w:r w:rsidRPr="00923036">
        <w:rPr>
          <w:rFonts w:ascii="Times New Roman" w:hAnsi="Times New Roman" w:cs="Times New Roman"/>
          <w:sz w:val="20"/>
          <w:szCs w:val="20"/>
        </w:rPr>
        <w:tab/>
        <w:t>Taramasso M, Alessandrini H, Latib A, et al. Outcomes after current transcatheter tricuspid valve intervention: mid-term results from the International TriValve Registry. JACC Cardiovasc Interv 12(2</w:t>
      </w:r>
      <w:r w:rsidR="00AE4EF7">
        <w:rPr>
          <w:rFonts w:ascii="Times New Roman" w:hAnsi="Times New Roman" w:cs="Times New Roman"/>
          <w:sz w:val="20"/>
          <w:szCs w:val="20"/>
        </w:rPr>
        <w:t>019</w:t>
      </w:r>
      <w:r w:rsidRPr="00923036">
        <w:rPr>
          <w:rFonts w:ascii="Times New Roman" w:hAnsi="Times New Roman" w:cs="Times New Roman"/>
          <w:sz w:val="20"/>
          <w:szCs w:val="20"/>
        </w:rPr>
        <w:t>):</w:t>
      </w:r>
      <w:r w:rsidR="00AE4EF7">
        <w:rPr>
          <w:rFonts w:ascii="Times New Roman" w:hAnsi="Times New Roman" w:cs="Times New Roman"/>
          <w:sz w:val="20"/>
          <w:szCs w:val="20"/>
        </w:rPr>
        <w:t xml:space="preserve"> </w:t>
      </w:r>
      <w:r w:rsidRPr="00923036">
        <w:rPr>
          <w:rFonts w:ascii="Times New Roman" w:hAnsi="Times New Roman" w:cs="Times New Roman"/>
          <w:sz w:val="20"/>
          <w:szCs w:val="20"/>
        </w:rPr>
        <w:t>155–165.</w:t>
      </w:r>
    </w:p>
    <w:p w14:paraId="02F5CA93" w14:textId="57487CB8"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lastRenderedPageBreak/>
        <w:t>4.</w:t>
      </w:r>
      <w:r w:rsidRPr="00923036">
        <w:rPr>
          <w:rFonts w:ascii="Times New Roman" w:hAnsi="Times New Roman" w:cs="Times New Roman"/>
          <w:sz w:val="20"/>
          <w:szCs w:val="20"/>
        </w:rPr>
        <w:tab/>
        <w:t>Nickenig G, Weber M, Schueler R, et al. 6-Month outcomes of tricuspid valve reconstruction for patients with severe TR. J Am Coll Cardiol 73(</w:t>
      </w:r>
      <w:r w:rsidR="002C07EB">
        <w:rPr>
          <w:rFonts w:ascii="Times New Roman" w:hAnsi="Times New Roman" w:cs="Times New Roman"/>
          <w:sz w:val="20"/>
          <w:szCs w:val="20"/>
        </w:rPr>
        <w:t>2019</w:t>
      </w:r>
      <w:r w:rsidRPr="00923036">
        <w:rPr>
          <w:rFonts w:ascii="Times New Roman" w:hAnsi="Times New Roman" w:cs="Times New Roman"/>
          <w:sz w:val="20"/>
          <w:szCs w:val="20"/>
        </w:rPr>
        <w:t>):</w:t>
      </w:r>
      <w:r w:rsidR="008010F2">
        <w:rPr>
          <w:rFonts w:ascii="Times New Roman" w:hAnsi="Times New Roman" w:cs="Times New Roman"/>
          <w:sz w:val="20"/>
          <w:szCs w:val="20"/>
        </w:rPr>
        <w:t xml:space="preserve"> </w:t>
      </w:r>
      <w:r w:rsidRPr="00923036">
        <w:rPr>
          <w:rFonts w:ascii="Times New Roman" w:hAnsi="Times New Roman" w:cs="Times New Roman"/>
          <w:sz w:val="20"/>
          <w:szCs w:val="20"/>
        </w:rPr>
        <w:t>1905–1915.</w:t>
      </w:r>
    </w:p>
    <w:p w14:paraId="2A691E3A" w14:textId="3B2651AA"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5.</w:t>
      </w:r>
      <w:r w:rsidRPr="00923036">
        <w:rPr>
          <w:rFonts w:ascii="Times New Roman" w:hAnsi="Times New Roman" w:cs="Times New Roman"/>
          <w:sz w:val="20"/>
          <w:szCs w:val="20"/>
        </w:rPr>
        <w:tab/>
        <w:t>Fam NP, Braun D, von Bardeleben RS, et al. Compassionate use of the PASCAL system for severe TR: a multicenter experience. JACC Cardiovasc Interv 12(</w:t>
      </w:r>
      <w:r w:rsidR="008010F2">
        <w:rPr>
          <w:rFonts w:ascii="Times New Roman" w:hAnsi="Times New Roman" w:cs="Times New Roman"/>
          <w:sz w:val="20"/>
          <w:szCs w:val="20"/>
        </w:rPr>
        <w:t>2019</w:t>
      </w:r>
      <w:r w:rsidRPr="00923036">
        <w:rPr>
          <w:rFonts w:ascii="Times New Roman" w:hAnsi="Times New Roman" w:cs="Times New Roman"/>
          <w:sz w:val="20"/>
          <w:szCs w:val="20"/>
        </w:rPr>
        <w:t>):</w:t>
      </w:r>
      <w:r w:rsidR="008010F2">
        <w:rPr>
          <w:rFonts w:ascii="Times New Roman" w:hAnsi="Times New Roman" w:cs="Times New Roman"/>
          <w:sz w:val="20"/>
          <w:szCs w:val="20"/>
        </w:rPr>
        <w:t xml:space="preserve"> </w:t>
      </w:r>
      <w:r w:rsidRPr="00923036">
        <w:rPr>
          <w:rFonts w:ascii="Times New Roman" w:hAnsi="Times New Roman" w:cs="Times New Roman"/>
          <w:sz w:val="20"/>
          <w:szCs w:val="20"/>
        </w:rPr>
        <w:t>2488–2495.</w:t>
      </w:r>
    </w:p>
    <w:p w14:paraId="1DB97316" w14:textId="0F897C59"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6.</w:t>
      </w:r>
      <w:r w:rsidRPr="00923036">
        <w:rPr>
          <w:rFonts w:ascii="Times New Roman" w:hAnsi="Times New Roman" w:cs="Times New Roman"/>
          <w:sz w:val="20"/>
          <w:szCs w:val="20"/>
        </w:rPr>
        <w:tab/>
        <w:t xml:space="preserve">Wells GA, Shea B, O’Connell D, et al. The Newcastle–Ottawa Scale (NOS) for assessing the quality of nonrandomised studies in meta-analyses. Ottawa Hospital Research Institute </w:t>
      </w:r>
      <w:r w:rsidR="00D377A7">
        <w:rPr>
          <w:rFonts w:ascii="Times New Roman" w:hAnsi="Times New Roman" w:cs="Times New Roman"/>
          <w:sz w:val="20"/>
          <w:szCs w:val="20"/>
        </w:rPr>
        <w:t>(</w:t>
      </w:r>
      <w:r w:rsidRPr="00923036">
        <w:rPr>
          <w:rFonts w:ascii="Times New Roman" w:hAnsi="Times New Roman" w:cs="Times New Roman"/>
          <w:sz w:val="20"/>
          <w:szCs w:val="20"/>
        </w:rPr>
        <w:t>2011</w:t>
      </w:r>
      <w:r w:rsidR="00D377A7">
        <w:rPr>
          <w:rFonts w:ascii="Times New Roman" w:hAnsi="Times New Roman" w:cs="Times New Roman"/>
          <w:sz w:val="20"/>
          <w:szCs w:val="20"/>
        </w:rPr>
        <w:t>)</w:t>
      </w:r>
      <w:r w:rsidRPr="00923036">
        <w:rPr>
          <w:rFonts w:ascii="Times New Roman" w:hAnsi="Times New Roman" w:cs="Times New Roman"/>
          <w:sz w:val="20"/>
          <w:szCs w:val="20"/>
        </w:rPr>
        <w:t>.</w:t>
      </w:r>
    </w:p>
    <w:p w14:paraId="6E80DF91" w14:textId="222404F5"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7.</w:t>
      </w:r>
      <w:r w:rsidRPr="00923036">
        <w:rPr>
          <w:rFonts w:ascii="Times New Roman" w:hAnsi="Times New Roman" w:cs="Times New Roman"/>
          <w:sz w:val="20"/>
          <w:szCs w:val="20"/>
        </w:rPr>
        <w:tab/>
        <w:t>Sterne JAC, Savović J, Page MJ, et al. RoB 2: a revised tool for assessing risk of bias in randomised trials. BMJ 366</w:t>
      </w:r>
      <w:r w:rsidR="002D518C">
        <w:rPr>
          <w:rFonts w:ascii="Times New Roman" w:hAnsi="Times New Roman" w:cs="Times New Roman"/>
          <w:sz w:val="20"/>
          <w:szCs w:val="20"/>
        </w:rPr>
        <w:t>(2019)</w:t>
      </w:r>
      <w:r w:rsidRPr="00923036">
        <w:rPr>
          <w:rFonts w:ascii="Times New Roman" w:hAnsi="Times New Roman" w:cs="Times New Roman"/>
          <w:sz w:val="20"/>
          <w:szCs w:val="20"/>
        </w:rPr>
        <w:t>:</w:t>
      </w:r>
      <w:r w:rsidR="002D518C">
        <w:rPr>
          <w:rFonts w:ascii="Times New Roman" w:hAnsi="Times New Roman" w:cs="Times New Roman"/>
          <w:sz w:val="20"/>
          <w:szCs w:val="20"/>
        </w:rPr>
        <w:t xml:space="preserve"> </w:t>
      </w:r>
      <w:r w:rsidRPr="00923036">
        <w:rPr>
          <w:rFonts w:ascii="Times New Roman" w:hAnsi="Times New Roman" w:cs="Times New Roman"/>
          <w:sz w:val="20"/>
          <w:szCs w:val="20"/>
        </w:rPr>
        <w:t xml:space="preserve">l4898. </w:t>
      </w:r>
    </w:p>
    <w:p w14:paraId="610DAFF1" w14:textId="254C8BA4"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8.</w:t>
      </w:r>
      <w:r w:rsidRPr="00923036">
        <w:rPr>
          <w:rFonts w:ascii="Times New Roman" w:hAnsi="Times New Roman" w:cs="Times New Roman"/>
          <w:sz w:val="20"/>
          <w:szCs w:val="20"/>
        </w:rPr>
        <w:tab/>
        <w:t>Slim K, Nini E, Forestier D, et al. Methodological index for non-randomized studies (MINORS): development and validation of a new instrument. ANZ J Surg 73(</w:t>
      </w:r>
      <w:r w:rsidR="00880BC9">
        <w:rPr>
          <w:rFonts w:ascii="Times New Roman" w:hAnsi="Times New Roman" w:cs="Times New Roman"/>
          <w:sz w:val="20"/>
          <w:szCs w:val="20"/>
        </w:rPr>
        <w:t>2003</w:t>
      </w:r>
      <w:r w:rsidRPr="00923036">
        <w:rPr>
          <w:rFonts w:ascii="Times New Roman" w:hAnsi="Times New Roman" w:cs="Times New Roman"/>
          <w:sz w:val="20"/>
          <w:szCs w:val="20"/>
        </w:rPr>
        <w:t>):</w:t>
      </w:r>
      <w:r w:rsidR="00880BC9">
        <w:rPr>
          <w:rFonts w:ascii="Times New Roman" w:hAnsi="Times New Roman" w:cs="Times New Roman"/>
          <w:sz w:val="20"/>
          <w:szCs w:val="20"/>
        </w:rPr>
        <w:t xml:space="preserve"> </w:t>
      </w:r>
      <w:r w:rsidRPr="00923036">
        <w:rPr>
          <w:rFonts w:ascii="Times New Roman" w:hAnsi="Times New Roman" w:cs="Times New Roman"/>
          <w:sz w:val="20"/>
          <w:szCs w:val="20"/>
        </w:rPr>
        <w:t xml:space="preserve">712–716. </w:t>
      </w:r>
    </w:p>
    <w:p w14:paraId="65238A8A" w14:textId="2E5B0F05"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9.</w:t>
      </w:r>
      <w:r w:rsidRPr="00923036">
        <w:rPr>
          <w:rFonts w:ascii="Times New Roman" w:hAnsi="Times New Roman" w:cs="Times New Roman"/>
          <w:sz w:val="20"/>
          <w:szCs w:val="20"/>
        </w:rPr>
        <w:tab/>
        <w:t>Orban M, Besler C, Braun D, et al. Right ventricular function after transcatheter tricuspid repair. JACC Cardiovasc Interv 12(</w:t>
      </w:r>
      <w:r w:rsidR="00A56E21">
        <w:rPr>
          <w:rFonts w:ascii="Times New Roman" w:hAnsi="Times New Roman" w:cs="Times New Roman"/>
          <w:sz w:val="20"/>
          <w:szCs w:val="20"/>
        </w:rPr>
        <w:t>2019</w:t>
      </w:r>
      <w:r w:rsidRPr="00923036">
        <w:rPr>
          <w:rFonts w:ascii="Times New Roman" w:hAnsi="Times New Roman" w:cs="Times New Roman"/>
          <w:sz w:val="20"/>
          <w:szCs w:val="20"/>
        </w:rPr>
        <w:t>):</w:t>
      </w:r>
      <w:r w:rsidR="00A56E21">
        <w:rPr>
          <w:rFonts w:ascii="Times New Roman" w:hAnsi="Times New Roman" w:cs="Times New Roman"/>
          <w:sz w:val="20"/>
          <w:szCs w:val="20"/>
        </w:rPr>
        <w:t xml:space="preserve"> </w:t>
      </w:r>
      <w:r w:rsidRPr="00923036">
        <w:rPr>
          <w:rFonts w:ascii="Times New Roman" w:hAnsi="Times New Roman" w:cs="Times New Roman"/>
          <w:sz w:val="20"/>
          <w:szCs w:val="20"/>
        </w:rPr>
        <w:t>559–570.</w:t>
      </w:r>
    </w:p>
    <w:p w14:paraId="1F86AFBE" w14:textId="2245AA79"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10.</w:t>
      </w:r>
      <w:r w:rsidRPr="00923036">
        <w:rPr>
          <w:rFonts w:ascii="Times New Roman" w:hAnsi="Times New Roman" w:cs="Times New Roman"/>
          <w:sz w:val="20"/>
          <w:szCs w:val="20"/>
        </w:rPr>
        <w:tab/>
        <w:t>Lurz P, Stephan von Bardeleben R, Weber M, et al. Transcatheter edge-to-edge repair for TR (TRILUMINATE). Lancet 398(</w:t>
      </w:r>
      <w:r w:rsidR="0074055D">
        <w:rPr>
          <w:rFonts w:ascii="Times New Roman" w:hAnsi="Times New Roman" w:cs="Times New Roman"/>
          <w:sz w:val="20"/>
          <w:szCs w:val="20"/>
        </w:rPr>
        <w:t>2021</w:t>
      </w:r>
      <w:r w:rsidRPr="00923036">
        <w:rPr>
          <w:rFonts w:ascii="Times New Roman" w:hAnsi="Times New Roman" w:cs="Times New Roman"/>
          <w:sz w:val="20"/>
          <w:szCs w:val="20"/>
        </w:rPr>
        <w:t>):</w:t>
      </w:r>
      <w:r w:rsidR="0074055D">
        <w:rPr>
          <w:rFonts w:ascii="Times New Roman" w:hAnsi="Times New Roman" w:cs="Times New Roman"/>
          <w:sz w:val="20"/>
          <w:szCs w:val="20"/>
        </w:rPr>
        <w:t xml:space="preserve"> </w:t>
      </w:r>
      <w:r w:rsidRPr="00923036">
        <w:rPr>
          <w:rFonts w:ascii="Times New Roman" w:hAnsi="Times New Roman" w:cs="Times New Roman"/>
          <w:sz w:val="20"/>
          <w:szCs w:val="20"/>
        </w:rPr>
        <w:t>2027–2038.</w:t>
      </w:r>
    </w:p>
    <w:p w14:paraId="0D10DD2D" w14:textId="18D0E26E"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11.</w:t>
      </w:r>
      <w:r w:rsidRPr="00923036">
        <w:rPr>
          <w:rFonts w:ascii="Times New Roman" w:hAnsi="Times New Roman" w:cs="Times New Roman"/>
          <w:sz w:val="20"/>
          <w:szCs w:val="20"/>
        </w:rPr>
        <w:tab/>
        <w:t xml:space="preserve">Abushouk (2024). Real-World Patient Eligibility and Feasibility of Transcatheter Edge-to-Edge Repair or Replacement Interventions for Tricuspid Regurgitation. J Card Fail. </w:t>
      </w:r>
    </w:p>
    <w:p w14:paraId="5B01AFF5" w14:textId="551707BD"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12.</w:t>
      </w:r>
      <w:r w:rsidRPr="00923036">
        <w:rPr>
          <w:rFonts w:ascii="Times New Roman" w:hAnsi="Times New Roman" w:cs="Times New Roman"/>
          <w:sz w:val="20"/>
          <w:szCs w:val="20"/>
        </w:rPr>
        <w:tab/>
        <w:t>Ali. Comparison of transcatheter tricuspid valve repair using the MitraClip NTR and XTR systems. Int J Cardiol</w:t>
      </w:r>
      <w:r w:rsidR="000F7605">
        <w:rPr>
          <w:rFonts w:ascii="Times New Roman" w:hAnsi="Times New Roman" w:cs="Times New Roman"/>
          <w:sz w:val="20"/>
          <w:szCs w:val="20"/>
        </w:rPr>
        <w:t xml:space="preserve"> (2021)</w:t>
      </w:r>
      <w:r w:rsidRPr="00923036">
        <w:rPr>
          <w:rFonts w:ascii="Times New Roman" w:hAnsi="Times New Roman" w:cs="Times New Roman"/>
          <w:sz w:val="20"/>
          <w:szCs w:val="20"/>
        </w:rPr>
        <w:t xml:space="preserve">. </w:t>
      </w:r>
    </w:p>
    <w:p w14:paraId="6AC83513" w14:textId="72F44332"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13.</w:t>
      </w:r>
      <w:r w:rsidRPr="00923036">
        <w:rPr>
          <w:rFonts w:ascii="Times New Roman" w:hAnsi="Times New Roman" w:cs="Times New Roman"/>
          <w:sz w:val="20"/>
          <w:szCs w:val="20"/>
        </w:rPr>
        <w:tab/>
        <w:t>Aurich</w:t>
      </w:r>
      <w:r w:rsidR="00DC6A52">
        <w:rPr>
          <w:rFonts w:ascii="Times New Roman" w:hAnsi="Times New Roman" w:cs="Times New Roman"/>
          <w:sz w:val="20"/>
          <w:szCs w:val="20"/>
        </w:rPr>
        <w:t xml:space="preserve">. </w:t>
      </w:r>
      <w:r w:rsidRPr="00923036">
        <w:rPr>
          <w:rFonts w:ascii="Times New Roman" w:hAnsi="Times New Roman" w:cs="Times New Roman"/>
          <w:sz w:val="20"/>
          <w:szCs w:val="20"/>
        </w:rPr>
        <w:t>Initial experience with the PASCAL Ace Implant System for treatment of severe tricuspid regurgitation. Circ Cardiovasc Interv</w:t>
      </w:r>
      <w:r w:rsidR="00DC6A52">
        <w:rPr>
          <w:rFonts w:ascii="Times New Roman" w:hAnsi="Times New Roman" w:cs="Times New Roman"/>
          <w:sz w:val="20"/>
          <w:szCs w:val="20"/>
        </w:rPr>
        <w:t xml:space="preserve"> (2021)</w:t>
      </w:r>
      <w:r w:rsidRPr="00923036">
        <w:rPr>
          <w:rFonts w:ascii="Times New Roman" w:hAnsi="Times New Roman" w:cs="Times New Roman"/>
          <w:sz w:val="20"/>
          <w:szCs w:val="20"/>
        </w:rPr>
        <w:t xml:space="preserve">. </w:t>
      </w:r>
    </w:p>
    <w:p w14:paraId="1DA90966" w14:textId="2AE5F508"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14.</w:t>
      </w:r>
      <w:r w:rsidRPr="00923036">
        <w:rPr>
          <w:rFonts w:ascii="Times New Roman" w:hAnsi="Times New Roman" w:cs="Times New Roman"/>
          <w:sz w:val="20"/>
          <w:szCs w:val="20"/>
        </w:rPr>
        <w:tab/>
        <w:t>Baldus. Transcatheter valve repair of tricuspid regurgitation with the PASCAL system: TriCLASP study 30-day results. Catheter Cardiovasc Interv</w:t>
      </w:r>
      <w:r w:rsidR="00337011">
        <w:rPr>
          <w:rFonts w:ascii="Times New Roman" w:hAnsi="Times New Roman" w:cs="Times New Roman"/>
          <w:sz w:val="20"/>
          <w:szCs w:val="20"/>
        </w:rPr>
        <w:t xml:space="preserve"> (2022)</w:t>
      </w:r>
      <w:r w:rsidRPr="00923036">
        <w:rPr>
          <w:rFonts w:ascii="Times New Roman" w:hAnsi="Times New Roman" w:cs="Times New Roman"/>
          <w:sz w:val="20"/>
          <w:szCs w:val="20"/>
        </w:rPr>
        <w:t xml:space="preserve">. </w:t>
      </w:r>
    </w:p>
    <w:p w14:paraId="78DA4C51" w14:textId="1519C07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15.</w:t>
      </w:r>
      <w:r w:rsidRPr="00923036">
        <w:rPr>
          <w:rFonts w:ascii="Times New Roman" w:hAnsi="Times New Roman" w:cs="Times New Roman"/>
          <w:sz w:val="20"/>
          <w:szCs w:val="20"/>
        </w:rPr>
        <w:tab/>
        <w:t>Cai. Natural history of severe tricuspid regurgitation: outcomes after transcatheter tricuspid valve intervention compared with medical therapy. Int J Cardiol</w:t>
      </w:r>
      <w:r w:rsidR="0001592E">
        <w:rPr>
          <w:rFonts w:ascii="Times New Roman" w:hAnsi="Times New Roman" w:cs="Times New Roman"/>
          <w:sz w:val="20"/>
          <w:szCs w:val="20"/>
        </w:rPr>
        <w:t xml:space="preserve"> (2020)</w:t>
      </w:r>
      <w:r w:rsidRPr="00923036">
        <w:rPr>
          <w:rFonts w:ascii="Times New Roman" w:hAnsi="Times New Roman" w:cs="Times New Roman"/>
          <w:sz w:val="20"/>
          <w:szCs w:val="20"/>
        </w:rPr>
        <w:t xml:space="preserve">. </w:t>
      </w:r>
    </w:p>
    <w:p w14:paraId="69AEBD74" w14:textId="28509014"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16.</w:t>
      </w:r>
      <w:r w:rsidRPr="00923036">
        <w:rPr>
          <w:rFonts w:ascii="Times New Roman" w:hAnsi="Times New Roman" w:cs="Times New Roman"/>
          <w:sz w:val="20"/>
          <w:szCs w:val="20"/>
        </w:rPr>
        <w:tab/>
        <w:t xml:space="preserve">Carpenito (2022). Edge-to-edge repair for tricuspid valve regurgitation. J Clin Med. </w:t>
      </w:r>
    </w:p>
    <w:p w14:paraId="6FA6F90F" w14:textId="3B700546"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17.</w:t>
      </w:r>
      <w:r w:rsidRPr="00923036">
        <w:rPr>
          <w:rFonts w:ascii="Times New Roman" w:hAnsi="Times New Roman" w:cs="Times New Roman"/>
          <w:sz w:val="20"/>
          <w:szCs w:val="20"/>
        </w:rPr>
        <w:tab/>
        <w:t>Cepas-Guillen. Initial results after the implementation of an edge-to-edge transcatheter tricuspid valve repair program. J Clin Med</w:t>
      </w:r>
      <w:r w:rsidR="00AF7FC4">
        <w:rPr>
          <w:rFonts w:ascii="Times New Roman" w:hAnsi="Times New Roman" w:cs="Times New Roman"/>
          <w:sz w:val="20"/>
          <w:szCs w:val="20"/>
        </w:rPr>
        <w:t xml:space="preserve"> (2021)</w:t>
      </w:r>
      <w:r w:rsidRPr="00923036">
        <w:rPr>
          <w:rFonts w:ascii="Times New Roman" w:hAnsi="Times New Roman" w:cs="Times New Roman"/>
          <w:sz w:val="20"/>
          <w:szCs w:val="20"/>
        </w:rPr>
        <w:t xml:space="preserve">. </w:t>
      </w:r>
    </w:p>
    <w:p w14:paraId="73ADA031" w14:textId="3109EBB2"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18.</w:t>
      </w:r>
      <w:r w:rsidRPr="00923036">
        <w:rPr>
          <w:rFonts w:ascii="Times New Roman" w:hAnsi="Times New Roman" w:cs="Times New Roman"/>
          <w:sz w:val="20"/>
          <w:szCs w:val="20"/>
        </w:rPr>
        <w:tab/>
        <w:t>Davidson. Early Feasibility Study of Cardioband Tricuspid System for Functional Tricuspid Regurgitation: 30-Day Outcomes. JACC Cardiovasc Interv</w:t>
      </w:r>
      <w:r w:rsidR="0095549F">
        <w:rPr>
          <w:rFonts w:ascii="Times New Roman" w:hAnsi="Times New Roman" w:cs="Times New Roman"/>
          <w:sz w:val="20"/>
          <w:szCs w:val="20"/>
        </w:rPr>
        <w:t xml:space="preserve"> (2021)</w:t>
      </w:r>
      <w:r w:rsidRPr="00923036">
        <w:rPr>
          <w:rFonts w:ascii="Times New Roman" w:hAnsi="Times New Roman" w:cs="Times New Roman"/>
          <w:sz w:val="20"/>
          <w:szCs w:val="20"/>
        </w:rPr>
        <w:t xml:space="preserve">. </w:t>
      </w:r>
    </w:p>
    <w:p w14:paraId="66E77FCB" w14:textId="13F7EAC6"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19.</w:t>
      </w:r>
      <w:r w:rsidRPr="00923036">
        <w:rPr>
          <w:rFonts w:ascii="Times New Roman" w:hAnsi="Times New Roman" w:cs="Times New Roman"/>
          <w:sz w:val="20"/>
          <w:szCs w:val="20"/>
        </w:rPr>
        <w:tab/>
        <w:t>Donal. Real-world outcomes for tricuspid edge-to-edge repair: initial echocardiographic results from the TriClip bRIGHT study. Eur Heart J Cardiovasc Imaging</w:t>
      </w:r>
      <w:r w:rsidR="008D5834">
        <w:rPr>
          <w:rFonts w:ascii="Times New Roman" w:hAnsi="Times New Roman" w:cs="Times New Roman"/>
          <w:sz w:val="20"/>
          <w:szCs w:val="20"/>
        </w:rPr>
        <w:t xml:space="preserve"> (2022)</w:t>
      </w:r>
      <w:r w:rsidRPr="00923036">
        <w:rPr>
          <w:rFonts w:ascii="Times New Roman" w:hAnsi="Times New Roman" w:cs="Times New Roman"/>
          <w:sz w:val="20"/>
          <w:szCs w:val="20"/>
        </w:rPr>
        <w:t xml:space="preserve">. </w:t>
      </w:r>
    </w:p>
    <w:p w14:paraId="5A1E82A9" w14:textId="181829CC"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20.</w:t>
      </w:r>
      <w:r w:rsidRPr="00923036">
        <w:rPr>
          <w:rFonts w:ascii="Times New Roman" w:hAnsi="Times New Roman" w:cs="Times New Roman"/>
          <w:sz w:val="20"/>
          <w:szCs w:val="20"/>
        </w:rPr>
        <w:tab/>
        <w:t>Donal. Transcatheter Edge-to-Edge Repair for Severe Isolated Tricuspid Regurgitation: The Tri.Fr Randomized Clinical Trial. JAMA</w:t>
      </w:r>
      <w:r w:rsidR="00947167">
        <w:rPr>
          <w:rFonts w:ascii="Times New Roman" w:hAnsi="Times New Roman" w:cs="Times New Roman"/>
          <w:sz w:val="20"/>
          <w:szCs w:val="20"/>
        </w:rPr>
        <w:t xml:space="preserve"> (2025)</w:t>
      </w:r>
      <w:r w:rsidRPr="00923036">
        <w:rPr>
          <w:rFonts w:ascii="Times New Roman" w:hAnsi="Times New Roman" w:cs="Times New Roman"/>
          <w:sz w:val="20"/>
          <w:szCs w:val="20"/>
        </w:rPr>
        <w:t xml:space="preserve">. </w:t>
      </w:r>
    </w:p>
    <w:p w14:paraId="5F876728" w14:textId="4A789633"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21.</w:t>
      </w:r>
      <w:r w:rsidRPr="00923036">
        <w:rPr>
          <w:rFonts w:ascii="Times New Roman" w:hAnsi="Times New Roman" w:cs="Times New Roman"/>
          <w:sz w:val="20"/>
          <w:szCs w:val="20"/>
        </w:rPr>
        <w:tab/>
        <w:t>Dumitriu Carcoana. Most Hospitalized Patients With Significant Tricuspid Regurgitation Have Advanced Disease Preventing Transcatheter Tricuspid Valve Intervention. Cardiovasc Revasc Med</w:t>
      </w:r>
      <w:r w:rsidR="00E720EA">
        <w:rPr>
          <w:rFonts w:ascii="Times New Roman" w:hAnsi="Times New Roman" w:cs="Times New Roman"/>
          <w:sz w:val="20"/>
          <w:szCs w:val="20"/>
        </w:rPr>
        <w:t xml:space="preserve"> (2024)</w:t>
      </w:r>
      <w:r w:rsidRPr="00923036">
        <w:rPr>
          <w:rFonts w:ascii="Times New Roman" w:hAnsi="Times New Roman" w:cs="Times New Roman"/>
          <w:sz w:val="20"/>
          <w:szCs w:val="20"/>
        </w:rPr>
        <w:t xml:space="preserve">. </w:t>
      </w:r>
    </w:p>
    <w:p w14:paraId="688D5A99" w14:textId="78EA3DB5"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22.</w:t>
      </w:r>
      <w:r w:rsidRPr="00923036">
        <w:rPr>
          <w:rFonts w:ascii="Times New Roman" w:hAnsi="Times New Roman" w:cs="Times New Roman"/>
          <w:sz w:val="20"/>
          <w:szCs w:val="20"/>
        </w:rPr>
        <w:tab/>
        <w:t>Fam. Compassionate use of the PASCAL Transcatheter Valve Repair System for severe tricuspid regurgitation. JACC Cardiovasc Interv</w:t>
      </w:r>
      <w:r w:rsidR="00E720EA">
        <w:rPr>
          <w:rFonts w:ascii="Times New Roman" w:hAnsi="Times New Roman" w:cs="Times New Roman"/>
          <w:sz w:val="20"/>
          <w:szCs w:val="20"/>
        </w:rPr>
        <w:t xml:space="preserve"> (2019)</w:t>
      </w:r>
      <w:r w:rsidRPr="00923036">
        <w:rPr>
          <w:rFonts w:ascii="Times New Roman" w:hAnsi="Times New Roman" w:cs="Times New Roman"/>
          <w:sz w:val="20"/>
          <w:szCs w:val="20"/>
        </w:rPr>
        <w:t xml:space="preserve">. </w:t>
      </w:r>
    </w:p>
    <w:p w14:paraId="11D97D18" w14:textId="6DA7E25E"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lastRenderedPageBreak/>
        <w:t>23.</w:t>
      </w:r>
      <w:r w:rsidRPr="00923036">
        <w:rPr>
          <w:rFonts w:ascii="Times New Roman" w:hAnsi="Times New Roman" w:cs="Times New Roman"/>
          <w:sz w:val="20"/>
          <w:szCs w:val="20"/>
        </w:rPr>
        <w:tab/>
        <w:t>Freixa. The TriClip system for edge-to-edge transcatheter tricuspid valve repair. A Spanish multicenter study. Rev Esp Cardiol</w:t>
      </w:r>
      <w:r w:rsidR="00087750">
        <w:rPr>
          <w:rFonts w:ascii="Times New Roman" w:hAnsi="Times New Roman" w:cs="Times New Roman"/>
          <w:sz w:val="20"/>
          <w:szCs w:val="20"/>
        </w:rPr>
        <w:t xml:space="preserve"> (2022)</w:t>
      </w:r>
      <w:r w:rsidRPr="00923036">
        <w:rPr>
          <w:rFonts w:ascii="Times New Roman" w:hAnsi="Times New Roman" w:cs="Times New Roman"/>
          <w:sz w:val="20"/>
          <w:szCs w:val="20"/>
        </w:rPr>
        <w:t xml:space="preserve">. </w:t>
      </w:r>
    </w:p>
    <w:p w14:paraId="5FA0CF91" w14:textId="2507EF4F"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24.</w:t>
      </w:r>
      <w:r w:rsidRPr="00923036">
        <w:rPr>
          <w:rFonts w:ascii="Times New Roman" w:hAnsi="Times New Roman" w:cs="Times New Roman"/>
          <w:sz w:val="20"/>
          <w:szCs w:val="20"/>
        </w:rPr>
        <w:tab/>
        <w:t>Hellhammer. Safety of transesophageal echocardiography during transcatheter edge-to-edge tricuspid valve repair. Front Cardiovasc Med</w:t>
      </w:r>
      <w:r w:rsidR="008A77B0">
        <w:rPr>
          <w:rFonts w:ascii="Times New Roman" w:hAnsi="Times New Roman" w:cs="Times New Roman"/>
          <w:sz w:val="20"/>
          <w:szCs w:val="20"/>
        </w:rPr>
        <w:t xml:space="preserve"> (2022)</w:t>
      </w:r>
      <w:r w:rsidRPr="00923036">
        <w:rPr>
          <w:rFonts w:ascii="Times New Roman" w:hAnsi="Times New Roman" w:cs="Times New Roman"/>
          <w:sz w:val="20"/>
          <w:szCs w:val="20"/>
        </w:rPr>
        <w:t xml:space="preserve">. </w:t>
      </w:r>
    </w:p>
    <w:p w14:paraId="3747E350" w14:textId="5A0B3AFC"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25.</w:t>
      </w:r>
      <w:r w:rsidRPr="00923036">
        <w:rPr>
          <w:rFonts w:ascii="Times New Roman" w:hAnsi="Times New Roman" w:cs="Times New Roman"/>
          <w:sz w:val="20"/>
          <w:szCs w:val="20"/>
        </w:rPr>
        <w:tab/>
        <w:t>Kalbacher. Impact of tricuspid valve regurgitation in surgical high-risk patients undergoing MitraClip implantation: results from the TRAMI registry. EuroIntervention</w:t>
      </w:r>
      <w:r w:rsidR="0031180E">
        <w:rPr>
          <w:rFonts w:ascii="Times New Roman" w:hAnsi="Times New Roman" w:cs="Times New Roman"/>
          <w:sz w:val="20"/>
          <w:szCs w:val="20"/>
        </w:rPr>
        <w:t xml:space="preserve"> (2017)</w:t>
      </w:r>
      <w:r w:rsidRPr="00923036">
        <w:rPr>
          <w:rFonts w:ascii="Times New Roman" w:hAnsi="Times New Roman" w:cs="Times New Roman"/>
          <w:sz w:val="20"/>
          <w:szCs w:val="20"/>
        </w:rPr>
        <w:t xml:space="preserve">. </w:t>
      </w:r>
    </w:p>
    <w:p w14:paraId="5BE854A5" w14:textId="40085726"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26.</w:t>
      </w:r>
      <w:r w:rsidRPr="00923036">
        <w:rPr>
          <w:rFonts w:ascii="Times New Roman" w:hAnsi="Times New Roman" w:cs="Times New Roman"/>
          <w:sz w:val="20"/>
          <w:szCs w:val="20"/>
        </w:rPr>
        <w:tab/>
        <w:t>Kar. Two-Year Outcomes of Transcatheter Edge-to-Edge Repair for Severe Tricuspid Regurgitation: The TRILUMINATE Pivotal Randomized Controlled Trial. Circulation</w:t>
      </w:r>
      <w:r w:rsidR="006B250F">
        <w:rPr>
          <w:rFonts w:ascii="Times New Roman" w:hAnsi="Times New Roman" w:cs="Times New Roman"/>
          <w:sz w:val="20"/>
          <w:szCs w:val="20"/>
        </w:rPr>
        <w:t xml:space="preserve"> (2025)</w:t>
      </w:r>
      <w:r w:rsidRPr="00923036">
        <w:rPr>
          <w:rFonts w:ascii="Times New Roman" w:hAnsi="Times New Roman" w:cs="Times New Roman"/>
          <w:sz w:val="20"/>
          <w:szCs w:val="20"/>
        </w:rPr>
        <w:t xml:space="preserve">. </w:t>
      </w:r>
    </w:p>
    <w:p w14:paraId="7B041CF2" w14:textId="2865C108"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27.</w:t>
      </w:r>
      <w:r w:rsidRPr="00923036">
        <w:rPr>
          <w:rFonts w:ascii="Times New Roman" w:hAnsi="Times New Roman" w:cs="Times New Roman"/>
          <w:sz w:val="20"/>
          <w:szCs w:val="20"/>
        </w:rPr>
        <w:tab/>
        <w:t>Karam. Impact of transcatheter tricuspid valve repair for severe tricuspid regurgitation on kidney and liver function. JACC Cardiovasc Interv</w:t>
      </w:r>
      <w:r w:rsidR="00BC74D0">
        <w:rPr>
          <w:rFonts w:ascii="Times New Roman" w:hAnsi="Times New Roman" w:cs="Times New Roman"/>
          <w:sz w:val="20"/>
          <w:szCs w:val="20"/>
        </w:rPr>
        <w:t xml:space="preserve"> (2019)</w:t>
      </w:r>
      <w:r w:rsidRPr="00923036">
        <w:rPr>
          <w:rFonts w:ascii="Times New Roman" w:hAnsi="Times New Roman" w:cs="Times New Roman"/>
          <w:sz w:val="20"/>
          <w:szCs w:val="20"/>
        </w:rPr>
        <w:t xml:space="preserve">. </w:t>
      </w:r>
    </w:p>
    <w:p w14:paraId="67D77C67" w14:textId="72D49AC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28.</w:t>
      </w:r>
      <w:r w:rsidRPr="00923036">
        <w:rPr>
          <w:rFonts w:ascii="Times New Roman" w:hAnsi="Times New Roman" w:cs="Times New Roman"/>
          <w:sz w:val="20"/>
          <w:szCs w:val="20"/>
        </w:rPr>
        <w:tab/>
        <w:t>Kitamura. 12-Month outcomes of transcatheter tricuspid valve repair with the PASCAL system for severe tricuspid regurgitation. Catheter Cardiovasc Interv</w:t>
      </w:r>
      <w:r w:rsidR="0011435B">
        <w:rPr>
          <w:rFonts w:ascii="Times New Roman" w:hAnsi="Times New Roman" w:cs="Times New Roman"/>
          <w:sz w:val="20"/>
          <w:szCs w:val="20"/>
        </w:rPr>
        <w:t xml:space="preserve"> (2012a)</w:t>
      </w:r>
      <w:r w:rsidRPr="00923036">
        <w:rPr>
          <w:rFonts w:ascii="Times New Roman" w:hAnsi="Times New Roman" w:cs="Times New Roman"/>
          <w:sz w:val="20"/>
          <w:szCs w:val="20"/>
        </w:rPr>
        <w:t xml:space="preserve">. </w:t>
      </w:r>
    </w:p>
    <w:p w14:paraId="50CC6B6F" w14:textId="287B3A3E"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29.</w:t>
      </w:r>
      <w:r w:rsidRPr="00923036">
        <w:rPr>
          <w:rFonts w:ascii="Times New Roman" w:hAnsi="Times New Roman" w:cs="Times New Roman"/>
          <w:sz w:val="20"/>
          <w:szCs w:val="20"/>
        </w:rPr>
        <w:tab/>
        <w:t>Kitamura. Health Status After Transcatheter Tricuspid Valve Repair in Patients With Functional Tricuspid Regurgitation. JACC Cardiovasc Interv</w:t>
      </w:r>
      <w:r w:rsidR="0011435B">
        <w:rPr>
          <w:rFonts w:ascii="Times New Roman" w:hAnsi="Times New Roman" w:cs="Times New Roman"/>
          <w:sz w:val="20"/>
          <w:szCs w:val="20"/>
        </w:rPr>
        <w:t xml:space="preserve"> </w:t>
      </w:r>
      <w:r w:rsidR="0011435B" w:rsidRPr="00923036">
        <w:rPr>
          <w:rFonts w:ascii="Times New Roman" w:hAnsi="Times New Roman" w:cs="Times New Roman"/>
          <w:sz w:val="20"/>
          <w:szCs w:val="20"/>
        </w:rPr>
        <w:t>(2021b)</w:t>
      </w:r>
      <w:r w:rsidRPr="00923036">
        <w:rPr>
          <w:rFonts w:ascii="Times New Roman" w:hAnsi="Times New Roman" w:cs="Times New Roman"/>
          <w:sz w:val="20"/>
          <w:szCs w:val="20"/>
        </w:rPr>
        <w:t xml:space="preserve">. </w:t>
      </w:r>
    </w:p>
    <w:p w14:paraId="4D42705E" w14:textId="50BE7EAF"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30.</w:t>
      </w:r>
      <w:r w:rsidRPr="00923036">
        <w:rPr>
          <w:rFonts w:ascii="Times New Roman" w:hAnsi="Times New Roman" w:cs="Times New Roman"/>
          <w:sz w:val="20"/>
          <w:szCs w:val="20"/>
        </w:rPr>
        <w:tab/>
        <w:t>Kodali. Feasibility Study of the Transcatheter Valve Repair System for Severe Tricuspid Regurgitation. J Am Coll Cardiol</w:t>
      </w:r>
      <w:r w:rsidR="0011435B">
        <w:rPr>
          <w:rFonts w:ascii="Times New Roman" w:hAnsi="Times New Roman" w:cs="Times New Roman"/>
          <w:sz w:val="20"/>
          <w:szCs w:val="20"/>
        </w:rPr>
        <w:t xml:space="preserve"> </w:t>
      </w:r>
      <w:r w:rsidR="0011435B" w:rsidRPr="00923036">
        <w:rPr>
          <w:rFonts w:ascii="Times New Roman" w:hAnsi="Times New Roman" w:cs="Times New Roman"/>
          <w:sz w:val="20"/>
          <w:szCs w:val="20"/>
        </w:rPr>
        <w:t>(2021)</w:t>
      </w:r>
      <w:r w:rsidRPr="00923036">
        <w:rPr>
          <w:rFonts w:ascii="Times New Roman" w:hAnsi="Times New Roman" w:cs="Times New Roman"/>
          <w:sz w:val="20"/>
          <w:szCs w:val="20"/>
        </w:rPr>
        <w:t xml:space="preserve">. </w:t>
      </w:r>
    </w:p>
    <w:p w14:paraId="08DDA756" w14:textId="22CB2771"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31.</w:t>
      </w:r>
      <w:r w:rsidRPr="00923036">
        <w:rPr>
          <w:rFonts w:ascii="Times New Roman" w:hAnsi="Times New Roman" w:cs="Times New Roman"/>
          <w:sz w:val="20"/>
          <w:szCs w:val="20"/>
        </w:rPr>
        <w:tab/>
        <w:t>Kodali. Transfemoral Tricuspid Valve Replacement in Patients With Tricuspid Regurgitation: TRISCEND Study 30-Day Results. JACC Cardiovasc Interv</w:t>
      </w:r>
      <w:r w:rsidR="003F337E">
        <w:rPr>
          <w:rFonts w:ascii="Times New Roman" w:hAnsi="Times New Roman" w:cs="Times New Roman"/>
          <w:sz w:val="20"/>
          <w:szCs w:val="20"/>
        </w:rPr>
        <w:t xml:space="preserve"> </w:t>
      </w:r>
      <w:r w:rsidR="003F337E" w:rsidRPr="00923036">
        <w:rPr>
          <w:rFonts w:ascii="Times New Roman" w:hAnsi="Times New Roman" w:cs="Times New Roman"/>
          <w:sz w:val="20"/>
          <w:szCs w:val="20"/>
        </w:rPr>
        <w:t>(2022)</w:t>
      </w:r>
      <w:r w:rsidRPr="00923036">
        <w:rPr>
          <w:rFonts w:ascii="Times New Roman" w:hAnsi="Times New Roman" w:cs="Times New Roman"/>
          <w:sz w:val="20"/>
          <w:szCs w:val="20"/>
        </w:rPr>
        <w:t xml:space="preserve">. </w:t>
      </w:r>
    </w:p>
    <w:p w14:paraId="3A6931E9" w14:textId="1E02150E"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32.</w:t>
      </w:r>
      <w:r w:rsidRPr="00923036">
        <w:rPr>
          <w:rFonts w:ascii="Times New Roman" w:hAnsi="Times New Roman" w:cs="Times New Roman"/>
          <w:sz w:val="20"/>
          <w:szCs w:val="20"/>
        </w:rPr>
        <w:tab/>
        <w:t>Korber. Transcatheter Treatment of Secondary Tricuspid Regurgitation with Direct Annuloplasty. Circ Cardiovasc Interv</w:t>
      </w:r>
      <w:r w:rsidR="00136511">
        <w:rPr>
          <w:rFonts w:ascii="Times New Roman" w:hAnsi="Times New Roman" w:cs="Times New Roman"/>
          <w:sz w:val="20"/>
          <w:szCs w:val="20"/>
        </w:rPr>
        <w:t xml:space="preserve"> </w:t>
      </w:r>
      <w:r w:rsidR="00136511" w:rsidRPr="00923036">
        <w:rPr>
          <w:rFonts w:ascii="Times New Roman" w:hAnsi="Times New Roman" w:cs="Times New Roman"/>
          <w:sz w:val="20"/>
          <w:szCs w:val="20"/>
        </w:rPr>
        <w:t>(2021)</w:t>
      </w:r>
      <w:r w:rsidRPr="00923036">
        <w:rPr>
          <w:rFonts w:ascii="Times New Roman" w:hAnsi="Times New Roman" w:cs="Times New Roman"/>
          <w:sz w:val="20"/>
          <w:szCs w:val="20"/>
        </w:rPr>
        <w:t xml:space="preserve">. </w:t>
      </w:r>
    </w:p>
    <w:p w14:paraId="70AC7CCD" w14:textId="5B1862AD"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33.</w:t>
      </w:r>
      <w:r w:rsidRPr="00923036">
        <w:rPr>
          <w:rFonts w:ascii="Times New Roman" w:hAnsi="Times New Roman" w:cs="Times New Roman"/>
          <w:sz w:val="20"/>
          <w:szCs w:val="20"/>
        </w:rPr>
        <w:tab/>
        <w:t>Kresoja. Transcatheter Tricuspid Valve Repair in the Setting of Heart Failure With Preserved or Reduced Left Ventricular Ejection Fraction. Eur J Heart Fail</w:t>
      </w:r>
      <w:r w:rsidR="00136511">
        <w:rPr>
          <w:rFonts w:ascii="Times New Roman" w:hAnsi="Times New Roman" w:cs="Times New Roman"/>
          <w:sz w:val="20"/>
          <w:szCs w:val="20"/>
        </w:rPr>
        <w:t xml:space="preserve"> </w:t>
      </w:r>
      <w:r w:rsidR="00136511" w:rsidRPr="00923036">
        <w:rPr>
          <w:rFonts w:ascii="Times New Roman" w:hAnsi="Times New Roman" w:cs="Times New Roman"/>
          <w:sz w:val="20"/>
          <w:szCs w:val="20"/>
        </w:rPr>
        <w:t>(2020)</w:t>
      </w:r>
      <w:r w:rsidRPr="00923036">
        <w:rPr>
          <w:rFonts w:ascii="Times New Roman" w:hAnsi="Times New Roman" w:cs="Times New Roman"/>
          <w:sz w:val="20"/>
          <w:szCs w:val="20"/>
        </w:rPr>
        <w:t xml:space="preserve">. </w:t>
      </w:r>
    </w:p>
    <w:p w14:paraId="243CB76A" w14:textId="54CCB7F1"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34.</w:t>
      </w:r>
      <w:r w:rsidRPr="00923036">
        <w:rPr>
          <w:rFonts w:ascii="Times New Roman" w:hAnsi="Times New Roman" w:cs="Times New Roman"/>
          <w:sz w:val="20"/>
          <w:szCs w:val="20"/>
        </w:rPr>
        <w:tab/>
        <w:t>Krikken. Transcatheter edge-to-edge repair of tricuspid regurgitation in the Netherlands. Neth Heart J</w:t>
      </w:r>
      <w:r w:rsidR="00136511">
        <w:rPr>
          <w:rFonts w:ascii="Times New Roman" w:hAnsi="Times New Roman" w:cs="Times New Roman"/>
          <w:sz w:val="20"/>
          <w:szCs w:val="20"/>
        </w:rPr>
        <w:t xml:space="preserve"> </w:t>
      </w:r>
      <w:r w:rsidR="00136511" w:rsidRPr="00923036">
        <w:rPr>
          <w:rFonts w:ascii="Times New Roman" w:hAnsi="Times New Roman" w:cs="Times New Roman"/>
          <w:sz w:val="20"/>
          <w:szCs w:val="20"/>
        </w:rPr>
        <w:t>(2022)</w:t>
      </w:r>
      <w:r w:rsidRPr="00923036">
        <w:rPr>
          <w:rFonts w:ascii="Times New Roman" w:hAnsi="Times New Roman" w:cs="Times New Roman"/>
          <w:sz w:val="20"/>
          <w:szCs w:val="20"/>
        </w:rPr>
        <w:t xml:space="preserve">. </w:t>
      </w:r>
    </w:p>
    <w:p w14:paraId="4855298F" w14:textId="62CFDB0C"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35.</w:t>
      </w:r>
      <w:r w:rsidRPr="00923036">
        <w:rPr>
          <w:rFonts w:ascii="Times New Roman" w:hAnsi="Times New Roman" w:cs="Times New Roman"/>
          <w:sz w:val="20"/>
          <w:szCs w:val="20"/>
        </w:rPr>
        <w:tab/>
        <w:t>Löw. Acute and short-term results of MitraClip XTR vs. PASCAL transcatheter valve repair system for severe tricuspid regurgitation. Structural Heart</w:t>
      </w:r>
      <w:r w:rsidR="00136511">
        <w:rPr>
          <w:rFonts w:ascii="Times New Roman" w:hAnsi="Times New Roman" w:cs="Times New Roman"/>
          <w:sz w:val="20"/>
          <w:szCs w:val="20"/>
        </w:rPr>
        <w:t xml:space="preserve"> </w:t>
      </w:r>
      <w:r w:rsidR="00136511" w:rsidRPr="00923036">
        <w:rPr>
          <w:rFonts w:ascii="Times New Roman" w:hAnsi="Times New Roman" w:cs="Times New Roman"/>
          <w:sz w:val="20"/>
          <w:szCs w:val="20"/>
        </w:rPr>
        <w:t>(2021)</w:t>
      </w:r>
      <w:r w:rsidRPr="00923036">
        <w:rPr>
          <w:rFonts w:ascii="Times New Roman" w:hAnsi="Times New Roman" w:cs="Times New Roman"/>
          <w:sz w:val="20"/>
          <w:szCs w:val="20"/>
        </w:rPr>
        <w:t xml:space="preserve">. </w:t>
      </w:r>
    </w:p>
    <w:p w14:paraId="06283ACE" w14:textId="1AF46A08"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36.</w:t>
      </w:r>
      <w:r w:rsidRPr="00923036">
        <w:rPr>
          <w:rFonts w:ascii="Times New Roman" w:hAnsi="Times New Roman" w:cs="Times New Roman"/>
          <w:sz w:val="20"/>
          <w:szCs w:val="20"/>
        </w:rPr>
        <w:tab/>
        <w:t>Lurz. Transcatheter treatment of tricuspid regurgitation using edge-to-edge repair. EuroIntervention</w:t>
      </w:r>
      <w:r w:rsidR="004714D9">
        <w:rPr>
          <w:rFonts w:ascii="Times New Roman" w:hAnsi="Times New Roman" w:cs="Times New Roman"/>
          <w:sz w:val="20"/>
          <w:szCs w:val="20"/>
        </w:rPr>
        <w:t xml:space="preserve"> (2018)</w:t>
      </w:r>
      <w:r w:rsidRPr="00923036">
        <w:rPr>
          <w:rFonts w:ascii="Times New Roman" w:hAnsi="Times New Roman" w:cs="Times New Roman"/>
          <w:sz w:val="20"/>
          <w:szCs w:val="20"/>
        </w:rPr>
        <w:t xml:space="preserve">. </w:t>
      </w:r>
    </w:p>
    <w:p w14:paraId="50649ADF" w14:textId="1CD20D08"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37.</w:t>
      </w:r>
      <w:r w:rsidRPr="00923036">
        <w:rPr>
          <w:rFonts w:ascii="Times New Roman" w:hAnsi="Times New Roman" w:cs="Times New Roman"/>
          <w:sz w:val="20"/>
          <w:szCs w:val="20"/>
        </w:rPr>
        <w:tab/>
        <w:t>Lurz. Transcatheter edge-to-edge repair for treatment of tricuspid regurgitation. J Am Coll Cardiol</w:t>
      </w:r>
      <w:r w:rsidR="009B4B40">
        <w:rPr>
          <w:rFonts w:ascii="Times New Roman" w:hAnsi="Times New Roman" w:cs="Times New Roman"/>
          <w:sz w:val="20"/>
          <w:szCs w:val="20"/>
        </w:rPr>
        <w:t xml:space="preserve"> (2021)</w:t>
      </w:r>
      <w:r w:rsidRPr="00923036">
        <w:rPr>
          <w:rFonts w:ascii="Times New Roman" w:hAnsi="Times New Roman" w:cs="Times New Roman"/>
          <w:sz w:val="20"/>
          <w:szCs w:val="20"/>
        </w:rPr>
        <w:t xml:space="preserve">. </w:t>
      </w:r>
    </w:p>
    <w:p w14:paraId="3E963308" w14:textId="755FD5C8"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38.</w:t>
      </w:r>
      <w:r w:rsidRPr="00923036">
        <w:rPr>
          <w:rFonts w:ascii="Times New Roman" w:hAnsi="Times New Roman" w:cs="Times New Roman"/>
          <w:sz w:val="20"/>
          <w:szCs w:val="20"/>
        </w:rPr>
        <w:tab/>
        <w:t>Mahowald</w:t>
      </w:r>
      <w:r w:rsidR="00D746A6">
        <w:rPr>
          <w:rFonts w:ascii="Times New Roman" w:hAnsi="Times New Roman" w:cs="Times New Roman"/>
          <w:sz w:val="20"/>
          <w:szCs w:val="20"/>
        </w:rPr>
        <w:t xml:space="preserve">. </w:t>
      </w:r>
      <w:r w:rsidRPr="00923036">
        <w:rPr>
          <w:rFonts w:ascii="Times New Roman" w:hAnsi="Times New Roman" w:cs="Times New Roman"/>
          <w:sz w:val="20"/>
          <w:szCs w:val="20"/>
        </w:rPr>
        <w:t>Reduction in right atrial pressures is associated with hemodynamic improvements after transcatheter edge-to-edge repair of the tricuspid valve. Circ Cardiovasc Interv</w:t>
      </w:r>
      <w:r w:rsidR="00D746A6">
        <w:rPr>
          <w:rFonts w:ascii="Times New Roman" w:hAnsi="Times New Roman" w:cs="Times New Roman"/>
          <w:sz w:val="20"/>
          <w:szCs w:val="20"/>
        </w:rPr>
        <w:t xml:space="preserve"> (2021)</w:t>
      </w:r>
      <w:r w:rsidRPr="00923036">
        <w:rPr>
          <w:rFonts w:ascii="Times New Roman" w:hAnsi="Times New Roman" w:cs="Times New Roman"/>
          <w:sz w:val="20"/>
          <w:szCs w:val="20"/>
        </w:rPr>
        <w:t xml:space="preserve">. </w:t>
      </w:r>
    </w:p>
    <w:p w14:paraId="23308177" w14:textId="7322179A"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39.</w:t>
      </w:r>
      <w:r w:rsidRPr="00923036">
        <w:rPr>
          <w:rFonts w:ascii="Times New Roman" w:hAnsi="Times New Roman" w:cs="Times New Roman"/>
          <w:sz w:val="20"/>
          <w:szCs w:val="20"/>
        </w:rPr>
        <w:tab/>
        <w:t>Mehr. 1-Year outcomes after edge-to-edge valve repair for symptomatic tricuspid regurgitation: results from the TriValve Registry. JACC Cardiovasc Interv</w:t>
      </w:r>
      <w:r w:rsidR="00913EC8">
        <w:rPr>
          <w:rFonts w:ascii="Times New Roman" w:hAnsi="Times New Roman" w:cs="Times New Roman"/>
          <w:sz w:val="20"/>
          <w:szCs w:val="20"/>
        </w:rPr>
        <w:t xml:space="preserve"> (2019)</w:t>
      </w:r>
      <w:r w:rsidRPr="00923036">
        <w:rPr>
          <w:rFonts w:ascii="Times New Roman" w:hAnsi="Times New Roman" w:cs="Times New Roman"/>
          <w:sz w:val="20"/>
          <w:szCs w:val="20"/>
        </w:rPr>
        <w:t xml:space="preserve">. </w:t>
      </w:r>
    </w:p>
    <w:p w14:paraId="16E3779E" w14:textId="58E3FE70"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40.</w:t>
      </w:r>
      <w:r w:rsidRPr="00923036">
        <w:rPr>
          <w:rFonts w:ascii="Times New Roman" w:hAnsi="Times New Roman" w:cs="Times New Roman"/>
          <w:sz w:val="20"/>
          <w:szCs w:val="20"/>
        </w:rPr>
        <w:tab/>
        <w:t>Meijerink. Transcatheter tricuspid valve repair: early experience in the Netherlands. Neth Heart J</w:t>
      </w:r>
      <w:r w:rsidR="00913EC8">
        <w:rPr>
          <w:rFonts w:ascii="Times New Roman" w:hAnsi="Times New Roman" w:cs="Times New Roman"/>
          <w:sz w:val="20"/>
          <w:szCs w:val="20"/>
        </w:rPr>
        <w:t xml:space="preserve"> (2021)</w:t>
      </w:r>
      <w:r w:rsidRPr="00923036">
        <w:rPr>
          <w:rFonts w:ascii="Times New Roman" w:hAnsi="Times New Roman" w:cs="Times New Roman"/>
          <w:sz w:val="20"/>
          <w:szCs w:val="20"/>
        </w:rPr>
        <w:t xml:space="preserve">. </w:t>
      </w:r>
    </w:p>
    <w:p w14:paraId="2F70A385" w14:textId="47D5C82D"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41.</w:t>
      </w:r>
      <w:r w:rsidRPr="00923036">
        <w:rPr>
          <w:rFonts w:ascii="Times New Roman" w:hAnsi="Times New Roman" w:cs="Times New Roman"/>
          <w:sz w:val="20"/>
          <w:szCs w:val="20"/>
        </w:rPr>
        <w:tab/>
        <w:t>Nickenig. Transcatheter treatment of severe tricuspid regurgitation with the edge-to-edge MitraClip technique. Circulation</w:t>
      </w:r>
      <w:r w:rsidR="003D573B">
        <w:rPr>
          <w:rFonts w:ascii="Times New Roman" w:hAnsi="Times New Roman" w:cs="Times New Roman"/>
          <w:sz w:val="20"/>
          <w:szCs w:val="20"/>
        </w:rPr>
        <w:t xml:space="preserve"> (2017)</w:t>
      </w:r>
      <w:r w:rsidRPr="00923036">
        <w:rPr>
          <w:rFonts w:ascii="Times New Roman" w:hAnsi="Times New Roman" w:cs="Times New Roman"/>
          <w:sz w:val="20"/>
          <w:szCs w:val="20"/>
        </w:rPr>
        <w:t xml:space="preserve">. </w:t>
      </w:r>
    </w:p>
    <w:p w14:paraId="4D9AD86D" w14:textId="4E255F3D" w:rsidR="00941235"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42.</w:t>
      </w:r>
      <w:r w:rsidRPr="00923036">
        <w:rPr>
          <w:rFonts w:ascii="Times New Roman" w:hAnsi="Times New Roman" w:cs="Times New Roman"/>
          <w:sz w:val="20"/>
          <w:szCs w:val="20"/>
        </w:rPr>
        <w:tab/>
        <w:t>Nickenig. Transcatheter edge-to-edge repair for reduction of tricuspid regurgitation: 6-month outcomes of the TRILUMINATE single-arm study. Lancet</w:t>
      </w:r>
      <w:r w:rsidR="00941235">
        <w:rPr>
          <w:rFonts w:ascii="Times New Roman" w:hAnsi="Times New Roman" w:cs="Times New Roman"/>
          <w:sz w:val="20"/>
          <w:szCs w:val="20"/>
        </w:rPr>
        <w:t xml:space="preserve"> (2019)</w:t>
      </w:r>
      <w:r w:rsidRPr="00923036">
        <w:rPr>
          <w:rFonts w:ascii="Times New Roman" w:hAnsi="Times New Roman" w:cs="Times New Roman"/>
          <w:sz w:val="20"/>
          <w:szCs w:val="20"/>
        </w:rPr>
        <w:t xml:space="preserve">. </w:t>
      </w:r>
    </w:p>
    <w:p w14:paraId="54818098" w14:textId="1EC2D6BB"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43.</w:t>
      </w:r>
      <w:r w:rsidRPr="00923036">
        <w:rPr>
          <w:rFonts w:ascii="Times New Roman" w:hAnsi="Times New Roman" w:cs="Times New Roman"/>
          <w:sz w:val="20"/>
          <w:szCs w:val="20"/>
        </w:rPr>
        <w:tab/>
        <w:t xml:space="preserve">Nickenig. Thirty-day outcomes of the Cardioband tricuspid system for patients with symptomatic functional </w:t>
      </w:r>
      <w:r w:rsidRPr="00923036">
        <w:rPr>
          <w:rFonts w:ascii="Times New Roman" w:hAnsi="Times New Roman" w:cs="Times New Roman"/>
          <w:sz w:val="20"/>
          <w:szCs w:val="20"/>
        </w:rPr>
        <w:lastRenderedPageBreak/>
        <w:t>tricuspid regurgitation: The TriBAND study. EuroIntervention</w:t>
      </w:r>
      <w:r w:rsidR="00941235">
        <w:rPr>
          <w:rFonts w:ascii="Times New Roman" w:hAnsi="Times New Roman" w:cs="Times New Roman"/>
          <w:sz w:val="20"/>
          <w:szCs w:val="20"/>
        </w:rPr>
        <w:t xml:space="preserve"> </w:t>
      </w:r>
      <w:r w:rsidR="00941235" w:rsidRPr="00923036">
        <w:rPr>
          <w:rFonts w:ascii="Times New Roman" w:hAnsi="Times New Roman" w:cs="Times New Roman"/>
          <w:sz w:val="20"/>
          <w:szCs w:val="20"/>
        </w:rPr>
        <w:t>(2021)</w:t>
      </w:r>
      <w:r w:rsidRPr="00923036">
        <w:rPr>
          <w:rFonts w:ascii="Times New Roman" w:hAnsi="Times New Roman" w:cs="Times New Roman"/>
          <w:sz w:val="20"/>
          <w:szCs w:val="20"/>
        </w:rPr>
        <w:t xml:space="preserve">. </w:t>
      </w:r>
    </w:p>
    <w:p w14:paraId="072F3BA9" w14:textId="4843EBD6"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44.</w:t>
      </w:r>
      <w:r w:rsidRPr="00923036">
        <w:rPr>
          <w:rFonts w:ascii="Times New Roman" w:hAnsi="Times New Roman" w:cs="Times New Roman"/>
          <w:sz w:val="20"/>
          <w:szCs w:val="20"/>
        </w:rPr>
        <w:tab/>
        <w:t>Ohno. Association of tricuspid regurgitation with clinical and echocardiographic outcomes after percutaneous mitral valve repair with the MitraClip System. Eur Heart J Cardiovasc Imaging</w:t>
      </w:r>
      <w:r w:rsidR="004A6BA0">
        <w:rPr>
          <w:rFonts w:ascii="Times New Roman" w:hAnsi="Times New Roman" w:cs="Times New Roman"/>
          <w:sz w:val="20"/>
          <w:szCs w:val="20"/>
        </w:rPr>
        <w:t xml:space="preserve"> </w:t>
      </w:r>
      <w:r w:rsidR="004A6BA0" w:rsidRPr="004A6BA0">
        <w:rPr>
          <w:rFonts w:ascii="Times New Roman" w:hAnsi="Times New Roman" w:cs="Times New Roman"/>
          <w:sz w:val="20"/>
          <w:szCs w:val="20"/>
        </w:rPr>
        <w:t>(2014)</w:t>
      </w:r>
      <w:r w:rsidRPr="00923036">
        <w:rPr>
          <w:rFonts w:ascii="Times New Roman" w:hAnsi="Times New Roman" w:cs="Times New Roman"/>
          <w:sz w:val="20"/>
          <w:szCs w:val="20"/>
        </w:rPr>
        <w:t xml:space="preserve">. </w:t>
      </w:r>
    </w:p>
    <w:p w14:paraId="3A108036" w14:textId="5DF85D9A"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45.</w:t>
      </w:r>
      <w:r w:rsidRPr="00923036">
        <w:rPr>
          <w:rFonts w:ascii="Times New Roman" w:hAnsi="Times New Roman" w:cs="Times New Roman"/>
          <w:sz w:val="20"/>
          <w:szCs w:val="20"/>
        </w:rPr>
        <w:tab/>
        <w:t>Orban. Six-month outcome after transcatheter edge-to-edge repair of severe tricuspid regurgitation in patients with heart failure. Eur J Heart Fail</w:t>
      </w:r>
      <w:r w:rsidR="004A6BA0">
        <w:rPr>
          <w:rFonts w:ascii="Times New Roman" w:hAnsi="Times New Roman" w:cs="Times New Roman"/>
          <w:sz w:val="20"/>
          <w:szCs w:val="20"/>
        </w:rPr>
        <w:t xml:space="preserve"> </w:t>
      </w:r>
      <w:r w:rsidR="004A6BA0" w:rsidRPr="00923036">
        <w:rPr>
          <w:rFonts w:ascii="Times New Roman" w:hAnsi="Times New Roman" w:cs="Times New Roman"/>
          <w:sz w:val="20"/>
          <w:szCs w:val="20"/>
        </w:rPr>
        <w:t>(2018)</w:t>
      </w:r>
      <w:r w:rsidRPr="00923036">
        <w:rPr>
          <w:rFonts w:ascii="Times New Roman" w:hAnsi="Times New Roman" w:cs="Times New Roman"/>
          <w:sz w:val="20"/>
          <w:szCs w:val="20"/>
        </w:rPr>
        <w:t xml:space="preserve">. </w:t>
      </w:r>
    </w:p>
    <w:p w14:paraId="26136BD7" w14:textId="420A3EE7"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46.</w:t>
      </w:r>
      <w:r w:rsidRPr="00923036">
        <w:rPr>
          <w:rFonts w:ascii="Times New Roman" w:hAnsi="Times New Roman" w:cs="Times New Roman"/>
          <w:sz w:val="20"/>
          <w:szCs w:val="20"/>
        </w:rPr>
        <w:tab/>
        <w:t>Orban. Transcatheter edge-to-edge tricuspid repair for severe tricuspid regurgitation reduces hospitalizations for heart failure. JACC Heart Fail</w:t>
      </w:r>
      <w:r w:rsidR="00B56962">
        <w:rPr>
          <w:rFonts w:ascii="Times New Roman" w:hAnsi="Times New Roman" w:cs="Times New Roman"/>
          <w:sz w:val="20"/>
          <w:szCs w:val="20"/>
        </w:rPr>
        <w:t xml:space="preserve"> </w:t>
      </w:r>
      <w:r w:rsidR="00B56962" w:rsidRPr="00923036">
        <w:rPr>
          <w:rFonts w:ascii="Times New Roman" w:hAnsi="Times New Roman" w:cs="Times New Roman"/>
          <w:sz w:val="20"/>
          <w:szCs w:val="20"/>
        </w:rPr>
        <w:t>(2020)</w:t>
      </w:r>
      <w:r w:rsidRPr="00923036">
        <w:rPr>
          <w:rFonts w:ascii="Times New Roman" w:hAnsi="Times New Roman" w:cs="Times New Roman"/>
          <w:sz w:val="20"/>
          <w:szCs w:val="20"/>
        </w:rPr>
        <w:t xml:space="preserve">. </w:t>
      </w:r>
    </w:p>
    <w:p w14:paraId="521CD0E0" w14:textId="0708C702"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47.</w:t>
      </w:r>
      <w:r w:rsidRPr="00923036">
        <w:rPr>
          <w:rFonts w:ascii="Times New Roman" w:hAnsi="Times New Roman" w:cs="Times New Roman"/>
          <w:sz w:val="20"/>
          <w:szCs w:val="20"/>
        </w:rPr>
        <w:tab/>
        <w:t>Otto</w:t>
      </w:r>
      <w:r w:rsidR="00B56962">
        <w:rPr>
          <w:rFonts w:ascii="Times New Roman" w:hAnsi="Times New Roman" w:cs="Times New Roman"/>
          <w:sz w:val="20"/>
          <w:szCs w:val="20"/>
        </w:rPr>
        <w:t xml:space="preserve"> </w:t>
      </w:r>
      <w:r w:rsidRPr="00923036">
        <w:rPr>
          <w:rFonts w:ascii="Times New Roman" w:hAnsi="Times New Roman" w:cs="Times New Roman"/>
          <w:sz w:val="20"/>
          <w:szCs w:val="20"/>
        </w:rPr>
        <w:t>. The impact of tricuspid annular geometry on outcome after percutaneous edge-to-edge repair for severe tricuspid regurgitation. Cardiol J</w:t>
      </w:r>
      <w:r w:rsidR="00B56962">
        <w:rPr>
          <w:rFonts w:ascii="Times New Roman" w:hAnsi="Times New Roman" w:cs="Times New Roman"/>
          <w:sz w:val="20"/>
          <w:szCs w:val="20"/>
        </w:rPr>
        <w:t xml:space="preserve"> (2021)</w:t>
      </w:r>
      <w:r w:rsidRPr="00923036">
        <w:rPr>
          <w:rFonts w:ascii="Times New Roman" w:hAnsi="Times New Roman" w:cs="Times New Roman"/>
          <w:sz w:val="20"/>
          <w:szCs w:val="20"/>
        </w:rPr>
        <w:t xml:space="preserve">. </w:t>
      </w:r>
    </w:p>
    <w:p w14:paraId="3685FCF0" w14:textId="5892869C"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48.</w:t>
      </w:r>
      <w:r w:rsidRPr="00923036">
        <w:rPr>
          <w:rFonts w:ascii="Times New Roman" w:hAnsi="Times New Roman" w:cs="Times New Roman"/>
          <w:sz w:val="20"/>
          <w:szCs w:val="20"/>
        </w:rPr>
        <w:tab/>
        <w:t>Planer. First-in-Human Transcatheter Tricuspid Valve Repair: 30-Day Follow-Up Experience With the Mistral Device. JACC Cardiovasc Interv</w:t>
      </w:r>
      <w:r w:rsidR="00CE3BDE">
        <w:rPr>
          <w:rFonts w:ascii="Times New Roman" w:hAnsi="Times New Roman" w:cs="Times New Roman"/>
          <w:sz w:val="20"/>
          <w:szCs w:val="20"/>
        </w:rPr>
        <w:t xml:space="preserve"> </w:t>
      </w:r>
      <w:r w:rsidR="00CE3BDE" w:rsidRPr="00923036">
        <w:rPr>
          <w:rFonts w:ascii="Times New Roman" w:hAnsi="Times New Roman" w:cs="Times New Roman"/>
          <w:sz w:val="20"/>
          <w:szCs w:val="20"/>
        </w:rPr>
        <w:t>(2020)</w:t>
      </w:r>
      <w:r w:rsidRPr="00923036">
        <w:rPr>
          <w:rFonts w:ascii="Times New Roman" w:hAnsi="Times New Roman" w:cs="Times New Roman"/>
          <w:sz w:val="20"/>
          <w:szCs w:val="20"/>
        </w:rPr>
        <w:t xml:space="preserve">. </w:t>
      </w:r>
    </w:p>
    <w:p w14:paraId="4D455BAD" w14:textId="6941206D"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49.</w:t>
      </w:r>
      <w:r w:rsidRPr="00923036">
        <w:rPr>
          <w:rFonts w:ascii="Times New Roman" w:hAnsi="Times New Roman" w:cs="Times New Roman"/>
          <w:sz w:val="20"/>
          <w:szCs w:val="20"/>
        </w:rPr>
        <w:tab/>
        <w:t>Ruf. Short-term clinical outcomes of transcatheter tricuspid valve repair with the third-generation MitraClip XTR system. JACC Cardiovasc Interv</w:t>
      </w:r>
      <w:r w:rsidR="00411C0E">
        <w:rPr>
          <w:rFonts w:ascii="Times New Roman" w:hAnsi="Times New Roman" w:cs="Times New Roman"/>
          <w:sz w:val="20"/>
          <w:szCs w:val="20"/>
        </w:rPr>
        <w:t xml:space="preserve"> </w:t>
      </w:r>
      <w:r w:rsidR="00411C0E" w:rsidRPr="00923036">
        <w:rPr>
          <w:rFonts w:ascii="Times New Roman" w:hAnsi="Times New Roman" w:cs="Times New Roman"/>
          <w:sz w:val="20"/>
          <w:szCs w:val="20"/>
        </w:rPr>
        <w:t>(2021)</w:t>
      </w:r>
      <w:r w:rsidRPr="00923036">
        <w:rPr>
          <w:rFonts w:ascii="Times New Roman" w:hAnsi="Times New Roman" w:cs="Times New Roman"/>
          <w:sz w:val="20"/>
          <w:szCs w:val="20"/>
        </w:rPr>
        <w:t xml:space="preserve">. </w:t>
      </w:r>
    </w:p>
    <w:p w14:paraId="78DAE98A" w14:textId="1E0049A0"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50.</w:t>
      </w:r>
      <w:r w:rsidRPr="00923036">
        <w:rPr>
          <w:rFonts w:ascii="Times New Roman" w:hAnsi="Times New Roman" w:cs="Times New Roman"/>
          <w:sz w:val="20"/>
          <w:szCs w:val="20"/>
        </w:rPr>
        <w:tab/>
        <w:t>Schlotter. Tricuspid Regurgitation Disease Stages and Treatment Outcomes After Transcatheter Tricuspid Valve Repair. JACC Cardiovasc Interv</w:t>
      </w:r>
      <w:r w:rsidR="00177382">
        <w:rPr>
          <w:rFonts w:ascii="Times New Roman" w:hAnsi="Times New Roman" w:cs="Times New Roman"/>
          <w:sz w:val="20"/>
          <w:szCs w:val="20"/>
        </w:rPr>
        <w:t xml:space="preserve"> </w:t>
      </w:r>
      <w:r w:rsidR="00177382" w:rsidRPr="00923036">
        <w:rPr>
          <w:rFonts w:ascii="Times New Roman" w:hAnsi="Times New Roman" w:cs="Times New Roman"/>
          <w:sz w:val="20"/>
          <w:szCs w:val="20"/>
        </w:rPr>
        <w:t>(2025)</w:t>
      </w:r>
      <w:r w:rsidRPr="00923036">
        <w:rPr>
          <w:rFonts w:ascii="Times New Roman" w:hAnsi="Times New Roman" w:cs="Times New Roman"/>
          <w:sz w:val="20"/>
          <w:szCs w:val="20"/>
        </w:rPr>
        <w:t xml:space="preserve">. </w:t>
      </w:r>
    </w:p>
    <w:p w14:paraId="013E5058" w14:textId="69CDADFB"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51.</w:t>
      </w:r>
      <w:r w:rsidRPr="00923036">
        <w:rPr>
          <w:rFonts w:ascii="Times New Roman" w:hAnsi="Times New Roman" w:cs="Times New Roman"/>
          <w:sz w:val="20"/>
          <w:szCs w:val="20"/>
        </w:rPr>
        <w:tab/>
        <w:t>Sorajja. Transcatheter repair for patients with tricuspid regurgitation. N Engl J Med</w:t>
      </w:r>
      <w:r w:rsidR="00AF3103">
        <w:rPr>
          <w:rFonts w:ascii="Times New Roman" w:hAnsi="Times New Roman" w:cs="Times New Roman"/>
          <w:sz w:val="20"/>
          <w:szCs w:val="20"/>
        </w:rPr>
        <w:t xml:space="preserve"> </w:t>
      </w:r>
      <w:r w:rsidR="00AF3103" w:rsidRPr="00923036">
        <w:rPr>
          <w:rFonts w:ascii="Times New Roman" w:hAnsi="Times New Roman" w:cs="Times New Roman"/>
          <w:sz w:val="20"/>
          <w:szCs w:val="20"/>
        </w:rPr>
        <w:t>(2023)</w:t>
      </w:r>
      <w:r w:rsidRPr="00923036">
        <w:rPr>
          <w:rFonts w:ascii="Times New Roman" w:hAnsi="Times New Roman" w:cs="Times New Roman"/>
          <w:sz w:val="20"/>
          <w:szCs w:val="20"/>
        </w:rPr>
        <w:t xml:space="preserve">. </w:t>
      </w:r>
    </w:p>
    <w:p w14:paraId="4E9CE129" w14:textId="6BEEDDCE"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52.</w:t>
      </w:r>
      <w:r w:rsidRPr="00923036">
        <w:rPr>
          <w:rFonts w:ascii="Times New Roman" w:hAnsi="Times New Roman" w:cs="Times New Roman"/>
          <w:sz w:val="20"/>
          <w:szCs w:val="20"/>
        </w:rPr>
        <w:tab/>
        <w:t>Stocker. Cardiopulmonary Hemodynamic Profile Predicts Mortality After Transcatheter Tricuspid Valve Repair in Chronic Heart Failure. JACC Cardiovasc Interv</w:t>
      </w:r>
      <w:r w:rsidR="00AF3103">
        <w:rPr>
          <w:rFonts w:ascii="Times New Roman" w:hAnsi="Times New Roman" w:cs="Times New Roman"/>
          <w:sz w:val="20"/>
          <w:szCs w:val="20"/>
        </w:rPr>
        <w:t xml:space="preserve"> </w:t>
      </w:r>
      <w:r w:rsidR="00AF3103" w:rsidRPr="00923036">
        <w:rPr>
          <w:rFonts w:ascii="Times New Roman" w:hAnsi="Times New Roman" w:cs="Times New Roman"/>
          <w:sz w:val="20"/>
          <w:szCs w:val="20"/>
        </w:rPr>
        <w:t>(2021)</w:t>
      </w:r>
      <w:r w:rsidRPr="00923036">
        <w:rPr>
          <w:rFonts w:ascii="Times New Roman" w:hAnsi="Times New Roman" w:cs="Times New Roman"/>
          <w:sz w:val="20"/>
          <w:szCs w:val="20"/>
        </w:rPr>
        <w:t xml:space="preserve">. </w:t>
      </w:r>
    </w:p>
    <w:p w14:paraId="7376CDA4" w14:textId="13F434B4"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53.</w:t>
      </w:r>
      <w:r w:rsidRPr="00923036">
        <w:rPr>
          <w:rFonts w:ascii="Times New Roman" w:hAnsi="Times New Roman" w:cs="Times New Roman"/>
          <w:sz w:val="20"/>
          <w:szCs w:val="20"/>
        </w:rPr>
        <w:tab/>
        <w:t>Stolz. Cardiohepatic syndrome is associated with poor prognosis in patients undergoing tricuspid transcatheter edge-to-edge valve repair. JACC Cardiovasc Interv</w:t>
      </w:r>
      <w:r w:rsidR="007667C6">
        <w:rPr>
          <w:rFonts w:ascii="Times New Roman" w:hAnsi="Times New Roman" w:cs="Times New Roman"/>
          <w:sz w:val="20"/>
          <w:szCs w:val="20"/>
        </w:rPr>
        <w:t xml:space="preserve"> </w:t>
      </w:r>
      <w:r w:rsidR="007667C6" w:rsidRPr="00923036">
        <w:rPr>
          <w:rFonts w:ascii="Times New Roman" w:hAnsi="Times New Roman" w:cs="Times New Roman"/>
          <w:sz w:val="20"/>
          <w:szCs w:val="20"/>
        </w:rPr>
        <w:t>(2022)</w:t>
      </w:r>
      <w:r w:rsidRPr="00923036">
        <w:rPr>
          <w:rFonts w:ascii="Times New Roman" w:hAnsi="Times New Roman" w:cs="Times New Roman"/>
          <w:sz w:val="20"/>
          <w:szCs w:val="20"/>
        </w:rPr>
        <w:t xml:space="preserve">. </w:t>
      </w:r>
    </w:p>
    <w:p w14:paraId="2FBBF986" w14:textId="0373C84B"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54.</w:t>
      </w:r>
      <w:r w:rsidRPr="00923036">
        <w:rPr>
          <w:rFonts w:ascii="Times New Roman" w:hAnsi="Times New Roman" w:cs="Times New Roman"/>
          <w:sz w:val="20"/>
          <w:szCs w:val="20"/>
        </w:rPr>
        <w:tab/>
        <w:t>Sugiura. Leaflet configuration and residual tricuspid regurgitation after transcatheter edge-to-edge tricuspid repair. JACC Cardiovasc Interv</w:t>
      </w:r>
      <w:r w:rsidR="007667C6">
        <w:rPr>
          <w:rFonts w:ascii="Times New Roman" w:hAnsi="Times New Roman" w:cs="Times New Roman"/>
          <w:sz w:val="20"/>
          <w:szCs w:val="20"/>
        </w:rPr>
        <w:t xml:space="preserve"> </w:t>
      </w:r>
      <w:r w:rsidR="007667C6" w:rsidRPr="00923036">
        <w:rPr>
          <w:rFonts w:ascii="Times New Roman" w:hAnsi="Times New Roman" w:cs="Times New Roman"/>
          <w:sz w:val="20"/>
          <w:szCs w:val="20"/>
        </w:rPr>
        <w:t>(2021a)</w:t>
      </w:r>
      <w:r w:rsidRPr="00923036">
        <w:rPr>
          <w:rFonts w:ascii="Times New Roman" w:hAnsi="Times New Roman" w:cs="Times New Roman"/>
          <w:sz w:val="20"/>
          <w:szCs w:val="20"/>
        </w:rPr>
        <w:t xml:space="preserve">. </w:t>
      </w:r>
    </w:p>
    <w:p w14:paraId="596067B7" w14:textId="6EFD4B45"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55.</w:t>
      </w:r>
      <w:r w:rsidRPr="00923036">
        <w:rPr>
          <w:rFonts w:ascii="Times New Roman" w:hAnsi="Times New Roman" w:cs="Times New Roman"/>
          <w:sz w:val="20"/>
          <w:szCs w:val="20"/>
        </w:rPr>
        <w:tab/>
        <w:t>Sugiura. PASCAL versus MitraClip-XTR edge-to-edge device for the treatment of tricuspid regurgitation: a propensity-matched analysis. Clin Res Cardiol</w:t>
      </w:r>
      <w:r w:rsidR="00E6668F">
        <w:rPr>
          <w:rFonts w:ascii="Times New Roman" w:hAnsi="Times New Roman" w:cs="Times New Roman"/>
          <w:sz w:val="20"/>
          <w:szCs w:val="20"/>
        </w:rPr>
        <w:t xml:space="preserve"> </w:t>
      </w:r>
      <w:r w:rsidR="00E6668F" w:rsidRPr="00923036">
        <w:rPr>
          <w:rFonts w:ascii="Times New Roman" w:hAnsi="Times New Roman" w:cs="Times New Roman"/>
          <w:sz w:val="20"/>
          <w:szCs w:val="20"/>
        </w:rPr>
        <w:t>(2021b)</w:t>
      </w:r>
      <w:r w:rsidRPr="00923036">
        <w:rPr>
          <w:rFonts w:ascii="Times New Roman" w:hAnsi="Times New Roman" w:cs="Times New Roman"/>
          <w:sz w:val="20"/>
          <w:szCs w:val="20"/>
        </w:rPr>
        <w:t xml:space="preserve">. </w:t>
      </w:r>
    </w:p>
    <w:p w14:paraId="6277AFBF" w14:textId="2FFEFEEB"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56.</w:t>
      </w:r>
      <w:r w:rsidRPr="00923036">
        <w:rPr>
          <w:rFonts w:ascii="Times New Roman" w:hAnsi="Times New Roman" w:cs="Times New Roman"/>
          <w:sz w:val="20"/>
          <w:szCs w:val="20"/>
        </w:rPr>
        <w:tab/>
        <w:t>Tang. Tricuspid Transcatheter Edge-to-Edge Repair for Severe Tricuspid Regurgitation. J Am Coll Cardiol</w:t>
      </w:r>
      <w:r w:rsidR="00FB1D61">
        <w:rPr>
          <w:rFonts w:ascii="Times New Roman" w:hAnsi="Times New Roman" w:cs="Times New Roman"/>
          <w:sz w:val="20"/>
          <w:szCs w:val="20"/>
        </w:rPr>
        <w:t xml:space="preserve"> </w:t>
      </w:r>
      <w:r w:rsidR="00FB1D61" w:rsidRPr="00923036">
        <w:rPr>
          <w:rFonts w:ascii="Times New Roman" w:hAnsi="Times New Roman" w:cs="Times New Roman"/>
          <w:sz w:val="20"/>
          <w:szCs w:val="20"/>
        </w:rPr>
        <w:t>(2025)</w:t>
      </w:r>
      <w:r w:rsidRPr="00923036">
        <w:rPr>
          <w:rFonts w:ascii="Times New Roman" w:hAnsi="Times New Roman" w:cs="Times New Roman"/>
          <w:sz w:val="20"/>
          <w:szCs w:val="20"/>
        </w:rPr>
        <w:t xml:space="preserve">. </w:t>
      </w:r>
    </w:p>
    <w:p w14:paraId="249E0B2E" w14:textId="75CDB7B3"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57.</w:t>
      </w:r>
      <w:r w:rsidRPr="00923036">
        <w:rPr>
          <w:rFonts w:ascii="Times New Roman" w:hAnsi="Times New Roman" w:cs="Times New Roman"/>
          <w:sz w:val="20"/>
          <w:szCs w:val="20"/>
        </w:rPr>
        <w:tab/>
        <w:t>Toyama. Postprocedural changes of Tricuspid Regurgitation after MitraClip Therapy for Mitral Regurgitation. Am J Cardiol</w:t>
      </w:r>
      <w:r w:rsidR="00FB1D61">
        <w:rPr>
          <w:rFonts w:ascii="Times New Roman" w:hAnsi="Times New Roman" w:cs="Times New Roman"/>
          <w:sz w:val="20"/>
          <w:szCs w:val="20"/>
        </w:rPr>
        <w:t xml:space="preserve"> </w:t>
      </w:r>
      <w:r w:rsidR="00FB1D61" w:rsidRPr="00923036">
        <w:rPr>
          <w:rFonts w:ascii="Times New Roman" w:hAnsi="Times New Roman" w:cs="Times New Roman"/>
          <w:sz w:val="20"/>
          <w:szCs w:val="20"/>
        </w:rPr>
        <w:t>(2017)</w:t>
      </w:r>
      <w:r w:rsidRPr="00923036">
        <w:rPr>
          <w:rFonts w:ascii="Times New Roman" w:hAnsi="Times New Roman" w:cs="Times New Roman"/>
          <w:sz w:val="20"/>
          <w:szCs w:val="20"/>
        </w:rPr>
        <w:t xml:space="preserve">. </w:t>
      </w:r>
    </w:p>
    <w:p w14:paraId="5E1FA08D" w14:textId="45B665BE" w:rsidR="00923036" w:rsidRP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58.</w:t>
      </w:r>
      <w:r w:rsidRPr="00923036">
        <w:rPr>
          <w:rFonts w:ascii="Times New Roman" w:hAnsi="Times New Roman" w:cs="Times New Roman"/>
          <w:sz w:val="20"/>
          <w:szCs w:val="20"/>
        </w:rPr>
        <w:tab/>
        <w:t>Volz. Functional improvement following direct interventional leaflet repair of severe tricuspid regurgitation. ESC Heart Fail</w:t>
      </w:r>
      <w:r w:rsidR="000B3375">
        <w:rPr>
          <w:rFonts w:ascii="Times New Roman" w:hAnsi="Times New Roman" w:cs="Times New Roman"/>
          <w:sz w:val="20"/>
          <w:szCs w:val="20"/>
        </w:rPr>
        <w:t xml:space="preserve"> </w:t>
      </w:r>
      <w:r w:rsidR="000B3375" w:rsidRPr="00923036">
        <w:rPr>
          <w:rFonts w:ascii="Times New Roman" w:hAnsi="Times New Roman" w:cs="Times New Roman"/>
          <w:sz w:val="20"/>
          <w:szCs w:val="20"/>
        </w:rPr>
        <w:t>(2022)</w:t>
      </w:r>
      <w:r w:rsidRPr="00923036">
        <w:rPr>
          <w:rFonts w:ascii="Times New Roman" w:hAnsi="Times New Roman" w:cs="Times New Roman"/>
          <w:sz w:val="20"/>
          <w:szCs w:val="20"/>
        </w:rPr>
        <w:t xml:space="preserve">. </w:t>
      </w:r>
    </w:p>
    <w:p w14:paraId="0A8B2326" w14:textId="50F56C35" w:rsidR="00923036" w:rsidRDefault="00923036" w:rsidP="00923036">
      <w:pPr>
        <w:widowControl w:val="0"/>
        <w:adjustRightInd w:val="0"/>
        <w:spacing w:after="0" w:line="360" w:lineRule="auto"/>
        <w:jc w:val="both"/>
        <w:rPr>
          <w:rFonts w:ascii="Times New Roman" w:hAnsi="Times New Roman" w:cs="Times New Roman"/>
          <w:sz w:val="20"/>
          <w:szCs w:val="20"/>
        </w:rPr>
      </w:pPr>
      <w:r w:rsidRPr="00923036">
        <w:rPr>
          <w:rFonts w:ascii="Times New Roman" w:hAnsi="Times New Roman" w:cs="Times New Roman"/>
          <w:sz w:val="20"/>
          <w:szCs w:val="20"/>
        </w:rPr>
        <w:t>59.</w:t>
      </w:r>
      <w:r w:rsidRPr="00923036">
        <w:rPr>
          <w:rFonts w:ascii="Times New Roman" w:hAnsi="Times New Roman" w:cs="Times New Roman"/>
          <w:sz w:val="20"/>
          <w:szCs w:val="20"/>
        </w:rPr>
        <w:tab/>
        <w:t>Yzeiraj. Caval Valve Implantation for Tricuspid Regurgitation: Results From the TRICAVAL Trial. EuroIntervention</w:t>
      </w:r>
      <w:r w:rsidR="00EC3D82">
        <w:rPr>
          <w:rFonts w:ascii="Times New Roman" w:hAnsi="Times New Roman" w:cs="Times New Roman"/>
          <w:sz w:val="20"/>
          <w:szCs w:val="20"/>
        </w:rPr>
        <w:t xml:space="preserve"> </w:t>
      </w:r>
      <w:r w:rsidR="00EC3D82" w:rsidRPr="00923036">
        <w:rPr>
          <w:rFonts w:ascii="Times New Roman" w:hAnsi="Times New Roman" w:cs="Times New Roman"/>
          <w:sz w:val="20"/>
          <w:szCs w:val="20"/>
        </w:rPr>
        <w:t>(2021)</w:t>
      </w:r>
      <w:r w:rsidRPr="00923036">
        <w:rPr>
          <w:rFonts w:ascii="Times New Roman" w:hAnsi="Times New Roman" w:cs="Times New Roman"/>
          <w:sz w:val="20"/>
          <w:szCs w:val="20"/>
        </w:rPr>
        <w:t xml:space="preserve">. </w:t>
      </w:r>
    </w:p>
    <w:p w14:paraId="4F49B10A" w14:textId="6B040A67" w:rsidR="00167B3D" w:rsidRDefault="00167B3D" w:rsidP="00F169F0">
      <w:pPr>
        <w:widowControl w:val="0"/>
        <w:adjustRightInd w:val="0"/>
        <w:spacing w:after="0" w:line="360" w:lineRule="auto"/>
        <w:jc w:val="both"/>
        <w:rPr>
          <w:rFonts w:ascii="Times New Roman" w:hAnsi="Times New Roman" w:cs="Times New Roman"/>
          <w:sz w:val="20"/>
          <w:szCs w:val="20"/>
        </w:rPr>
      </w:pPr>
    </w:p>
    <w:p w14:paraId="7CBDF18C" w14:textId="77777777" w:rsidR="00A06CDA" w:rsidRDefault="00A06CDA" w:rsidP="00F169F0">
      <w:pPr>
        <w:widowControl w:val="0"/>
        <w:adjustRightInd w:val="0"/>
        <w:spacing w:after="0" w:line="360" w:lineRule="auto"/>
        <w:jc w:val="both"/>
        <w:rPr>
          <w:rFonts w:ascii="Times New Roman" w:hAnsi="Times New Roman" w:cs="Times New Roman"/>
          <w:sz w:val="20"/>
          <w:szCs w:val="20"/>
        </w:rPr>
      </w:pPr>
    </w:p>
    <w:p w14:paraId="7B40106C" w14:textId="77777777" w:rsidR="00A06CDA" w:rsidRDefault="00A06CDA" w:rsidP="00F169F0">
      <w:pPr>
        <w:widowControl w:val="0"/>
        <w:adjustRightInd w:val="0"/>
        <w:spacing w:after="0" w:line="360" w:lineRule="auto"/>
        <w:jc w:val="both"/>
        <w:rPr>
          <w:rFonts w:ascii="Times New Roman" w:hAnsi="Times New Roman" w:cs="Times New Roman"/>
          <w:sz w:val="20"/>
          <w:szCs w:val="20"/>
        </w:rPr>
      </w:pPr>
    </w:p>
    <w:p w14:paraId="4B275980" w14:textId="77777777" w:rsidR="00A06CDA" w:rsidRPr="00167B3D" w:rsidRDefault="00A06CDA" w:rsidP="00F169F0">
      <w:pPr>
        <w:widowControl w:val="0"/>
        <w:adjustRightInd w:val="0"/>
        <w:spacing w:after="0" w:line="360" w:lineRule="auto"/>
        <w:jc w:val="both"/>
        <w:rPr>
          <w:rFonts w:ascii="Times New Roman" w:hAnsi="Times New Roman" w:cs="Times New Roman"/>
          <w:sz w:val="20"/>
          <w:szCs w:val="20"/>
        </w:rPr>
      </w:pPr>
    </w:p>
    <w:p w14:paraId="658A72B3" w14:textId="77777777" w:rsidR="0043410A" w:rsidRPr="00307263" w:rsidRDefault="0043410A" w:rsidP="00307263">
      <w:pPr>
        <w:widowControl w:val="0"/>
        <w:adjustRightInd w:val="0"/>
        <w:spacing w:after="0" w:line="360" w:lineRule="auto"/>
        <w:jc w:val="both"/>
        <w:rPr>
          <w:rFonts w:ascii="Times New Roman" w:eastAsia="DengXian" w:hAnsi="Times New Roman" w:cs="Times New Roman"/>
          <w:kern w:val="2"/>
          <w:sz w:val="20"/>
          <w:szCs w:val="20"/>
          <w:lang w:eastAsia="zh-CN"/>
        </w:rPr>
      </w:pPr>
    </w:p>
    <w:p w14:paraId="448FC163" w14:textId="77777777" w:rsidR="00BD0C0E" w:rsidRDefault="00BD0C0E" w:rsidP="00BD0C0E">
      <w:pPr>
        <w:spacing w:after="0" w:line="360" w:lineRule="auto"/>
        <w:ind w:left="1077" w:hanging="720"/>
        <w:jc w:val="both"/>
        <w:rPr>
          <w:rFonts w:ascii="Times New Roman" w:hAnsi="Times New Roman"/>
          <w:sz w:val="20"/>
          <w:szCs w:val="20"/>
        </w:rPr>
      </w:pPr>
    </w:p>
    <w:p w14:paraId="08963C01" w14:textId="77777777" w:rsidR="00A713E0" w:rsidRPr="00C80120" w:rsidRDefault="00A713E0" w:rsidP="00A713E0">
      <w:pPr>
        <w:spacing w:after="0" w:line="360" w:lineRule="auto"/>
        <w:ind w:left="1440" w:firstLine="720"/>
        <w:jc w:val="both"/>
        <w:rPr>
          <w:rFonts w:ascii="Times New Roman" w:eastAsia="Times New Roman" w:hAnsi="Times New Roman"/>
          <w:sz w:val="20"/>
          <w:szCs w:val="20"/>
        </w:rPr>
      </w:pPr>
      <w:r w:rsidRPr="0036009F">
        <w:rPr>
          <w:noProof/>
          <w:sz w:val="20"/>
          <w:szCs w:val="20"/>
          <w:lang w:val="en-IN" w:eastAsia="en-IN"/>
        </w:rPr>
        <w:drawing>
          <wp:anchor distT="0" distB="0" distL="0" distR="0" simplePos="0" relativeHeight="251662848" behindDoc="0" locked="0" layoutInCell="1" allowOverlap="1" wp14:anchorId="0688A791" wp14:editId="439117CE">
            <wp:simplePos x="0" y="0"/>
            <wp:positionH relativeFrom="page">
              <wp:posOffset>1124215</wp:posOffset>
            </wp:positionH>
            <wp:positionV relativeFrom="paragraph">
              <wp:posOffset>10809</wp:posOffset>
            </wp:positionV>
            <wp:extent cx="1105469" cy="347002"/>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05469" cy="347002"/>
                    </a:xfrm>
                    <a:prstGeom prst="rect">
                      <a:avLst/>
                    </a:prstGeom>
                    <a:noFill/>
                  </pic:spPr>
                </pic:pic>
              </a:graphicData>
            </a:graphic>
            <wp14:sizeRelH relativeFrom="page">
              <wp14:pctWidth>0</wp14:pctWidth>
            </wp14:sizeRelH>
            <wp14:sizeRelV relativeFrom="page">
              <wp14:pctHeight>0</wp14:pctHeight>
            </wp14:sizeRelV>
          </wp:anchor>
        </w:drawing>
      </w:r>
      <w:r w:rsidRPr="0036009F">
        <w:rPr>
          <w:rFonts w:ascii="Times New Roman" w:hAnsi="Times New Roman"/>
          <w:sz w:val="20"/>
          <w:szCs w:val="20"/>
        </w:rPr>
        <w:t>This article is an open access article distributed under the terms and conditions of the</w:t>
      </w:r>
      <w:r w:rsidRPr="0036009F">
        <w:rPr>
          <w:rFonts w:eastAsia="Times New Roman"/>
          <w:sz w:val="20"/>
          <w:szCs w:val="20"/>
        </w:rPr>
        <w:tab/>
      </w:r>
      <w:hyperlink r:id="rId14" w:history="1">
        <w:r w:rsidRPr="0036009F">
          <w:rPr>
            <w:rStyle w:val="Hyperlink"/>
            <w:rFonts w:ascii="Times New Roman" w:hAnsi="Times New Roman"/>
            <w:sz w:val="20"/>
            <w:szCs w:val="20"/>
          </w:rPr>
          <w:t>Creative Commons Attribution (CC-BY) license 4.0</w:t>
        </w:r>
        <w:r w:rsidRPr="0036009F">
          <w:rPr>
            <w:noProof/>
            <w:sz w:val="20"/>
            <w:szCs w:val="20"/>
            <w:lang w:val="en-IN" w:eastAsia="en-IN"/>
          </w:rPr>
          <mc:AlternateContent>
            <mc:Choice Requires="wps">
              <w:drawing>
                <wp:anchor distT="0" distB="0" distL="114300" distR="114300" simplePos="0" relativeHeight="251661824" behindDoc="0" locked="0" layoutInCell="1" allowOverlap="1" wp14:anchorId="304B012B" wp14:editId="4878A576">
                  <wp:simplePos x="0" y="0"/>
                  <wp:positionH relativeFrom="margin">
                    <wp:posOffset>-287655</wp:posOffset>
                  </wp:positionH>
                  <wp:positionV relativeFrom="paragraph">
                    <wp:posOffset>4619625</wp:posOffset>
                  </wp:positionV>
                  <wp:extent cx="6518910" cy="37719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4F8E8448" w14:textId="77777777" w:rsidR="00A713E0" w:rsidRPr="00294B05" w:rsidRDefault="00A713E0" w:rsidP="00A713E0"/>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304B012B" id="Rectangle 3" o:spid="_x0000_s1026" style="position:absolute;left:0;text-align:left;margin-left:-22.65pt;margin-top:363.75pt;width:513.3pt;height:29.7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4F8E8448" w14:textId="77777777" w:rsidR="00A713E0" w:rsidRPr="00294B05" w:rsidRDefault="00A713E0" w:rsidP="00A713E0"/>
                    </w:txbxContent>
                  </v:textbox>
                  <w10:wrap anchorx="margin"/>
                </v:rect>
              </w:pict>
            </mc:Fallback>
          </mc:AlternateContent>
        </w:r>
      </w:hyperlink>
    </w:p>
    <w:p w14:paraId="71DC80D1" w14:textId="0D10EB47" w:rsidR="00AE6C40" w:rsidRPr="001751E2" w:rsidRDefault="00AE6C40" w:rsidP="003257ED">
      <w:pPr>
        <w:spacing w:after="0" w:line="360" w:lineRule="auto"/>
        <w:contextualSpacing/>
        <w:mirrorIndents/>
        <w:jc w:val="both"/>
        <w:rPr>
          <w:rFonts w:ascii="Times New Roman" w:eastAsia="Calibri" w:hAnsi="Times New Roman"/>
          <w:color w:val="000000"/>
          <w:sz w:val="20"/>
          <w:szCs w:val="20"/>
        </w:rPr>
      </w:pPr>
    </w:p>
    <w:sectPr w:rsidR="00AE6C40" w:rsidRPr="001751E2" w:rsidSect="002F73E1">
      <w:headerReference w:type="even" r:id="rId15"/>
      <w:headerReference w:type="default" r:id="rId16"/>
      <w:footerReference w:type="even" r:id="rId17"/>
      <w:footerReference w:type="default" r:id="rId18"/>
      <w:headerReference w:type="first" r:id="rId19"/>
      <w:footerReference w:type="first" r:id="rId20"/>
      <w:pgSz w:w="12240" w:h="15840" w:code="1"/>
      <w:pgMar w:top="576" w:right="1440" w:bottom="1008" w:left="1440" w:header="862" w:footer="864" w:gutter="0"/>
      <w:pgNumType w:start="15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91CFD" w14:textId="77777777" w:rsidR="00823DB4" w:rsidRDefault="00823DB4" w:rsidP="00A62EFF">
      <w:pPr>
        <w:spacing w:after="0" w:line="240" w:lineRule="auto"/>
      </w:pPr>
      <w:r>
        <w:separator/>
      </w:r>
    </w:p>
  </w:endnote>
  <w:endnote w:type="continuationSeparator" w:id="0">
    <w:p w14:paraId="4D32FC95" w14:textId="77777777" w:rsidR="00823DB4" w:rsidRDefault="00823DB4"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nion Pro">
    <w:panose1 w:val="00000000000000000000"/>
    <w:charset w:val="00"/>
    <w:family w:val="roman"/>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dvOT8910dd71">
    <w:altName w:val="Arial"/>
    <w:charset w:val="00"/>
    <w:family w:val="swiss"/>
    <w:pitch w:val="default"/>
    <w:sig w:usb0="00000003" w:usb1="00000000" w:usb2="00000000" w:usb3="00000000" w:csb0="00000001" w:csb1="00000000"/>
  </w:font>
  <w:font w:name="ヒラギノ角ゴ Pro W3">
    <w:altName w:val="MS Mincho"/>
    <w:charset w:val="80"/>
    <w:family w:val="auto"/>
    <w:pitch w:val="variable"/>
    <w:sig w:usb0="E00002FF" w:usb1="7AC7FFFF" w:usb2="00000012" w:usb3="00000000" w:csb0="0002000D" w:csb1="00000000"/>
  </w:font>
  <w:font w:name="AdvOT9cb306be.B">
    <w:altName w:val="Arial"/>
    <w:charset w:val="00"/>
    <w:family w:val="swiss"/>
    <w:pitch w:val="default"/>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auto"/>
    <w:pitch w:val="default"/>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GdrxnfAdvTT3713a231">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5D1C" w14:textId="77777777" w:rsidR="00085F0C" w:rsidRDefault="00085F0C">
    <w:pPr>
      <w:pStyle w:val="Footer"/>
    </w:pPr>
  </w:p>
  <w:p w14:paraId="00DFAECD" w14:textId="77777777" w:rsidR="00085F0C" w:rsidRDefault="00085F0C"/>
  <w:p w14:paraId="2041A7B8" w14:textId="77777777" w:rsidR="00085F0C" w:rsidRDefault="00085F0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A51E" w14:textId="77777777" w:rsidR="00816062" w:rsidRDefault="00816062" w:rsidP="00891703">
    <w:pPr>
      <w:pStyle w:val="Footer"/>
      <w:rPr>
        <w:rFonts w:ascii="Times New Roman" w:hAnsi="Times New Roman"/>
        <w:b/>
        <w:bCs/>
        <w:color w:val="0070C0"/>
        <w:sz w:val="20"/>
        <w:szCs w:val="20"/>
        <w:lang w:eastAsia="x-none" w:bidi="si-LK"/>
      </w:rPr>
    </w:pPr>
  </w:p>
  <w:p w14:paraId="688D6752" w14:textId="5F6A1177" w:rsidR="00891703" w:rsidRPr="000A1553" w:rsidRDefault="00891703" w:rsidP="00891703">
    <w:pPr>
      <w:pStyle w:val="Footer"/>
      <w:rPr>
        <w:color w:val="0070C0"/>
        <w:sz w:val="20"/>
        <w:szCs w:val="20"/>
        <w:lang w:val="en-IN"/>
      </w:rPr>
    </w:pPr>
    <w:r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Pr>
        <w:rFonts w:asciiTheme="majorBidi" w:hAnsiTheme="majorBidi" w:cstheme="majorBidi"/>
        <w:b/>
        <w:bCs/>
        <w:color w:val="0070C0"/>
        <w:sz w:val="20"/>
        <w:szCs w:val="20"/>
      </w:rPr>
      <w:t>25</w:t>
    </w:r>
    <w:r w:rsidRPr="000A1553">
      <w:rPr>
        <w:rFonts w:asciiTheme="majorBidi" w:hAnsiTheme="majorBidi" w:cstheme="majorBidi"/>
        <w:b/>
        <w:bCs/>
        <w:noProof/>
        <w:color w:val="0070C0"/>
        <w:sz w:val="20"/>
        <w:szCs w:val="20"/>
      </w:rPr>
      <w:fldChar w:fldCharType="end"/>
    </w:r>
  </w:p>
  <w:p w14:paraId="0D0E097A" w14:textId="21952F2C" w:rsidR="00891703" w:rsidRDefault="0081606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0A4B6" w14:textId="77777777" w:rsidR="00762E20" w:rsidRPr="000A1553" w:rsidRDefault="00762E20">
    <w:pPr>
      <w:pStyle w:val="Footer"/>
      <w:rPr>
        <w:sz w:val="20"/>
        <w:szCs w:val="20"/>
        <w:lang w:val="en-IN"/>
      </w:rPr>
    </w:pPr>
  </w:p>
  <w:p w14:paraId="72D1683F" w14:textId="25D23BDB" w:rsidR="00762E20" w:rsidRPr="000A1553" w:rsidRDefault="00762E20">
    <w:pPr>
      <w:pStyle w:val="Footer"/>
      <w:rPr>
        <w:color w:val="0070C0"/>
        <w:sz w:val="20"/>
        <w:szCs w:val="20"/>
        <w:lang w:val="en-IN"/>
      </w:rPr>
    </w:pPr>
    <w:r w:rsidRPr="000A1553">
      <w:rPr>
        <w:rFonts w:asciiTheme="majorBidi" w:hAnsiTheme="majorBidi" w:cstheme="majorBidi"/>
        <w:b/>
        <w:bCs/>
        <w:color w:val="0070C0"/>
        <w:sz w:val="20"/>
        <w:szCs w:val="20"/>
      </w:rPr>
      <w:t xml:space="preserve"> </w:t>
    </w:r>
    <w:r w:rsidR="000A1553" w:rsidRPr="000A1553">
      <w:rPr>
        <w:rFonts w:ascii="Times New Roman" w:hAnsi="Times New Roman"/>
        <w:b/>
        <w:bCs/>
        <w:color w:val="0070C0"/>
        <w:sz w:val="20"/>
        <w:szCs w:val="20"/>
        <w:lang w:eastAsia="x-none" w:bidi="si-LK"/>
      </w:rPr>
      <w:t>Cardiology and Cardiovascular Medicine</w:t>
    </w:r>
    <w:r w:rsidR="00816062">
      <w:rPr>
        <w:rFonts w:ascii="Times New Roman" w:hAnsi="Times New Roman"/>
        <w:color w:val="0070C0"/>
        <w:sz w:val="20"/>
        <w:szCs w:val="20"/>
        <w:lang w:eastAsia="x-none" w:bidi="si-LK"/>
      </w:rPr>
      <w:t xml:space="preserve">                                             </w:t>
    </w:r>
    <w:r w:rsidRPr="000A1553">
      <w:rPr>
        <w:rFonts w:asciiTheme="majorBidi" w:hAnsiTheme="majorBidi" w:cstheme="majorBidi"/>
        <w:b/>
        <w:bCs/>
        <w:color w:val="0070C0"/>
        <w:sz w:val="20"/>
        <w:szCs w:val="20"/>
      </w:rPr>
      <w:fldChar w:fldCharType="begin"/>
    </w:r>
    <w:r w:rsidRPr="000A1553">
      <w:rPr>
        <w:rFonts w:asciiTheme="majorBidi" w:hAnsiTheme="majorBidi" w:cstheme="majorBidi"/>
        <w:b/>
        <w:bCs/>
        <w:color w:val="0070C0"/>
        <w:sz w:val="20"/>
        <w:szCs w:val="20"/>
      </w:rPr>
      <w:instrText xml:space="preserve"> PAGE   \* MERGEFORMAT </w:instrText>
    </w:r>
    <w:r w:rsidRPr="000A1553">
      <w:rPr>
        <w:rFonts w:asciiTheme="majorBidi" w:hAnsiTheme="majorBidi" w:cstheme="majorBidi"/>
        <w:b/>
        <w:bCs/>
        <w:color w:val="0070C0"/>
        <w:sz w:val="20"/>
        <w:szCs w:val="20"/>
      </w:rPr>
      <w:fldChar w:fldCharType="separate"/>
    </w:r>
    <w:r w:rsidRPr="000A1553">
      <w:rPr>
        <w:rFonts w:asciiTheme="majorBidi" w:hAnsiTheme="majorBidi" w:cstheme="majorBidi"/>
        <w:b/>
        <w:bCs/>
        <w:color w:val="0070C0"/>
        <w:sz w:val="20"/>
        <w:szCs w:val="20"/>
      </w:rPr>
      <w:t>1036</w:t>
    </w:r>
    <w:r w:rsidRPr="000A1553">
      <w:rPr>
        <w:rFonts w:asciiTheme="majorBidi" w:hAnsiTheme="majorBidi" w:cstheme="majorBidi"/>
        <w:b/>
        <w:bCs/>
        <w:noProof/>
        <w:color w:val="0070C0"/>
        <w:sz w:val="20"/>
        <w:szCs w:val="20"/>
      </w:rPr>
      <w:fldChar w:fldCharType="end"/>
    </w:r>
  </w:p>
  <w:p w14:paraId="1BBAA0F0" w14:textId="77777777" w:rsidR="00762E20" w:rsidRPr="000A1553" w:rsidRDefault="00762E20">
    <w:pPr>
      <w:pStyle w:val="Footer"/>
      <w:rPr>
        <w:sz w:val="20"/>
        <w:szCs w:val="20"/>
        <w:lang w:val="e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2CA77" w14:textId="77777777" w:rsidR="00823DB4" w:rsidRDefault="00823DB4" w:rsidP="00A62EFF">
      <w:pPr>
        <w:spacing w:after="0" w:line="240" w:lineRule="auto"/>
      </w:pPr>
      <w:r>
        <w:separator/>
      </w:r>
    </w:p>
  </w:footnote>
  <w:footnote w:type="continuationSeparator" w:id="0">
    <w:p w14:paraId="1B27A0B7" w14:textId="77777777" w:rsidR="00823DB4" w:rsidRDefault="00823DB4"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BD38" w14:textId="77777777" w:rsidR="00085F0C" w:rsidRDefault="00085F0C">
    <w:pPr>
      <w:pStyle w:val="Header"/>
    </w:pPr>
  </w:p>
  <w:p w14:paraId="4AC2D919" w14:textId="77777777" w:rsidR="00085F0C" w:rsidRDefault="00085F0C"/>
  <w:p w14:paraId="300F6010" w14:textId="77777777" w:rsidR="00085F0C" w:rsidRDefault="00085F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1D0E" w14:textId="7567986D" w:rsidR="00891703" w:rsidRPr="00762E20" w:rsidRDefault="00891703" w:rsidP="00891703">
    <w:pPr>
      <w:pStyle w:val="Header"/>
      <w:rPr>
        <w:rFonts w:asciiTheme="majorBidi" w:hAnsiTheme="majorBidi" w:cstheme="majorBidi"/>
        <w:b/>
        <w:bCs/>
        <w:color w:val="0070C0"/>
        <w:sz w:val="20"/>
        <w:szCs w:val="20"/>
      </w:rPr>
    </w:pPr>
    <w:r w:rsidRPr="00762E20">
      <w:rPr>
        <w:rFonts w:asciiTheme="majorBidi" w:hAnsiTheme="majorBidi" w:cstheme="majorBidi"/>
        <w:b/>
        <w:bCs/>
        <w:color w:val="0070C0"/>
        <w:sz w:val="20"/>
        <w:szCs w:val="20"/>
      </w:rPr>
      <w:t>Cardiol Cardiovasc Med 2026; 10(</w:t>
    </w:r>
    <w:r w:rsidR="00CB7B90">
      <w:rPr>
        <w:rFonts w:asciiTheme="majorBidi" w:hAnsiTheme="majorBidi" w:cstheme="majorBidi"/>
        <w:b/>
        <w:bCs/>
        <w:color w:val="0070C0"/>
        <w:sz w:val="20"/>
        <w:szCs w:val="20"/>
      </w:rPr>
      <w:t>4</w:t>
    </w:r>
    <w:r w:rsidRPr="00762E20">
      <w:rPr>
        <w:rFonts w:asciiTheme="majorBidi" w:hAnsiTheme="majorBidi" w:cstheme="majorBidi"/>
        <w:b/>
        <w:bCs/>
        <w:color w:val="0070C0"/>
        <w:sz w:val="20"/>
        <w:szCs w:val="20"/>
      </w:rPr>
      <w:t>):</w:t>
    </w:r>
    <w:r w:rsidR="00B16410">
      <w:rPr>
        <w:rFonts w:asciiTheme="majorBidi" w:hAnsiTheme="majorBidi" w:cstheme="majorBidi"/>
        <w:b/>
        <w:bCs/>
        <w:color w:val="0070C0"/>
        <w:sz w:val="20"/>
        <w:szCs w:val="20"/>
      </w:rPr>
      <w:t>212</w:t>
    </w:r>
    <w:r w:rsidR="00A86D37">
      <w:rPr>
        <w:rFonts w:asciiTheme="majorBidi" w:hAnsiTheme="majorBidi" w:cstheme="majorBidi"/>
        <w:b/>
        <w:bCs/>
        <w:color w:val="0070C0"/>
        <w:sz w:val="20"/>
        <w:szCs w:val="20"/>
      </w:rPr>
      <w:t>-</w:t>
    </w:r>
    <w:r w:rsidR="001A54E7">
      <w:rPr>
        <w:rFonts w:asciiTheme="majorBidi" w:hAnsiTheme="majorBidi" w:cstheme="majorBidi"/>
        <w:b/>
        <w:bCs/>
        <w:color w:val="0070C0"/>
        <w:sz w:val="20"/>
        <w:szCs w:val="20"/>
      </w:rPr>
      <w:t>225</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 xml:space="preserve"> DOI:10.26502/fccm.92920</w:t>
    </w:r>
    <w:r w:rsidR="00B16410">
      <w:rPr>
        <w:rFonts w:asciiTheme="majorBidi" w:hAnsiTheme="majorBidi" w:cstheme="majorBidi"/>
        <w:b/>
        <w:bCs/>
        <w:color w:val="0070C0"/>
        <w:sz w:val="20"/>
        <w:szCs w:val="20"/>
      </w:rPr>
      <w:t>499</w:t>
    </w:r>
  </w:p>
  <w:p w14:paraId="644A9165" w14:textId="0B54B260" w:rsidR="00085F0C" w:rsidRPr="009365C2" w:rsidRDefault="00085F0C" w:rsidP="00891703">
    <w:pPr>
      <w:kinsoku w:val="0"/>
      <w:overflowPunct w:val="0"/>
      <w:rPr>
        <w:rFonts w:ascii="Times New Roman" w:hAnsi="Times New Roman"/>
        <w:b/>
        <w:bCs/>
        <w:i/>
        <w:iCs/>
        <w:color w:val="2D74B6"/>
        <w:spacing w:val="-2"/>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1A66B" w14:textId="0FFDF2C6" w:rsidR="00762E20" w:rsidRPr="00762E20" w:rsidRDefault="00762E20" w:rsidP="00762E20">
    <w:pPr>
      <w:pStyle w:val="Header"/>
      <w:rPr>
        <w:rFonts w:asciiTheme="majorBidi" w:hAnsiTheme="majorBidi" w:cstheme="majorBidi"/>
        <w:b/>
        <w:bCs/>
        <w:color w:val="0070C0"/>
        <w:sz w:val="20"/>
        <w:szCs w:val="20"/>
      </w:rPr>
    </w:pPr>
    <w:r w:rsidRPr="00762E20">
      <w:rPr>
        <w:rFonts w:asciiTheme="majorBidi" w:hAnsiTheme="majorBidi" w:cstheme="majorBidi"/>
        <w:b/>
        <w:bCs/>
        <w:color w:val="0070C0"/>
        <w:sz w:val="20"/>
        <w:szCs w:val="20"/>
      </w:rPr>
      <w:t xml:space="preserve">Cardiol Cardiovasc Med 2026; 10(1): </w:t>
    </w:r>
    <w:r w:rsidR="007A10BA">
      <w:rPr>
        <w:rFonts w:asciiTheme="majorBidi" w:hAnsiTheme="majorBidi" w:cstheme="majorBidi"/>
        <w:b/>
        <w:bCs/>
        <w:color w:val="0070C0"/>
        <w:sz w:val="20"/>
        <w:szCs w:val="20"/>
      </w:rPr>
      <w:t>68</w:t>
    </w:r>
    <w:r w:rsidRPr="00762E20">
      <w:rPr>
        <w:rFonts w:asciiTheme="majorBidi" w:hAnsiTheme="majorBidi" w:cstheme="majorBidi"/>
        <w:b/>
        <w:bCs/>
        <w:color w:val="0070C0"/>
        <w:sz w:val="20"/>
        <w:szCs w:val="20"/>
      </w:rPr>
      <w:t>-</w:t>
    </w:r>
    <w:r w:rsidR="00816062">
      <w:rPr>
        <w:rFonts w:asciiTheme="majorBidi" w:hAnsiTheme="majorBidi" w:cstheme="majorBidi"/>
        <w:b/>
        <w:bCs/>
        <w:color w:val="0070C0"/>
        <w:sz w:val="20"/>
        <w:szCs w:val="20"/>
      </w:rPr>
      <w:t xml:space="preserve">                               </w:t>
    </w:r>
    <w:r w:rsidRPr="00762E20">
      <w:rPr>
        <w:rFonts w:asciiTheme="majorBidi" w:hAnsiTheme="majorBidi" w:cstheme="majorBidi"/>
        <w:b/>
        <w:bCs/>
        <w:color w:val="0070C0"/>
        <w:sz w:val="20"/>
        <w:szCs w:val="20"/>
      </w:rPr>
      <w:t>DOI:10.26502/fccm.9292048</w:t>
    </w:r>
    <w:r w:rsidR="007A10BA">
      <w:rPr>
        <w:rFonts w:asciiTheme="majorBidi" w:hAnsiTheme="majorBidi" w:cstheme="majorBidi"/>
        <w:b/>
        <w:bCs/>
        <w:color w:val="0070C0"/>
        <w:sz w:val="20"/>
        <w:szCs w:val="20"/>
      </w:rPr>
      <w:t>2</w:t>
    </w:r>
  </w:p>
  <w:p w14:paraId="79A54F14" w14:textId="77777777" w:rsidR="00762E20" w:rsidRPr="00762E20" w:rsidRDefault="00762E20" w:rsidP="00762E20">
    <w:pPr>
      <w:pStyle w:val="Header"/>
      <w:jc w:val="right"/>
      <w:rPr>
        <w:rFonts w:asciiTheme="majorBidi" w:hAnsiTheme="majorBidi" w:cstheme="majorBidi"/>
        <w:b/>
        <w:bCs/>
        <w:color w:val="0070C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EA0895"/>
    <w:multiLevelType w:val="singleLevel"/>
    <w:tmpl w:val="E0EA0895"/>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1BE7ECB"/>
    <w:multiLevelType w:val="hybridMultilevel"/>
    <w:tmpl w:val="4AD8A4F8"/>
    <w:lvl w:ilvl="0" w:tplc="6A0CC98A">
      <w:start w:val="1"/>
      <w:numFmt w:val="decimal"/>
      <w:lvlText w:val="%1."/>
      <w:lvlJc w:val="left"/>
      <w:pPr>
        <w:ind w:left="1077" w:hanging="360"/>
      </w:pPr>
      <w:rPr>
        <w:rFonts w:ascii="Times New Roman" w:eastAsiaTheme="minorEastAsia" w:hAnsi="Times New Roman" w:cs="Times New Roman"/>
      </w:r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 w15:restartNumberingAfterBreak="0">
    <w:nsid w:val="0602342C"/>
    <w:multiLevelType w:val="hybridMultilevel"/>
    <w:tmpl w:val="5E5A3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13039"/>
    <w:multiLevelType w:val="hybridMultilevel"/>
    <w:tmpl w:val="5B4CCCCC"/>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E5B59A3"/>
    <w:multiLevelType w:val="hybridMultilevel"/>
    <w:tmpl w:val="23689D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10CB8FD"/>
    <w:multiLevelType w:val="singleLevel"/>
    <w:tmpl w:val="110CB8FD"/>
    <w:lvl w:ilvl="0">
      <w:start w:val="1"/>
      <w:numFmt w:val="bullet"/>
      <w:lvlText w:val=""/>
      <w:lvlJc w:val="left"/>
      <w:pPr>
        <w:tabs>
          <w:tab w:val="left" w:pos="470"/>
        </w:tabs>
        <w:ind w:left="870" w:hanging="420"/>
      </w:pPr>
      <w:rPr>
        <w:rFonts w:ascii="Wingdings" w:hAnsi="Wingdings" w:hint="default"/>
      </w:rPr>
    </w:lvl>
  </w:abstractNum>
  <w:abstractNum w:abstractNumId="6" w15:restartNumberingAfterBreak="0">
    <w:nsid w:val="11F51C37"/>
    <w:multiLevelType w:val="hybridMultilevel"/>
    <w:tmpl w:val="3AD0AA3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5FD467D"/>
    <w:multiLevelType w:val="hybridMultilevel"/>
    <w:tmpl w:val="D200DE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7FE2767"/>
    <w:multiLevelType w:val="hybridMultilevel"/>
    <w:tmpl w:val="D5EC3BE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0F34C44"/>
    <w:multiLevelType w:val="hybridMultilevel"/>
    <w:tmpl w:val="446C3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1D3249"/>
    <w:multiLevelType w:val="hybridMultilevel"/>
    <w:tmpl w:val="B38465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B91F7D"/>
    <w:multiLevelType w:val="hybridMultilevel"/>
    <w:tmpl w:val="5A04A21A"/>
    <w:lvl w:ilvl="0" w:tplc="B6CC48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7A0B62"/>
    <w:multiLevelType w:val="multilevel"/>
    <w:tmpl w:val="440A8D18"/>
    <w:lvl w:ilvl="0">
      <w:start w:val="1"/>
      <w:numFmt w:val="decimal"/>
      <w:pStyle w:val="13Reference"/>
      <w:lvlText w:val="[%1]"/>
      <w:lvlJc w:val="left"/>
      <w:pPr>
        <w:ind w:left="420" w:hanging="420"/>
      </w:pPr>
      <w:rPr>
        <w:rFonts w:ascii="Times New Roman" w:hAnsi="Times New Roman" w:hint="default"/>
        <w:sz w:val="24"/>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2F936161"/>
    <w:multiLevelType w:val="hybridMultilevel"/>
    <w:tmpl w:val="7D165354"/>
    <w:lvl w:ilvl="0" w:tplc="61F204E8">
      <w:start w:val="1"/>
      <w:numFmt w:val="decimal"/>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14" w15:restartNumberingAfterBreak="0">
    <w:nsid w:val="3518108B"/>
    <w:multiLevelType w:val="hybridMultilevel"/>
    <w:tmpl w:val="A594C1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369116C4"/>
    <w:multiLevelType w:val="hybridMultilevel"/>
    <w:tmpl w:val="ED381CA4"/>
    <w:lvl w:ilvl="0" w:tplc="6BD2B344">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3F206F"/>
    <w:multiLevelType w:val="hybridMultilevel"/>
    <w:tmpl w:val="02FE02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3B904FE7"/>
    <w:multiLevelType w:val="hybridMultilevel"/>
    <w:tmpl w:val="4816C8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C415888"/>
    <w:multiLevelType w:val="hybridMultilevel"/>
    <w:tmpl w:val="309E9E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03E454D"/>
    <w:multiLevelType w:val="hybridMultilevel"/>
    <w:tmpl w:val="5D1C545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37119D7"/>
    <w:multiLevelType w:val="hybridMultilevel"/>
    <w:tmpl w:val="6D4C5A28"/>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63F1039"/>
    <w:multiLevelType w:val="hybridMultilevel"/>
    <w:tmpl w:val="FCEC9FC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A2E1C43"/>
    <w:multiLevelType w:val="hybridMultilevel"/>
    <w:tmpl w:val="4202D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457203"/>
    <w:multiLevelType w:val="hybridMultilevel"/>
    <w:tmpl w:val="66D21DEE"/>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4" w15:restartNumberingAfterBreak="0">
    <w:nsid w:val="50982439"/>
    <w:multiLevelType w:val="hybridMultilevel"/>
    <w:tmpl w:val="ABF8F496"/>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40D4CB8"/>
    <w:multiLevelType w:val="hybridMultilevel"/>
    <w:tmpl w:val="E2965648"/>
    <w:lvl w:ilvl="0" w:tplc="4009000F">
      <w:start w:val="1"/>
      <w:numFmt w:val="decimal"/>
      <w:lvlText w:val="%1."/>
      <w:lvlJc w:val="left"/>
      <w:pPr>
        <w:ind w:left="786"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4FD3C15"/>
    <w:multiLevelType w:val="hybridMultilevel"/>
    <w:tmpl w:val="9E4AFAC4"/>
    <w:lvl w:ilvl="0" w:tplc="5000A072">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9364AD"/>
    <w:multiLevelType w:val="multilevel"/>
    <w:tmpl w:val="880CA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7874BC"/>
    <w:multiLevelType w:val="hybridMultilevel"/>
    <w:tmpl w:val="95A098F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2A17A8B"/>
    <w:multiLevelType w:val="hybridMultilevel"/>
    <w:tmpl w:val="F6AE26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6392335F"/>
    <w:multiLevelType w:val="hybridMultilevel"/>
    <w:tmpl w:val="D11E2826"/>
    <w:lvl w:ilvl="0" w:tplc="C268971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390600"/>
    <w:multiLevelType w:val="hybridMultilevel"/>
    <w:tmpl w:val="DA5C95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654A201B"/>
    <w:multiLevelType w:val="hybridMultilevel"/>
    <w:tmpl w:val="95905B30"/>
    <w:lvl w:ilvl="0" w:tplc="286E4C60">
      <w:start w:val="2"/>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47227E"/>
    <w:multiLevelType w:val="hybridMultilevel"/>
    <w:tmpl w:val="F26A7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836090"/>
    <w:multiLevelType w:val="hybridMultilevel"/>
    <w:tmpl w:val="9D4E25B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744F5750"/>
    <w:multiLevelType w:val="hybridMultilevel"/>
    <w:tmpl w:val="7A56D35A"/>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51C008C"/>
    <w:multiLevelType w:val="hybridMultilevel"/>
    <w:tmpl w:val="4E405A40"/>
    <w:lvl w:ilvl="0" w:tplc="4009000B">
      <w:start w:val="1"/>
      <w:numFmt w:val="bullet"/>
      <w:lvlText w:val=""/>
      <w:lvlJc w:val="left"/>
      <w:pPr>
        <w:ind w:left="810" w:hanging="360"/>
      </w:pPr>
      <w:rPr>
        <w:rFonts w:ascii="Wingdings" w:hAnsi="Wingdings" w:hint="default"/>
      </w:rPr>
    </w:lvl>
    <w:lvl w:ilvl="1" w:tplc="40090003" w:tentative="1">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37" w15:restartNumberingAfterBreak="0">
    <w:nsid w:val="7D5E4FB9"/>
    <w:multiLevelType w:val="hybridMultilevel"/>
    <w:tmpl w:val="134212DE"/>
    <w:lvl w:ilvl="0" w:tplc="4D3EA1F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FC687A"/>
    <w:multiLevelType w:val="hybridMultilevel"/>
    <w:tmpl w:val="3E3ABE6A"/>
    <w:lvl w:ilvl="0" w:tplc="F2ECF928">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6D47F4"/>
    <w:multiLevelType w:val="hybridMultilevel"/>
    <w:tmpl w:val="CC546DF4"/>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17364187">
    <w:abstractNumId w:val="12"/>
  </w:num>
  <w:num w:numId="2" w16cid:durableId="881751739">
    <w:abstractNumId w:val="14"/>
  </w:num>
  <w:num w:numId="3" w16cid:durableId="1557858791">
    <w:abstractNumId w:val="5"/>
  </w:num>
  <w:num w:numId="4" w16cid:durableId="1452282351">
    <w:abstractNumId w:val="10"/>
  </w:num>
  <w:num w:numId="5" w16cid:durableId="2055155220">
    <w:abstractNumId w:val="36"/>
  </w:num>
  <w:num w:numId="6" w16cid:durableId="777725767">
    <w:abstractNumId w:val="0"/>
  </w:num>
  <w:num w:numId="7" w16cid:durableId="90123003">
    <w:abstractNumId w:val="7"/>
  </w:num>
  <w:num w:numId="8" w16cid:durableId="62989795">
    <w:abstractNumId w:val="18"/>
  </w:num>
  <w:num w:numId="9" w16cid:durableId="1593203606">
    <w:abstractNumId w:val="11"/>
  </w:num>
  <w:num w:numId="10" w16cid:durableId="199784957">
    <w:abstractNumId w:val="15"/>
  </w:num>
  <w:num w:numId="11" w16cid:durableId="1302930511">
    <w:abstractNumId w:val="37"/>
  </w:num>
  <w:num w:numId="12" w16cid:durableId="723144596">
    <w:abstractNumId w:val="32"/>
  </w:num>
  <w:num w:numId="13" w16cid:durableId="1329407569">
    <w:abstractNumId w:val="9"/>
  </w:num>
  <w:num w:numId="14" w16cid:durableId="736631971">
    <w:abstractNumId w:val="22"/>
  </w:num>
  <w:num w:numId="15" w16cid:durableId="994064963">
    <w:abstractNumId w:val="33"/>
  </w:num>
  <w:num w:numId="16" w16cid:durableId="1315993066">
    <w:abstractNumId w:val="30"/>
  </w:num>
  <w:num w:numId="17" w16cid:durableId="1775586322">
    <w:abstractNumId w:val="2"/>
  </w:num>
  <w:num w:numId="18" w16cid:durableId="695272741">
    <w:abstractNumId w:val="38"/>
  </w:num>
  <w:num w:numId="19" w16cid:durableId="2037198484">
    <w:abstractNumId w:val="26"/>
  </w:num>
  <w:num w:numId="20" w16cid:durableId="475530544">
    <w:abstractNumId w:val="27"/>
  </w:num>
  <w:num w:numId="21" w16cid:durableId="664086365">
    <w:abstractNumId w:val="28"/>
  </w:num>
  <w:num w:numId="22" w16cid:durableId="1370912985">
    <w:abstractNumId w:val="29"/>
  </w:num>
  <w:num w:numId="23" w16cid:durableId="1529948825">
    <w:abstractNumId w:val="8"/>
  </w:num>
  <w:num w:numId="24" w16cid:durableId="1772428237">
    <w:abstractNumId w:val="19"/>
  </w:num>
  <w:num w:numId="25" w16cid:durableId="295724694">
    <w:abstractNumId w:val="39"/>
  </w:num>
  <w:num w:numId="26" w16cid:durableId="1293824798">
    <w:abstractNumId w:val="24"/>
  </w:num>
  <w:num w:numId="27" w16cid:durableId="1596014857">
    <w:abstractNumId w:val="35"/>
  </w:num>
  <w:num w:numId="28" w16cid:durableId="1274631221">
    <w:abstractNumId w:val="17"/>
  </w:num>
  <w:num w:numId="29" w16cid:durableId="651103143">
    <w:abstractNumId w:val="16"/>
  </w:num>
  <w:num w:numId="30" w16cid:durableId="2122217136">
    <w:abstractNumId w:val="6"/>
  </w:num>
  <w:num w:numId="31" w16cid:durableId="1189565611">
    <w:abstractNumId w:val="31"/>
  </w:num>
  <w:num w:numId="32" w16cid:durableId="2097479920">
    <w:abstractNumId w:val="20"/>
  </w:num>
  <w:num w:numId="33" w16cid:durableId="75134129">
    <w:abstractNumId w:val="34"/>
  </w:num>
  <w:num w:numId="34" w16cid:durableId="782531063">
    <w:abstractNumId w:val="21"/>
  </w:num>
  <w:num w:numId="35" w16cid:durableId="850217954">
    <w:abstractNumId w:val="25"/>
  </w:num>
  <w:num w:numId="36" w16cid:durableId="747461938">
    <w:abstractNumId w:val="4"/>
  </w:num>
  <w:num w:numId="37" w16cid:durableId="1165245287">
    <w:abstractNumId w:val="3"/>
  </w:num>
  <w:num w:numId="38" w16cid:durableId="1832209744">
    <w:abstractNumId w:val="23"/>
  </w:num>
  <w:num w:numId="39" w16cid:durableId="1414670185">
    <w:abstractNumId w:val="13"/>
  </w:num>
  <w:num w:numId="40" w16cid:durableId="144160341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D3"/>
    <w:rsid w:val="000001A4"/>
    <w:rsid w:val="0000029F"/>
    <w:rsid w:val="00000344"/>
    <w:rsid w:val="00000B4A"/>
    <w:rsid w:val="0000153A"/>
    <w:rsid w:val="000015D2"/>
    <w:rsid w:val="00001FB0"/>
    <w:rsid w:val="000027C2"/>
    <w:rsid w:val="00002C88"/>
    <w:rsid w:val="00002CC0"/>
    <w:rsid w:val="000035E4"/>
    <w:rsid w:val="000039C4"/>
    <w:rsid w:val="000041B4"/>
    <w:rsid w:val="00004314"/>
    <w:rsid w:val="00004465"/>
    <w:rsid w:val="00004AAD"/>
    <w:rsid w:val="00004E80"/>
    <w:rsid w:val="00004F02"/>
    <w:rsid w:val="000060E9"/>
    <w:rsid w:val="0000627B"/>
    <w:rsid w:val="000067C7"/>
    <w:rsid w:val="00006985"/>
    <w:rsid w:val="00006A82"/>
    <w:rsid w:val="00006D7F"/>
    <w:rsid w:val="00006DC8"/>
    <w:rsid w:val="00007156"/>
    <w:rsid w:val="000073D6"/>
    <w:rsid w:val="0000755C"/>
    <w:rsid w:val="00007D30"/>
    <w:rsid w:val="00007E48"/>
    <w:rsid w:val="00007F00"/>
    <w:rsid w:val="00010311"/>
    <w:rsid w:val="00010D3D"/>
    <w:rsid w:val="00010ED3"/>
    <w:rsid w:val="000111B7"/>
    <w:rsid w:val="0001169F"/>
    <w:rsid w:val="000117A2"/>
    <w:rsid w:val="00011834"/>
    <w:rsid w:val="000119E0"/>
    <w:rsid w:val="00011E48"/>
    <w:rsid w:val="00011EA6"/>
    <w:rsid w:val="0001249E"/>
    <w:rsid w:val="00012604"/>
    <w:rsid w:val="0001263D"/>
    <w:rsid w:val="0001306E"/>
    <w:rsid w:val="00013139"/>
    <w:rsid w:val="000132F3"/>
    <w:rsid w:val="000135E5"/>
    <w:rsid w:val="0001371B"/>
    <w:rsid w:val="00013D61"/>
    <w:rsid w:val="000146D2"/>
    <w:rsid w:val="00014866"/>
    <w:rsid w:val="0001486C"/>
    <w:rsid w:val="00015423"/>
    <w:rsid w:val="00015554"/>
    <w:rsid w:val="000157D3"/>
    <w:rsid w:val="0001592E"/>
    <w:rsid w:val="00015950"/>
    <w:rsid w:val="00015D3F"/>
    <w:rsid w:val="00015EBE"/>
    <w:rsid w:val="00017406"/>
    <w:rsid w:val="00017935"/>
    <w:rsid w:val="00017A69"/>
    <w:rsid w:val="000203AF"/>
    <w:rsid w:val="0002077E"/>
    <w:rsid w:val="00020CB2"/>
    <w:rsid w:val="00020F7C"/>
    <w:rsid w:val="00021060"/>
    <w:rsid w:val="00021254"/>
    <w:rsid w:val="00021AFD"/>
    <w:rsid w:val="00021E53"/>
    <w:rsid w:val="00021F19"/>
    <w:rsid w:val="000223F6"/>
    <w:rsid w:val="0002287E"/>
    <w:rsid w:val="000232DB"/>
    <w:rsid w:val="000233E6"/>
    <w:rsid w:val="00023D69"/>
    <w:rsid w:val="00023DBE"/>
    <w:rsid w:val="00023F64"/>
    <w:rsid w:val="000240AF"/>
    <w:rsid w:val="00024650"/>
    <w:rsid w:val="00024668"/>
    <w:rsid w:val="00024A98"/>
    <w:rsid w:val="00025EF7"/>
    <w:rsid w:val="0002611D"/>
    <w:rsid w:val="00026E02"/>
    <w:rsid w:val="000271F8"/>
    <w:rsid w:val="00027EAB"/>
    <w:rsid w:val="00027FE9"/>
    <w:rsid w:val="00031954"/>
    <w:rsid w:val="00031BFD"/>
    <w:rsid w:val="00031FB8"/>
    <w:rsid w:val="000322CF"/>
    <w:rsid w:val="00032624"/>
    <w:rsid w:val="00032E84"/>
    <w:rsid w:val="00032F8B"/>
    <w:rsid w:val="000330C6"/>
    <w:rsid w:val="0003337F"/>
    <w:rsid w:val="0003349E"/>
    <w:rsid w:val="00033764"/>
    <w:rsid w:val="00033A45"/>
    <w:rsid w:val="00033DE7"/>
    <w:rsid w:val="00034121"/>
    <w:rsid w:val="0003449C"/>
    <w:rsid w:val="00034722"/>
    <w:rsid w:val="000348C4"/>
    <w:rsid w:val="00034CBA"/>
    <w:rsid w:val="0003519A"/>
    <w:rsid w:val="000354E7"/>
    <w:rsid w:val="00035857"/>
    <w:rsid w:val="0003588A"/>
    <w:rsid w:val="0003619B"/>
    <w:rsid w:val="00036615"/>
    <w:rsid w:val="00036866"/>
    <w:rsid w:val="00036D79"/>
    <w:rsid w:val="00036FAE"/>
    <w:rsid w:val="000372B1"/>
    <w:rsid w:val="000376AB"/>
    <w:rsid w:val="000400A7"/>
    <w:rsid w:val="00040242"/>
    <w:rsid w:val="00040703"/>
    <w:rsid w:val="0004074D"/>
    <w:rsid w:val="0004089F"/>
    <w:rsid w:val="000409AA"/>
    <w:rsid w:val="00040A76"/>
    <w:rsid w:val="00040AC2"/>
    <w:rsid w:val="00040D9A"/>
    <w:rsid w:val="0004154F"/>
    <w:rsid w:val="00041834"/>
    <w:rsid w:val="000418D2"/>
    <w:rsid w:val="00041AA2"/>
    <w:rsid w:val="00042405"/>
    <w:rsid w:val="000424B8"/>
    <w:rsid w:val="000428C0"/>
    <w:rsid w:val="0004296B"/>
    <w:rsid w:val="00042BBD"/>
    <w:rsid w:val="00042FE3"/>
    <w:rsid w:val="00042FE8"/>
    <w:rsid w:val="00043AEC"/>
    <w:rsid w:val="00043DDA"/>
    <w:rsid w:val="0004436D"/>
    <w:rsid w:val="0004501A"/>
    <w:rsid w:val="00045249"/>
    <w:rsid w:val="000452C3"/>
    <w:rsid w:val="0004546E"/>
    <w:rsid w:val="00045C18"/>
    <w:rsid w:val="00045F6B"/>
    <w:rsid w:val="0004678A"/>
    <w:rsid w:val="0004683A"/>
    <w:rsid w:val="00046C90"/>
    <w:rsid w:val="00046F68"/>
    <w:rsid w:val="00050CE7"/>
    <w:rsid w:val="000512BD"/>
    <w:rsid w:val="000516EE"/>
    <w:rsid w:val="00052088"/>
    <w:rsid w:val="000528D1"/>
    <w:rsid w:val="00052DAB"/>
    <w:rsid w:val="00052F50"/>
    <w:rsid w:val="000530DE"/>
    <w:rsid w:val="000538E6"/>
    <w:rsid w:val="00053D18"/>
    <w:rsid w:val="000542A9"/>
    <w:rsid w:val="00054502"/>
    <w:rsid w:val="0005496B"/>
    <w:rsid w:val="000550A0"/>
    <w:rsid w:val="00055667"/>
    <w:rsid w:val="00055899"/>
    <w:rsid w:val="00055968"/>
    <w:rsid w:val="00055AC7"/>
    <w:rsid w:val="00055CB5"/>
    <w:rsid w:val="00055F9A"/>
    <w:rsid w:val="00057298"/>
    <w:rsid w:val="000577A8"/>
    <w:rsid w:val="00057D88"/>
    <w:rsid w:val="00057E74"/>
    <w:rsid w:val="00057FAE"/>
    <w:rsid w:val="0006037E"/>
    <w:rsid w:val="00060457"/>
    <w:rsid w:val="00060613"/>
    <w:rsid w:val="00060B34"/>
    <w:rsid w:val="00060C14"/>
    <w:rsid w:val="00060CCE"/>
    <w:rsid w:val="000611D2"/>
    <w:rsid w:val="000611D6"/>
    <w:rsid w:val="0006200D"/>
    <w:rsid w:val="0006226B"/>
    <w:rsid w:val="00062D64"/>
    <w:rsid w:val="000631B5"/>
    <w:rsid w:val="00063436"/>
    <w:rsid w:val="00063477"/>
    <w:rsid w:val="00063B73"/>
    <w:rsid w:val="00063B87"/>
    <w:rsid w:val="000645FD"/>
    <w:rsid w:val="0006472E"/>
    <w:rsid w:val="00064E15"/>
    <w:rsid w:val="000659ED"/>
    <w:rsid w:val="00065D4C"/>
    <w:rsid w:val="00065F85"/>
    <w:rsid w:val="00066680"/>
    <w:rsid w:val="00066B0A"/>
    <w:rsid w:val="00066D99"/>
    <w:rsid w:val="00066E4C"/>
    <w:rsid w:val="000676FA"/>
    <w:rsid w:val="00067866"/>
    <w:rsid w:val="000678FD"/>
    <w:rsid w:val="00067BAB"/>
    <w:rsid w:val="00067DD9"/>
    <w:rsid w:val="000701E9"/>
    <w:rsid w:val="000701EE"/>
    <w:rsid w:val="00070291"/>
    <w:rsid w:val="000703AC"/>
    <w:rsid w:val="00070929"/>
    <w:rsid w:val="0007095D"/>
    <w:rsid w:val="00070963"/>
    <w:rsid w:val="00070C70"/>
    <w:rsid w:val="00070DC1"/>
    <w:rsid w:val="0007111A"/>
    <w:rsid w:val="000715E6"/>
    <w:rsid w:val="0007308C"/>
    <w:rsid w:val="0007328B"/>
    <w:rsid w:val="00073328"/>
    <w:rsid w:val="000736C8"/>
    <w:rsid w:val="00073738"/>
    <w:rsid w:val="0007393E"/>
    <w:rsid w:val="00073C4D"/>
    <w:rsid w:val="00073CBC"/>
    <w:rsid w:val="00074519"/>
    <w:rsid w:val="00074714"/>
    <w:rsid w:val="0007473D"/>
    <w:rsid w:val="00074970"/>
    <w:rsid w:val="00074F7E"/>
    <w:rsid w:val="00075A13"/>
    <w:rsid w:val="00076198"/>
    <w:rsid w:val="00076E2A"/>
    <w:rsid w:val="00076FDF"/>
    <w:rsid w:val="000778C3"/>
    <w:rsid w:val="000779E5"/>
    <w:rsid w:val="00077CE5"/>
    <w:rsid w:val="00077D95"/>
    <w:rsid w:val="00077E8E"/>
    <w:rsid w:val="000803B5"/>
    <w:rsid w:val="0008061B"/>
    <w:rsid w:val="0008090A"/>
    <w:rsid w:val="00080D91"/>
    <w:rsid w:val="00081156"/>
    <w:rsid w:val="0008166A"/>
    <w:rsid w:val="000816D8"/>
    <w:rsid w:val="0008240C"/>
    <w:rsid w:val="00082DFB"/>
    <w:rsid w:val="00082E7F"/>
    <w:rsid w:val="00083394"/>
    <w:rsid w:val="0008365C"/>
    <w:rsid w:val="000836FA"/>
    <w:rsid w:val="00083805"/>
    <w:rsid w:val="00083CEF"/>
    <w:rsid w:val="00084948"/>
    <w:rsid w:val="00085BFE"/>
    <w:rsid w:val="00085F0C"/>
    <w:rsid w:val="00086064"/>
    <w:rsid w:val="0008614C"/>
    <w:rsid w:val="00086B40"/>
    <w:rsid w:val="00086ED6"/>
    <w:rsid w:val="00087181"/>
    <w:rsid w:val="00087491"/>
    <w:rsid w:val="000874AB"/>
    <w:rsid w:val="0008751F"/>
    <w:rsid w:val="00087750"/>
    <w:rsid w:val="00087E1D"/>
    <w:rsid w:val="00087E71"/>
    <w:rsid w:val="00090A7B"/>
    <w:rsid w:val="00090DC0"/>
    <w:rsid w:val="00090E5B"/>
    <w:rsid w:val="00090EB3"/>
    <w:rsid w:val="0009113C"/>
    <w:rsid w:val="00091539"/>
    <w:rsid w:val="0009230C"/>
    <w:rsid w:val="000924CB"/>
    <w:rsid w:val="0009273F"/>
    <w:rsid w:val="000927EE"/>
    <w:rsid w:val="000933A4"/>
    <w:rsid w:val="00093431"/>
    <w:rsid w:val="0009378E"/>
    <w:rsid w:val="00093BB6"/>
    <w:rsid w:val="00093BC7"/>
    <w:rsid w:val="00095606"/>
    <w:rsid w:val="000956DA"/>
    <w:rsid w:val="00095835"/>
    <w:rsid w:val="000959EA"/>
    <w:rsid w:val="00095C07"/>
    <w:rsid w:val="000964CD"/>
    <w:rsid w:val="000967BF"/>
    <w:rsid w:val="00096895"/>
    <w:rsid w:val="00096C16"/>
    <w:rsid w:val="00096DD0"/>
    <w:rsid w:val="00097B03"/>
    <w:rsid w:val="00097F0F"/>
    <w:rsid w:val="000A0F4D"/>
    <w:rsid w:val="000A1156"/>
    <w:rsid w:val="000A1241"/>
    <w:rsid w:val="000A1553"/>
    <w:rsid w:val="000A1CA0"/>
    <w:rsid w:val="000A2B48"/>
    <w:rsid w:val="000A2D08"/>
    <w:rsid w:val="000A2D52"/>
    <w:rsid w:val="000A38BF"/>
    <w:rsid w:val="000A3EEB"/>
    <w:rsid w:val="000A3F8D"/>
    <w:rsid w:val="000A43F8"/>
    <w:rsid w:val="000A44B9"/>
    <w:rsid w:val="000A49C8"/>
    <w:rsid w:val="000A4B91"/>
    <w:rsid w:val="000A567A"/>
    <w:rsid w:val="000A5AF2"/>
    <w:rsid w:val="000A5ED0"/>
    <w:rsid w:val="000A6313"/>
    <w:rsid w:val="000A65C7"/>
    <w:rsid w:val="000A6B60"/>
    <w:rsid w:val="000A6D24"/>
    <w:rsid w:val="000A784A"/>
    <w:rsid w:val="000A7D7A"/>
    <w:rsid w:val="000B0551"/>
    <w:rsid w:val="000B0A81"/>
    <w:rsid w:val="000B14AB"/>
    <w:rsid w:val="000B1AFC"/>
    <w:rsid w:val="000B1C71"/>
    <w:rsid w:val="000B1FA9"/>
    <w:rsid w:val="000B25CD"/>
    <w:rsid w:val="000B2916"/>
    <w:rsid w:val="000B2B4E"/>
    <w:rsid w:val="000B2F5D"/>
    <w:rsid w:val="000B3375"/>
    <w:rsid w:val="000B345F"/>
    <w:rsid w:val="000B37D0"/>
    <w:rsid w:val="000B3922"/>
    <w:rsid w:val="000B3AE0"/>
    <w:rsid w:val="000B3B14"/>
    <w:rsid w:val="000B4091"/>
    <w:rsid w:val="000B40CA"/>
    <w:rsid w:val="000B4760"/>
    <w:rsid w:val="000B4C13"/>
    <w:rsid w:val="000B4C45"/>
    <w:rsid w:val="000B4F18"/>
    <w:rsid w:val="000B4F23"/>
    <w:rsid w:val="000B513D"/>
    <w:rsid w:val="000B59B2"/>
    <w:rsid w:val="000B5EE4"/>
    <w:rsid w:val="000B5F97"/>
    <w:rsid w:val="000B6868"/>
    <w:rsid w:val="000B7441"/>
    <w:rsid w:val="000B765C"/>
    <w:rsid w:val="000B7BC1"/>
    <w:rsid w:val="000B7BCB"/>
    <w:rsid w:val="000B7BDD"/>
    <w:rsid w:val="000B7CD8"/>
    <w:rsid w:val="000B7F3F"/>
    <w:rsid w:val="000C045E"/>
    <w:rsid w:val="000C05CA"/>
    <w:rsid w:val="000C107E"/>
    <w:rsid w:val="000C155B"/>
    <w:rsid w:val="000C15E8"/>
    <w:rsid w:val="000C1CA1"/>
    <w:rsid w:val="000C219F"/>
    <w:rsid w:val="000C242E"/>
    <w:rsid w:val="000C2A7A"/>
    <w:rsid w:val="000C2AAC"/>
    <w:rsid w:val="000C2D94"/>
    <w:rsid w:val="000C3811"/>
    <w:rsid w:val="000C3C5B"/>
    <w:rsid w:val="000C40E7"/>
    <w:rsid w:val="000C4521"/>
    <w:rsid w:val="000C5D85"/>
    <w:rsid w:val="000C5DAD"/>
    <w:rsid w:val="000C65E2"/>
    <w:rsid w:val="000C676E"/>
    <w:rsid w:val="000C6A6F"/>
    <w:rsid w:val="000C6EB0"/>
    <w:rsid w:val="000C6FB1"/>
    <w:rsid w:val="000C7720"/>
    <w:rsid w:val="000C7759"/>
    <w:rsid w:val="000C7888"/>
    <w:rsid w:val="000C78F7"/>
    <w:rsid w:val="000C7AA6"/>
    <w:rsid w:val="000C7BF4"/>
    <w:rsid w:val="000C7D39"/>
    <w:rsid w:val="000C7E51"/>
    <w:rsid w:val="000D006A"/>
    <w:rsid w:val="000D050F"/>
    <w:rsid w:val="000D0942"/>
    <w:rsid w:val="000D0BCE"/>
    <w:rsid w:val="000D0D8C"/>
    <w:rsid w:val="000D1390"/>
    <w:rsid w:val="000D22CD"/>
    <w:rsid w:val="000D299E"/>
    <w:rsid w:val="000D3516"/>
    <w:rsid w:val="000D3710"/>
    <w:rsid w:val="000D3A0D"/>
    <w:rsid w:val="000D3D79"/>
    <w:rsid w:val="000D41C8"/>
    <w:rsid w:val="000D4372"/>
    <w:rsid w:val="000D47F4"/>
    <w:rsid w:val="000D4821"/>
    <w:rsid w:val="000D4980"/>
    <w:rsid w:val="000D4AA7"/>
    <w:rsid w:val="000D5137"/>
    <w:rsid w:val="000D5502"/>
    <w:rsid w:val="000D5CD9"/>
    <w:rsid w:val="000D6056"/>
    <w:rsid w:val="000D6D66"/>
    <w:rsid w:val="000D6EF8"/>
    <w:rsid w:val="000D6F64"/>
    <w:rsid w:val="000D6F86"/>
    <w:rsid w:val="000D6FF6"/>
    <w:rsid w:val="000D71B3"/>
    <w:rsid w:val="000D7888"/>
    <w:rsid w:val="000D7C7B"/>
    <w:rsid w:val="000D7C8D"/>
    <w:rsid w:val="000E0181"/>
    <w:rsid w:val="000E0415"/>
    <w:rsid w:val="000E0452"/>
    <w:rsid w:val="000E0BA0"/>
    <w:rsid w:val="000E11F6"/>
    <w:rsid w:val="000E1908"/>
    <w:rsid w:val="000E1F0B"/>
    <w:rsid w:val="000E23A3"/>
    <w:rsid w:val="000E2553"/>
    <w:rsid w:val="000E276A"/>
    <w:rsid w:val="000E3324"/>
    <w:rsid w:val="000E3576"/>
    <w:rsid w:val="000E35CE"/>
    <w:rsid w:val="000E3920"/>
    <w:rsid w:val="000E3FD3"/>
    <w:rsid w:val="000E3FEF"/>
    <w:rsid w:val="000E41F8"/>
    <w:rsid w:val="000E4561"/>
    <w:rsid w:val="000E4BDA"/>
    <w:rsid w:val="000E5022"/>
    <w:rsid w:val="000E553B"/>
    <w:rsid w:val="000E5863"/>
    <w:rsid w:val="000E597B"/>
    <w:rsid w:val="000E5A7D"/>
    <w:rsid w:val="000E5CDA"/>
    <w:rsid w:val="000E5F7E"/>
    <w:rsid w:val="000E5F91"/>
    <w:rsid w:val="000E61A4"/>
    <w:rsid w:val="000E65FB"/>
    <w:rsid w:val="000E6829"/>
    <w:rsid w:val="000E6B79"/>
    <w:rsid w:val="000E6F66"/>
    <w:rsid w:val="000E74FC"/>
    <w:rsid w:val="000E7B8B"/>
    <w:rsid w:val="000F02DC"/>
    <w:rsid w:val="000F07FA"/>
    <w:rsid w:val="000F09DF"/>
    <w:rsid w:val="000F0A37"/>
    <w:rsid w:val="000F0F2D"/>
    <w:rsid w:val="000F1151"/>
    <w:rsid w:val="000F11C8"/>
    <w:rsid w:val="000F1923"/>
    <w:rsid w:val="000F1B48"/>
    <w:rsid w:val="000F2527"/>
    <w:rsid w:val="000F2E28"/>
    <w:rsid w:val="000F2E61"/>
    <w:rsid w:val="000F3209"/>
    <w:rsid w:val="000F390F"/>
    <w:rsid w:val="000F3A5D"/>
    <w:rsid w:val="000F3C66"/>
    <w:rsid w:val="000F3D7D"/>
    <w:rsid w:val="000F3DE4"/>
    <w:rsid w:val="000F4FB1"/>
    <w:rsid w:val="000F4FBB"/>
    <w:rsid w:val="000F510E"/>
    <w:rsid w:val="000F5DC0"/>
    <w:rsid w:val="000F6441"/>
    <w:rsid w:val="000F658B"/>
    <w:rsid w:val="000F6696"/>
    <w:rsid w:val="000F6877"/>
    <w:rsid w:val="000F6A76"/>
    <w:rsid w:val="000F723B"/>
    <w:rsid w:val="000F73B1"/>
    <w:rsid w:val="000F7605"/>
    <w:rsid w:val="000F7B23"/>
    <w:rsid w:val="000F7E01"/>
    <w:rsid w:val="000F7F42"/>
    <w:rsid w:val="001001E2"/>
    <w:rsid w:val="0010097D"/>
    <w:rsid w:val="001013FE"/>
    <w:rsid w:val="0010140D"/>
    <w:rsid w:val="00101A2D"/>
    <w:rsid w:val="00101C3F"/>
    <w:rsid w:val="00102145"/>
    <w:rsid w:val="00102C4B"/>
    <w:rsid w:val="001030D0"/>
    <w:rsid w:val="00103B74"/>
    <w:rsid w:val="001040FB"/>
    <w:rsid w:val="0010411F"/>
    <w:rsid w:val="001043A4"/>
    <w:rsid w:val="0010477A"/>
    <w:rsid w:val="00104E76"/>
    <w:rsid w:val="00105290"/>
    <w:rsid w:val="00106473"/>
    <w:rsid w:val="0010664E"/>
    <w:rsid w:val="001067FC"/>
    <w:rsid w:val="00107422"/>
    <w:rsid w:val="0010746F"/>
    <w:rsid w:val="0010764C"/>
    <w:rsid w:val="0010786F"/>
    <w:rsid w:val="00107D24"/>
    <w:rsid w:val="001102CF"/>
    <w:rsid w:val="00110868"/>
    <w:rsid w:val="0011089F"/>
    <w:rsid w:val="0011091A"/>
    <w:rsid w:val="00111429"/>
    <w:rsid w:val="001116CB"/>
    <w:rsid w:val="00111D7F"/>
    <w:rsid w:val="00111F80"/>
    <w:rsid w:val="00111FFF"/>
    <w:rsid w:val="00112B45"/>
    <w:rsid w:val="001138C1"/>
    <w:rsid w:val="0011435B"/>
    <w:rsid w:val="001143F1"/>
    <w:rsid w:val="0011465C"/>
    <w:rsid w:val="00114C03"/>
    <w:rsid w:val="001157E1"/>
    <w:rsid w:val="00115A6E"/>
    <w:rsid w:val="001160E4"/>
    <w:rsid w:val="0011614B"/>
    <w:rsid w:val="001162F1"/>
    <w:rsid w:val="00116FAB"/>
    <w:rsid w:val="00117787"/>
    <w:rsid w:val="0011783D"/>
    <w:rsid w:val="001179A6"/>
    <w:rsid w:val="00117C6F"/>
    <w:rsid w:val="00120647"/>
    <w:rsid w:val="00120886"/>
    <w:rsid w:val="001208E3"/>
    <w:rsid w:val="00120959"/>
    <w:rsid w:val="001209FE"/>
    <w:rsid w:val="00120CF6"/>
    <w:rsid w:val="00120E5E"/>
    <w:rsid w:val="00121492"/>
    <w:rsid w:val="00121591"/>
    <w:rsid w:val="00121BC8"/>
    <w:rsid w:val="00122156"/>
    <w:rsid w:val="00122162"/>
    <w:rsid w:val="001224A5"/>
    <w:rsid w:val="00122A38"/>
    <w:rsid w:val="00122A97"/>
    <w:rsid w:val="00122E16"/>
    <w:rsid w:val="00122FF7"/>
    <w:rsid w:val="001234F9"/>
    <w:rsid w:val="00123B78"/>
    <w:rsid w:val="00123E3E"/>
    <w:rsid w:val="001242BB"/>
    <w:rsid w:val="00124D87"/>
    <w:rsid w:val="0012556F"/>
    <w:rsid w:val="00125FA3"/>
    <w:rsid w:val="00126A45"/>
    <w:rsid w:val="00126B84"/>
    <w:rsid w:val="001272EA"/>
    <w:rsid w:val="00127535"/>
    <w:rsid w:val="0012786A"/>
    <w:rsid w:val="00130295"/>
    <w:rsid w:val="00130743"/>
    <w:rsid w:val="00130981"/>
    <w:rsid w:val="00130C6C"/>
    <w:rsid w:val="00130DF9"/>
    <w:rsid w:val="00131097"/>
    <w:rsid w:val="00131E87"/>
    <w:rsid w:val="00131F86"/>
    <w:rsid w:val="001323BB"/>
    <w:rsid w:val="001323F3"/>
    <w:rsid w:val="00132780"/>
    <w:rsid w:val="00132AB0"/>
    <w:rsid w:val="00132B93"/>
    <w:rsid w:val="001355A2"/>
    <w:rsid w:val="00135C3B"/>
    <w:rsid w:val="00135D0E"/>
    <w:rsid w:val="00136511"/>
    <w:rsid w:val="00136998"/>
    <w:rsid w:val="00136B21"/>
    <w:rsid w:val="00136F71"/>
    <w:rsid w:val="00137474"/>
    <w:rsid w:val="0013793C"/>
    <w:rsid w:val="00137979"/>
    <w:rsid w:val="00137C09"/>
    <w:rsid w:val="00137C14"/>
    <w:rsid w:val="00137DB1"/>
    <w:rsid w:val="00137E7F"/>
    <w:rsid w:val="001404D3"/>
    <w:rsid w:val="001407B2"/>
    <w:rsid w:val="001409FF"/>
    <w:rsid w:val="00140AD7"/>
    <w:rsid w:val="00141236"/>
    <w:rsid w:val="00141910"/>
    <w:rsid w:val="00141AE9"/>
    <w:rsid w:val="00141E81"/>
    <w:rsid w:val="001428C7"/>
    <w:rsid w:val="0014292E"/>
    <w:rsid w:val="0014303C"/>
    <w:rsid w:val="001441C9"/>
    <w:rsid w:val="001441D9"/>
    <w:rsid w:val="00144340"/>
    <w:rsid w:val="0014462E"/>
    <w:rsid w:val="00144ACC"/>
    <w:rsid w:val="00145211"/>
    <w:rsid w:val="001456DC"/>
    <w:rsid w:val="00145811"/>
    <w:rsid w:val="00145B6C"/>
    <w:rsid w:val="00145B85"/>
    <w:rsid w:val="00145C0E"/>
    <w:rsid w:val="00145D2B"/>
    <w:rsid w:val="001464F0"/>
    <w:rsid w:val="001468F4"/>
    <w:rsid w:val="00146BA5"/>
    <w:rsid w:val="00146CC4"/>
    <w:rsid w:val="00146EC3"/>
    <w:rsid w:val="00150B41"/>
    <w:rsid w:val="00150E41"/>
    <w:rsid w:val="00150ED0"/>
    <w:rsid w:val="0015115B"/>
    <w:rsid w:val="00151812"/>
    <w:rsid w:val="00151A4B"/>
    <w:rsid w:val="0015293A"/>
    <w:rsid w:val="00152B55"/>
    <w:rsid w:val="00152D88"/>
    <w:rsid w:val="001532F5"/>
    <w:rsid w:val="00153442"/>
    <w:rsid w:val="00153724"/>
    <w:rsid w:val="001539A4"/>
    <w:rsid w:val="00153A03"/>
    <w:rsid w:val="00153FFD"/>
    <w:rsid w:val="00154B38"/>
    <w:rsid w:val="0015571D"/>
    <w:rsid w:val="00155E12"/>
    <w:rsid w:val="00156405"/>
    <w:rsid w:val="00156672"/>
    <w:rsid w:val="00156A6F"/>
    <w:rsid w:val="00156A71"/>
    <w:rsid w:val="00156A9F"/>
    <w:rsid w:val="00156C45"/>
    <w:rsid w:val="00156F80"/>
    <w:rsid w:val="00157477"/>
    <w:rsid w:val="001574DD"/>
    <w:rsid w:val="001574FC"/>
    <w:rsid w:val="001575B1"/>
    <w:rsid w:val="001579D6"/>
    <w:rsid w:val="00157BFD"/>
    <w:rsid w:val="00157C38"/>
    <w:rsid w:val="00157C61"/>
    <w:rsid w:val="00157C88"/>
    <w:rsid w:val="001603F9"/>
    <w:rsid w:val="00160754"/>
    <w:rsid w:val="00160DA4"/>
    <w:rsid w:val="0016106B"/>
    <w:rsid w:val="0016144D"/>
    <w:rsid w:val="00161724"/>
    <w:rsid w:val="00161ED0"/>
    <w:rsid w:val="00162211"/>
    <w:rsid w:val="00162D1E"/>
    <w:rsid w:val="00162DFE"/>
    <w:rsid w:val="0016552B"/>
    <w:rsid w:val="00166B8A"/>
    <w:rsid w:val="00166CC4"/>
    <w:rsid w:val="00166EBD"/>
    <w:rsid w:val="0016711C"/>
    <w:rsid w:val="0016766B"/>
    <w:rsid w:val="00167B3D"/>
    <w:rsid w:val="001714C5"/>
    <w:rsid w:val="00171BEB"/>
    <w:rsid w:val="00171E4B"/>
    <w:rsid w:val="001721D3"/>
    <w:rsid w:val="00172866"/>
    <w:rsid w:val="00172A12"/>
    <w:rsid w:val="00173632"/>
    <w:rsid w:val="001736F5"/>
    <w:rsid w:val="00173D29"/>
    <w:rsid w:val="00173E42"/>
    <w:rsid w:val="00174132"/>
    <w:rsid w:val="00174954"/>
    <w:rsid w:val="001751E2"/>
    <w:rsid w:val="001753DE"/>
    <w:rsid w:val="00175412"/>
    <w:rsid w:val="0017559A"/>
    <w:rsid w:val="00175A0F"/>
    <w:rsid w:val="00175C7E"/>
    <w:rsid w:val="00175F7D"/>
    <w:rsid w:val="00176764"/>
    <w:rsid w:val="00176AEC"/>
    <w:rsid w:val="00177382"/>
    <w:rsid w:val="00177AAB"/>
    <w:rsid w:val="00177D9F"/>
    <w:rsid w:val="00180009"/>
    <w:rsid w:val="00180397"/>
    <w:rsid w:val="00180458"/>
    <w:rsid w:val="001804A2"/>
    <w:rsid w:val="0018080E"/>
    <w:rsid w:val="00181317"/>
    <w:rsid w:val="00181413"/>
    <w:rsid w:val="001819C2"/>
    <w:rsid w:val="00182039"/>
    <w:rsid w:val="00182177"/>
    <w:rsid w:val="00182D59"/>
    <w:rsid w:val="0018386D"/>
    <w:rsid w:val="001839BE"/>
    <w:rsid w:val="00183DAB"/>
    <w:rsid w:val="00183EDC"/>
    <w:rsid w:val="0018414F"/>
    <w:rsid w:val="00184711"/>
    <w:rsid w:val="0018494D"/>
    <w:rsid w:val="00184B6E"/>
    <w:rsid w:val="00184DA7"/>
    <w:rsid w:val="00184F93"/>
    <w:rsid w:val="00185686"/>
    <w:rsid w:val="0018596B"/>
    <w:rsid w:val="00185AED"/>
    <w:rsid w:val="00185B68"/>
    <w:rsid w:val="0018681C"/>
    <w:rsid w:val="00186880"/>
    <w:rsid w:val="00186896"/>
    <w:rsid w:val="001872B0"/>
    <w:rsid w:val="00187920"/>
    <w:rsid w:val="00187B80"/>
    <w:rsid w:val="00190144"/>
    <w:rsid w:val="00190470"/>
    <w:rsid w:val="001908C9"/>
    <w:rsid w:val="00190E84"/>
    <w:rsid w:val="00190EC0"/>
    <w:rsid w:val="001910B5"/>
    <w:rsid w:val="00191971"/>
    <w:rsid w:val="00191A56"/>
    <w:rsid w:val="00191D17"/>
    <w:rsid w:val="001925C4"/>
    <w:rsid w:val="00192881"/>
    <w:rsid w:val="00192B83"/>
    <w:rsid w:val="00193107"/>
    <w:rsid w:val="001931D7"/>
    <w:rsid w:val="00193D00"/>
    <w:rsid w:val="00194140"/>
    <w:rsid w:val="001943C7"/>
    <w:rsid w:val="0019441B"/>
    <w:rsid w:val="001947DF"/>
    <w:rsid w:val="00196031"/>
    <w:rsid w:val="00196392"/>
    <w:rsid w:val="00196AF7"/>
    <w:rsid w:val="00196E3D"/>
    <w:rsid w:val="00196ED7"/>
    <w:rsid w:val="001974C3"/>
    <w:rsid w:val="001977D8"/>
    <w:rsid w:val="00197EFC"/>
    <w:rsid w:val="001A0008"/>
    <w:rsid w:val="001A00AC"/>
    <w:rsid w:val="001A033D"/>
    <w:rsid w:val="001A0954"/>
    <w:rsid w:val="001A0C02"/>
    <w:rsid w:val="001A1399"/>
    <w:rsid w:val="001A205E"/>
    <w:rsid w:val="001A2204"/>
    <w:rsid w:val="001A2B29"/>
    <w:rsid w:val="001A34FB"/>
    <w:rsid w:val="001A385B"/>
    <w:rsid w:val="001A4478"/>
    <w:rsid w:val="001A4C4D"/>
    <w:rsid w:val="001A537A"/>
    <w:rsid w:val="001A54E7"/>
    <w:rsid w:val="001A59B7"/>
    <w:rsid w:val="001A5AF2"/>
    <w:rsid w:val="001A6AF2"/>
    <w:rsid w:val="001A6EE9"/>
    <w:rsid w:val="001A727D"/>
    <w:rsid w:val="001A7936"/>
    <w:rsid w:val="001A7C42"/>
    <w:rsid w:val="001A7F31"/>
    <w:rsid w:val="001B00AB"/>
    <w:rsid w:val="001B0271"/>
    <w:rsid w:val="001B0592"/>
    <w:rsid w:val="001B08F3"/>
    <w:rsid w:val="001B0A6D"/>
    <w:rsid w:val="001B0E0F"/>
    <w:rsid w:val="001B1216"/>
    <w:rsid w:val="001B1501"/>
    <w:rsid w:val="001B19D6"/>
    <w:rsid w:val="001B1E29"/>
    <w:rsid w:val="001B1E72"/>
    <w:rsid w:val="001B1F31"/>
    <w:rsid w:val="001B209E"/>
    <w:rsid w:val="001B3043"/>
    <w:rsid w:val="001B311D"/>
    <w:rsid w:val="001B3157"/>
    <w:rsid w:val="001B3370"/>
    <w:rsid w:val="001B3B9B"/>
    <w:rsid w:val="001B3C11"/>
    <w:rsid w:val="001B3DD9"/>
    <w:rsid w:val="001B49DF"/>
    <w:rsid w:val="001B4CAC"/>
    <w:rsid w:val="001B4D77"/>
    <w:rsid w:val="001B51B0"/>
    <w:rsid w:val="001B53C2"/>
    <w:rsid w:val="001B556C"/>
    <w:rsid w:val="001B5ED4"/>
    <w:rsid w:val="001B61E8"/>
    <w:rsid w:val="001B620C"/>
    <w:rsid w:val="001B6543"/>
    <w:rsid w:val="001B66FF"/>
    <w:rsid w:val="001B6DF1"/>
    <w:rsid w:val="001B6F23"/>
    <w:rsid w:val="001B7385"/>
    <w:rsid w:val="001B7C52"/>
    <w:rsid w:val="001C025E"/>
    <w:rsid w:val="001C0856"/>
    <w:rsid w:val="001C1898"/>
    <w:rsid w:val="001C1B63"/>
    <w:rsid w:val="001C1E78"/>
    <w:rsid w:val="001C2020"/>
    <w:rsid w:val="001C21FD"/>
    <w:rsid w:val="001C286F"/>
    <w:rsid w:val="001C34CE"/>
    <w:rsid w:val="001C37A6"/>
    <w:rsid w:val="001C4017"/>
    <w:rsid w:val="001C45A0"/>
    <w:rsid w:val="001C4654"/>
    <w:rsid w:val="001C467B"/>
    <w:rsid w:val="001C4FFF"/>
    <w:rsid w:val="001C518A"/>
    <w:rsid w:val="001C51DD"/>
    <w:rsid w:val="001C5328"/>
    <w:rsid w:val="001C5602"/>
    <w:rsid w:val="001C5E5A"/>
    <w:rsid w:val="001C6185"/>
    <w:rsid w:val="001C6335"/>
    <w:rsid w:val="001C6D6D"/>
    <w:rsid w:val="001C7845"/>
    <w:rsid w:val="001C787D"/>
    <w:rsid w:val="001C78E9"/>
    <w:rsid w:val="001D02ED"/>
    <w:rsid w:val="001D0653"/>
    <w:rsid w:val="001D10C0"/>
    <w:rsid w:val="001D1613"/>
    <w:rsid w:val="001D18F4"/>
    <w:rsid w:val="001D198F"/>
    <w:rsid w:val="001D1C2E"/>
    <w:rsid w:val="001D21FC"/>
    <w:rsid w:val="001D2370"/>
    <w:rsid w:val="001D27E8"/>
    <w:rsid w:val="001D27EB"/>
    <w:rsid w:val="001D2947"/>
    <w:rsid w:val="001D3025"/>
    <w:rsid w:val="001D346F"/>
    <w:rsid w:val="001D370D"/>
    <w:rsid w:val="001D3B32"/>
    <w:rsid w:val="001D4292"/>
    <w:rsid w:val="001D4468"/>
    <w:rsid w:val="001D44B7"/>
    <w:rsid w:val="001D480A"/>
    <w:rsid w:val="001D4D7E"/>
    <w:rsid w:val="001D4D9D"/>
    <w:rsid w:val="001D4DB0"/>
    <w:rsid w:val="001D4DBC"/>
    <w:rsid w:val="001D50D0"/>
    <w:rsid w:val="001D5971"/>
    <w:rsid w:val="001D5995"/>
    <w:rsid w:val="001D5B81"/>
    <w:rsid w:val="001D5F17"/>
    <w:rsid w:val="001D613E"/>
    <w:rsid w:val="001D6207"/>
    <w:rsid w:val="001D6695"/>
    <w:rsid w:val="001D75F9"/>
    <w:rsid w:val="001D797C"/>
    <w:rsid w:val="001D7DFC"/>
    <w:rsid w:val="001E005C"/>
    <w:rsid w:val="001E0748"/>
    <w:rsid w:val="001E0956"/>
    <w:rsid w:val="001E0BAC"/>
    <w:rsid w:val="001E19BB"/>
    <w:rsid w:val="001E1E38"/>
    <w:rsid w:val="001E20D4"/>
    <w:rsid w:val="001E2353"/>
    <w:rsid w:val="001E2471"/>
    <w:rsid w:val="001E2AC4"/>
    <w:rsid w:val="001E2BBF"/>
    <w:rsid w:val="001E3445"/>
    <w:rsid w:val="001E407A"/>
    <w:rsid w:val="001E432A"/>
    <w:rsid w:val="001E4813"/>
    <w:rsid w:val="001E4C2A"/>
    <w:rsid w:val="001E4E04"/>
    <w:rsid w:val="001E528B"/>
    <w:rsid w:val="001E55E4"/>
    <w:rsid w:val="001E56F3"/>
    <w:rsid w:val="001E62BE"/>
    <w:rsid w:val="001E6B23"/>
    <w:rsid w:val="001E6C74"/>
    <w:rsid w:val="001E6D97"/>
    <w:rsid w:val="001E7041"/>
    <w:rsid w:val="001E73A9"/>
    <w:rsid w:val="001E784D"/>
    <w:rsid w:val="001F03BC"/>
    <w:rsid w:val="001F0AF2"/>
    <w:rsid w:val="001F0F68"/>
    <w:rsid w:val="001F1263"/>
    <w:rsid w:val="001F13DB"/>
    <w:rsid w:val="001F18EF"/>
    <w:rsid w:val="001F236C"/>
    <w:rsid w:val="001F28E6"/>
    <w:rsid w:val="001F2CBD"/>
    <w:rsid w:val="001F3010"/>
    <w:rsid w:val="001F4118"/>
    <w:rsid w:val="001F427D"/>
    <w:rsid w:val="001F4BC7"/>
    <w:rsid w:val="001F500B"/>
    <w:rsid w:val="001F50CD"/>
    <w:rsid w:val="001F53F0"/>
    <w:rsid w:val="001F54A3"/>
    <w:rsid w:val="001F581C"/>
    <w:rsid w:val="001F5970"/>
    <w:rsid w:val="001F5E43"/>
    <w:rsid w:val="001F5EDD"/>
    <w:rsid w:val="001F6962"/>
    <w:rsid w:val="001F6C7A"/>
    <w:rsid w:val="001F712B"/>
    <w:rsid w:val="001F71BD"/>
    <w:rsid w:val="001F76AD"/>
    <w:rsid w:val="001F7798"/>
    <w:rsid w:val="001F7A0A"/>
    <w:rsid w:val="00200115"/>
    <w:rsid w:val="00200152"/>
    <w:rsid w:val="00200288"/>
    <w:rsid w:val="00200577"/>
    <w:rsid w:val="00200745"/>
    <w:rsid w:val="00200846"/>
    <w:rsid w:val="00200E92"/>
    <w:rsid w:val="00200EDE"/>
    <w:rsid w:val="00200F05"/>
    <w:rsid w:val="002018CE"/>
    <w:rsid w:val="0020191F"/>
    <w:rsid w:val="00201972"/>
    <w:rsid w:val="002019A2"/>
    <w:rsid w:val="002019BB"/>
    <w:rsid w:val="00201A1E"/>
    <w:rsid w:val="00201A99"/>
    <w:rsid w:val="00201FBF"/>
    <w:rsid w:val="00202395"/>
    <w:rsid w:val="002032DB"/>
    <w:rsid w:val="002034EC"/>
    <w:rsid w:val="002036F5"/>
    <w:rsid w:val="00203B3E"/>
    <w:rsid w:val="00203B5A"/>
    <w:rsid w:val="00203F22"/>
    <w:rsid w:val="0020402C"/>
    <w:rsid w:val="00204545"/>
    <w:rsid w:val="00204693"/>
    <w:rsid w:val="0020475C"/>
    <w:rsid w:val="002049ED"/>
    <w:rsid w:val="00204B3C"/>
    <w:rsid w:val="00204B54"/>
    <w:rsid w:val="00204B60"/>
    <w:rsid w:val="00204F2A"/>
    <w:rsid w:val="00205443"/>
    <w:rsid w:val="00205E8D"/>
    <w:rsid w:val="00206014"/>
    <w:rsid w:val="00206454"/>
    <w:rsid w:val="00206B48"/>
    <w:rsid w:val="00206D11"/>
    <w:rsid w:val="00207135"/>
    <w:rsid w:val="00207656"/>
    <w:rsid w:val="00207C39"/>
    <w:rsid w:val="00210302"/>
    <w:rsid w:val="002108A5"/>
    <w:rsid w:val="0021095A"/>
    <w:rsid w:val="00210B8F"/>
    <w:rsid w:val="00210BF2"/>
    <w:rsid w:val="00211078"/>
    <w:rsid w:val="002113BB"/>
    <w:rsid w:val="00211647"/>
    <w:rsid w:val="002118DB"/>
    <w:rsid w:val="00211A69"/>
    <w:rsid w:val="00211E4A"/>
    <w:rsid w:val="00211F82"/>
    <w:rsid w:val="002129E4"/>
    <w:rsid w:val="00212B84"/>
    <w:rsid w:val="00212C9A"/>
    <w:rsid w:val="0021332D"/>
    <w:rsid w:val="002133B8"/>
    <w:rsid w:val="00213553"/>
    <w:rsid w:val="0021369B"/>
    <w:rsid w:val="00213E0F"/>
    <w:rsid w:val="00214511"/>
    <w:rsid w:val="00214796"/>
    <w:rsid w:val="00214849"/>
    <w:rsid w:val="00214F0E"/>
    <w:rsid w:val="00215074"/>
    <w:rsid w:val="002153B8"/>
    <w:rsid w:val="002154A7"/>
    <w:rsid w:val="002156C6"/>
    <w:rsid w:val="00215B4C"/>
    <w:rsid w:val="002163AA"/>
    <w:rsid w:val="002169F4"/>
    <w:rsid w:val="00216B13"/>
    <w:rsid w:val="00216BAF"/>
    <w:rsid w:val="00216CFE"/>
    <w:rsid w:val="0021751B"/>
    <w:rsid w:val="00217BBD"/>
    <w:rsid w:val="00217C86"/>
    <w:rsid w:val="00217F4B"/>
    <w:rsid w:val="002209B8"/>
    <w:rsid w:val="00220D00"/>
    <w:rsid w:val="00221504"/>
    <w:rsid w:val="002215E8"/>
    <w:rsid w:val="00221D6B"/>
    <w:rsid w:val="00221EB8"/>
    <w:rsid w:val="00222586"/>
    <w:rsid w:val="00222A28"/>
    <w:rsid w:val="00222EF8"/>
    <w:rsid w:val="002231BE"/>
    <w:rsid w:val="00223576"/>
    <w:rsid w:val="00224445"/>
    <w:rsid w:val="00224720"/>
    <w:rsid w:val="002250AF"/>
    <w:rsid w:val="00225331"/>
    <w:rsid w:val="00225F1C"/>
    <w:rsid w:val="0022616F"/>
    <w:rsid w:val="00226422"/>
    <w:rsid w:val="0022665F"/>
    <w:rsid w:val="00226FB5"/>
    <w:rsid w:val="002272AA"/>
    <w:rsid w:val="002275CB"/>
    <w:rsid w:val="002278D0"/>
    <w:rsid w:val="00227A78"/>
    <w:rsid w:val="00227C0E"/>
    <w:rsid w:val="00230241"/>
    <w:rsid w:val="002302CA"/>
    <w:rsid w:val="00230453"/>
    <w:rsid w:val="00230801"/>
    <w:rsid w:val="00230B87"/>
    <w:rsid w:val="00230D3E"/>
    <w:rsid w:val="00231241"/>
    <w:rsid w:val="00232353"/>
    <w:rsid w:val="00232561"/>
    <w:rsid w:val="00232718"/>
    <w:rsid w:val="00232920"/>
    <w:rsid w:val="0023370E"/>
    <w:rsid w:val="00233751"/>
    <w:rsid w:val="00233807"/>
    <w:rsid w:val="0023433C"/>
    <w:rsid w:val="00234B46"/>
    <w:rsid w:val="00234E1D"/>
    <w:rsid w:val="00234E7A"/>
    <w:rsid w:val="0023507E"/>
    <w:rsid w:val="002353AE"/>
    <w:rsid w:val="002356D1"/>
    <w:rsid w:val="00235D49"/>
    <w:rsid w:val="002361D1"/>
    <w:rsid w:val="00236300"/>
    <w:rsid w:val="0023656A"/>
    <w:rsid w:val="002365A9"/>
    <w:rsid w:val="002365B4"/>
    <w:rsid w:val="0023695D"/>
    <w:rsid w:val="00236AD8"/>
    <w:rsid w:val="00236B1F"/>
    <w:rsid w:val="00236DC8"/>
    <w:rsid w:val="00236E34"/>
    <w:rsid w:val="00237A2E"/>
    <w:rsid w:val="00240670"/>
    <w:rsid w:val="00240F0F"/>
    <w:rsid w:val="00240FEE"/>
    <w:rsid w:val="002413FC"/>
    <w:rsid w:val="002422E8"/>
    <w:rsid w:val="002422F4"/>
    <w:rsid w:val="00242557"/>
    <w:rsid w:val="0024257E"/>
    <w:rsid w:val="002428B8"/>
    <w:rsid w:val="00243BDF"/>
    <w:rsid w:val="00243BE4"/>
    <w:rsid w:val="00243EBC"/>
    <w:rsid w:val="0024436B"/>
    <w:rsid w:val="002448AD"/>
    <w:rsid w:val="002448ED"/>
    <w:rsid w:val="0024553F"/>
    <w:rsid w:val="00245614"/>
    <w:rsid w:val="00245904"/>
    <w:rsid w:val="002460F1"/>
    <w:rsid w:val="00246172"/>
    <w:rsid w:val="00246240"/>
    <w:rsid w:val="00246324"/>
    <w:rsid w:val="00246C0F"/>
    <w:rsid w:val="002476E2"/>
    <w:rsid w:val="00247C10"/>
    <w:rsid w:val="00247FE8"/>
    <w:rsid w:val="00250346"/>
    <w:rsid w:val="002506A1"/>
    <w:rsid w:val="00251412"/>
    <w:rsid w:val="002515F3"/>
    <w:rsid w:val="0025169C"/>
    <w:rsid w:val="00252A67"/>
    <w:rsid w:val="00252ADD"/>
    <w:rsid w:val="002531D5"/>
    <w:rsid w:val="00253206"/>
    <w:rsid w:val="00253309"/>
    <w:rsid w:val="002535E2"/>
    <w:rsid w:val="00253ECC"/>
    <w:rsid w:val="00253F20"/>
    <w:rsid w:val="00253F9B"/>
    <w:rsid w:val="00254001"/>
    <w:rsid w:val="00254116"/>
    <w:rsid w:val="00254214"/>
    <w:rsid w:val="00254639"/>
    <w:rsid w:val="00254640"/>
    <w:rsid w:val="00254641"/>
    <w:rsid w:val="00254A3B"/>
    <w:rsid w:val="00255888"/>
    <w:rsid w:val="00255ADC"/>
    <w:rsid w:val="00256BF6"/>
    <w:rsid w:val="002600BC"/>
    <w:rsid w:val="00260369"/>
    <w:rsid w:val="002604BC"/>
    <w:rsid w:val="0026051D"/>
    <w:rsid w:val="00260A3D"/>
    <w:rsid w:val="002610C3"/>
    <w:rsid w:val="002616D3"/>
    <w:rsid w:val="00261E30"/>
    <w:rsid w:val="00262BDD"/>
    <w:rsid w:val="00262D42"/>
    <w:rsid w:val="0026358F"/>
    <w:rsid w:val="0026375F"/>
    <w:rsid w:val="00263C6C"/>
    <w:rsid w:val="00263E96"/>
    <w:rsid w:val="00264537"/>
    <w:rsid w:val="00264538"/>
    <w:rsid w:val="00264AEA"/>
    <w:rsid w:val="00265534"/>
    <w:rsid w:val="00265D85"/>
    <w:rsid w:val="00265DC0"/>
    <w:rsid w:val="00265EBD"/>
    <w:rsid w:val="00266276"/>
    <w:rsid w:val="00266622"/>
    <w:rsid w:val="002666DE"/>
    <w:rsid w:val="00266BDA"/>
    <w:rsid w:val="00267441"/>
    <w:rsid w:val="00267553"/>
    <w:rsid w:val="002675E0"/>
    <w:rsid w:val="00267E74"/>
    <w:rsid w:val="00270279"/>
    <w:rsid w:val="00270635"/>
    <w:rsid w:val="00271D40"/>
    <w:rsid w:val="00272027"/>
    <w:rsid w:val="002723D4"/>
    <w:rsid w:val="002724B1"/>
    <w:rsid w:val="002729E1"/>
    <w:rsid w:val="00272EEC"/>
    <w:rsid w:val="00273511"/>
    <w:rsid w:val="0027354D"/>
    <w:rsid w:val="00273697"/>
    <w:rsid w:val="00273793"/>
    <w:rsid w:val="00273809"/>
    <w:rsid w:val="0027422B"/>
    <w:rsid w:val="00274519"/>
    <w:rsid w:val="00274605"/>
    <w:rsid w:val="00274818"/>
    <w:rsid w:val="00274A92"/>
    <w:rsid w:val="00274E14"/>
    <w:rsid w:val="0027565E"/>
    <w:rsid w:val="0027597E"/>
    <w:rsid w:val="00275A06"/>
    <w:rsid w:val="00275A52"/>
    <w:rsid w:val="00275B7B"/>
    <w:rsid w:val="00275BC7"/>
    <w:rsid w:val="00276376"/>
    <w:rsid w:val="0027648F"/>
    <w:rsid w:val="00276A76"/>
    <w:rsid w:val="00276AEF"/>
    <w:rsid w:val="00276D4D"/>
    <w:rsid w:val="00276F5B"/>
    <w:rsid w:val="0027718D"/>
    <w:rsid w:val="00277F77"/>
    <w:rsid w:val="00280185"/>
    <w:rsid w:val="002801CD"/>
    <w:rsid w:val="002804B3"/>
    <w:rsid w:val="002805CD"/>
    <w:rsid w:val="00280CA3"/>
    <w:rsid w:val="00281023"/>
    <w:rsid w:val="0028110B"/>
    <w:rsid w:val="002819A9"/>
    <w:rsid w:val="0028229E"/>
    <w:rsid w:val="0028255D"/>
    <w:rsid w:val="0028259D"/>
    <w:rsid w:val="00282ABA"/>
    <w:rsid w:val="002855BA"/>
    <w:rsid w:val="002858C3"/>
    <w:rsid w:val="00285E39"/>
    <w:rsid w:val="00285E4C"/>
    <w:rsid w:val="002865F2"/>
    <w:rsid w:val="002866D4"/>
    <w:rsid w:val="00286AE2"/>
    <w:rsid w:val="00286D9B"/>
    <w:rsid w:val="00287878"/>
    <w:rsid w:val="00287928"/>
    <w:rsid w:val="002879F6"/>
    <w:rsid w:val="00287B09"/>
    <w:rsid w:val="00287BA7"/>
    <w:rsid w:val="00287BAA"/>
    <w:rsid w:val="0029012A"/>
    <w:rsid w:val="0029060A"/>
    <w:rsid w:val="00290A27"/>
    <w:rsid w:val="00290CD9"/>
    <w:rsid w:val="00290D0C"/>
    <w:rsid w:val="00291948"/>
    <w:rsid w:val="00291B89"/>
    <w:rsid w:val="002922A8"/>
    <w:rsid w:val="002924E6"/>
    <w:rsid w:val="002926A4"/>
    <w:rsid w:val="00292975"/>
    <w:rsid w:val="00292A35"/>
    <w:rsid w:val="00292C60"/>
    <w:rsid w:val="0029342A"/>
    <w:rsid w:val="002939E2"/>
    <w:rsid w:val="0029466F"/>
    <w:rsid w:val="002946A1"/>
    <w:rsid w:val="00294B05"/>
    <w:rsid w:val="002953B6"/>
    <w:rsid w:val="00295EB4"/>
    <w:rsid w:val="00296032"/>
    <w:rsid w:val="002969D2"/>
    <w:rsid w:val="002969D9"/>
    <w:rsid w:val="00296ADA"/>
    <w:rsid w:val="00296EAC"/>
    <w:rsid w:val="002971DF"/>
    <w:rsid w:val="002973FB"/>
    <w:rsid w:val="0029751C"/>
    <w:rsid w:val="002975D2"/>
    <w:rsid w:val="00297F4C"/>
    <w:rsid w:val="002A072C"/>
    <w:rsid w:val="002A0BEF"/>
    <w:rsid w:val="002A10DF"/>
    <w:rsid w:val="002A153B"/>
    <w:rsid w:val="002A2072"/>
    <w:rsid w:val="002A21E3"/>
    <w:rsid w:val="002A23EC"/>
    <w:rsid w:val="002A29ED"/>
    <w:rsid w:val="002A2F1A"/>
    <w:rsid w:val="002A363E"/>
    <w:rsid w:val="002A3645"/>
    <w:rsid w:val="002A4272"/>
    <w:rsid w:val="002A43E7"/>
    <w:rsid w:val="002A4D59"/>
    <w:rsid w:val="002A4F83"/>
    <w:rsid w:val="002A5BDD"/>
    <w:rsid w:val="002A5C20"/>
    <w:rsid w:val="002A5C81"/>
    <w:rsid w:val="002A5FFB"/>
    <w:rsid w:val="002A6880"/>
    <w:rsid w:val="002A6883"/>
    <w:rsid w:val="002A68C7"/>
    <w:rsid w:val="002A69D0"/>
    <w:rsid w:val="002A7628"/>
    <w:rsid w:val="002A77A1"/>
    <w:rsid w:val="002A77B4"/>
    <w:rsid w:val="002A78EC"/>
    <w:rsid w:val="002A78F2"/>
    <w:rsid w:val="002A7A2B"/>
    <w:rsid w:val="002B0EC1"/>
    <w:rsid w:val="002B0FE2"/>
    <w:rsid w:val="002B1060"/>
    <w:rsid w:val="002B1264"/>
    <w:rsid w:val="002B1982"/>
    <w:rsid w:val="002B1F2B"/>
    <w:rsid w:val="002B1F69"/>
    <w:rsid w:val="002B3630"/>
    <w:rsid w:val="002B3897"/>
    <w:rsid w:val="002B3E90"/>
    <w:rsid w:val="002B403C"/>
    <w:rsid w:val="002B4A67"/>
    <w:rsid w:val="002B4E76"/>
    <w:rsid w:val="002B5A8A"/>
    <w:rsid w:val="002B6B86"/>
    <w:rsid w:val="002B705C"/>
    <w:rsid w:val="002B7679"/>
    <w:rsid w:val="002B7A66"/>
    <w:rsid w:val="002B7EC8"/>
    <w:rsid w:val="002C0359"/>
    <w:rsid w:val="002C05E2"/>
    <w:rsid w:val="002C0643"/>
    <w:rsid w:val="002C07EB"/>
    <w:rsid w:val="002C10EC"/>
    <w:rsid w:val="002C135B"/>
    <w:rsid w:val="002C1840"/>
    <w:rsid w:val="002C1AA8"/>
    <w:rsid w:val="002C1F6C"/>
    <w:rsid w:val="002C2423"/>
    <w:rsid w:val="002C2F41"/>
    <w:rsid w:val="002C3D85"/>
    <w:rsid w:val="002C3EFF"/>
    <w:rsid w:val="002C4450"/>
    <w:rsid w:val="002C4757"/>
    <w:rsid w:val="002C4E14"/>
    <w:rsid w:val="002C54A0"/>
    <w:rsid w:val="002C5A1A"/>
    <w:rsid w:val="002C5B23"/>
    <w:rsid w:val="002C5EC0"/>
    <w:rsid w:val="002C5EE7"/>
    <w:rsid w:val="002C6294"/>
    <w:rsid w:val="002C6C06"/>
    <w:rsid w:val="002C7170"/>
    <w:rsid w:val="002C7530"/>
    <w:rsid w:val="002C764D"/>
    <w:rsid w:val="002C7C18"/>
    <w:rsid w:val="002C7E83"/>
    <w:rsid w:val="002D0274"/>
    <w:rsid w:val="002D032A"/>
    <w:rsid w:val="002D0541"/>
    <w:rsid w:val="002D0726"/>
    <w:rsid w:val="002D0C50"/>
    <w:rsid w:val="002D0D58"/>
    <w:rsid w:val="002D0F80"/>
    <w:rsid w:val="002D10B4"/>
    <w:rsid w:val="002D19E8"/>
    <w:rsid w:val="002D1D80"/>
    <w:rsid w:val="002D1E2C"/>
    <w:rsid w:val="002D2AC5"/>
    <w:rsid w:val="002D2BAF"/>
    <w:rsid w:val="002D3137"/>
    <w:rsid w:val="002D3212"/>
    <w:rsid w:val="002D322E"/>
    <w:rsid w:val="002D3799"/>
    <w:rsid w:val="002D3F83"/>
    <w:rsid w:val="002D45D1"/>
    <w:rsid w:val="002D49C0"/>
    <w:rsid w:val="002D4A3B"/>
    <w:rsid w:val="002D4E0E"/>
    <w:rsid w:val="002D4F69"/>
    <w:rsid w:val="002D518C"/>
    <w:rsid w:val="002D54A0"/>
    <w:rsid w:val="002D590E"/>
    <w:rsid w:val="002D5D80"/>
    <w:rsid w:val="002D6DAE"/>
    <w:rsid w:val="002E04B1"/>
    <w:rsid w:val="002E11A6"/>
    <w:rsid w:val="002E1B73"/>
    <w:rsid w:val="002E1BE4"/>
    <w:rsid w:val="002E1E04"/>
    <w:rsid w:val="002E30C6"/>
    <w:rsid w:val="002E30DF"/>
    <w:rsid w:val="002E30F7"/>
    <w:rsid w:val="002E352D"/>
    <w:rsid w:val="002E38F5"/>
    <w:rsid w:val="002E3A98"/>
    <w:rsid w:val="002E3B12"/>
    <w:rsid w:val="002E3C53"/>
    <w:rsid w:val="002E3C82"/>
    <w:rsid w:val="002E3CD0"/>
    <w:rsid w:val="002E3FB6"/>
    <w:rsid w:val="002E416A"/>
    <w:rsid w:val="002E44E7"/>
    <w:rsid w:val="002E4F6F"/>
    <w:rsid w:val="002E5128"/>
    <w:rsid w:val="002E540D"/>
    <w:rsid w:val="002E566E"/>
    <w:rsid w:val="002E5B7E"/>
    <w:rsid w:val="002E5D87"/>
    <w:rsid w:val="002E5DD1"/>
    <w:rsid w:val="002E62F8"/>
    <w:rsid w:val="002E695A"/>
    <w:rsid w:val="002E6C7E"/>
    <w:rsid w:val="002E6D29"/>
    <w:rsid w:val="002E705B"/>
    <w:rsid w:val="002E7122"/>
    <w:rsid w:val="002E7803"/>
    <w:rsid w:val="002E7839"/>
    <w:rsid w:val="002E7FE9"/>
    <w:rsid w:val="002F02DF"/>
    <w:rsid w:val="002F09A8"/>
    <w:rsid w:val="002F0EFF"/>
    <w:rsid w:val="002F0F9E"/>
    <w:rsid w:val="002F112D"/>
    <w:rsid w:val="002F1A56"/>
    <w:rsid w:val="002F1F11"/>
    <w:rsid w:val="002F23E2"/>
    <w:rsid w:val="002F29B8"/>
    <w:rsid w:val="002F2E0E"/>
    <w:rsid w:val="002F3047"/>
    <w:rsid w:val="002F37BC"/>
    <w:rsid w:val="002F3ED7"/>
    <w:rsid w:val="002F4090"/>
    <w:rsid w:val="002F40EA"/>
    <w:rsid w:val="002F43A5"/>
    <w:rsid w:val="002F4579"/>
    <w:rsid w:val="002F499A"/>
    <w:rsid w:val="002F4F28"/>
    <w:rsid w:val="002F53D3"/>
    <w:rsid w:val="002F55D8"/>
    <w:rsid w:val="002F5602"/>
    <w:rsid w:val="002F584D"/>
    <w:rsid w:val="002F589C"/>
    <w:rsid w:val="002F5948"/>
    <w:rsid w:val="002F5C06"/>
    <w:rsid w:val="002F5F76"/>
    <w:rsid w:val="002F6083"/>
    <w:rsid w:val="002F65E4"/>
    <w:rsid w:val="002F6B75"/>
    <w:rsid w:val="002F6C61"/>
    <w:rsid w:val="002F6FDA"/>
    <w:rsid w:val="002F6FE7"/>
    <w:rsid w:val="002F70D9"/>
    <w:rsid w:val="002F72A5"/>
    <w:rsid w:val="002F73E1"/>
    <w:rsid w:val="002F76F8"/>
    <w:rsid w:val="002F78BE"/>
    <w:rsid w:val="002F78C5"/>
    <w:rsid w:val="002F7A1E"/>
    <w:rsid w:val="002F7D71"/>
    <w:rsid w:val="002F7F0A"/>
    <w:rsid w:val="0030018F"/>
    <w:rsid w:val="003002C1"/>
    <w:rsid w:val="00300743"/>
    <w:rsid w:val="00300855"/>
    <w:rsid w:val="003008CA"/>
    <w:rsid w:val="00300C10"/>
    <w:rsid w:val="0030115D"/>
    <w:rsid w:val="0030184C"/>
    <w:rsid w:val="00301920"/>
    <w:rsid w:val="00301E66"/>
    <w:rsid w:val="00301EBA"/>
    <w:rsid w:val="00301F29"/>
    <w:rsid w:val="00302133"/>
    <w:rsid w:val="003029DF"/>
    <w:rsid w:val="00302B52"/>
    <w:rsid w:val="00302C5B"/>
    <w:rsid w:val="003035C1"/>
    <w:rsid w:val="00303C44"/>
    <w:rsid w:val="00303C9B"/>
    <w:rsid w:val="00304251"/>
    <w:rsid w:val="00304B2F"/>
    <w:rsid w:val="00304DEC"/>
    <w:rsid w:val="00304F45"/>
    <w:rsid w:val="003058AD"/>
    <w:rsid w:val="003058E7"/>
    <w:rsid w:val="00305A52"/>
    <w:rsid w:val="00305E8B"/>
    <w:rsid w:val="00306223"/>
    <w:rsid w:val="003067DF"/>
    <w:rsid w:val="00306E25"/>
    <w:rsid w:val="00307263"/>
    <w:rsid w:val="00307829"/>
    <w:rsid w:val="0031003A"/>
    <w:rsid w:val="003102F2"/>
    <w:rsid w:val="0031076F"/>
    <w:rsid w:val="00310ABF"/>
    <w:rsid w:val="00310E04"/>
    <w:rsid w:val="003112A1"/>
    <w:rsid w:val="00311344"/>
    <w:rsid w:val="0031180E"/>
    <w:rsid w:val="00311B01"/>
    <w:rsid w:val="00311CE7"/>
    <w:rsid w:val="00311F59"/>
    <w:rsid w:val="003123AF"/>
    <w:rsid w:val="003124CE"/>
    <w:rsid w:val="00312865"/>
    <w:rsid w:val="00312AE6"/>
    <w:rsid w:val="00313167"/>
    <w:rsid w:val="0031320A"/>
    <w:rsid w:val="00313647"/>
    <w:rsid w:val="00314381"/>
    <w:rsid w:val="0031456B"/>
    <w:rsid w:val="0031487E"/>
    <w:rsid w:val="0031493A"/>
    <w:rsid w:val="00314D81"/>
    <w:rsid w:val="00314E28"/>
    <w:rsid w:val="00314F12"/>
    <w:rsid w:val="00314F6E"/>
    <w:rsid w:val="003152D9"/>
    <w:rsid w:val="003153E5"/>
    <w:rsid w:val="00315642"/>
    <w:rsid w:val="00315E05"/>
    <w:rsid w:val="003164C5"/>
    <w:rsid w:val="003164EF"/>
    <w:rsid w:val="0031656D"/>
    <w:rsid w:val="003167C9"/>
    <w:rsid w:val="00316BEF"/>
    <w:rsid w:val="00316DF7"/>
    <w:rsid w:val="00317717"/>
    <w:rsid w:val="003178B9"/>
    <w:rsid w:val="00317C15"/>
    <w:rsid w:val="00317C7F"/>
    <w:rsid w:val="0032015D"/>
    <w:rsid w:val="003206D3"/>
    <w:rsid w:val="00320F50"/>
    <w:rsid w:val="0032179C"/>
    <w:rsid w:val="00321C5D"/>
    <w:rsid w:val="00322710"/>
    <w:rsid w:val="00322C16"/>
    <w:rsid w:val="0032322F"/>
    <w:rsid w:val="00323ABE"/>
    <w:rsid w:val="00323AE3"/>
    <w:rsid w:val="00323DF7"/>
    <w:rsid w:val="0032565B"/>
    <w:rsid w:val="003257ED"/>
    <w:rsid w:val="00325AA3"/>
    <w:rsid w:val="00326CA5"/>
    <w:rsid w:val="003273D6"/>
    <w:rsid w:val="00327581"/>
    <w:rsid w:val="003301AD"/>
    <w:rsid w:val="00330318"/>
    <w:rsid w:val="00330B2A"/>
    <w:rsid w:val="00331066"/>
    <w:rsid w:val="003312E8"/>
    <w:rsid w:val="00331383"/>
    <w:rsid w:val="00331A3C"/>
    <w:rsid w:val="003321BD"/>
    <w:rsid w:val="00332779"/>
    <w:rsid w:val="00332B7C"/>
    <w:rsid w:val="00332B81"/>
    <w:rsid w:val="0033315C"/>
    <w:rsid w:val="00333165"/>
    <w:rsid w:val="003333F2"/>
    <w:rsid w:val="003342A2"/>
    <w:rsid w:val="00334B9D"/>
    <w:rsid w:val="00334CC7"/>
    <w:rsid w:val="00334E76"/>
    <w:rsid w:val="003356BB"/>
    <w:rsid w:val="00335929"/>
    <w:rsid w:val="0033620D"/>
    <w:rsid w:val="00336365"/>
    <w:rsid w:val="003365BD"/>
    <w:rsid w:val="00336F47"/>
    <w:rsid w:val="00337011"/>
    <w:rsid w:val="0033706F"/>
    <w:rsid w:val="0033760C"/>
    <w:rsid w:val="00337790"/>
    <w:rsid w:val="00337C1F"/>
    <w:rsid w:val="00337E11"/>
    <w:rsid w:val="00337E95"/>
    <w:rsid w:val="00340312"/>
    <w:rsid w:val="003404B5"/>
    <w:rsid w:val="003404F9"/>
    <w:rsid w:val="00340E8C"/>
    <w:rsid w:val="00341BFF"/>
    <w:rsid w:val="0034209A"/>
    <w:rsid w:val="003422C1"/>
    <w:rsid w:val="00342C1A"/>
    <w:rsid w:val="00342D6F"/>
    <w:rsid w:val="00342F55"/>
    <w:rsid w:val="0034345D"/>
    <w:rsid w:val="00343864"/>
    <w:rsid w:val="003438C8"/>
    <w:rsid w:val="00343CEB"/>
    <w:rsid w:val="0034419E"/>
    <w:rsid w:val="003446B0"/>
    <w:rsid w:val="00345071"/>
    <w:rsid w:val="00345398"/>
    <w:rsid w:val="00345676"/>
    <w:rsid w:val="00345899"/>
    <w:rsid w:val="00345906"/>
    <w:rsid w:val="00345961"/>
    <w:rsid w:val="0034615D"/>
    <w:rsid w:val="00346484"/>
    <w:rsid w:val="00346531"/>
    <w:rsid w:val="0034689C"/>
    <w:rsid w:val="00346C2E"/>
    <w:rsid w:val="00346D50"/>
    <w:rsid w:val="00347203"/>
    <w:rsid w:val="00347CAE"/>
    <w:rsid w:val="003505A2"/>
    <w:rsid w:val="00350AF9"/>
    <w:rsid w:val="00351188"/>
    <w:rsid w:val="00351366"/>
    <w:rsid w:val="0035137A"/>
    <w:rsid w:val="003521E4"/>
    <w:rsid w:val="00353E1F"/>
    <w:rsid w:val="003540F7"/>
    <w:rsid w:val="00354808"/>
    <w:rsid w:val="00354A6D"/>
    <w:rsid w:val="00354C5F"/>
    <w:rsid w:val="0035535C"/>
    <w:rsid w:val="00355513"/>
    <w:rsid w:val="00355821"/>
    <w:rsid w:val="0035587B"/>
    <w:rsid w:val="003558D7"/>
    <w:rsid w:val="00355B61"/>
    <w:rsid w:val="00355FB7"/>
    <w:rsid w:val="00356027"/>
    <w:rsid w:val="00356254"/>
    <w:rsid w:val="003567F1"/>
    <w:rsid w:val="00356A2C"/>
    <w:rsid w:val="00356AB2"/>
    <w:rsid w:val="003571E2"/>
    <w:rsid w:val="00357624"/>
    <w:rsid w:val="0035782E"/>
    <w:rsid w:val="0035793C"/>
    <w:rsid w:val="0035797E"/>
    <w:rsid w:val="00357AD7"/>
    <w:rsid w:val="00357BF0"/>
    <w:rsid w:val="00357CF2"/>
    <w:rsid w:val="00357E2C"/>
    <w:rsid w:val="0036000A"/>
    <w:rsid w:val="0036009F"/>
    <w:rsid w:val="00360321"/>
    <w:rsid w:val="0036059A"/>
    <w:rsid w:val="003605E4"/>
    <w:rsid w:val="0036074A"/>
    <w:rsid w:val="0036096E"/>
    <w:rsid w:val="00360AF8"/>
    <w:rsid w:val="0036265F"/>
    <w:rsid w:val="003628A1"/>
    <w:rsid w:val="00362CFD"/>
    <w:rsid w:val="0036389E"/>
    <w:rsid w:val="00363C7F"/>
    <w:rsid w:val="00363FEA"/>
    <w:rsid w:val="0036404B"/>
    <w:rsid w:val="00364589"/>
    <w:rsid w:val="003649C4"/>
    <w:rsid w:val="00364C69"/>
    <w:rsid w:val="003651EA"/>
    <w:rsid w:val="003652FA"/>
    <w:rsid w:val="003656EC"/>
    <w:rsid w:val="003657B8"/>
    <w:rsid w:val="00365F87"/>
    <w:rsid w:val="00365FB2"/>
    <w:rsid w:val="00366292"/>
    <w:rsid w:val="003665FD"/>
    <w:rsid w:val="00366F52"/>
    <w:rsid w:val="003703B2"/>
    <w:rsid w:val="0037041D"/>
    <w:rsid w:val="003707A0"/>
    <w:rsid w:val="00370959"/>
    <w:rsid w:val="00370EA3"/>
    <w:rsid w:val="003716E9"/>
    <w:rsid w:val="00371B8C"/>
    <w:rsid w:val="00371EE6"/>
    <w:rsid w:val="003726F3"/>
    <w:rsid w:val="00373738"/>
    <w:rsid w:val="003737C2"/>
    <w:rsid w:val="00373AB5"/>
    <w:rsid w:val="003745E4"/>
    <w:rsid w:val="00374F10"/>
    <w:rsid w:val="0037573A"/>
    <w:rsid w:val="0037581A"/>
    <w:rsid w:val="00375F81"/>
    <w:rsid w:val="00375FE7"/>
    <w:rsid w:val="003761FE"/>
    <w:rsid w:val="0037648C"/>
    <w:rsid w:val="00376C32"/>
    <w:rsid w:val="00376DC8"/>
    <w:rsid w:val="0037704B"/>
    <w:rsid w:val="00377643"/>
    <w:rsid w:val="00377EB7"/>
    <w:rsid w:val="0038038C"/>
    <w:rsid w:val="0038046A"/>
    <w:rsid w:val="003808AF"/>
    <w:rsid w:val="003808CA"/>
    <w:rsid w:val="00380929"/>
    <w:rsid w:val="003810A4"/>
    <w:rsid w:val="0038119E"/>
    <w:rsid w:val="00381352"/>
    <w:rsid w:val="0038151D"/>
    <w:rsid w:val="00381657"/>
    <w:rsid w:val="003819EA"/>
    <w:rsid w:val="00381C7C"/>
    <w:rsid w:val="00381EEA"/>
    <w:rsid w:val="00381F64"/>
    <w:rsid w:val="00381FB1"/>
    <w:rsid w:val="00382F8D"/>
    <w:rsid w:val="00383324"/>
    <w:rsid w:val="00383773"/>
    <w:rsid w:val="003847C5"/>
    <w:rsid w:val="00384995"/>
    <w:rsid w:val="00384C44"/>
    <w:rsid w:val="00384CB5"/>
    <w:rsid w:val="0038530E"/>
    <w:rsid w:val="003855A0"/>
    <w:rsid w:val="00385633"/>
    <w:rsid w:val="00385CC3"/>
    <w:rsid w:val="00385E05"/>
    <w:rsid w:val="00385F46"/>
    <w:rsid w:val="0038671A"/>
    <w:rsid w:val="00386915"/>
    <w:rsid w:val="00386E50"/>
    <w:rsid w:val="0038724B"/>
    <w:rsid w:val="003876BE"/>
    <w:rsid w:val="0039046C"/>
    <w:rsid w:val="00390A68"/>
    <w:rsid w:val="003915C1"/>
    <w:rsid w:val="003916E7"/>
    <w:rsid w:val="003917E9"/>
    <w:rsid w:val="003917EC"/>
    <w:rsid w:val="00391C66"/>
    <w:rsid w:val="00391D35"/>
    <w:rsid w:val="003921B4"/>
    <w:rsid w:val="0039282A"/>
    <w:rsid w:val="00392D39"/>
    <w:rsid w:val="00392D48"/>
    <w:rsid w:val="00393178"/>
    <w:rsid w:val="0039320F"/>
    <w:rsid w:val="00393855"/>
    <w:rsid w:val="00393994"/>
    <w:rsid w:val="003947BD"/>
    <w:rsid w:val="00394813"/>
    <w:rsid w:val="00394900"/>
    <w:rsid w:val="00394B83"/>
    <w:rsid w:val="00396467"/>
    <w:rsid w:val="003968D0"/>
    <w:rsid w:val="00396E56"/>
    <w:rsid w:val="0039749D"/>
    <w:rsid w:val="00397802"/>
    <w:rsid w:val="00397B0B"/>
    <w:rsid w:val="00397D49"/>
    <w:rsid w:val="003A03A6"/>
    <w:rsid w:val="003A059A"/>
    <w:rsid w:val="003A0899"/>
    <w:rsid w:val="003A0BAA"/>
    <w:rsid w:val="003A0BC0"/>
    <w:rsid w:val="003A0EDC"/>
    <w:rsid w:val="003A1212"/>
    <w:rsid w:val="003A169C"/>
    <w:rsid w:val="003A1809"/>
    <w:rsid w:val="003A1D06"/>
    <w:rsid w:val="003A20A6"/>
    <w:rsid w:val="003A21B1"/>
    <w:rsid w:val="003A237C"/>
    <w:rsid w:val="003A268F"/>
    <w:rsid w:val="003A29EF"/>
    <w:rsid w:val="003A2A95"/>
    <w:rsid w:val="003A3025"/>
    <w:rsid w:val="003A33A2"/>
    <w:rsid w:val="003A3555"/>
    <w:rsid w:val="003A3C79"/>
    <w:rsid w:val="003A457B"/>
    <w:rsid w:val="003A469E"/>
    <w:rsid w:val="003A49F2"/>
    <w:rsid w:val="003A54DB"/>
    <w:rsid w:val="003A5663"/>
    <w:rsid w:val="003A68AE"/>
    <w:rsid w:val="003A6A71"/>
    <w:rsid w:val="003A735B"/>
    <w:rsid w:val="003A74D3"/>
    <w:rsid w:val="003A7D2F"/>
    <w:rsid w:val="003A7E10"/>
    <w:rsid w:val="003A7E2B"/>
    <w:rsid w:val="003B0067"/>
    <w:rsid w:val="003B0401"/>
    <w:rsid w:val="003B0FB9"/>
    <w:rsid w:val="003B11B7"/>
    <w:rsid w:val="003B11CC"/>
    <w:rsid w:val="003B1260"/>
    <w:rsid w:val="003B142C"/>
    <w:rsid w:val="003B15FE"/>
    <w:rsid w:val="003B1762"/>
    <w:rsid w:val="003B1878"/>
    <w:rsid w:val="003B1A07"/>
    <w:rsid w:val="003B1A84"/>
    <w:rsid w:val="003B1B2F"/>
    <w:rsid w:val="003B1D1C"/>
    <w:rsid w:val="003B1E1F"/>
    <w:rsid w:val="003B26BC"/>
    <w:rsid w:val="003B34EA"/>
    <w:rsid w:val="003B3EAF"/>
    <w:rsid w:val="003B41C1"/>
    <w:rsid w:val="003B43E9"/>
    <w:rsid w:val="003B4CFF"/>
    <w:rsid w:val="003B513E"/>
    <w:rsid w:val="003B566A"/>
    <w:rsid w:val="003B5CD8"/>
    <w:rsid w:val="003B5D1E"/>
    <w:rsid w:val="003B5FB2"/>
    <w:rsid w:val="003B62EA"/>
    <w:rsid w:val="003B6391"/>
    <w:rsid w:val="003B731D"/>
    <w:rsid w:val="003B73E6"/>
    <w:rsid w:val="003C0097"/>
    <w:rsid w:val="003C0363"/>
    <w:rsid w:val="003C0954"/>
    <w:rsid w:val="003C0AB4"/>
    <w:rsid w:val="003C1226"/>
    <w:rsid w:val="003C1353"/>
    <w:rsid w:val="003C1822"/>
    <w:rsid w:val="003C1924"/>
    <w:rsid w:val="003C1D31"/>
    <w:rsid w:val="003C2A60"/>
    <w:rsid w:val="003C2B88"/>
    <w:rsid w:val="003C2B8E"/>
    <w:rsid w:val="003C3428"/>
    <w:rsid w:val="003C3F9C"/>
    <w:rsid w:val="003C4696"/>
    <w:rsid w:val="003C4FEC"/>
    <w:rsid w:val="003C5489"/>
    <w:rsid w:val="003C5879"/>
    <w:rsid w:val="003C5E52"/>
    <w:rsid w:val="003C60CA"/>
    <w:rsid w:val="003C6206"/>
    <w:rsid w:val="003C65DB"/>
    <w:rsid w:val="003C698B"/>
    <w:rsid w:val="003C6F11"/>
    <w:rsid w:val="003C70DA"/>
    <w:rsid w:val="003C76E8"/>
    <w:rsid w:val="003D00D6"/>
    <w:rsid w:val="003D0673"/>
    <w:rsid w:val="003D06D3"/>
    <w:rsid w:val="003D1390"/>
    <w:rsid w:val="003D1A0B"/>
    <w:rsid w:val="003D1B56"/>
    <w:rsid w:val="003D268D"/>
    <w:rsid w:val="003D2781"/>
    <w:rsid w:val="003D28B7"/>
    <w:rsid w:val="003D2CB3"/>
    <w:rsid w:val="003D2F45"/>
    <w:rsid w:val="003D31A0"/>
    <w:rsid w:val="003D36EC"/>
    <w:rsid w:val="003D383F"/>
    <w:rsid w:val="003D3841"/>
    <w:rsid w:val="003D45E5"/>
    <w:rsid w:val="003D4605"/>
    <w:rsid w:val="003D4661"/>
    <w:rsid w:val="003D47F9"/>
    <w:rsid w:val="003D4F38"/>
    <w:rsid w:val="003D4FDE"/>
    <w:rsid w:val="003D573B"/>
    <w:rsid w:val="003D5B29"/>
    <w:rsid w:val="003D5E33"/>
    <w:rsid w:val="003D600C"/>
    <w:rsid w:val="003D6685"/>
    <w:rsid w:val="003D6B47"/>
    <w:rsid w:val="003D6EB3"/>
    <w:rsid w:val="003D7358"/>
    <w:rsid w:val="003D751F"/>
    <w:rsid w:val="003D782C"/>
    <w:rsid w:val="003D7F48"/>
    <w:rsid w:val="003E097F"/>
    <w:rsid w:val="003E0AA6"/>
    <w:rsid w:val="003E0C03"/>
    <w:rsid w:val="003E0FD0"/>
    <w:rsid w:val="003E1227"/>
    <w:rsid w:val="003E1AF2"/>
    <w:rsid w:val="003E1EA3"/>
    <w:rsid w:val="003E2379"/>
    <w:rsid w:val="003E28D9"/>
    <w:rsid w:val="003E2940"/>
    <w:rsid w:val="003E2C32"/>
    <w:rsid w:val="003E3150"/>
    <w:rsid w:val="003E368D"/>
    <w:rsid w:val="003E3791"/>
    <w:rsid w:val="003E3DF7"/>
    <w:rsid w:val="003E484E"/>
    <w:rsid w:val="003E4AE9"/>
    <w:rsid w:val="003E4CAA"/>
    <w:rsid w:val="003E4CF2"/>
    <w:rsid w:val="003E5341"/>
    <w:rsid w:val="003E542B"/>
    <w:rsid w:val="003E57E0"/>
    <w:rsid w:val="003E6965"/>
    <w:rsid w:val="003E6A84"/>
    <w:rsid w:val="003E6D6D"/>
    <w:rsid w:val="003E74ED"/>
    <w:rsid w:val="003F0C02"/>
    <w:rsid w:val="003F121A"/>
    <w:rsid w:val="003F12AC"/>
    <w:rsid w:val="003F150D"/>
    <w:rsid w:val="003F1E66"/>
    <w:rsid w:val="003F1F5B"/>
    <w:rsid w:val="003F28A4"/>
    <w:rsid w:val="003F2C16"/>
    <w:rsid w:val="003F2C2A"/>
    <w:rsid w:val="003F2F71"/>
    <w:rsid w:val="003F337E"/>
    <w:rsid w:val="003F35F7"/>
    <w:rsid w:val="003F40BA"/>
    <w:rsid w:val="003F4C21"/>
    <w:rsid w:val="003F500B"/>
    <w:rsid w:val="003F579C"/>
    <w:rsid w:val="003F5EED"/>
    <w:rsid w:val="003F6126"/>
    <w:rsid w:val="003F6BA0"/>
    <w:rsid w:val="003F6F2E"/>
    <w:rsid w:val="003F71B7"/>
    <w:rsid w:val="003F72A8"/>
    <w:rsid w:val="003F733B"/>
    <w:rsid w:val="003F73C5"/>
    <w:rsid w:val="003F7684"/>
    <w:rsid w:val="003F768F"/>
    <w:rsid w:val="003F77E0"/>
    <w:rsid w:val="003F7807"/>
    <w:rsid w:val="003F7B41"/>
    <w:rsid w:val="0040042C"/>
    <w:rsid w:val="00400746"/>
    <w:rsid w:val="0040088D"/>
    <w:rsid w:val="00400A56"/>
    <w:rsid w:val="0040120D"/>
    <w:rsid w:val="004012ED"/>
    <w:rsid w:val="004013D6"/>
    <w:rsid w:val="00401BC4"/>
    <w:rsid w:val="00401C85"/>
    <w:rsid w:val="00401CD9"/>
    <w:rsid w:val="00402135"/>
    <w:rsid w:val="004022E2"/>
    <w:rsid w:val="00402500"/>
    <w:rsid w:val="0040297C"/>
    <w:rsid w:val="00403CFD"/>
    <w:rsid w:val="00405391"/>
    <w:rsid w:val="004061BE"/>
    <w:rsid w:val="004062F6"/>
    <w:rsid w:val="00406C8B"/>
    <w:rsid w:val="00407035"/>
    <w:rsid w:val="00407082"/>
    <w:rsid w:val="0040728C"/>
    <w:rsid w:val="0040749E"/>
    <w:rsid w:val="00407A60"/>
    <w:rsid w:val="00407C25"/>
    <w:rsid w:val="004100A4"/>
    <w:rsid w:val="0041031B"/>
    <w:rsid w:val="00410395"/>
    <w:rsid w:val="004106CB"/>
    <w:rsid w:val="00410718"/>
    <w:rsid w:val="0041119C"/>
    <w:rsid w:val="0041153A"/>
    <w:rsid w:val="004117BC"/>
    <w:rsid w:val="004117FE"/>
    <w:rsid w:val="00411A50"/>
    <w:rsid w:val="00411C0E"/>
    <w:rsid w:val="00412AC2"/>
    <w:rsid w:val="00412CAB"/>
    <w:rsid w:val="00412CC6"/>
    <w:rsid w:val="004139B6"/>
    <w:rsid w:val="00414016"/>
    <w:rsid w:val="004140D9"/>
    <w:rsid w:val="00414935"/>
    <w:rsid w:val="00414B2C"/>
    <w:rsid w:val="004157BF"/>
    <w:rsid w:val="004158C0"/>
    <w:rsid w:val="0041615C"/>
    <w:rsid w:val="00416507"/>
    <w:rsid w:val="00416D51"/>
    <w:rsid w:val="00416DD1"/>
    <w:rsid w:val="00417E49"/>
    <w:rsid w:val="00420097"/>
    <w:rsid w:val="004201AD"/>
    <w:rsid w:val="00420783"/>
    <w:rsid w:val="00420904"/>
    <w:rsid w:val="00420956"/>
    <w:rsid w:val="004209CE"/>
    <w:rsid w:val="00421FAE"/>
    <w:rsid w:val="0042233A"/>
    <w:rsid w:val="004225D5"/>
    <w:rsid w:val="00422605"/>
    <w:rsid w:val="0042298D"/>
    <w:rsid w:val="00422A33"/>
    <w:rsid w:val="00422B64"/>
    <w:rsid w:val="00423205"/>
    <w:rsid w:val="004232E2"/>
    <w:rsid w:val="004236C1"/>
    <w:rsid w:val="00423858"/>
    <w:rsid w:val="00423CAC"/>
    <w:rsid w:val="00423E56"/>
    <w:rsid w:val="00423E9F"/>
    <w:rsid w:val="00424150"/>
    <w:rsid w:val="00424315"/>
    <w:rsid w:val="00424345"/>
    <w:rsid w:val="004243E7"/>
    <w:rsid w:val="004243EF"/>
    <w:rsid w:val="004247CF"/>
    <w:rsid w:val="00424F86"/>
    <w:rsid w:val="004251F5"/>
    <w:rsid w:val="0042595E"/>
    <w:rsid w:val="0042597C"/>
    <w:rsid w:val="00425F44"/>
    <w:rsid w:val="004260B5"/>
    <w:rsid w:val="004260BC"/>
    <w:rsid w:val="00426123"/>
    <w:rsid w:val="00426842"/>
    <w:rsid w:val="0042693E"/>
    <w:rsid w:val="00427147"/>
    <w:rsid w:val="00427324"/>
    <w:rsid w:val="00430280"/>
    <w:rsid w:val="004307BE"/>
    <w:rsid w:val="004307EC"/>
    <w:rsid w:val="00430B5B"/>
    <w:rsid w:val="0043132D"/>
    <w:rsid w:val="00431364"/>
    <w:rsid w:val="0043174D"/>
    <w:rsid w:val="00431895"/>
    <w:rsid w:val="00431BBB"/>
    <w:rsid w:val="00432654"/>
    <w:rsid w:val="00432C8C"/>
    <w:rsid w:val="00432E45"/>
    <w:rsid w:val="00432F2E"/>
    <w:rsid w:val="00432F5E"/>
    <w:rsid w:val="00433170"/>
    <w:rsid w:val="004332FD"/>
    <w:rsid w:val="0043410A"/>
    <w:rsid w:val="0043439E"/>
    <w:rsid w:val="00434A4B"/>
    <w:rsid w:val="00434D8A"/>
    <w:rsid w:val="0043550A"/>
    <w:rsid w:val="00436210"/>
    <w:rsid w:val="00436247"/>
    <w:rsid w:val="004365A4"/>
    <w:rsid w:val="004366CD"/>
    <w:rsid w:val="00437950"/>
    <w:rsid w:val="00437CA0"/>
    <w:rsid w:val="00437F53"/>
    <w:rsid w:val="004400F2"/>
    <w:rsid w:val="00440299"/>
    <w:rsid w:val="004409D9"/>
    <w:rsid w:val="00440CB4"/>
    <w:rsid w:val="00441AE1"/>
    <w:rsid w:val="00441B28"/>
    <w:rsid w:val="00442067"/>
    <w:rsid w:val="0044207E"/>
    <w:rsid w:val="004420C2"/>
    <w:rsid w:val="0044241B"/>
    <w:rsid w:val="00442695"/>
    <w:rsid w:val="00442BD4"/>
    <w:rsid w:val="00442EA1"/>
    <w:rsid w:val="00442EB4"/>
    <w:rsid w:val="00443318"/>
    <w:rsid w:val="00443370"/>
    <w:rsid w:val="004434E7"/>
    <w:rsid w:val="00443D2E"/>
    <w:rsid w:val="00443F4E"/>
    <w:rsid w:val="00444385"/>
    <w:rsid w:val="00444B5B"/>
    <w:rsid w:val="00444C0B"/>
    <w:rsid w:val="0044525A"/>
    <w:rsid w:val="0044558C"/>
    <w:rsid w:val="004455C9"/>
    <w:rsid w:val="00445618"/>
    <w:rsid w:val="00445F5A"/>
    <w:rsid w:val="0044614D"/>
    <w:rsid w:val="00446C83"/>
    <w:rsid w:val="00447304"/>
    <w:rsid w:val="00447BB7"/>
    <w:rsid w:val="00447F14"/>
    <w:rsid w:val="00450251"/>
    <w:rsid w:val="00450502"/>
    <w:rsid w:val="004506EA"/>
    <w:rsid w:val="00450E29"/>
    <w:rsid w:val="00450F22"/>
    <w:rsid w:val="004516E2"/>
    <w:rsid w:val="00451C22"/>
    <w:rsid w:val="00451D16"/>
    <w:rsid w:val="00452446"/>
    <w:rsid w:val="004527E4"/>
    <w:rsid w:val="00452FA7"/>
    <w:rsid w:val="0045315D"/>
    <w:rsid w:val="004531A4"/>
    <w:rsid w:val="00453A4A"/>
    <w:rsid w:val="00453C6C"/>
    <w:rsid w:val="00453CDD"/>
    <w:rsid w:val="00454283"/>
    <w:rsid w:val="00454305"/>
    <w:rsid w:val="00454574"/>
    <w:rsid w:val="00454D1F"/>
    <w:rsid w:val="0045593A"/>
    <w:rsid w:val="00455DCC"/>
    <w:rsid w:val="00455E16"/>
    <w:rsid w:val="00455FB2"/>
    <w:rsid w:val="00456029"/>
    <w:rsid w:val="0045657A"/>
    <w:rsid w:val="00456954"/>
    <w:rsid w:val="00456A41"/>
    <w:rsid w:val="00456BA6"/>
    <w:rsid w:val="00456E29"/>
    <w:rsid w:val="00456EB6"/>
    <w:rsid w:val="004579C5"/>
    <w:rsid w:val="00457FA2"/>
    <w:rsid w:val="00460002"/>
    <w:rsid w:val="00460089"/>
    <w:rsid w:val="004603E9"/>
    <w:rsid w:val="0046085D"/>
    <w:rsid w:val="004608A2"/>
    <w:rsid w:val="00461816"/>
    <w:rsid w:val="00461A00"/>
    <w:rsid w:val="004620D0"/>
    <w:rsid w:val="0046226B"/>
    <w:rsid w:val="00462319"/>
    <w:rsid w:val="004626AD"/>
    <w:rsid w:val="00462F9A"/>
    <w:rsid w:val="004638F5"/>
    <w:rsid w:val="00463AB2"/>
    <w:rsid w:val="00463C08"/>
    <w:rsid w:val="00463CB1"/>
    <w:rsid w:val="00464AEF"/>
    <w:rsid w:val="00464CA5"/>
    <w:rsid w:val="00465572"/>
    <w:rsid w:val="00465C11"/>
    <w:rsid w:val="004668AB"/>
    <w:rsid w:val="00466E38"/>
    <w:rsid w:val="004674DD"/>
    <w:rsid w:val="004676E6"/>
    <w:rsid w:val="00467B92"/>
    <w:rsid w:val="00467D0F"/>
    <w:rsid w:val="00470C66"/>
    <w:rsid w:val="00470DD1"/>
    <w:rsid w:val="00470FAC"/>
    <w:rsid w:val="00471280"/>
    <w:rsid w:val="004714D9"/>
    <w:rsid w:val="0047178B"/>
    <w:rsid w:val="0047325C"/>
    <w:rsid w:val="00473A9F"/>
    <w:rsid w:val="00473E10"/>
    <w:rsid w:val="00474648"/>
    <w:rsid w:val="00474B79"/>
    <w:rsid w:val="00475039"/>
    <w:rsid w:val="00475105"/>
    <w:rsid w:val="0047536E"/>
    <w:rsid w:val="004756DB"/>
    <w:rsid w:val="0047580A"/>
    <w:rsid w:val="00475CF8"/>
    <w:rsid w:val="00475D4A"/>
    <w:rsid w:val="00475DEE"/>
    <w:rsid w:val="00475ECF"/>
    <w:rsid w:val="00476254"/>
    <w:rsid w:val="00476F72"/>
    <w:rsid w:val="004777BA"/>
    <w:rsid w:val="00477D46"/>
    <w:rsid w:val="00477F1A"/>
    <w:rsid w:val="00477FAD"/>
    <w:rsid w:val="00480077"/>
    <w:rsid w:val="004803FC"/>
    <w:rsid w:val="004806DB"/>
    <w:rsid w:val="00481375"/>
    <w:rsid w:val="00481AB2"/>
    <w:rsid w:val="00481BEE"/>
    <w:rsid w:val="004821DA"/>
    <w:rsid w:val="004824CE"/>
    <w:rsid w:val="00482516"/>
    <w:rsid w:val="00482B0F"/>
    <w:rsid w:val="0048310D"/>
    <w:rsid w:val="0048335C"/>
    <w:rsid w:val="00483451"/>
    <w:rsid w:val="00483946"/>
    <w:rsid w:val="00483C83"/>
    <w:rsid w:val="004841E2"/>
    <w:rsid w:val="00484B77"/>
    <w:rsid w:val="004851A3"/>
    <w:rsid w:val="00486685"/>
    <w:rsid w:val="004868AC"/>
    <w:rsid w:val="00486B0B"/>
    <w:rsid w:val="00486ED6"/>
    <w:rsid w:val="00486F00"/>
    <w:rsid w:val="00486F38"/>
    <w:rsid w:val="0048757C"/>
    <w:rsid w:val="0048763F"/>
    <w:rsid w:val="004878F6"/>
    <w:rsid w:val="00487A78"/>
    <w:rsid w:val="00490E40"/>
    <w:rsid w:val="00490EBF"/>
    <w:rsid w:val="00491514"/>
    <w:rsid w:val="004916EC"/>
    <w:rsid w:val="00491786"/>
    <w:rsid w:val="0049281A"/>
    <w:rsid w:val="00492D5C"/>
    <w:rsid w:val="004938F6"/>
    <w:rsid w:val="00493B33"/>
    <w:rsid w:val="00493CD0"/>
    <w:rsid w:val="0049403A"/>
    <w:rsid w:val="004941A6"/>
    <w:rsid w:val="004946A0"/>
    <w:rsid w:val="0049498D"/>
    <w:rsid w:val="00495092"/>
    <w:rsid w:val="00495C63"/>
    <w:rsid w:val="00495E6D"/>
    <w:rsid w:val="00496642"/>
    <w:rsid w:val="00496C9A"/>
    <w:rsid w:val="00496CEA"/>
    <w:rsid w:val="004970C1"/>
    <w:rsid w:val="00497BB1"/>
    <w:rsid w:val="00497D71"/>
    <w:rsid w:val="00497DF4"/>
    <w:rsid w:val="004A0346"/>
    <w:rsid w:val="004A069F"/>
    <w:rsid w:val="004A0817"/>
    <w:rsid w:val="004A0C2C"/>
    <w:rsid w:val="004A0EEB"/>
    <w:rsid w:val="004A0F49"/>
    <w:rsid w:val="004A1286"/>
    <w:rsid w:val="004A13CB"/>
    <w:rsid w:val="004A1653"/>
    <w:rsid w:val="004A1931"/>
    <w:rsid w:val="004A1D08"/>
    <w:rsid w:val="004A1FB5"/>
    <w:rsid w:val="004A200C"/>
    <w:rsid w:val="004A23DD"/>
    <w:rsid w:val="004A2446"/>
    <w:rsid w:val="004A274C"/>
    <w:rsid w:val="004A2985"/>
    <w:rsid w:val="004A32BC"/>
    <w:rsid w:val="004A3A41"/>
    <w:rsid w:val="004A3B36"/>
    <w:rsid w:val="004A449A"/>
    <w:rsid w:val="004A4545"/>
    <w:rsid w:val="004A4932"/>
    <w:rsid w:val="004A4B55"/>
    <w:rsid w:val="004A5730"/>
    <w:rsid w:val="004A5D11"/>
    <w:rsid w:val="004A66C6"/>
    <w:rsid w:val="004A6880"/>
    <w:rsid w:val="004A694B"/>
    <w:rsid w:val="004A6BA0"/>
    <w:rsid w:val="004A6C45"/>
    <w:rsid w:val="004A720B"/>
    <w:rsid w:val="004A7EB6"/>
    <w:rsid w:val="004A7FD4"/>
    <w:rsid w:val="004B025E"/>
    <w:rsid w:val="004B1577"/>
    <w:rsid w:val="004B1AD1"/>
    <w:rsid w:val="004B1C78"/>
    <w:rsid w:val="004B1E14"/>
    <w:rsid w:val="004B2A5F"/>
    <w:rsid w:val="004B2B17"/>
    <w:rsid w:val="004B2EEA"/>
    <w:rsid w:val="004B2EF8"/>
    <w:rsid w:val="004B3094"/>
    <w:rsid w:val="004B31DF"/>
    <w:rsid w:val="004B3357"/>
    <w:rsid w:val="004B3954"/>
    <w:rsid w:val="004B3E96"/>
    <w:rsid w:val="004B3F3F"/>
    <w:rsid w:val="004B403A"/>
    <w:rsid w:val="004B4128"/>
    <w:rsid w:val="004B4596"/>
    <w:rsid w:val="004B4F0C"/>
    <w:rsid w:val="004B5E08"/>
    <w:rsid w:val="004B5EDC"/>
    <w:rsid w:val="004B5EEB"/>
    <w:rsid w:val="004B647D"/>
    <w:rsid w:val="004B660D"/>
    <w:rsid w:val="004B6F5E"/>
    <w:rsid w:val="004B7114"/>
    <w:rsid w:val="004B7585"/>
    <w:rsid w:val="004C0158"/>
    <w:rsid w:val="004C14A7"/>
    <w:rsid w:val="004C173C"/>
    <w:rsid w:val="004C17E4"/>
    <w:rsid w:val="004C1AD6"/>
    <w:rsid w:val="004C1C0C"/>
    <w:rsid w:val="004C1D0E"/>
    <w:rsid w:val="004C1FC8"/>
    <w:rsid w:val="004C2119"/>
    <w:rsid w:val="004C228F"/>
    <w:rsid w:val="004C2B9D"/>
    <w:rsid w:val="004C3554"/>
    <w:rsid w:val="004C35F3"/>
    <w:rsid w:val="004C4392"/>
    <w:rsid w:val="004C43CA"/>
    <w:rsid w:val="004C4CAE"/>
    <w:rsid w:val="004C52BF"/>
    <w:rsid w:val="004C5735"/>
    <w:rsid w:val="004C58D7"/>
    <w:rsid w:val="004C5F9A"/>
    <w:rsid w:val="004C6038"/>
    <w:rsid w:val="004C694C"/>
    <w:rsid w:val="004C70C7"/>
    <w:rsid w:val="004C72EA"/>
    <w:rsid w:val="004D0CA0"/>
    <w:rsid w:val="004D111F"/>
    <w:rsid w:val="004D1BE5"/>
    <w:rsid w:val="004D2609"/>
    <w:rsid w:val="004D2BE2"/>
    <w:rsid w:val="004D3492"/>
    <w:rsid w:val="004D385E"/>
    <w:rsid w:val="004D436D"/>
    <w:rsid w:val="004D44DC"/>
    <w:rsid w:val="004D46B2"/>
    <w:rsid w:val="004D47EC"/>
    <w:rsid w:val="004D4FA5"/>
    <w:rsid w:val="004D530A"/>
    <w:rsid w:val="004D5FCA"/>
    <w:rsid w:val="004D62DB"/>
    <w:rsid w:val="004D6650"/>
    <w:rsid w:val="004D67B3"/>
    <w:rsid w:val="004D67B5"/>
    <w:rsid w:val="004D6D80"/>
    <w:rsid w:val="004D6F8A"/>
    <w:rsid w:val="004D7322"/>
    <w:rsid w:val="004D7969"/>
    <w:rsid w:val="004D7DD5"/>
    <w:rsid w:val="004D7F1B"/>
    <w:rsid w:val="004D7F4F"/>
    <w:rsid w:val="004E01F6"/>
    <w:rsid w:val="004E0556"/>
    <w:rsid w:val="004E15BB"/>
    <w:rsid w:val="004E165A"/>
    <w:rsid w:val="004E1ADD"/>
    <w:rsid w:val="004E1C37"/>
    <w:rsid w:val="004E1D6C"/>
    <w:rsid w:val="004E27F1"/>
    <w:rsid w:val="004E3C28"/>
    <w:rsid w:val="004E3C41"/>
    <w:rsid w:val="004E4224"/>
    <w:rsid w:val="004E4413"/>
    <w:rsid w:val="004E4B27"/>
    <w:rsid w:val="004E4E78"/>
    <w:rsid w:val="004E4E80"/>
    <w:rsid w:val="004E5089"/>
    <w:rsid w:val="004E5B03"/>
    <w:rsid w:val="004E66F1"/>
    <w:rsid w:val="004E6752"/>
    <w:rsid w:val="004E692A"/>
    <w:rsid w:val="004E6FA0"/>
    <w:rsid w:val="004E7078"/>
    <w:rsid w:val="004E70CA"/>
    <w:rsid w:val="004E7164"/>
    <w:rsid w:val="004E797B"/>
    <w:rsid w:val="004E7BD8"/>
    <w:rsid w:val="004F0085"/>
    <w:rsid w:val="004F1000"/>
    <w:rsid w:val="004F1DF3"/>
    <w:rsid w:val="004F20C0"/>
    <w:rsid w:val="004F24BB"/>
    <w:rsid w:val="004F28BE"/>
    <w:rsid w:val="004F2ED4"/>
    <w:rsid w:val="004F3079"/>
    <w:rsid w:val="004F31F4"/>
    <w:rsid w:val="004F3494"/>
    <w:rsid w:val="004F3C21"/>
    <w:rsid w:val="004F3EFB"/>
    <w:rsid w:val="004F434E"/>
    <w:rsid w:val="004F4C6C"/>
    <w:rsid w:val="004F4D1D"/>
    <w:rsid w:val="004F4D21"/>
    <w:rsid w:val="004F4E9D"/>
    <w:rsid w:val="004F55E5"/>
    <w:rsid w:val="004F5B48"/>
    <w:rsid w:val="004F5D11"/>
    <w:rsid w:val="004F60E6"/>
    <w:rsid w:val="004F623A"/>
    <w:rsid w:val="004F6247"/>
    <w:rsid w:val="004F670E"/>
    <w:rsid w:val="004F67A5"/>
    <w:rsid w:val="004F682C"/>
    <w:rsid w:val="004F6BA2"/>
    <w:rsid w:val="004F6D05"/>
    <w:rsid w:val="004F6ED9"/>
    <w:rsid w:val="004F7837"/>
    <w:rsid w:val="004F7BAD"/>
    <w:rsid w:val="004F7FBA"/>
    <w:rsid w:val="004F7FEE"/>
    <w:rsid w:val="005001B1"/>
    <w:rsid w:val="00500568"/>
    <w:rsid w:val="00500697"/>
    <w:rsid w:val="00500A8F"/>
    <w:rsid w:val="00501E4B"/>
    <w:rsid w:val="0050248F"/>
    <w:rsid w:val="0050264F"/>
    <w:rsid w:val="00502882"/>
    <w:rsid w:val="00502E93"/>
    <w:rsid w:val="005031D2"/>
    <w:rsid w:val="005031FA"/>
    <w:rsid w:val="00503921"/>
    <w:rsid w:val="00503D69"/>
    <w:rsid w:val="005048D9"/>
    <w:rsid w:val="00504B0E"/>
    <w:rsid w:val="00504BA4"/>
    <w:rsid w:val="00505687"/>
    <w:rsid w:val="0050582C"/>
    <w:rsid w:val="0050583B"/>
    <w:rsid w:val="00505AE6"/>
    <w:rsid w:val="005060E6"/>
    <w:rsid w:val="00506254"/>
    <w:rsid w:val="005065EE"/>
    <w:rsid w:val="005069C7"/>
    <w:rsid w:val="00506E19"/>
    <w:rsid w:val="00506FDB"/>
    <w:rsid w:val="005072E7"/>
    <w:rsid w:val="0050756A"/>
    <w:rsid w:val="00507A89"/>
    <w:rsid w:val="00510342"/>
    <w:rsid w:val="005104DC"/>
    <w:rsid w:val="005106E3"/>
    <w:rsid w:val="0051080F"/>
    <w:rsid w:val="005108DD"/>
    <w:rsid w:val="0051130C"/>
    <w:rsid w:val="0051176C"/>
    <w:rsid w:val="0051199D"/>
    <w:rsid w:val="00511A7A"/>
    <w:rsid w:val="00511D3C"/>
    <w:rsid w:val="00511D8A"/>
    <w:rsid w:val="00511F99"/>
    <w:rsid w:val="005126C1"/>
    <w:rsid w:val="00513FAC"/>
    <w:rsid w:val="00515503"/>
    <w:rsid w:val="005156E8"/>
    <w:rsid w:val="00516ECD"/>
    <w:rsid w:val="00516FD4"/>
    <w:rsid w:val="005172B0"/>
    <w:rsid w:val="005172C3"/>
    <w:rsid w:val="005175C2"/>
    <w:rsid w:val="00517864"/>
    <w:rsid w:val="00517D1A"/>
    <w:rsid w:val="005201D9"/>
    <w:rsid w:val="0052030A"/>
    <w:rsid w:val="00520451"/>
    <w:rsid w:val="005207E7"/>
    <w:rsid w:val="005213AE"/>
    <w:rsid w:val="005216C2"/>
    <w:rsid w:val="005222BE"/>
    <w:rsid w:val="00522A2A"/>
    <w:rsid w:val="00522AE6"/>
    <w:rsid w:val="00522DEC"/>
    <w:rsid w:val="00523357"/>
    <w:rsid w:val="005233CB"/>
    <w:rsid w:val="005237D5"/>
    <w:rsid w:val="0052505E"/>
    <w:rsid w:val="005251A6"/>
    <w:rsid w:val="0052525C"/>
    <w:rsid w:val="00525DA0"/>
    <w:rsid w:val="00526289"/>
    <w:rsid w:val="005268FD"/>
    <w:rsid w:val="00526AB0"/>
    <w:rsid w:val="00526B52"/>
    <w:rsid w:val="00526D03"/>
    <w:rsid w:val="00526ECE"/>
    <w:rsid w:val="00526F5D"/>
    <w:rsid w:val="005272A3"/>
    <w:rsid w:val="00527390"/>
    <w:rsid w:val="005301BA"/>
    <w:rsid w:val="005302B4"/>
    <w:rsid w:val="00530965"/>
    <w:rsid w:val="00530A28"/>
    <w:rsid w:val="00530A7A"/>
    <w:rsid w:val="00530B07"/>
    <w:rsid w:val="00530BBB"/>
    <w:rsid w:val="00530E48"/>
    <w:rsid w:val="00530E5A"/>
    <w:rsid w:val="00530EFC"/>
    <w:rsid w:val="00530FA1"/>
    <w:rsid w:val="0053130D"/>
    <w:rsid w:val="0053145D"/>
    <w:rsid w:val="005317B5"/>
    <w:rsid w:val="005318C7"/>
    <w:rsid w:val="00531CF9"/>
    <w:rsid w:val="0053227C"/>
    <w:rsid w:val="0053228A"/>
    <w:rsid w:val="005324FA"/>
    <w:rsid w:val="00532549"/>
    <w:rsid w:val="00532628"/>
    <w:rsid w:val="0053279C"/>
    <w:rsid w:val="00532B10"/>
    <w:rsid w:val="00532D25"/>
    <w:rsid w:val="00533196"/>
    <w:rsid w:val="00534088"/>
    <w:rsid w:val="005349C5"/>
    <w:rsid w:val="0053536E"/>
    <w:rsid w:val="00535B29"/>
    <w:rsid w:val="00535C3A"/>
    <w:rsid w:val="0053621B"/>
    <w:rsid w:val="00536BCE"/>
    <w:rsid w:val="00536EE8"/>
    <w:rsid w:val="005370E9"/>
    <w:rsid w:val="0053792E"/>
    <w:rsid w:val="005379A9"/>
    <w:rsid w:val="00537E22"/>
    <w:rsid w:val="0054086A"/>
    <w:rsid w:val="00540AC3"/>
    <w:rsid w:val="00541462"/>
    <w:rsid w:val="005414CB"/>
    <w:rsid w:val="00542F1E"/>
    <w:rsid w:val="005438E0"/>
    <w:rsid w:val="00543918"/>
    <w:rsid w:val="00543AE7"/>
    <w:rsid w:val="005442E6"/>
    <w:rsid w:val="005448C8"/>
    <w:rsid w:val="00544A03"/>
    <w:rsid w:val="00545375"/>
    <w:rsid w:val="005453A9"/>
    <w:rsid w:val="005454D9"/>
    <w:rsid w:val="0054618D"/>
    <w:rsid w:val="005462DC"/>
    <w:rsid w:val="0054646E"/>
    <w:rsid w:val="00546689"/>
    <w:rsid w:val="00546BE0"/>
    <w:rsid w:val="00547190"/>
    <w:rsid w:val="005478CA"/>
    <w:rsid w:val="00547BC2"/>
    <w:rsid w:val="00547BC4"/>
    <w:rsid w:val="0055027E"/>
    <w:rsid w:val="005508D5"/>
    <w:rsid w:val="00550FA4"/>
    <w:rsid w:val="00551261"/>
    <w:rsid w:val="00551488"/>
    <w:rsid w:val="005516FF"/>
    <w:rsid w:val="00551BC0"/>
    <w:rsid w:val="00551D5C"/>
    <w:rsid w:val="005522A1"/>
    <w:rsid w:val="005522E2"/>
    <w:rsid w:val="005523E2"/>
    <w:rsid w:val="005528E6"/>
    <w:rsid w:val="0055313B"/>
    <w:rsid w:val="0055324A"/>
    <w:rsid w:val="0055350A"/>
    <w:rsid w:val="00553695"/>
    <w:rsid w:val="00553FC3"/>
    <w:rsid w:val="00555231"/>
    <w:rsid w:val="00555471"/>
    <w:rsid w:val="00555EF3"/>
    <w:rsid w:val="00556257"/>
    <w:rsid w:val="00556600"/>
    <w:rsid w:val="0055690B"/>
    <w:rsid w:val="00556C0B"/>
    <w:rsid w:val="00556D0E"/>
    <w:rsid w:val="00557098"/>
    <w:rsid w:val="00557104"/>
    <w:rsid w:val="0055754F"/>
    <w:rsid w:val="005576DF"/>
    <w:rsid w:val="00557718"/>
    <w:rsid w:val="00557EF3"/>
    <w:rsid w:val="00560175"/>
    <w:rsid w:val="00560235"/>
    <w:rsid w:val="00560649"/>
    <w:rsid w:val="005612D8"/>
    <w:rsid w:val="00561A62"/>
    <w:rsid w:val="00561C3D"/>
    <w:rsid w:val="00561C8E"/>
    <w:rsid w:val="0056204C"/>
    <w:rsid w:val="00562BDE"/>
    <w:rsid w:val="00562C13"/>
    <w:rsid w:val="00562D95"/>
    <w:rsid w:val="00562DCF"/>
    <w:rsid w:val="00563653"/>
    <w:rsid w:val="00563A61"/>
    <w:rsid w:val="0056416A"/>
    <w:rsid w:val="005648DB"/>
    <w:rsid w:val="00564AF9"/>
    <w:rsid w:val="0056517C"/>
    <w:rsid w:val="0056539A"/>
    <w:rsid w:val="00565CA7"/>
    <w:rsid w:val="00565FD9"/>
    <w:rsid w:val="00565FE9"/>
    <w:rsid w:val="00566228"/>
    <w:rsid w:val="005664C0"/>
    <w:rsid w:val="005665D5"/>
    <w:rsid w:val="00566902"/>
    <w:rsid w:val="00566BBA"/>
    <w:rsid w:val="00566DC7"/>
    <w:rsid w:val="005677D3"/>
    <w:rsid w:val="0056781B"/>
    <w:rsid w:val="00567DD6"/>
    <w:rsid w:val="00570195"/>
    <w:rsid w:val="00570647"/>
    <w:rsid w:val="00570C29"/>
    <w:rsid w:val="00570EE6"/>
    <w:rsid w:val="0057123F"/>
    <w:rsid w:val="0057162C"/>
    <w:rsid w:val="005719F5"/>
    <w:rsid w:val="00571BE7"/>
    <w:rsid w:val="00571CCF"/>
    <w:rsid w:val="00571F49"/>
    <w:rsid w:val="005723AF"/>
    <w:rsid w:val="0057295F"/>
    <w:rsid w:val="00572A08"/>
    <w:rsid w:val="00573264"/>
    <w:rsid w:val="00573ED5"/>
    <w:rsid w:val="00574115"/>
    <w:rsid w:val="0057419B"/>
    <w:rsid w:val="00574754"/>
    <w:rsid w:val="00574F98"/>
    <w:rsid w:val="00575188"/>
    <w:rsid w:val="00575198"/>
    <w:rsid w:val="00575D35"/>
    <w:rsid w:val="005764BC"/>
    <w:rsid w:val="00576D5F"/>
    <w:rsid w:val="005772FC"/>
    <w:rsid w:val="00577835"/>
    <w:rsid w:val="00577D9B"/>
    <w:rsid w:val="00580255"/>
    <w:rsid w:val="00580A4E"/>
    <w:rsid w:val="00581229"/>
    <w:rsid w:val="00581550"/>
    <w:rsid w:val="00581725"/>
    <w:rsid w:val="005817A4"/>
    <w:rsid w:val="00581A65"/>
    <w:rsid w:val="00581D95"/>
    <w:rsid w:val="005822EF"/>
    <w:rsid w:val="005830DE"/>
    <w:rsid w:val="00583848"/>
    <w:rsid w:val="00583C63"/>
    <w:rsid w:val="00583CC7"/>
    <w:rsid w:val="00584008"/>
    <w:rsid w:val="00584165"/>
    <w:rsid w:val="00584B02"/>
    <w:rsid w:val="00584D2B"/>
    <w:rsid w:val="00585780"/>
    <w:rsid w:val="00585970"/>
    <w:rsid w:val="00585AE4"/>
    <w:rsid w:val="00585D14"/>
    <w:rsid w:val="00585EDC"/>
    <w:rsid w:val="005864CE"/>
    <w:rsid w:val="00586A4A"/>
    <w:rsid w:val="00586F7C"/>
    <w:rsid w:val="00586FAA"/>
    <w:rsid w:val="0058717C"/>
    <w:rsid w:val="005874F7"/>
    <w:rsid w:val="005875F5"/>
    <w:rsid w:val="00587A90"/>
    <w:rsid w:val="00587BA5"/>
    <w:rsid w:val="00587CE0"/>
    <w:rsid w:val="00587CF4"/>
    <w:rsid w:val="00590511"/>
    <w:rsid w:val="00590778"/>
    <w:rsid w:val="00590D96"/>
    <w:rsid w:val="005910AF"/>
    <w:rsid w:val="0059111A"/>
    <w:rsid w:val="00591A25"/>
    <w:rsid w:val="00591A4D"/>
    <w:rsid w:val="005921A6"/>
    <w:rsid w:val="00592354"/>
    <w:rsid w:val="00592BC8"/>
    <w:rsid w:val="00592D1D"/>
    <w:rsid w:val="005931DA"/>
    <w:rsid w:val="00593B81"/>
    <w:rsid w:val="005943EA"/>
    <w:rsid w:val="0059479E"/>
    <w:rsid w:val="00594B5F"/>
    <w:rsid w:val="00595061"/>
    <w:rsid w:val="0059578F"/>
    <w:rsid w:val="00595CF0"/>
    <w:rsid w:val="0059604D"/>
    <w:rsid w:val="00596927"/>
    <w:rsid w:val="00596C69"/>
    <w:rsid w:val="0059700C"/>
    <w:rsid w:val="0059718C"/>
    <w:rsid w:val="00597A6C"/>
    <w:rsid w:val="00597C22"/>
    <w:rsid w:val="005A0217"/>
    <w:rsid w:val="005A028F"/>
    <w:rsid w:val="005A05AB"/>
    <w:rsid w:val="005A097B"/>
    <w:rsid w:val="005A0D3B"/>
    <w:rsid w:val="005A1639"/>
    <w:rsid w:val="005A1AE1"/>
    <w:rsid w:val="005A1D30"/>
    <w:rsid w:val="005A2F83"/>
    <w:rsid w:val="005A3161"/>
    <w:rsid w:val="005A341E"/>
    <w:rsid w:val="005A3537"/>
    <w:rsid w:val="005A387C"/>
    <w:rsid w:val="005A3BD0"/>
    <w:rsid w:val="005A3E11"/>
    <w:rsid w:val="005A4414"/>
    <w:rsid w:val="005A459E"/>
    <w:rsid w:val="005A488F"/>
    <w:rsid w:val="005A51AB"/>
    <w:rsid w:val="005A53E0"/>
    <w:rsid w:val="005A54AB"/>
    <w:rsid w:val="005A5522"/>
    <w:rsid w:val="005A5806"/>
    <w:rsid w:val="005A5B0D"/>
    <w:rsid w:val="005A5C8F"/>
    <w:rsid w:val="005A6259"/>
    <w:rsid w:val="005A627F"/>
    <w:rsid w:val="005A646F"/>
    <w:rsid w:val="005A69B0"/>
    <w:rsid w:val="005A711E"/>
    <w:rsid w:val="005A7386"/>
    <w:rsid w:val="005A74FA"/>
    <w:rsid w:val="005A7980"/>
    <w:rsid w:val="005B0533"/>
    <w:rsid w:val="005B0993"/>
    <w:rsid w:val="005B0FB7"/>
    <w:rsid w:val="005B1396"/>
    <w:rsid w:val="005B14D5"/>
    <w:rsid w:val="005B19D3"/>
    <w:rsid w:val="005B1F59"/>
    <w:rsid w:val="005B2259"/>
    <w:rsid w:val="005B2372"/>
    <w:rsid w:val="005B268F"/>
    <w:rsid w:val="005B2CBD"/>
    <w:rsid w:val="005B35E6"/>
    <w:rsid w:val="005B3A3B"/>
    <w:rsid w:val="005B4932"/>
    <w:rsid w:val="005B4BE0"/>
    <w:rsid w:val="005B5027"/>
    <w:rsid w:val="005B5AD2"/>
    <w:rsid w:val="005B5D85"/>
    <w:rsid w:val="005B5FEC"/>
    <w:rsid w:val="005B6428"/>
    <w:rsid w:val="005B6AD7"/>
    <w:rsid w:val="005B6D52"/>
    <w:rsid w:val="005B70E2"/>
    <w:rsid w:val="005B7130"/>
    <w:rsid w:val="005B74DD"/>
    <w:rsid w:val="005B7827"/>
    <w:rsid w:val="005B799D"/>
    <w:rsid w:val="005C04B6"/>
    <w:rsid w:val="005C0516"/>
    <w:rsid w:val="005C05DC"/>
    <w:rsid w:val="005C069D"/>
    <w:rsid w:val="005C08BC"/>
    <w:rsid w:val="005C0CB1"/>
    <w:rsid w:val="005C0DA3"/>
    <w:rsid w:val="005C13BB"/>
    <w:rsid w:val="005C1A16"/>
    <w:rsid w:val="005C20FA"/>
    <w:rsid w:val="005C239C"/>
    <w:rsid w:val="005C23D5"/>
    <w:rsid w:val="005C2629"/>
    <w:rsid w:val="005C2AE0"/>
    <w:rsid w:val="005C2B1C"/>
    <w:rsid w:val="005C2CE4"/>
    <w:rsid w:val="005C2D77"/>
    <w:rsid w:val="005C36BC"/>
    <w:rsid w:val="005C3B72"/>
    <w:rsid w:val="005C3B85"/>
    <w:rsid w:val="005C4055"/>
    <w:rsid w:val="005C43F3"/>
    <w:rsid w:val="005C4474"/>
    <w:rsid w:val="005C4C01"/>
    <w:rsid w:val="005C4E56"/>
    <w:rsid w:val="005C5059"/>
    <w:rsid w:val="005C50E1"/>
    <w:rsid w:val="005C55E1"/>
    <w:rsid w:val="005C5840"/>
    <w:rsid w:val="005C59DE"/>
    <w:rsid w:val="005C5C68"/>
    <w:rsid w:val="005C5F0A"/>
    <w:rsid w:val="005C60C0"/>
    <w:rsid w:val="005C621B"/>
    <w:rsid w:val="005C622B"/>
    <w:rsid w:val="005C6B4E"/>
    <w:rsid w:val="005C6D17"/>
    <w:rsid w:val="005C6FF6"/>
    <w:rsid w:val="005C755C"/>
    <w:rsid w:val="005C7639"/>
    <w:rsid w:val="005D076B"/>
    <w:rsid w:val="005D07A7"/>
    <w:rsid w:val="005D0B75"/>
    <w:rsid w:val="005D0D03"/>
    <w:rsid w:val="005D14F0"/>
    <w:rsid w:val="005D1708"/>
    <w:rsid w:val="005D1C93"/>
    <w:rsid w:val="005D1E71"/>
    <w:rsid w:val="005D2227"/>
    <w:rsid w:val="005D228B"/>
    <w:rsid w:val="005D2D6E"/>
    <w:rsid w:val="005D2ED8"/>
    <w:rsid w:val="005D377A"/>
    <w:rsid w:val="005D3BA2"/>
    <w:rsid w:val="005D45A2"/>
    <w:rsid w:val="005D4836"/>
    <w:rsid w:val="005D4FB0"/>
    <w:rsid w:val="005D529A"/>
    <w:rsid w:val="005D5509"/>
    <w:rsid w:val="005D6395"/>
    <w:rsid w:val="005D63A7"/>
    <w:rsid w:val="005D65E2"/>
    <w:rsid w:val="005D7118"/>
    <w:rsid w:val="005D7422"/>
    <w:rsid w:val="005D77CE"/>
    <w:rsid w:val="005D7926"/>
    <w:rsid w:val="005D7A01"/>
    <w:rsid w:val="005E050E"/>
    <w:rsid w:val="005E071D"/>
    <w:rsid w:val="005E0D1C"/>
    <w:rsid w:val="005E1CC9"/>
    <w:rsid w:val="005E22CA"/>
    <w:rsid w:val="005E25CD"/>
    <w:rsid w:val="005E3127"/>
    <w:rsid w:val="005E31CD"/>
    <w:rsid w:val="005E32F9"/>
    <w:rsid w:val="005E3628"/>
    <w:rsid w:val="005E3D05"/>
    <w:rsid w:val="005E3DAD"/>
    <w:rsid w:val="005E3DEE"/>
    <w:rsid w:val="005E3DF2"/>
    <w:rsid w:val="005E41E0"/>
    <w:rsid w:val="005E422D"/>
    <w:rsid w:val="005E46A7"/>
    <w:rsid w:val="005E46CB"/>
    <w:rsid w:val="005E4B50"/>
    <w:rsid w:val="005E4FC5"/>
    <w:rsid w:val="005E548E"/>
    <w:rsid w:val="005E5499"/>
    <w:rsid w:val="005E5873"/>
    <w:rsid w:val="005E59EA"/>
    <w:rsid w:val="005E6A39"/>
    <w:rsid w:val="005E6AF1"/>
    <w:rsid w:val="005E6B3A"/>
    <w:rsid w:val="005E7205"/>
    <w:rsid w:val="005E7481"/>
    <w:rsid w:val="005E7792"/>
    <w:rsid w:val="005E78E7"/>
    <w:rsid w:val="005E7C90"/>
    <w:rsid w:val="005F03A1"/>
    <w:rsid w:val="005F0620"/>
    <w:rsid w:val="005F0D91"/>
    <w:rsid w:val="005F0EBF"/>
    <w:rsid w:val="005F14CB"/>
    <w:rsid w:val="005F157D"/>
    <w:rsid w:val="005F1C1C"/>
    <w:rsid w:val="005F1D60"/>
    <w:rsid w:val="005F262E"/>
    <w:rsid w:val="005F326B"/>
    <w:rsid w:val="005F3518"/>
    <w:rsid w:val="005F35DC"/>
    <w:rsid w:val="005F3B09"/>
    <w:rsid w:val="005F3D27"/>
    <w:rsid w:val="005F4848"/>
    <w:rsid w:val="005F4D9B"/>
    <w:rsid w:val="005F5376"/>
    <w:rsid w:val="005F5F06"/>
    <w:rsid w:val="005F5F0D"/>
    <w:rsid w:val="005F6EA0"/>
    <w:rsid w:val="005F710A"/>
    <w:rsid w:val="005F710C"/>
    <w:rsid w:val="005F7435"/>
    <w:rsid w:val="00600950"/>
    <w:rsid w:val="00600C7A"/>
    <w:rsid w:val="00601707"/>
    <w:rsid w:val="00601865"/>
    <w:rsid w:val="00601B0B"/>
    <w:rsid w:val="00601B17"/>
    <w:rsid w:val="00601E00"/>
    <w:rsid w:val="00601E05"/>
    <w:rsid w:val="00601FAB"/>
    <w:rsid w:val="0060253A"/>
    <w:rsid w:val="00602549"/>
    <w:rsid w:val="006025A3"/>
    <w:rsid w:val="006038AE"/>
    <w:rsid w:val="00603A64"/>
    <w:rsid w:val="00603B27"/>
    <w:rsid w:val="00603C47"/>
    <w:rsid w:val="00603C7B"/>
    <w:rsid w:val="00603EF6"/>
    <w:rsid w:val="0060410C"/>
    <w:rsid w:val="0060471E"/>
    <w:rsid w:val="00604EEB"/>
    <w:rsid w:val="006056AC"/>
    <w:rsid w:val="006059E1"/>
    <w:rsid w:val="00605D21"/>
    <w:rsid w:val="00605DFA"/>
    <w:rsid w:val="0060623B"/>
    <w:rsid w:val="006064DE"/>
    <w:rsid w:val="006065A8"/>
    <w:rsid w:val="00606CED"/>
    <w:rsid w:val="00606D80"/>
    <w:rsid w:val="006073B6"/>
    <w:rsid w:val="006077F8"/>
    <w:rsid w:val="00607FC3"/>
    <w:rsid w:val="00610151"/>
    <w:rsid w:val="00610396"/>
    <w:rsid w:val="0061069B"/>
    <w:rsid w:val="00610B09"/>
    <w:rsid w:val="00611926"/>
    <w:rsid w:val="00611A2D"/>
    <w:rsid w:val="0061207C"/>
    <w:rsid w:val="0061286B"/>
    <w:rsid w:val="006128C2"/>
    <w:rsid w:val="00612C88"/>
    <w:rsid w:val="006132BE"/>
    <w:rsid w:val="00613333"/>
    <w:rsid w:val="006134C9"/>
    <w:rsid w:val="00613A5E"/>
    <w:rsid w:val="00613DE1"/>
    <w:rsid w:val="0061407F"/>
    <w:rsid w:val="0061444D"/>
    <w:rsid w:val="006145B4"/>
    <w:rsid w:val="00614675"/>
    <w:rsid w:val="00614903"/>
    <w:rsid w:val="00614E37"/>
    <w:rsid w:val="0061523C"/>
    <w:rsid w:val="00615618"/>
    <w:rsid w:val="00615916"/>
    <w:rsid w:val="00615A4B"/>
    <w:rsid w:val="00616080"/>
    <w:rsid w:val="00616D20"/>
    <w:rsid w:val="0061703A"/>
    <w:rsid w:val="00617169"/>
    <w:rsid w:val="00617859"/>
    <w:rsid w:val="00617A40"/>
    <w:rsid w:val="00617B44"/>
    <w:rsid w:val="00617EB4"/>
    <w:rsid w:val="0062010E"/>
    <w:rsid w:val="0062021C"/>
    <w:rsid w:val="00620387"/>
    <w:rsid w:val="00620476"/>
    <w:rsid w:val="006208EC"/>
    <w:rsid w:val="006208F4"/>
    <w:rsid w:val="006209E8"/>
    <w:rsid w:val="00620D7E"/>
    <w:rsid w:val="00620D9E"/>
    <w:rsid w:val="0062122D"/>
    <w:rsid w:val="006215D0"/>
    <w:rsid w:val="00621D79"/>
    <w:rsid w:val="00621DB5"/>
    <w:rsid w:val="00622037"/>
    <w:rsid w:val="00622823"/>
    <w:rsid w:val="00622C97"/>
    <w:rsid w:val="00623300"/>
    <w:rsid w:val="00623658"/>
    <w:rsid w:val="006236D7"/>
    <w:rsid w:val="00623864"/>
    <w:rsid w:val="00623868"/>
    <w:rsid w:val="006239C2"/>
    <w:rsid w:val="006239C9"/>
    <w:rsid w:val="00623C8D"/>
    <w:rsid w:val="00624092"/>
    <w:rsid w:val="0062414D"/>
    <w:rsid w:val="0062435E"/>
    <w:rsid w:val="00624767"/>
    <w:rsid w:val="006252BF"/>
    <w:rsid w:val="00625540"/>
    <w:rsid w:val="006255B2"/>
    <w:rsid w:val="0062567A"/>
    <w:rsid w:val="00626690"/>
    <w:rsid w:val="006272BC"/>
    <w:rsid w:val="00627627"/>
    <w:rsid w:val="0062779B"/>
    <w:rsid w:val="0062797D"/>
    <w:rsid w:val="00627E58"/>
    <w:rsid w:val="00630FEB"/>
    <w:rsid w:val="006311F0"/>
    <w:rsid w:val="0063140B"/>
    <w:rsid w:val="00631416"/>
    <w:rsid w:val="00631742"/>
    <w:rsid w:val="00632D46"/>
    <w:rsid w:val="00632E2B"/>
    <w:rsid w:val="00632E52"/>
    <w:rsid w:val="006337D0"/>
    <w:rsid w:val="006346EC"/>
    <w:rsid w:val="00634923"/>
    <w:rsid w:val="00634CE2"/>
    <w:rsid w:val="00635B3B"/>
    <w:rsid w:val="00635B67"/>
    <w:rsid w:val="00635BAA"/>
    <w:rsid w:val="00635FA2"/>
    <w:rsid w:val="00636097"/>
    <w:rsid w:val="006360AF"/>
    <w:rsid w:val="006360D0"/>
    <w:rsid w:val="0063631F"/>
    <w:rsid w:val="0063662E"/>
    <w:rsid w:val="006369A6"/>
    <w:rsid w:val="00637158"/>
    <w:rsid w:val="00637583"/>
    <w:rsid w:val="00637625"/>
    <w:rsid w:val="00637AAC"/>
    <w:rsid w:val="00637C76"/>
    <w:rsid w:val="00637D2E"/>
    <w:rsid w:val="00637D67"/>
    <w:rsid w:val="006412F9"/>
    <w:rsid w:val="006413C7"/>
    <w:rsid w:val="006417C1"/>
    <w:rsid w:val="00642038"/>
    <w:rsid w:val="00642276"/>
    <w:rsid w:val="0064260D"/>
    <w:rsid w:val="006426EA"/>
    <w:rsid w:val="00643AE6"/>
    <w:rsid w:val="00643E1A"/>
    <w:rsid w:val="0064405B"/>
    <w:rsid w:val="00644112"/>
    <w:rsid w:val="00644310"/>
    <w:rsid w:val="0064480A"/>
    <w:rsid w:val="006448C9"/>
    <w:rsid w:val="0064490A"/>
    <w:rsid w:val="00644D59"/>
    <w:rsid w:val="00645030"/>
    <w:rsid w:val="0064524D"/>
    <w:rsid w:val="00645579"/>
    <w:rsid w:val="00645797"/>
    <w:rsid w:val="006459D8"/>
    <w:rsid w:val="00645AB0"/>
    <w:rsid w:val="00645FFD"/>
    <w:rsid w:val="00646AD1"/>
    <w:rsid w:val="00646E89"/>
    <w:rsid w:val="00647066"/>
    <w:rsid w:val="00647BA2"/>
    <w:rsid w:val="00647FA9"/>
    <w:rsid w:val="006508CB"/>
    <w:rsid w:val="00651578"/>
    <w:rsid w:val="00652322"/>
    <w:rsid w:val="006524A9"/>
    <w:rsid w:val="006524DE"/>
    <w:rsid w:val="006528D6"/>
    <w:rsid w:val="006529BE"/>
    <w:rsid w:val="00652BA8"/>
    <w:rsid w:val="00652C6B"/>
    <w:rsid w:val="00652CC3"/>
    <w:rsid w:val="00652FF7"/>
    <w:rsid w:val="006532B2"/>
    <w:rsid w:val="0065349B"/>
    <w:rsid w:val="00653894"/>
    <w:rsid w:val="006540AA"/>
    <w:rsid w:val="00654250"/>
    <w:rsid w:val="00654893"/>
    <w:rsid w:val="00654AE5"/>
    <w:rsid w:val="006553C9"/>
    <w:rsid w:val="006554B9"/>
    <w:rsid w:val="0065558D"/>
    <w:rsid w:val="00655A04"/>
    <w:rsid w:val="00656481"/>
    <w:rsid w:val="0065727A"/>
    <w:rsid w:val="00657667"/>
    <w:rsid w:val="0066170A"/>
    <w:rsid w:val="00661EC5"/>
    <w:rsid w:val="0066226F"/>
    <w:rsid w:val="006622E2"/>
    <w:rsid w:val="00662C79"/>
    <w:rsid w:val="00663985"/>
    <w:rsid w:val="00663CFD"/>
    <w:rsid w:val="00663F5B"/>
    <w:rsid w:val="006642A0"/>
    <w:rsid w:val="006643C2"/>
    <w:rsid w:val="006651E1"/>
    <w:rsid w:val="006658BA"/>
    <w:rsid w:val="00665C6A"/>
    <w:rsid w:val="00665F17"/>
    <w:rsid w:val="00666132"/>
    <w:rsid w:val="006661CB"/>
    <w:rsid w:val="00666633"/>
    <w:rsid w:val="006669E4"/>
    <w:rsid w:val="00666D81"/>
    <w:rsid w:val="00667037"/>
    <w:rsid w:val="0066793A"/>
    <w:rsid w:val="0067044B"/>
    <w:rsid w:val="00670866"/>
    <w:rsid w:val="00670E18"/>
    <w:rsid w:val="00670F46"/>
    <w:rsid w:val="006712FB"/>
    <w:rsid w:val="006717ED"/>
    <w:rsid w:val="006719D0"/>
    <w:rsid w:val="00671D8D"/>
    <w:rsid w:val="0067224C"/>
    <w:rsid w:val="0067245A"/>
    <w:rsid w:val="00672485"/>
    <w:rsid w:val="006726A4"/>
    <w:rsid w:val="00672A23"/>
    <w:rsid w:val="00672CBC"/>
    <w:rsid w:val="00673822"/>
    <w:rsid w:val="00673A85"/>
    <w:rsid w:val="00673BDD"/>
    <w:rsid w:val="00673ECF"/>
    <w:rsid w:val="00674173"/>
    <w:rsid w:val="006745D9"/>
    <w:rsid w:val="006749EB"/>
    <w:rsid w:val="00675018"/>
    <w:rsid w:val="0067547F"/>
    <w:rsid w:val="00675808"/>
    <w:rsid w:val="00675A91"/>
    <w:rsid w:val="00675DC3"/>
    <w:rsid w:val="00675DCA"/>
    <w:rsid w:val="00677060"/>
    <w:rsid w:val="0067753C"/>
    <w:rsid w:val="0067754A"/>
    <w:rsid w:val="00677979"/>
    <w:rsid w:val="00677BB2"/>
    <w:rsid w:val="00677C2C"/>
    <w:rsid w:val="00677D15"/>
    <w:rsid w:val="00677D63"/>
    <w:rsid w:val="00677F77"/>
    <w:rsid w:val="006804C5"/>
    <w:rsid w:val="00680708"/>
    <w:rsid w:val="0068086D"/>
    <w:rsid w:val="00680878"/>
    <w:rsid w:val="00680BF6"/>
    <w:rsid w:val="00680FE1"/>
    <w:rsid w:val="006814F6"/>
    <w:rsid w:val="00682230"/>
    <w:rsid w:val="00682ACA"/>
    <w:rsid w:val="006839AB"/>
    <w:rsid w:val="006841A2"/>
    <w:rsid w:val="00684E60"/>
    <w:rsid w:val="00685250"/>
    <w:rsid w:val="00685594"/>
    <w:rsid w:val="006856DC"/>
    <w:rsid w:val="00685960"/>
    <w:rsid w:val="00686006"/>
    <w:rsid w:val="00686E4B"/>
    <w:rsid w:val="00686F0C"/>
    <w:rsid w:val="006870EA"/>
    <w:rsid w:val="006871CC"/>
    <w:rsid w:val="006879FC"/>
    <w:rsid w:val="00687A99"/>
    <w:rsid w:val="00690152"/>
    <w:rsid w:val="00690254"/>
    <w:rsid w:val="00690809"/>
    <w:rsid w:val="00690F42"/>
    <w:rsid w:val="00692497"/>
    <w:rsid w:val="00692866"/>
    <w:rsid w:val="00692C51"/>
    <w:rsid w:val="00692D46"/>
    <w:rsid w:val="00692ECA"/>
    <w:rsid w:val="0069340A"/>
    <w:rsid w:val="006937AB"/>
    <w:rsid w:val="0069437F"/>
    <w:rsid w:val="006944DC"/>
    <w:rsid w:val="0069490C"/>
    <w:rsid w:val="00694CC3"/>
    <w:rsid w:val="0069565B"/>
    <w:rsid w:val="0069593E"/>
    <w:rsid w:val="0069648D"/>
    <w:rsid w:val="00696BBF"/>
    <w:rsid w:val="00696FF7"/>
    <w:rsid w:val="00697239"/>
    <w:rsid w:val="00697786"/>
    <w:rsid w:val="00697883"/>
    <w:rsid w:val="00697B5B"/>
    <w:rsid w:val="00697C36"/>
    <w:rsid w:val="006A007E"/>
    <w:rsid w:val="006A0708"/>
    <w:rsid w:val="006A0749"/>
    <w:rsid w:val="006A0812"/>
    <w:rsid w:val="006A0B89"/>
    <w:rsid w:val="006A1490"/>
    <w:rsid w:val="006A1A4D"/>
    <w:rsid w:val="006A204D"/>
    <w:rsid w:val="006A20B3"/>
    <w:rsid w:val="006A2BCC"/>
    <w:rsid w:val="006A2F8B"/>
    <w:rsid w:val="006A309E"/>
    <w:rsid w:val="006A369D"/>
    <w:rsid w:val="006A36BA"/>
    <w:rsid w:val="006A3970"/>
    <w:rsid w:val="006A3C93"/>
    <w:rsid w:val="006A3D71"/>
    <w:rsid w:val="006A446C"/>
    <w:rsid w:val="006A4F23"/>
    <w:rsid w:val="006A50F4"/>
    <w:rsid w:val="006A519B"/>
    <w:rsid w:val="006A52CD"/>
    <w:rsid w:val="006A5405"/>
    <w:rsid w:val="006A54F6"/>
    <w:rsid w:val="006A5892"/>
    <w:rsid w:val="006A598D"/>
    <w:rsid w:val="006A5FB3"/>
    <w:rsid w:val="006A60A0"/>
    <w:rsid w:val="006A6581"/>
    <w:rsid w:val="006A70BE"/>
    <w:rsid w:val="006A710D"/>
    <w:rsid w:val="006A79D2"/>
    <w:rsid w:val="006A7A55"/>
    <w:rsid w:val="006B024B"/>
    <w:rsid w:val="006B09A7"/>
    <w:rsid w:val="006B0AC8"/>
    <w:rsid w:val="006B0E36"/>
    <w:rsid w:val="006B1937"/>
    <w:rsid w:val="006B1A17"/>
    <w:rsid w:val="006B1B2B"/>
    <w:rsid w:val="006B21A9"/>
    <w:rsid w:val="006B22FF"/>
    <w:rsid w:val="006B250F"/>
    <w:rsid w:val="006B3C38"/>
    <w:rsid w:val="006B3D5F"/>
    <w:rsid w:val="006B3F14"/>
    <w:rsid w:val="006B4435"/>
    <w:rsid w:val="006B4541"/>
    <w:rsid w:val="006B53AE"/>
    <w:rsid w:val="006B5806"/>
    <w:rsid w:val="006B58BB"/>
    <w:rsid w:val="006B5CF5"/>
    <w:rsid w:val="006B6102"/>
    <w:rsid w:val="006B642A"/>
    <w:rsid w:val="006B6A8E"/>
    <w:rsid w:val="006B738B"/>
    <w:rsid w:val="006B7C5A"/>
    <w:rsid w:val="006B7C7D"/>
    <w:rsid w:val="006B7E94"/>
    <w:rsid w:val="006B7ECA"/>
    <w:rsid w:val="006C08B1"/>
    <w:rsid w:val="006C0DD1"/>
    <w:rsid w:val="006C1AB3"/>
    <w:rsid w:val="006C239F"/>
    <w:rsid w:val="006C246A"/>
    <w:rsid w:val="006C2936"/>
    <w:rsid w:val="006C2BF8"/>
    <w:rsid w:val="006C2E97"/>
    <w:rsid w:val="006C2EDD"/>
    <w:rsid w:val="006C2F7A"/>
    <w:rsid w:val="006C2FCA"/>
    <w:rsid w:val="006C380E"/>
    <w:rsid w:val="006C3C7D"/>
    <w:rsid w:val="006C3D16"/>
    <w:rsid w:val="006C3F56"/>
    <w:rsid w:val="006C40F2"/>
    <w:rsid w:val="006C4447"/>
    <w:rsid w:val="006C49F4"/>
    <w:rsid w:val="006C4ED8"/>
    <w:rsid w:val="006C5C8A"/>
    <w:rsid w:val="006C6631"/>
    <w:rsid w:val="006C69C0"/>
    <w:rsid w:val="006C732C"/>
    <w:rsid w:val="006C7480"/>
    <w:rsid w:val="006C76E3"/>
    <w:rsid w:val="006C7784"/>
    <w:rsid w:val="006C7832"/>
    <w:rsid w:val="006C789C"/>
    <w:rsid w:val="006C7BA8"/>
    <w:rsid w:val="006D0C2A"/>
    <w:rsid w:val="006D0CD1"/>
    <w:rsid w:val="006D1756"/>
    <w:rsid w:val="006D1B2C"/>
    <w:rsid w:val="006D1EF0"/>
    <w:rsid w:val="006D23BB"/>
    <w:rsid w:val="006D243F"/>
    <w:rsid w:val="006D250A"/>
    <w:rsid w:val="006D287F"/>
    <w:rsid w:val="006D2FEE"/>
    <w:rsid w:val="006D305E"/>
    <w:rsid w:val="006D30E4"/>
    <w:rsid w:val="006D376C"/>
    <w:rsid w:val="006D38CD"/>
    <w:rsid w:val="006D3B99"/>
    <w:rsid w:val="006D3BBC"/>
    <w:rsid w:val="006D3E3F"/>
    <w:rsid w:val="006D43ED"/>
    <w:rsid w:val="006D4501"/>
    <w:rsid w:val="006D466B"/>
    <w:rsid w:val="006D46FC"/>
    <w:rsid w:val="006D4910"/>
    <w:rsid w:val="006D54A3"/>
    <w:rsid w:val="006D595B"/>
    <w:rsid w:val="006D5BC4"/>
    <w:rsid w:val="006D5C26"/>
    <w:rsid w:val="006D5C87"/>
    <w:rsid w:val="006D5F82"/>
    <w:rsid w:val="006D60E3"/>
    <w:rsid w:val="006D77AF"/>
    <w:rsid w:val="006D7A39"/>
    <w:rsid w:val="006D7BB0"/>
    <w:rsid w:val="006D7CFF"/>
    <w:rsid w:val="006E1216"/>
    <w:rsid w:val="006E153F"/>
    <w:rsid w:val="006E2185"/>
    <w:rsid w:val="006E2786"/>
    <w:rsid w:val="006E28E6"/>
    <w:rsid w:val="006E2B81"/>
    <w:rsid w:val="006E38D6"/>
    <w:rsid w:val="006E38FF"/>
    <w:rsid w:val="006E3F1A"/>
    <w:rsid w:val="006E476C"/>
    <w:rsid w:val="006E4B0C"/>
    <w:rsid w:val="006E5044"/>
    <w:rsid w:val="006E5B91"/>
    <w:rsid w:val="006E6169"/>
    <w:rsid w:val="006E6B5F"/>
    <w:rsid w:val="006E6CD9"/>
    <w:rsid w:val="006E7253"/>
    <w:rsid w:val="006E7461"/>
    <w:rsid w:val="006E7635"/>
    <w:rsid w:val="006E7D6C"/>
    <w:rsid w:val="006F02C2"/>
    <w:rsid w:val="006F0504"/>
    <w:rsid w:val="006F0D82"/>
    <w:rsid w:val="006F0E23"/>
    <w:rsid w:val="006F1029"/>
    <w:rsid w:val="006F1050"/>
    <w:rsid w:val="006F11DB"/>
    <w:rsid w:val="006F14F0"/>
    <w:rsid w:val="006F170A"/>
    <w:rsid w:val="006F28E6"/>
    <w:rsid w:val="006F2AE2"/>
    <w:rsid w:val="006F2E7A"/>
    <w:rsid w:val="006F2F3D"/>
    <w:rsid w:val="006F33C5"/>
    <w:rsid w:val="006F391D"/>
    <w:rsid w:val="006F3AA7"/>
    <w:rsid w:val="006F3BDF"/>
    <w:rsid w:val="006F3C6C"/>
    <w:rsid w:val="006F4430"/>
    <w:rsid w:val="006F48B2"/>
    <w:rsid w:val="006F4B1B"/>
    <w:rsid w:val="006F4F17"/>
    <w:rsid w:val="006F529C"/>
    <w:rsid w:val="006F562A"/>
    <w:rsid w:val="006F595B"/>
    <w:rsid w:val="006F6674"/>
    <w:rsid w:val="006F72AB"/>
    <w:rsid w:val="006F757F"/>
    <w:rsid w:val="006F7F56"/>
    <w:rsid w:val="007002EC"/>
    <w:rsid w:val="00700350"/>
    <w:rsid w:val="0070077C"/>
    <w:rsid w:val="00700BC8"/>
    <w:rsid w:val="00700C0F"/>
    <w:rsid w:val="00700CD4"/>
    <w:rsid w:val="00700DA9"/>
    <w:rsid w:val="0070115D"/>
    <w:rsid w:val="00701183"/>
    <w:rsid w:val="00701702"/>
    <w:rsid w:val="007018D6"/>
    <w:rsid w:val="00701CCC"/>
    <w:rsid w:val="007025D9"/>
    <w:rsid w:val="00702673"/>
    <w:rsid w:val="00703146"/>
    <w:rsid w:val="00703E56"/>
    <w:rsid w:val="007051CA"/>
    <w:rsid w:val="00705527"/>
    <w:rsid w:val="00705930"/>
    <w:rsid w:val="00705E40"/>
    <w:rsid w:val="00705F19"/>
    <w:rsid w:val="007064C8"/>
    <w:rsid w:val="00706745"/>
    <w:rsid w:val="00706D71"/>
    <w:rsid w:val="00706FB4"/>
    <w:rsid w:val="0070710A"/>
    <w:rsid w:val="00707C18"/>
    <w:rsid w:val="00707FB8"/>
    <w:rsid w:val="0071060D"/>
    <w:rsid w:val="00710714"/>
    <w:rsid w:val="00710ABD"/>
    <w:rsid w:val="00710C6A"/>
    <w:rsid w:val="00710EEF"/>
    <w:rsid w:val="00711270"/>
    <w:rsid w:val="007112B9"/>
    <w:rsid w:val="00711AF7"/>
    <w:rsid w:val="00711CCB"/>
    <w:rsid w:val="007120C0"/>
    <w:rsid w:val="00712299"/>
    <w:rsid w:val="00712759"/>
    <w:rsid w:val="00712CB6"/>
    <w:rsid w:val="00712DB7"/>
    <w:rsid w:val="00713687"/>
    <w:rsid w:val="00713916"/>
    <w:rsid w:val="00714482"/>
    <w:rsid w:val="007145C2"/>
    <w:rsid w:val="007145EE"/>
    <w:rsid w:val="00714798"/>
    <w:rsid w:val="007149E7"/>
    <w:rsid w:val="00714D66"/>
    <w:rsid w:val="00715B83"/>
    <w:rsid w:val="00716389"/>
    <w:rsid w:val="00716973"/>
    <w:rsid w:val="00716BE0"/>
    <w:rsid w:val="0071721E"/>
    <w:rsid w:val="007173F1"/>
    <w:rsid w:val="0071746F"/>
    <w:rsid w:val="0071757B"/>
    <w:rsid w:val="00717E81"/>
    <w:rsid w:val="00720FF7"/>
    <w:rsid w:val="00721AAA"/>
    <w:rsid w:val="0072217C"/>
    <w:rsid w:val="00722305"/>
    <w:rsid w:val="00722419"/>
    <w:rsid w:val="00722ADB"/>
    <w:rsid w:val="00722EC8"/>
    <w:rsid w:val="0072306B"/>
    <w:rsid w:val="0072321A"/>
    <w:rsid w:val="0072321E"/>
    <w:rsid w:val="00723545"/>
    <w:rsid w:val="00723AB6"/>
    <w:rsid w:val="00724025"/>
    <w:rsid w:val="007247D6"/>
    <w:rsid w:val="00724B52"/>
    <w:rsid w:val="00724BA2"/>
    <w:rsid w:val="007251A8"/>
    <w:rsid w:val="00725484"/>
    <w:rsid w:val="0072624A"/>
    <w:rsid w:val="00726282"/>
    <w:rsid w:val="007263AF"/>
    <w:rsid w:val="00726405"/>
    <w:rsid w:val="007266E4"/>
    <w:rsid w:val="0072738E"/>
    <w:rsid w:val="00727CF5"/>
    <w:rsid w:val="00727EDD"/>
    <w:rsid w:val="0073000A"/>
    <w:rsid w:val="00730180"/>
    <w:rsid w:val="007315C8"/>
    <w:rsid w:val="0073189B"/>
    <w:rsid w:val="00731AAE"/>
    <w:rsid w:val="00731D04"/>
    <w:rsid w:val="00731FF1"/>
    <w:rsid w:val="00732023"/>
    <w:rsid w:val="00732825"/>
    <w:rsid w:val="0073298C"/>
    <w:rsid w:val="00732A4D"/>
    <w:rsid w:val="00732C40"/>
    <w:rsid w:val="00732C6D"/>
    <w:rsid w:val="007331F7"/>
    <w:rsid w:val="00733207"/>
    <w:rsid w:val="00733279"/>
    <w:rsid w:val="00733F1C"/>
    <w:rsid w:val="007341B8"/>
    <w:rsid w:val="00734CDD"/>
    <w:rsid w:val="00734E4C"/>
    <w:rsid w:val="00734FBE"/>
    <w:rsid w:val="00735302"/>
    <w:rsid w:val="00735530"/>
    <w:rsid w:val="00735574"/>
    <w:rsid w:val="00735F21"/>
    <w:rsid w:val="0073640E"/>
    <w:rsid w:val="0073670B"/>
    <w:rsid w:val="00737030"/>
    <w:rsid w:val="0073714E"/>
    <w:rsid w:val="007372D7"/>
    <w:rsid w:val="0073770F"/>
    <w:rsid w:val="00737E5F"/>
    <w:rsid w:val="00737E61"/>
    <w:rsid w:val="0074055D"/>
    <w:rsid w:val="00740CD0"/>
    <w:rsid w:val="0074141A"/>
    <w:rsid w:val="00741981"/>
    <w:rsid w:val="00741CF1"/>
    <w:rsid w:val="00742699"/>
    <w:rsid w:val="00742D15"/>
    <w:rsid w:val="0074334D"/>
    <w:rsid w:val="00743F48"/>
    <w:rsid w:val="00743FD8"/>
    <w:rsid w:val="00743FE3"/>
    <w:rsid w:val="00744965"/>
    <w:rsid w:val="00744C67"/>
    <w:rsid w:val="00744EE9"/>
    <w:rsid w:val="007472D9"/>
    <w:rsid w:val="00747625"/>
    <w:rsid w:val="00747BF6"/>
    <w:rsid w:val="00747BFD"/>
    <w:rsid w:val="00747CD7"/>
    <w:rsid w:val="00747F0A"/>
    <w:rsid w:val="00747F78"/>
    <w:rsid w:val="00750162"/>
    <w:rsid w:val="00750195"/>
    <w:rsid w:val="00750487"/>
    <w:rsid w:val="00750A21"/>
    <w:rsid w:val="00750A34"/>
    <w:rsid w:val="00750BE0"/>
    <w:rsid w:val="00750C08"/>
    <w:rsid w:val="00751127"/>
    <w:rsid w:val="007518B7"/>
    <w:rsid w:val="007519A8"/>
    <w:rsid w:val="00751C68"/>
    <w:rsid w:val="00752580"/>
    <w:rsid w:val="00752913"/>
    <w:rsid w:val="00753105"/>
    <w:rsid w:val="00753304"/>
    <w:rsid w:val="00753334"/>
    <w:rsid w:val="0075345A"/>
    <w:rsid w:val="007534E0"/>
    <w:rsid w:val="0075350F"/>
    <w:rsid w:val="00753B4D"/>
    <w:rsid w:val="00753F5E"/>
    <w:rsid w:val="00754241"/>
    <w:rsid w:val="0075430D"/>
    <w:rsid w:val="007552DC"/>
    <w:rsid w:val="00755692"/>
    <w:rsid w:val="007556D0"/>
    <w:rsid w:val="007557B8"/>
    <w:rsid w:val="00755AE3"/>
    <w:rsid w:val="00755B19"/>
    <w:rsid w:val="00755B86"/>
    <w:rsid w:val="0075613D"/>
    <w:rsid w:val="00756D1B"/>
    <w:rsid w:val="0075711E"/>
    <w:rsid w:val="00757C6F"/>
    <w:rsid w:val="00757E5C"/>
    <w:rsid w:val="00757ECE"/>
    <w:rsid w:val="00760A28"/>
    <w:rsid w:val="00760D44"/>
    <w:rsid w:val="007610E5"/>
    <w:rsid w:val="007616E5"/>
    <w:rsid w:val="0076221C"/>
    <w:rsid w:val="007624C0"/>
    <w:rsid w:val="00762E20"/>
    <w:rsid w:val="00763704"/>
    <w:rsid w:val="00763C14"/>
    <w:rsid w:val="00764423"/>
    <w:rsid w:val="0076462D"/>
    <w:rsid w:val="00764A6C"/>
    <w:rsid w:val="0076502B"/>
    <w:rsid w:val="007651E1"/>
    <w:rsid w:val="007652A2"/>
    <w:rsid w:val="00765795"/>
    <w:rsid w:val="00765C80"/>
    <w:rsid w:val="00766305"/>
    <w:rsid w:val="007667C6"/>
    <w:rsid w:val="0076699D"/>
    <w:rsid w:val="00766BFD"/>
    <w:rsid w:val="00766CC5"/>
    <w:rsid w:val="0076733F"/>
    <w:rsid w:val="00767B6F"/>
    <w:rsid w:val="00767E0B"/>
    <w:rsid w:val="007704A5"/>
    <w:rsid w:val="0077070A"/>
    <w:rsid w:val="007707DC"/>
    <w:rsid w:val="00771148"/>
    <w:rsid w:val="0077138B"/>
    <w:rsid w:val="00771BA1"/>
    <w:rsid w:val="00771C3D"/>
    <w:rsid w:val="00772287"/>
    <w:rsid w:val="007726D1"/>
    <w:rsid w:val="007728C8"/>
    <w:rsid w:val="0077302E"/>
    <w:rsid w:val="007733DD"/>
    <w:rsid w:val="00773910"/>
    <w:rsid w:val="007739FD"/>
    <w:rsid w:val="00773CE1"/>
    <w:rsid w:val="00774041"/>
    <w:rsid w:val="00774759"/>
    <w:rsid w:val="0077553B"/>
    <w:rsid w:val="0077579C"/>
    <w:rsid w:val="00775C63"/>
    <w:rsid w:val="00775EE6"/>
    <w:rsid w:val="0077676E"/>
    <w:rsid w:val="00776C56"/>
    <w:rsid w:val="00777C4A"/>
    <w:rsid w:val="00780261"/>
    <w:rsid w:val="00780A62"/>
    <w:rsid w:val="00780FA6"/>
    <w:rsid w:val="00781311"/>
    <w:rsid w:val="007819C2"/>
    <w:rsid w:val="0078204E"/>
    <w:rsid w:val="00782275"/>
    <w:rsid w:val="007823F0"/>
    <w:rsid w:val="00782756"/>
    <w:rsid w:val="007829C0"/>
    <w:rsid w:val="0078368A"/>
    <w:rsid w:val="00783B0E"/>
    <w:rsid w:val="007844CA"/>
    <w:rsid w:val="00784568"/>
    <w:rsid w:val="007845C5"/>
    <w:rsid w:val="00784660"/>
    <w:rsid w:val="00784D05"/>
    <w:rsid w:val="00784E1E"/>
    <w:rsid w:val="00784E45"/>
    <w:rsid w:val="00784EAE"/>
    <w:rsid w:val="00785344"/>
    <w:rsid w:val="00785BB3"/>
    <w:rsid w:val="0078601F"/>
    <w:rsid w:val="007867EB"/>
    <w:rsid w:val="00786ADE"/>
    <w:rsid w:val="00786B6E"/>
    <w:rsid w:val="007877CD"/>
    <w:rsid w:val="0078783D"/>
    <w:rsid w:val="00790031"/>
    <w:rsid w:val="00790A42"/>
    <w:rsid w:val="00790AB6"/>
    <w:rsid w:val="00790C5D"/>
    <w:rsid w:val="00790F85"/>
    <w:rsid w:val="00791676"/>
    <w:rsid w:val="00791868"/>
    <w:rsid w:val="00791943"/>
    <w:rsid w:val="007919F9"/>
    <w:rsid w:val="00791FD7"/>
    <w:rsid w:val="007925C7"/>
    <w:rsid w:val="00792FD4"/>
    <w:rsid w:val="00793725"/>
    <w:rsid w:val="007938F3"/>
    <w:rsid w:val="007939AC"/>
    <w:rsid w:val="00793BC4"/>
    <w:rsid w:val="0079466D"/>
    <w:rsid w:val="00794677"/>
    <w:rsid w:val="00794D51"/>
    <w:rsid w:val="00794DCC"/>
    <w:rsid w:val="00795879"/>
    <w:rsid w:val="00795913"/>
    <w:rsid w:val="007959C8"/>
    <w:rsid w:val="0079619E"/>
    <w:rsid w:val="0079691D"/>
    <w:rsid w:val="00796EC3"/>
    <w:rsid w:val="00797AF9"/>
    <w:rsid w:val="00797B73"/>
    <w:rsid w:val="00797E1C"/>
    <w:rsid w:val="00797F1C"/>
    <w:rsid w:val="007A005C"/>
    <w:rsid w:val="007A02B6"/>
    <w:rsid w:val="007A0943"/>
    <w:rsid w:val="007A0AC4"/>
    <w:rsid w:val="007A0BC2"/>
    <w:rsid w:val="007A0D66"/>
    <w:rsid w:val="007A0E97"/>
    <w:rsid w:val="007A10B5"/>
    <w:rsid w:val="007A10BA"/>
    <w:rsid w:val="007A15E5"/>
    <w:rsid w:val="007A165A"/>
    <w:rsid w:val="007A1FA6"/>
    <w:rsid w:val="007A25B6"/>
    <w:rsid w:val="007A27F6"/>
    <w:rsid w:val="007A2C28"/>
    <w:rsid w:val="007A2D84"/>
    <w:rsid w:val="007A31C5"/>
    <w:rsid w:val="007A31FF"/>
    <w:rsid w:val="007A381D"/>
    <w:rsid w:val="007A4492"/>
    <w:rsid w:val="007A4853"/>
    <w:rsid w:val="007A4D0F"/>
    <w:rsid w:val="007A4DAE"/>
    <w:rsid w:val="007A4E13"/>
    <w:rsid w:val="007A4FAB"/>
    <w:rsid w:val="007A5FCD"/>
    <w:rsid w:val="007A6062"/>
    <w:rsid w:val="007A60F9"/>
    <w:rsid w:val="007A62CF"/>
    <w:rsid w:val="007A670B"/>
    <w:rsid w:val="007A6C26"/>
    <w:rsid w:val="007A6D36"/>
    <w:rsid w:val="007A7146"/>
    <w:rsid w:val="007A74B7"/>
    <w:rsid w:val="007A7AD0"/>
    <w:rsid w:val="007B1412"/>
    <w:rsid w:val="007B145F"/>
    <w:rsid w:val="007B1B49"/>
    <w:rsid w:val="007B1FD3"/>
    <w:rsid w:val="007B20AC"/>
    <w:rsid w:val="007B3557"/>
    <w:rsid w:val="007B373B"/>
    <w:rsid w:val="007B3A3C"/>
    <w:rsid w:val="007B3D11"/>
    <w:rsid w:val="007B44B2"/>
    <w:rsid w:val="007B465D"/>
    <w:rsid w:val="007B482C"/>
    <w:rsid w:val="007B5128"/>
    <w:rsid w:val="007B52B7"/>
    <w:rsid w:val="007B56CC"/>
    <w:rsid w:val="007B57B4"/>
    <w:rsid w:val="007B594E"/>
    <w:rsid w:val="007B5BF6"/>
    <w:rsid w:val="007B6297"/>
    <w:rsid w:val="007B7118"/>
    <w:rsid w:val="007B74B1"/>
    <w:rsid w:val="007B7829"/>
    <w:rsid w:val="007B7A6D"/>
    <w:rsid w:val="007B7B64"/>
    <w:rsid w:val="007B7F20"/>
    <w:rsid w:val="007C03D4"/>
    <w:rsid w:val="007C0574"/>
    <w:rsid w:val="007C0932"/>
    <w:rsid w:val="007C12F7"/>
    <w:rsid w:val="007C1857"/>
    <w:rsid w:val="007C19AF"/>
    <w:rsid w:val="007C1DA0"/>
    <w:rsid w:val="007C23B6"/>
    <w:rsid w:val="007C2750"/>
    <w:rsid w:val="007C2DA9"/>
    <w:rsid w:val="007C2DD4"/>
    <w:rsid w:val="007C2EC2"/>
    <w:rsid w:val="007C2FA5"/>
    <w:rsid w:val="007C30B3"/>
    <w:rsid w:val="007C3477"/>
    <w:rsid w:val="007C347B"/>
    <w:rsid w:val="007C3B75"/>
    <w:rsid w:val="007C3F5B"/>
    <w:rsid w:val="007C40E3"/>
    <w:rsid w:val="007C4102"/>
    <w:rsid w:val="007C4654"/>
    <w:rsid w:val="007C4C54"/>
    <w:rsid w:val="007C5083"/>
    <w:rsid w:val="007C54C6"/>
    <w:rsid w:val="007C5619"/>
    <w:rsid w:val="007C587D"/>
    <w:rsid w:val="007C588E"/>
    <w:rsid w:val="007C5A9B"/>
    <w:rsid w:val="007C5AA8"/>
    <w:rsid w:val="007C5D2B"/>
    <w:rsid w:val="007C5F58"/>
    <w:rsid w:val="007C65FB"/>
    <w:rsid w:val="007C661F"/>
    <w:rsid w:val="007C6620"/>
    <w:rsid w:val="007C675D"/>
    <w:rsid w:val="007C6764"/>
    <w:rsid w:val="007C70D1"/>
    <w:rsid w:val="007C73E4"/>
    <w:rsid w:val="007C75F5"/>
    <w:rsid w:val="007C7DAB"/>
    <w:rsid w:val="007D050E"/>
    <w:rsid w:val="007D057C"/>
    <w:rsid w:val="007D07BA"/>
    <w:rsid w:val="007D0C21"/>
    <w:rsid w:val="007D19B5"/>
    <w:rsid w:val="007D1C34"/>
    <w:rsid w:val="007D2010"/>
    <w:rsid w:val="007D2DA4"/>
    <w:rsid w:val="007D31A7"/>
    <w:rsid w:val="007D3642"/>
    <w:rsid w:val="007D3EEA"/>
    <w:rsid w:val="007D3FC8"/>
    <w:rsid w:val="007D48A3"/>
    <w:rsid w:val="007D4A94"/>
    <w:rsid w:val="007D515E"/>
    <w:rsid w:val="007D59AB"/>
    <w:rsid w:val="007D6C45"/>
    <w:rsid w:val="007D6D92"/>
    <w:rsid w:val="007D7947"/>
    <w:rsid w:val="007D7977"/>
    <w:rsid w:val="007D7C4B"/>
    <w:rsid w:val="007E060D"/>
    <w:rsid w:val="007E06FE"/>
    <w:rsid w:val="007E07A0"/>
    <w:rsid w:val="007E08F9"/>
    <w:rsid w:val="007E0E25"/>
    <w:rsid w:val="007E120F"/>
    <w:rsid w:val="007E158A"/>
    <w:rsid w:val="007E1DD7"/>
    <w:rsid w:val="007E273E"/>
    <w:rsid w:val="007E2779"/>
    <w:rsid w:val="007E29B1"/>
    <w:rsid w:val="007E2AC5"/>
    <w:rsid w:val="007E2D8F"/>
    <w:rsid w:val="007E3159"/>
    <w:rsid w:val="007E3289"/>
    <w:rsid w:val="007E364E"/>
    <w:rsid w:val="007E3851"/>
    <w:rsid w:val="007E3C2C"/>
    <w:rsid w:val="007E3D73"/>
    <w:rsid w:val="007E3EA7"/>
    <w:rsid w:val="007E49E8"/>
    <w:rsid w:val="007E4CC8"/>
    <w:rsid w:val="007E50B3"/>
    <w:rsid w:val="007E5606"/>
    <w:rsid w:val="007E5D3A"/>
    <w:rsid w:val="007E5F6D"/>
    <w:rsid w:val="007E62E9"/>
    <w:rsid w:val="007E6448"/>
    <w:rsid w:val="007E6549"/>
    <w:rsid w:val="007E6A85"/>
    <w:rsid w:val="007E6ACD"/>
    <w:rsid w:val="007E7D44"/>
    <w:rsid w:val="007F1115"/>
    <w:rsid w:val="007F1449"/>
    <w:rsid w:val="007F1600"/>
    <w:rsid w:val="007F1764"/>
    <w:rsid w:val="007F176F"/>
    <w:rsid w:val="007F1E0F"/>
    <w:rsid w:val="007F2082"/>
    <w:rsid w:val="007F233D"/>
    <w:rsid w:val="007F31C6"/>
    <w:rsid w:val="007F35CF"/>
    <w:rsid w:val="007F35DE"/>
    <w:rsid w:val="007F3D8E"/>
    <w:rsid w:val="007F459B"/>
    <w:rsid w:val="007F4BB8"/>
    <w:rsid w:val="007F5470"/>
    <w:rsid w:val="007F5689"/>
    <w:rsid w:val="007F5ABA"/>
    <w:rsid w:val="007F60DF"/>
    <w:rsid w:val="007F6217"/>
    <w:rsid w:val="007F636B"/>
    <w:rsid w:val="007F6413"/>
    <w:rsid w:val="007F75BB"/>
    <w:rsid w:val="007F7AE2"/>
    <w:rsid w:val="007F7C63"/>
    <w:rsid w:val="008009A4"/>
    <w:rsid w:val="00800C4D"/>
    <w:rsid w:val="008010F2"/>
    <w:rsid w:val="00801C0E"/>
    <w:rsid w:val="00802162"/>
    <w:rsid w:val="00802829"/>
    <w:rsid w:val="00802A35"/>
    <w:rsid w:val="00802AD3"/>
    <w:rsid w:val="00802C44"/>
    <w:rsid w:val="00802C60"/>
    <w:rsid w:val="00802F39"/>
    <w:rsid w:val="0080329C"/>
    <w:rsid w:val="00803480"/>
    <w:rsid w:val="008037C8"/>
    <w:rsid w:val="008039CD"/>
    <w:rsid w:val="00803CC0"/>
    <w:rsid w:val="00804070"/>
    <w:rsid w:val="008042A5"/>
    <w:rsid w:val="00804A87"/>
    <w:rsid w:val="00805C60"/>
    <w:rsid w:val="00806173"/>
    <w:rsid w:val="00806541"/>
    <w:rsid w:val="008065A7"/>
    <w:rsid w:val="008065B5"/>
    <w:rsid w:val="00806BB0"/>
    <w:rsid w:val="00807680"/>
    <w:rsid w:val="008076B6"/>
    <w:rsid w:val="008076E8"/>
    <w:rsid w:val="0080770F"/>
    <w:rsid w:val="00807A04"/>
    <w:rsid w:val="00807C96"/>
    <w:rsid w:val="00810244"/>
    <w:rsid w:val="008108D3"/>
    <w:rsid w:val="00811071"/>
    <w:rsid w:val="00811217"/>
    <w:rsid w:val="0081127A"/>
    <w:rsid w:val="00811425"/>
    <w:rsid w:val="00811540"/>
    <w:rsid w:val="00812275"/>
    <w:rsid w:val="00812504"/>
    <w:rsid w:val="00812887"/>
    <w:rsid w:val="00812BB8"/>
    <w:rsid w:val="00812D5C"/>
    <w:rsid w:val="00813133"/>
    <w:rsid w:val="00813235"/>
    <w:rsid w:val="00813AC5"/>
    <w:rsid w:val="00813B6F"/>
    <w:rsid w:val="00814E0C"/>
    <w:rsid w:val="00815588"/>
    <w:rsid w:val="00815641"/>
    <w:rsid w:val="0081597C"/>
    <w:rsid w:val="00815A1F"/>
    <w:rsid w:val="00815A9E"/>
    <w:rsid w:val="00815BD6"/>
    <w:rsid w:val="00815C57"/>
    <w:rsid w:val="00815D8E"/>
    <w:rsid w:val="00816062"/>
    <w:rsid w:val="0081670F"/>
    <w:rsid w:val="008167FA"/>
    <w:rsid w:val="008177F8"/>
    <w:rsid w:val="00817A47"/>
    <w:rsid w:val="00817C73"/>
    <w:rsid w:val="00817FD6"/>
    <w:rsid w:val="008205FF"/>
    <w:rsid w:val="00820FB8"/>
    <w:rsid w:val="00821558"/>
    <w:rsid w:val="00821853"/>
    <w:rsid w:val="0082190C"/>
    <w:rsid w:val="00821DB1"/>
    <w:rsid w:val="00822C51"/>
    <w:rsid w:val="008233F7"/>
    <w:rsid w:val="00823D5C"/>
    <w:rsid w:val="00823DB4"/>
    <w:rsid w:val="008241AA"/>
    <w:rsid w:val="00824275"/>
    <w:rsid w:val="00824B5B"/>
    <w:rsid w:val="00824BB9"/>
    <w:rsid w:val="0082558A"/>
    <w:rsid w:val="0082569A"/>
    <w:rsid w:val="00825D5C"/>
    <w:rsid w:val="008264D0"/>
    <w:rsid w:val="008267AF"/>
    <w:rsid w:val="008268DF"/>
    <w:rsid w:val="00826EAB"/>
    <w:rsid w:val="00827562"/>
    <w:rsid w:val="008308F2"/>
    <w:rsid w:val="00831083"/>
    <w:rsid w:val="008313F6"/>
    <w:rsid w:val="00831F59"/>
    <w:rsid w:val="00832653"/>
    <w:rsid w:val="00833586"/>
    <w:rsid w:val="00834B41"/>
    <w:rsid w:val="008357D5"/>
    <w:rsid w:val="00835B60"/>
    <w:rsid w:val="0083664D"/>
    <w:rsid w:val="00836CE3"/>
    <w:rsid w:val="00836E69"/>
    <w:rsid w:val="00837121"/>
    <w:rsid w:val="008371CE"/>
    <w:rsid w:val="008375FA"/>
    <w:rsid w:val="008405DE"/>
    <w:rsid w:val="00840799"/>
    <w:rsid w:val="00840852"/>
    <w:rsid w:val="00841302"/>
    <w:rsid w:val="00841834"/>
    <w:rsid w:val="00841EA7"/>
    <w:rsid w:val="00842358"/>
    <w:rsid w:val="00842A24"/>
    <w:rsid w:val="00842BFB"/>
    <w:rsid w:val="00842C6B"/>
    <w:rsid w:val="0084303F"/>
    <w:rsid w:val="00843076"/>
    <w:rsid w:val="00843478"/>
    <w:rsid w:val="00844D07"/>
    <w:rsid w:val="008450E9"/>
    <w:rsid w:val="008453D1"/>
    <w:rsid w:val="008455B4"/>
    <w:rsid w:val="008455D1"/>
    <w:rsid w:val="00845645"/>
    <w:rsid w:val="00845760"/>
    <w:rsid w:val="00845D41"/>
    <w:rsid w:val="0084601F"/>
    <w:rsid w:val="0084615F"/>
    <w:rsid w:val="0084624D"/>
    <w:rsid w:val="00846826"/>
    <w:rsid w:val="00846831"/>
    <w:rsid w:val="00846865"/>
    <w:rsid w:val="00847E3F"/>
    <w:rsid w:val="00850A2A"/>
    <w:rsid w:val="00850AEA"/>
    <w:rsid w:val="00850B4C"/>
    <w:rsid w:val="00850F72"/>
    <w:rsid w:val="00851391"/>
    <w:rsid w:val="00851679"/>
    <w:rsid w:val="00851BFE"/>
    <w:rsid w:val="008522A0"/>
    <w:rsid w:val="008526A1"/>
    <w:rsid w:val="00852CCB"/>
    <w:rsid w:val="008539C4"/>
    <w:rsid w:val="00853A6F"/>
    <w:rsid w:val="00853E7F"/>
    <w:rsid w:val="00854097"/>
    <w:rsid w:val="00854346"/>
    <w:rsid w:val="00854491"/>
    <w:rsid w:val="00854C8E"/>
    <w:rsid w:val="0085584E"/>
    <w:rsid w:val="00855D22"/>
    <w:rsid w:val="00855D6B"/>
    <w:rsid w:val="008567C8"/>
    <w:rsid w:val="00856A13"/>
    <w:rsid w:val="00857694"/>
    <w:rsid w:val="00857A7D"/>
    <w:rsid w:val="00857B10"/>
    <w:rsid w:val="00857CA9"/>
    <w:rsid w:val="00857ECB"/>
    <w:rsid w:val="0086024E"/>
    <w:rsid w:val="00860E08"/>
    <w:rsid w:val="008610E4"/>
    <w:rsid w:val="0086275F"/>
    <w:rsid w:val="008630FD"/>
    <w:rsid w:val="008638BC"/>
    <w:rsid w:val="00863DDF"/>
    <w:rsid w:val="00864A53"/>
    <w:rsid w:val="00864D93"/>
    <w:rsid w:val="00865246"/>
    <w:rsid w:val="00865652"/>
    <w:rsid w:val="0086568E"/>
    <w:rsid w:val="008656AC"/>
    <w:rsid w:val="0086572C"/>
    <w:rsid w:val="00866124"/>
    <w:rsid w:val="00866262"/>
    <w:rsid w:val="00866D4D"/>
    <w:rsid w:val="00866F44"/>
    <w:rsid w:val="00867263"/>
    <w:rsid w:val="00867319"/>
    <w:rsid w:val="0086741F"/>
    <w:rsid w:val="008675DC"/>
    <w:rsid w:val="00867973"/>
    <w:rsid w:val="00867FFE"/>
    <w:rsid w:val="00870343"/>
    <w:rsid w:val="008706FC"/>
    <w:rsid w:val="0087098D"/>
    <w:rsid w:val="00870A32"/>
    <w:rsid w:val="00870B32"/>
    <w:rsid w:val="00870C7B"/>
    <w:rsid w:val="00871202"/>
    <w:rsid w:val="00871A71"/>
    <w:rsid w:val="00871AAA"/>
    <w:rsid w:val="00871B29"/>
    <w:rsid w:val="00871EE4"/>
    <w:rsid w:val="00872012"/>
    <w:rsid w:val="0087246B"/>
    <w:rsid w:val="0087253B"/>
    <w:rsid w:val="00872A81"/>
    <w:rsid w:val="008731F0"/>
    <w:rsid w:val="0087334F"/>
    <w:rsid w:val="00873C90"/>
    <w:rsid w:val="00873DA3"/>
    <w:rsid w:val="00874067"/>
    <w:rsid w:val="00874273"/>
    <w:rsid w:val="00874A51"/>
    <w:rsid w:val="00874E41"/>
    <w:rsid w:val="008759C1"/>
    <w:rsid w:val="00875BEB"/>
    <w:rsid w:val="00875F64"/>
    <w:rsid w:val="00876121"/>
    <w:rsid w:val="00876436"/>
    <w:rsid w:val="00876A04"/>
    <w:rsid w:val="00876A26"/>
    <w:rsid w:val="00876A76"/>
    <w:rsid w:val="00876B4E"/>
    <w:rsid w:val="00877126"/>
    <w:rsid w:val="008771D2"/>
    <w:rsid w:val="00877B3A"/>
    <w:rsid w:val="008802C5"/>
    <w:rsid w:val="00880BC9"/>
    <w:rsid w:val="00880ED3"/>
    <w:rsid w:val="0088104E"/>
    <w:rsid w:val="00881259"/>
    <w:rsid w:val="00881837"/>
    <w:rsid w:val="008818A9"/>
    <w:rsid w:val="008819B5"/>
    <w:rsid w:val="00881D5D"/>
    <w:rsid w:val="00881D95"/>
    <w:rsid w:val="00882053"/>
    <w:rsid w:val="0088238F"/>
    <w:rsid w:val="0088312D"/>
    <w:rsid w:val="008834F4"/>
    <w:rsid w:val="008837BB"/>
    <w:rsid w:val="008841FD"/>
    <w:rsid w:val="00884337"/>
    <w:rsid w:val="00884372"/>
    <w:rsid w:val="008843CC"/>
    <w:rsid w:val="008843F0"/>
    <w:rsid w:val="00884858"/>
    <w:rsid w:val="0088584C"/>
    <w:rsid w:val="00885945"/>
    <w:rsid w:val="00885BDA"/>
    <w:rsid w:val="00885CB5"/>
    <w:rsid w:val="008869EA"/>
    <w:rsid w:val="008870C2"/>
    <w:rsid w:val="00887DAD"/>
    <w:rsid w:val="00890069"/>
    <w:rsid w:val="008902F7"/>
    <w:rsid w:val="0089083A"/>
    <w:rsid w:val="008908D1"/>
    <w:rsid w:val="00890EDB"/>
    <w:rsid w:val="008911CD"/>
    <w:rsid w:val="0089159B"/>
    <w:rsid w:val="00891703"/>
    <w:rsid w:val="0089284E"/>
    <w:rsid w:val="00892BF6"/>
    <w:rsid w:val="00893113"/>
    <w:rsid w:val="0089338B"/>
    <w:rsid w:val="00893585"/>
    <w:rsid w:val="00893874"/>
    <w:rsid w:val="008941FA"/>
    <w:rsid w:val="00894648"/>
    <w:rsid w:val="0089492A"/>
    <w:rsid w:val="00894A5D"/>
    <w:rsid w:val="00894E5A"/>
    <w:rsid w:val="00894EED"/>
    <w:rsid w:val="0089500D"/>
    <w:rsid w:val="00895452"/>
    <w:rsid w:val="008954D4"/>
    <w:rsid w:val="0089553D"/>
    <w:rsid w:val="008955B2"/>
    <w:rsid w:val="008970A8"/>
    <w:rsid w:val="00897C4D"/>
    <w:rsid w:val="008A01F8"/>
    <w:rsid w:val="008A058F"/>
    <w:rsid w:val="008A0D64"/>
    <w:rsid w:val="008A0D85"/>
    <w:rsid w:val="008A12C4"/>
    <w:rsid w:val="008A12EB"/>
    <w:rsid w:val="008A1ECF"/>
    <w:rsid w:val="008A21C1"/>
    <w:rsid w:val="008A21DA"/>
    <w:rsid w:val="008A21EC"/>
    <w:rsid w:val="008A2A08"/>
    <w:rsid w:val="008A40AB"/>
    <w:rsid w:val="008A43A1"/>
    <w:rsid w:val="008A440C"/>
    <w:rsid w:val="008A4415"/>
    <w:rsid w:val="008A468E"/>
    <w:rsid w:val="008A4A8C"/>
    <w:rsid w:val="008A4AE1"/>
    <w:rsid w:val="008A5FE1"/>
    <w:rsid w:val="008A65FF"/>
    <w:rsid w:val="008A67F1"/>
    <w:rsid w:val="008A6A27"/>
    <w:rsid w:val="008A6FBF"/>
    <w:rsid w:val="008A70D3"/>
    <w:rsid w:val="008A740A"/>
    <w:rsid w:val="008A777A"/>
    <w:rsid w:val="008A77B0"/>
    <w:rsid w:val="008A7CB1"/>
    <w:rsid w:val="008B0104"/>
    <w:rsid w:val="008B12E1"/>
    <w:rsid w:val="008B1EF8"/>
    <w:rsid w:val="008B24A5"/>
    <w:rsid w:val="008B2A34"/>
    <w:rsid w:val="008B316B"/>
    <w:rsid w:val="008B34BE"/>
    <w:rsid w:val="008B37AC"/>
    <w:rsid w:val="008B3B21"/>
    <w:rsid w:val="008B3B8B"/>
    <w:rsid w:val="008B3D8D"/>
    <w:rsid w:val="008B4218"/>
    <w:rsid w:val="008B43C5"/>
    <w:rsid w:val="008B48AB"/>
    <w:rsid w:val="008B5230"/>
    <w:rsid w:val="008B67A9"/>
    <w:rsid w:val="008B6B55"/>
    <w:rsid w:val="008B75F8"/>
    <w:rsid w:val="008B7739"/>
    <w:rsid w:val="008B7DD5"/>
    <w:rsid w:val="008C0118"/>
    <w:rsid w:val="008C01D1"/>
    <w:rsid w:val="008C0AAE"/>
    <w:rsid w:val="008C12E6"/>
    <w:rsid w:val="008C1317"/>
    <w:rsid w:val="008C1672"/>
    <w:rsid w:val="008C188E"/>
    <w:rsid w:val="008C27ED"/>
    <w:rsid w:val="008C28AD"/>
    <w:rsid w:val="008C291A"/>
    <w:rsid w:val="008C2A22"/>
    <w:rsid w:val="008C2F7E"/>
    <w:rsid w:val="008C30F8"/>
    <w:rsid w:val="008C30FF"/>
    <w:rsid w:val="008C39AB"/>
    <w:rsid w:val="008C47F0"/>
    <w:rsid w:val="008C4C37"/>
    <w:rsid w:val="008C5128"/>
    <w:rsid w:val="008C5E53"/>
    <w:rsid w:val="008C61C5"/>
    <w:rsid w:val="008C64A2"/>
    <w:rsid w:val="008C6671"/>
    <w:rsid w:val="008C6F5D"/>
    <w:rsid w:val="008C74C8"/>
    <w:rsid w:val="008C7A0E"/>
    <w:rsid w:val="008C7AEA"/>
    <w:rsid w:val="008C7D66"/>
    <w:rsid w:val="008C7DBB"/>
    <w:rsid w:val="008C7EBB"/>
    <w:rsid w:val="008C7FEB"/>
    <w:rsid w:val="008D0383"/>
    <w:rsid w:val="008D0426"/>
    <w:rsid w:val="008D04F1"/>
    <w:rsid w:val="008D07A5"/>
    <w:rsid w:val="008D0884"/>
    <w:rsid w:val="008D09F3"/>
    <w:rsid w:val="008D0E14"/>
    <w:rsid w:val="008D1692"/>
    <w:rsid w:val="008D1A8F"/>
    <w:rsid w:val="008D20CA"/>
    <w:rsid w:val="008D2614"/>
    <w:rsid w:val="008D2E1A"/>
    <w:rsid w:val="008D2E8D"/>
    <w:rsid w:val="008D32E3"/>
    <w:rsid w:val="008D33BD"/>
    <w:rsid w:val="008D406A"/>
    <w:rsid w:val="008D42D8"/>
    <w:rsid w:val="008D42F9"/>
    <w:rsid w:val="008D44D4"/>
    <w:rsid w:val="008D48D0"/>
    <w:rsid w:val="008D4BA4"/>
    <w:rsid w:val="008D4D62"/>
    <w:rsid w:val="008D4D7C"/>
    <w:rsid w:val="008D4E75"/>
    <w:rsid w:val="008D534C"/>
    <w:rsid w:val="008D5834"/>
    <w:rsid w:val="008D5ABC"/>
    <w:rsid w:val="008D5E0A"/>
    <w:rsid w:val="008D5EB5"/>
    <w:rsid w:val="008D6106"/>
    <w:rsid w:val="008D6F5D"/>
    <w:rsid w:val="008D7036"/>
    <w:rsid w:val="008D76BC"/>
    <w:rsid w:val="008D790E"/>
    <w:rsid w:val="008D7B4C"/>
    <w:rsid w:val="008D7C92"/>
    <w:rsid w:val="008D7CFC"/>
    <w:rsid w:val="008D7E2A"/>
    <w:rsid w:val="008D7ED7"/>
    <w:rsid w:val="008E0033"/>
    <w:rsid w:val="008E0C71"/>
    <w:rsid w:val="008E120A"/>
    <w:rsid w:val="008E158C"/>
    <w:rsid w:val="008E16C3"/>
    <w:rsid w:val="008E1EBE"/>
    <w:rsid w:val="008E2182"/>
    <w:rsid w:val="008E284E"/>
    <w:rsid w:val="008E2A95"/>
    <w:rsid w:val="008E2AD7"/>
    <w:rsid w:val="008E2E26"/>
    <w:rsid w:val="008E351E"/>
    <w:rsid w:val="008E3975"/>
    <w:rsid w:val="008E3AB2"/>
    <w:rsid w:val="008E43C3"/>
    <w:rsid w:val="008E4BE4"/>
    <w:rsid w:val="008E4DAE"/>
    <w:rsid w:val="008E4ECF"/>
    <w:rsid w:val="008E589C"/>
    <w:rsid w:val="008E5DFE"/>
    <w:rsid w:val="008E6025"/>
    <w:rsid w:val="008E66FD"/>
    <w:rsid w:val="008E6D23"/>
    <w:rsid w:val="008E71B6"/>
    <w:rsid w:val="008E747D"/>
    <w:rsid w:val="008E772A"/>
    <w:rsid w:val="008F033F"/>
    <w:rsid w:val="008F03E4"/>
    <w:rsid w:val="008F04FB"/>
    <w:rsid w:val="008F069D"/>
    <w:rsid w:val="008F07C8"/>
    <w:rsid w:val="008F1589"/>
    <w:rsid w:val="008F161C"/>
    <w:rsid w:val="008F1747"/>
    <w:rsid w:val="008F199E"/>
    <w:rsid w:val="008F1CF6"/>
    <w:rsid w:val="008F1FDB"/>
    <w:rsid w:val="008F21C7"/>
    <w:rsid w:val="008F25C5"/>
    <w:rsid w:val="008F263A"/>
    <w:rsid w:val="008F2E7C"/>
    <w:rsid w:val="008F31A4"/>
    <w:rsid w:val="008F3BD7"/>
    <w:rsid w:val="008F45E0"/>
    <w:rsid w:val="008F4894"/>
    <w:rsid w:val="008F4ED6"/>
    <w:rsid w:val="008F52F5"/>
    <w:rsid w:val="008F535D"/>
    <w:rsid w:val="008F6A3B"/>
    <w:rsid w:val="008F702B"/>
    <w:rsid w:val="008F704C"/>
    <w:rsid w:val="008F7929"/>
    <w:rsid w:val="008F7AA1"/>
    <w:rsid w:val="0090037E"/>
    <w:rsid w:val="0090066A"/>
    <w:rsid w:val="00901338"/>
    <w:rsid w:val="00901796"/>
    <w:rsid w:val="009019E9"/>
    <w:rsid w:val="00901C65"/>
    <w:rsid w:val="00901CAA"/>
    <w:rsid w:val="00901EE7"/>
    <w:rsid w:val="009022CD"/>
    <w:rsid w:val="009024AB"/>
    <w:rsid w:val="00903771"/>
    <w:rsid w:val="009038FA"/>
    <w:rsid w:val="00903A41"/>
    <w:rsid w:val="00903D24"/>
    <w:rsid w:val="0090436C"/>
    <w:rsid w:val="00904937"/>
    <w:rsid w:val="009050C6"/>
    <w:rsid w:val="00905172"/>
    <w:rsid w:val="00905405"/>
    <w:rsid w:val="009059B2"/>
    <w:rsid w:val="00906188"/>
    <w:rsid w:val="00906803"/>
    <w:rsid w:val="00906AAF"/>
    <w:rsid w:val="00906D3E"/>
    <w:rsid w:val="00907411"/>
    <w:rsid w:val="0090741E"/>
    <w:rsid w:val="0090767E"/>
    <w:rsid w:val="009079E4"/>
    <w:rsid w:val="00907A26"/>
    <w:rsid w:val="00907C5F"/>
    <w:rsid w:val="009106AF"/>
    <w:rsid w:val="00911159"/>
    <w:rsid w:val="009116FB"/>
    <w:rsid w:val="009117B4"/>
    <w:rsid w:val="009118B8"/>
    <w:rsid w:val="009121CF"/>
    <w:rsid w:val="009121D6"/>
    <w:rsid w:val="00912C58"/>
    <w:rsid w:val="00912E03"/>
    <w:rsid w:val="00912E48"/>
    <w:rsid w:val="00913068"/>
    <w:rsid w:val="00913EC8"/>
    <w:rsid w:val="009140BC"/>
    <w:rsid w:val="009140F1"/>
    <w:rsid w:val="009148D1"/>
    <w:rsid w:val="00914D32"/>
    <w:rsid w:val="0091504C"/>
    <w:rsid w:val="00915DC6"/>
    <w:rsid w:val="0091605E"/>
    <w:rsid w:val="009164BA"/>
    <w:rsid w:val="00916687"/>
    <w:rsid w:val="00916C88"/>
    <w:rsid w:val="00917482"/>
    <w:rsid w:val="00917503"/>
    <w:rsid w:val="00917CC9"/>
    <w:rsid w:val="00920618"/>
    <w:rsid w:val="00920CDC"/>
    <w:rsid w:val="00920EA4"/>
    <w:rsid w:val="00920FAE"/>
    <w:rsid w:val="0092143B"/>
    <w:rsid w:val="00921837"/>
    <w:rsid w:val="00921965"/>
    <w:rsid w:val="00921B63"/>
    <w:rsid w:val="00921BD5"/>
    <w:rsid w:val="00921E31"/>
    <w:rsid w:val="00921E8A"/>
    <w:rsid w:val="00921F5B"/>
    <w:rsid w:val="009220BA"/>
    <w:rsid w:val="00922118"/>
    <w:rsid w:val="00922A10"/>
    <w:rsid w:val="00922B7A"/>
    <w:rsid w:val="00922DEB"/>
    <w:rsid w:val="00922FE9"/>
    <w:rsid w:val="00923036"/>
    <w:rsid w:val="00923861"/>
    <w:rsid w:val="00923C58"/>
    <w:rsid w:val="00924676"/>
    <w:rsid w:val="009247AA"/>
    <w:rsid w:val="00924B2A"/>
    <w:rsid w:val="00924E83"/>
    <w:rsid w:val="00925430"/>
    <w:rsid w:val="0092597A"/>
    <w:rsid w:val="009267A5"/>
    <w:rsid w:val="009268FE"/>
    <w:rsid w:val="00926925"/>
    <w:rsid w:val="00926A0C"/>
    <w:rsid w:val="00926EAB"/>
    <w:rsid w:val="00927A00"/>
    <w:rsid w:val="00927D73"/>
    <w:rsid w:val="00927E78"/>
    <w:rsid w:val="0093017B"/>
    <w:rsid w:val="0093051A"/>
    <w:rsid w:val="0093067B"/>
    <w:rsid w:val="00930B33"/>
    <w:rsid w:val="00930BC5"/>
    <w:rsid w:val="00930D85"/>
    <w:rsid w:val="00930F72"/>
    <w:rsid w:val="009320DB"/>
    <w:rsid w:val="00932453"/>
    <w:rsid w:val="009324D1"/>
    <w:rsid w:val="0093280E"/>
    <w:rsid w:val="0093298C"/>
    <w:rsid w:val="009329EB"/>
    <w:rsid w:val="00932D3E"/>
    <w:rsid w:val="00932E9B"/>
    <w:rsid w:val="00932F01"/>
    <w:rsid w:val="00933240"/>
    <w:rsid w:val="0093410C"/>
    <w:rsid w:val="0093444E"/>
    <w:rsid w:val="00934CF2"/>
    <w:rsid w:val="009352BB"/>
    <w:rsid w:val="00935862"/>
    <w:rsid w:val="009358B5"/>
    <w:rsid w:val="00935C23"/>
    <w:rsid w:val="00935D2A"/>
    <w:rsid w:val="00936099"/>
    <w:rsid w:val="0093617F"/>
    <w:rsid w:val="009361EB"/>
    <w:rsid w:val="00936216"/>
    <w:rsid w:val="009365C2"/>
    <w:rsid w:val="00936ACD"/>
    <w:rsid w:val="00936B03"/>
    <w:rsid w:val="00936F8F"/>
    <w:rsid w:val="00937184"/>
    <w:rsid w:val="0093766C"/>
    <w:rsid w:val="009376F8"/>
    <w:rsid w:val="00937A61"/>
    <w:rsid w:val="00940422"/>
    <w:rsid w:val="0094071B"/>
    <w:rsid w:val="00940C4A"/>
    <w:rsid w:val="009410AC"/>
    <w:rsid w:val="00941235"/>
    <w:rsid w:val="0094141F"/>
    <w:rsid w:val="0094149B"/>
    <w:rsid w:val="00942136"/>
    <w:rsid w:val="00942146"/>
    <w:rsid w:val="00942739"/>
    <w:rsid w:val="00942A57"/>
    <w:rsid w:val="00942B5E"/>
    <w:rsid w:val="00942D4C"/>
    <w:rsid w:val="00943262"/>
    <w:rsid w:val="00943282"/>
    <w:rsid w:val="00943478"/>
    <w:rsid w:val="009439B3"/>
    <w:rsid w:val="00943E48"/>
    <w:rsid w:val="00944192"/>
    <w:rsid w:val="009446C5"/>
    <w:rsid w:val="0094583D"/>
    <w:rsid w:val="00945A2F"/>
    <w:rsid w:val="00945BC5"/>
    <w:rsid w:val="0094600B"/>
    <w:rsid w:val="00946A2F"/>
    <w:rsid w:val="00947167"/>
    <w:rsid w:val="00947823"/>
    <w:rsid w:val="0095033F"/>
    <w:rsid w:val="00950802"/>
    <w:rsid w:val="009515AB"/>
    <w:rsid w:val="009517E9"/>
    <w:rsid w:val="00952175"/>
    <w:rsid w:val="0095257F"/>
    <w:rsid w:val="00952890"/>
    <w:rsid w:val="00952A92"/>
    <w:rsid w:val="00952E56"/>
    <w:rsid w:val="00952F89"/>
    <w:rsid w:val="00953772"/>
    <w:rsid w:val="00953AF9"/>
    <w:rsid w:val="00953C2D"/>
    <w:rsid w:val="009545B9"/>
    <w:rsid w:val="00955480"/>
    <w:rsid w:val="00955497"/>
    <w:rsid w:val="0095549F"/>
    <w:rsid w:val="00955A20"/>
    <w:rsid w:val="00955A52"/>
    <w:rsid w:val="00955FD1"/>
    <w:rsid w:val="00956226"/>
    <w:rsid w:val="009562DC"/>
    <w:rsid w:val="00956E09"/>
    <w:rsid w:val="0095712A"/>
    <w:rsid w:val="00960192"/>
    <w:rsid w:val="0096052F"/>
    <w:rsid w:val="009609A6"/>
    <w:rsid w:val="00960E49"/>
    <w:rsid w:val="009624D8"/>
    <w:rsid w:val="0096268F"/>
    <w:rsid w:val="009628C2"/>
    <w:rsid w:val="00962BDC"/>
    <w:rsid w:val="00962C1A"/>
    <w:rsid w:val="00962E72"/>
    <w:rsid w:val="00963054"/>
    <w:rsid w:val="009631B4"/>
    <w:rsid w:val="00963272"/>
    <w:rsid w:val="00963518"/>
    <w:rsid w:val="00963AA3"/>
    <w:rsid w:val="00963DE2"/>
    <w:rsid w:val="009644F9"/>
    <w:rsid w:val="009645A0"/>
    <w:rsid w:val="0096476F"/>
    <w:rsid w:val="00964BF8"/>
    <w:rsid w:val="00964F9D"/>
    <w:rsid w:val="009652B7"/>
    <w:rsid w:val="009652BE"/>
    <w:rsid w:val="00965312"/>
    <w:rsid w:val="00965546"/>
    <w:rsid w:val="009658C7"/>
    <w:rsid w:val="00965F88"/>
    <w:rsid w:val="00966217"/>
    <w:rsid w:val="009668F3"/>
    <w:rsid w:val="0096698C"/>
    <w:rsid w:val="00966C32"/>
    <w:rsid w:val="00967715"/>
    <w:rsid w:val="0096772E"/>
    <w:rsid w:val="009701C8"/>
    <w:rsid w:val="00970482"/>
    <w:rsid w:val="009705D8"/>
    <w:rsid w:val="00970BAA"/>
    <w:rsid w:val="00970C33"/>
    <w:rsid w:val="00971179"/>
    <w:rsid w:val="00971421"/>
    <w:rsid w:val="00971BAD"/>
    <w:rsid w:val="009731C6"/>
    <w:rsid w:val="00973438"/>
    <w:rsid w:val="0097363A"/>
    <w:rsid w:val="0097411B"/>
    <w:rsid w:val="0097445B"/>
    <w:rsid w:val="00974A76"/>
    <w:rsid w:val="00974D7F"/>
    <w:rsid w:val="00974EC2"/>
    <w:rsid w:val="0097601C"/>
    <w:rsid w:val="0097642C"/>
    <w:rsid w:val="00976890"/>
    <w:rsid w:val="00976A5F"/>
    <w:rsid w:val="00977585"/>
    <w:rsid w:val="009777BD"/>
    <w:rsid w:val="00977B3B"/>
    <w:rsid w:val="00980DA9"/>
    <w:rsid w:val="00980F9C"/>
    <w:rsid w:val="00981182"/>
    <w:rsid w:val="009817AE"/>
    <w:rsid w:val="0098188B"/>
    <w:rsid w:val="00982078"/>
    <w:rsid w:val="009820AC"/>
    <w:rsid w:val="00982226"/>
    <w:rsid w:val="00982491"/>
    <w:rsid w:val="00982727"/>
    <w:rsid w:val="009828E1"/>
    <w:rsid w:val="00982E72"/>
    <w:rsid w:val="009833CB"/>
    <w:rsid w:val="00983540"/>
    <w:rsid w:val="009837C9"/>
    <w:rsid w:val="00983FDA"/>
    <w:rsid w:val="0098424B"/>
    <w:rsid w:val="009844C6"/>
    <w:rsid w:val="00984C06"/>
    <w:rsid w:val="009854A8"/>
    <w:rsid w:val="00985688"/>
    <w:rsid w:val="009856C2"/>
    <w:rsid w:val="00985FFA"/>
    <w:rsid w:val="009860D8"/>
    <w:rsid w:val="00986422"/>
    <w:rsid w:val="00986453"/>
    <w:rsid w:val="00986A3A"/>
    <w:rsid w:val="00986A4F"/>
    <w:rsid w:val="00986EF9"/>
    <w:rsid w:val="00990591"/>
    <w:rsid w:val="00990854"/>
    <w:rsid w:val="00990C07"/>
    <w:rsid w:val="00990E3C"/>
    <w:rsid w:val="0099101E"/>
    <w:rsid w:val="00991592"/>
    <w:rsid w:val="009915BD"/>
    <w:rsid w:val="00991715"/>
    <w:rsid w:val="00991769"/>
    <w:rsid w:val="009919A4"/>
    <w:rsid w:val="00991EB6"/>
    <w:rsid w:val="009920E0"/>
    <w:rsid w:val="009922D8"/>
    <w:rsid w:val="009924B8"/>
    <w:rsid w:val="00992AC2"/>
    <w:rsid w:val="00992F3E"/>
    <w:rsid w:val="00993609"/>
    <w:rsid w:val="00993A73"/>
    <w:rsid w:val="00993E8E"/>
    <w:rsid w:val="00994137"/>
    <w:rsid w:val="0099424F"/>
    <w:rsid w:val="00994929"/>
    <w:rsid w:val="00994DE8"/>
    <w:rsid w:val="00994F7F"/>
    <w:rsid w:val="009951F1"/>
    <w:rsid w:val="0099548B"/>
    <w:rsid w:val="00995891"/>
    <w:rsid w:val="00995D1A"/>
    <w:rsid w:val="0099629C"/>
    <w:rsid w:val="0099639F"/>
    <w:rsid w:val="00996827"/>
    <w:rsid w:val="00996E08"/>
    <w:rsid w:val="009975C4"/>
    <w:rsid w:val="00997677"/>
    <w:rsid w:val="009A10A8"/>
    <w:rsid w:val="009A1296"/>
    <w:rsid w:val="009A1315"/>
    <w:rsid w:val="009A1952"/>
    <w:rsid w:val="009A1C2E"/>
    <w:rsid w:val="009A211A"/>
    <w:rsid w:val="009A22A4"/>
    <w:rsid w:val="009A2330"/>
    <w:rsid w:val="009A2773"/>
    <w:rsid w:val="009A2FDE"/>
    <w:rsid w:val="009A311F"/>
    <w:rsid w:val="009A31FB"/>
    <w:rsid w:val="009A32B2"/>
    <w:rsid w:val="009A355C"/>
    <w:rsid w:val="009A3A2C"/>
    <w:rsid w:val="009A3AEA"/>
    <w:rsid w:val="009A4181"/>
    <w:rsid w:val="009A4193"/>
    <w:rsid w:val="009A419B"/>
    <w:rsid w:val="009A49D8"/>
    <w:rsid w:val="009A4D6F"/>
    <w:rsid w:val="009A4F2A"/>
    <w:rsid w:val="009A57F6"/>
    <w:rsid w:val="009A65CC"/>
    <w:rsid w:val="009A6DB1"/>
    <w:rsid w:val="009A70B1"/>
    <w:rsid w:val="009A718E"/>
    <w:rsid w:val="009A7B1F"/>
    <w:rsid w:val="009B03FC"/>
    <w:rsid w:val="009B07FC"/>
    <w:rsid w:val="009B12F4"/>
    <w:rsid w:val="009B1BDE"/>
    <w:rsid w:val="009B1C15"/>
    <w:rsid w:val="009B1D39"/>
    <w:rsid w:val="009B29D1"/>
    <w:rsid w:val="009B33A4"/>
    <w:rsid w:val="009B379B"/>
    <w:rsid w:val="009B393D"/>
    <w:rsid w:val="009B3B1E"/>
    <w:rsid w:val="009B3BC6"/>
    <w:rsid w:val="009B3FC7"/>
    <w:rsid w:val="009B4661"/>
    <w:rsid w:val="009B467A"/>
    <w:rsid w:val="009B4B40"/>
    <w:rsid w:val="009B5173"/>
    <w:rsid w:val="009B5717"/>
    <w:rsid w:val="009B5953"/>
    <w:rsid w:val="009B5ECA"/>
    <w:rsid w:val="009B685B"/>
    <w:rsid w:val="009B6DD8"/>
    <w:rsid w:val="009B6DFF"/>
    <w:rsid w:val="009B6EAD"/>
    <w:rsid w:val="009C00E7"/>
    <w:rsid w:val="009C0200"/>
    <w:rsid w:val="009C05D7"/>
    <w:rsid w:val="009C069D"/>
    <w:rsid w:val="009C0AB7"/>
    <w:rsid w:val="009C0CCE"/>
    <w:rsid w:val="009C0F4D"/>
    <w:rsid w:val="009C1239"/>
    <w:rsid w:val="009C1363"/>
    <w:rsid w:val="009C1776"/>
    <w:rsid w:val="009C1AC0"/>
    <w:rsid w:val="009C1FF3"/>
    <w:rsid w:val="009C2302"/>
    <w:rsid w:val="009C2595"/>
    <w:rsid w:val="009C28C7"/>
    <w:rsid w:val="009C2EB5"/>
    <w:rsid w:val="009C31D7"/>
    <w:rsid w:val="009C3954"/>
    <w:rsid w:val="009C3CFB"/>
    <w:rsid w:val="009C3EE1"/>
    <w:rsid w:val="009C417C"/>
    <w:rsid w:val="009C44A3"/>
    <w:rsid w:val="009C4C35"/>
    <w:rsid w:val="009C4C5D"/>
    <w:rsid w:val="009C4D43"/>
    <w:rsid w:val="009C4DA1"/>
    <w:rsid w:val="009C5C47"/>
    <w:rsid w:val="009C5E9B"/>
    <w:rsid w:val="009C5F12"/>
    <w:rsid w:val="009C6684"/>
    <w:rsid w:val="009C6A12"/>
    <w:rsid w:val="009C6E3F"/>
    <w:rsid w:val="009C6FA8"/>
    <w:rsid w:val="009C7053"/>
    <w:rsid w:val="009C7546"/>
    <w:rsid w:val="009C7D05"/>
    <w:rsid w:val="009C7FDE"/>
    <w:rsid w:val="009D0056"/>
    <w:rsid w:val="009D02EA"/>
    <w:rsid w:val="009D0463"/>
    <w:rsid w:val="009D061A"/>
    <w:rsid w:val="009D07A0"/>
    <w:rsid w:val="009D08A4"/>
    <w:rsid w:val="009D0AEA"/>
    <w:rsid w:val="009D1209"/>
    <w:rsid w:val="009D1222"/>
    <w:rsid w:val="009D1374"/>
    <w:rsid w:val="009D1955"/>
    <w:rsid w:val="009D1BB7"/>
    <w:rsid w:val="009D28CD"/>
    <w:rsid w:val="009D29AD"/>
    <w:rsid w:val="009D30DD"/>
    <w:rsid w:val="009D41C6"/>
    <w:rsid w:val="009D4756"/>
    <w:rsid w:val="009D47E2"/>
    <w:rsid w:val="009D4A29"/>
    <w:rsid w:val="009D4D87"/>
    <w:rsid w:val="009D4F4F"/>
    <w:rsid w:val="009D4F59"/>
    <w:rsid w:val="009D5E7E"/>
    <w:rsid w:val="009D5ECD"/>
    <w:rsid w:val="009D610A"/>
    <w:rsid w:val="009D65D0"/>
    <w:rsid w:val="009D7540"/>
    <w:rsid w:val="009D75BD"/>
    <w:rsid w:val="009D7602"/>
    <w:rsid w:val="009D7709"/>
    <w:rsid w:val="009D779E"/>
    <w:rsid w:val="009D7C95"/>
    <w:rsid w:val="009D7E20"/>
    <w:rsid w:val="009E00E4"/>
    <w:rsid w:val="009E0623"/>
    <w:rsid w:val="009E095E"/>
    <w:rsid w:val="009E0D67"/>
    <w:rsid w:val="009E157E"/>
    <w:rsid w:val="009E1651"/>
    <w:rsid w:val="009E16A0"/>
    <w:rsid w:val="009E1895"/>
    <w:rsid w:val="009E1A1C"/>
    <w:rsid w:val="009E1D6C"/>
    <w:rsid w:val="009E1E47"/>
    <w:rsid w:val="009E1F43"/>
    <w:rsid w:val="009E245B"/>
    <w:rsid w:val="009E292C"/>
    <w:rsid w:val="009E2C2B"/>
    <w:rsid w:val="009E2DC9"/>
    <w:rsid w:val="009E3314"/>
    <w:rsid w:val="009E3644"/>
    <w:rsid w:val="009E3869"/>
    <w:rsid w:val="009E3B6B"/>
    <w:rsid w:val="009E4380"/>
    <w:rsid w:val="009E4912"/>
    <w:rsid w:val="009E4CBD"/>
    <w:rsid w:val="009E6106"/>
    <w:rsid w:val="009E6CCC"/>
    <w:rsid w:val="009E6D94"/>
    <w:rsid w:val="009E74ED"/>
    <w:rsid w:val="009E7E38"/>
    <w:rsid w:val="009F0325"/>
    <w:rsid w:val="009F06FB"/>
    <w:rsid w:val="009F0891"/>
    <w:rsid w:val="009F0945"/>
    <w:rsid w:val="009F0CB4"/>
    <w:rsid w:val="009F0ED4"/>
    <w:rsid w:val="009F10A6"/>
    <w:rsid w:val="009F118C"/>
    <w:rsid w:val="009F131E"/>
    <w:rsid w:val="009F1C35"/>
    <w:rsid w:val="009F2C7C"/>
    <w:rsid w:val="009F327A"/>
    <w:rsid w:val="009F3EBE"/>
    <w:rsid w:val="009F4662"/>
    <w:rsid w:val="009F4918"/>
    <w:rsid w:val="009F49CE"/>
    <w:rsid w:val="009F4EC8"/>
    <w:rsid w:val="009F5717"/>
    <w:rsid w:val="009F6394"/>
    <w:rsid w:val="009F63BB"/>
    <w:rsid w:val="009F66AA"/>
    <w:rsid w:val="009F6E53"/>
    <w:rsid w:val="009F765A"/>
    <w:rsid w:val="009F7BE8"/>
    <w:rsid w:val="009F7CD9"/>
    <w:rsid w:val="00A0004A"/>
    <w:rsid w:val="00A00078"/>
    <w:rsid w:val="00A001A9"/>
    <w:rsid w:val="00A00850"/>
    <w:rsid w:val="00A010F2"/>
    <w:rsid w:val="00A0135C"/>
    <w:rsid w:val="00A01419"/>
    <w:rsid w:val="00A0162E"/>
    <w:rsid w:val="00A01E79"/>
    <w:rsid w:val="00A02C1A"/>
    <w:rsid w:val="00A03097"/>
    <w:rsid w:val="00A034DD"/>
    <w:rsid w:val="00A03E5F"/>
    <w:rsid w:val="00A04484"/>
    <w:rsid w:val="00A0496A"/>
    <w:rsid w:val="00A04C11"/>
    <w:rsid w:val="00A05BD3"/>
    <w:rsid w:val="00A066AE"/>
    <w:rsid w:val="00A067ED"/>
    <w:rsid w:val="00A068B1"/>
    <w:rsid w:val="00A06CDA"/>
    <w:rsid w:val="00A06DAF"/>
    <w:rsid w:val="00A06DFB"/>
    <w:rsid w:val="00A07167"/>
    <w:rsid w:val="00A073DA"/>
    <w:rsid w:val="00A076B8"/>
    <w:rsid w:val="00A076CE"/>
    <w:rsid w:val="00A07C7C"/>
    <w:rsid w:val="00A100AA"/>
    <w:rsid w:val="00A10538"/>
    <w:rsid w:val="00A10C64"/>
    <w:rsid w:val="00A11068"/>
    <w:rsid w:val="00A11616"/>
    <w:rsid w:val="00A11C35"/>
    <w:rsid w:val="00A11D70"/>
    <w:rsid w:val="00A1227B"/>
    <w:rsid w:val="00A1276C"/>
    <w:rsid w:val="00A12921"/>
    <w:rsid w:val="00A12BEF"/>
    <w:rsid w:val="00A12C32"/>
    <w:rsid w:val="00A12C44"/>
    <w:rsid w:val="00A130E8"/>
    <w:rsid w:val="00A132CA"/>
    <w:rsid w:val="00A1369C"/>
    <w:rsid w:val="00A13F47"/>
    <w:rsid w:val="00A14455"/>
    <w:rsid w:val="00A148EB"/>
    <w:rsid w:val="00A14A09"/>
    <w:rsid w:val="00A14B2F"/>
    <w:rsid w:val="00A14E3D"/>
    <w:rsid w:val="00A1515F"/>
    <w:rsid w:val="00A152E3"/>
    <w:rsid w:val="00A153FD"/>
    <w:rsid w:val="00A15580"/>
    <w:rsid w:val="00A15931"/>
    <w:rsid w:val="00A15D04"/>
    <w:rsid w:val="00A15EC3"/>
    <w:rsid w:val="00A15F83"/>
    <w:rsid w:val="00A16531"/>
    <w:rsid w:val="00A16C28"/>
    <w:rsid w:val="00A17365"/>
    <w:rsid w:val="00A17854"/>
    <w:rsid w:val="00A17B1B"/>
    <w:rsid w:val="00A17F75"/>
    <w:rsid w:val="00A20561"/>
    <w:rsid w:val="00A20E75"/>
    <w:rsid w:val="00A20FD3"/>
    <w:rsid w:val="00A211AD"/>
    <w:rsid w:val="00A21B51"/>
    <w:rsid w:val="00A21FA3"/>
    <w:rsid w:val="00A21FDA"/>
    <w:rsid w:val="00A220DE"/>
    <w:rsid w:val="00A2224F"/>
    <w:rsid w:val="00A22939"/>
    <w:rsid w:val="00A236A9"/>
    <w:rsid w:val="00A23DDE"/>
    <w:rsid w:val="00A23F2B"/>
    <w:rsid w:val="00A248FF"/>
    <w:rsid w:val="00A24F7C"/>
    <w:rsid w:val="00A25438"/>
    <w:rsid w:val="00A25597"/>
    <w:rsid w:val="00A25D37"/>
    <w:rsid w:val="00A25FDF"/>
    <w:rsid w:val="00A2602B"/>
    <w:rsid w:val="00A261E9"/>
    <w:rsid w:val="00A26364"/>
    <w:rsid w:val="00A266B1"/>
    <w:rsid w:val="00A26AC1"/>
    <w:rsid w:val="00A26B37"/>
    <w:rsid w:val="00A26DF3"/>
    <w:rsid w:val="00A27083"/>
    <w:rsid w:val="00A277AD"/>
    <w:rsid w:val="00A278AE"/>
    <w:rsid w:val="00A27CF5"/>
    <w:rsid w:val="00A27E62"/>
    <w:rsid w:val="00A30030"/>
    <w:rsid w:val="00A3126B"/>
    <w:rsid w:val="00A312FA"/>
    <w:rsid w:val="00A317E9"/>
    <w:rsid w:val="00A319C8"/>
    <w:rsid w:val="00A31F63"/>
    <w:rsid w:val="00A3245D"/>
    <w:rsid w:val="00A32521"/>
    <w:rsid w:val="00A325A6"/>
    <w:rsid w:val="00A32E81"/>
    <w:rsid w:val="00A33795"/>
    <w:rsid w:val="00A338A7"/>
    <w:rsid w:val="00A33931"/>
    <w:rsid w:val="00A33BCA"/>
    <w:rsid w:val="00A34429"/>
    <w:rsid w:val="00A3489D"/>
    <w:rsid w:val="00A35381"/>
    <w:rsid w:val="00A35CFD"/>
    <w:rsid w:val="00A35DDF"/>
    <w:rsid w:val="00A35F1C"/>
    <w:rsid w:val="00A36999"/>
    <w:rsid w:val="00A36B68"/>
    <w:rsid w:val="00A37602"/>
    <w:rsid w:val="00A41399"/>
    <w:rsid w:val="00A41979"/>
    <w:rsid w:val="00A41ACA"/>
    <w:rsid w:val="00A41BED"/>
    <w:rsid w:val="00A41D22"/>
    <w:rsid w:val="00A41EE0"/>
    <w:rsid w:val="00A42233"/>
    <w:rsid w:val="00A430F8"/>
    <w:rsid w:val="00A4350C"/>
    <w:rsid w:val="00A43528"/>
    <w:rsid w:val="00A43A83"/>
    <w:rsid w:val="00A43C45"/>
    <w:rsid w:val="00A44F22"/>
    <w:rsid w:val="00A4529D"/>
    <w:rsid w:val="00A45A96"/>
    <w:rsid w:val="00A45C57"/>
    <w:rsid w:val="00A45D29"/>
    <w:rsid w:val="00A45D7B"/>
    <w:rsid w:val="00A463C8"/>
    <w:rsid w:val="00A464DF"/>
    <w:rsid w:val="00A46B9E"/>
    <w:rsid w:val="00A47362"/>
    <w:rsid w:val="00A47A38"/>
    <w:rsid w:val="00A509E5"/>
    <w:rsid w:val="00A50E24"/>
    <w:rsid w:val="00A51826"/>
    <w:rsid w:val="00A51A52"/>
    <w:rsid w:val="00A51BCA"/>
    <w:rsid w:val="00A522B6"/>
    <w:rsid w:val="00A5280C"/>
    <w:rsid w:val="00A52B1E"/>
    <w:rsid w:val="00A52ED7"/>
    <w:rsid w:val="00A5313D"/>
    <w:rsid w:val="00A53166"/>
    <w:rsid w:val="00A5343B"/>
    <w:rsid w:val="00A53761"/>
    <w:rsid w:val="00A539E4"/>
    <w:rsid w:val="00A53F8E"/>
    <w:rsid w:val="00A5433E"/>
    <w:rsid w:val="00A54708"/>
    <w:rsid w:val="00A55166"/>
    <w:rsid w:val="00A551DB"/>
    <w:rsid w:val="00A55E82"/>
    <w:rsid w:val="00A561EE"/>
    <w:rsid w:val="00A565A5"/>
    <w:rsid w:val="00A56D34"/>
    <w:rsid w:val="00A56E21"/>
    <w:rsid w:val="00A574EC"/>
    <w:rsid w:val="00A57830"/>
    <w:rsid w:val="00A6004A"/>
    <w:rsid w:val="00A60F61"/>
    <w:rsid w:val="00A614FB"/>
    <w:rsid w:val="00A61676"/>
    <w:rsid w:val="00A61F7B"/>
    <w:rsid w:val="00A621C2"/>
    <w:rsid w:val="00A628A9"/>
    <w:rsid w:val="00A628ED"/>
    <w:rsid w:val="00A6299D"/>
    <w:rsid w:val="00A62C87"/>
    <w:rsid w:val="00A62E52"/>
    <w:rsid w:val="00A62EFF"/>
    <w:rsid w:val="00A63A9F"/>
    <w:rsid w:val="00A63B95"/>
    <w:rsid w:val="00A64106"/>
    <w:rsid w:val="00A645F4"/>
    <w:rsid w:val="00A652A0"/>
    <w:rsid w:val="00A654DA"/>
    <w:rsid w:val="00A6566D"/>
    <w:rsid w:val="00A65BAE"/>
    <w:rsid w:val="00A66181"/>
    <w:rsid w:val="00A662B3"/>
    <w:rsid w:val="00A663E4"/>
    <w:rsid w:val="00A66487"/>
    <w:rsid w:val="00A666A9"/>
    <w:rsid w:val="00A66929"/>
    <w:rsid w:val="00A67664"/>
    <w:rsid w:val="00A67A87"/>
    <w:rsid w:val="00A70B52"/>
    <w:rsid w:val="00A70CC2"/>
    <w:rsid w:val="00A70D90"/>
    <w:rsid w:val="00A70DD1"/>
    <w:rsid w:val="00A713E0"/>
    <w:rsid w:val="00A71677"/>
    <w:rsid w:val="00A71DFC"/>
    <w:rsid w:val="00A72F2F"/>
    <w:rsid w:val="00A730FA"/>
    <w:rsid w:val="00A731B2"/>
    <w:rsid w:val="00A7321C"/>
    <w:rsid w:val="00A732B5"/>
    <w:rsid w:val="00A734C4"/>
    <w:rsid w:val="00A73559"/>
    <w:rsid w:val="00A73F1E"/>
    <w:rsid w:val="00A73F8F"/>
    <w:rsid w:val="00A7447A"/>
    <w:rsid w:val="00A748EF"/>
    <w:rsid w:val="00A749F5"/>
    <w:rsid w:val="00A74B8D"/>
    <w:rsid w:val="00A74BEE"/>
    <w:rsid w:val="00A74F33"/>
    <w:rsid w:val="00A74F7B"/>
    <w:rsid w:val="00A75940"/>
    <w:rsid w:val="00A75B4F"/>
    <w:rsid w:val="00A75BCF"/>
    <w:rsid w:val="00A75CD5"/>
    <w:rsid w:val="00A75D26"/>
    <w:rsid w:val="00A76134"/>
    <w:rsid w:val="00A76154"/>
    <w:rsid w:val="00A76559"/>
    <w:rsid w:val="00A76A5B"/>
    <w:rsid w:val="00A7789D"/>
    <w:rsid w:val="00A8089F"/>
    <w:rsid w:val="00A80C39"/>
    <w:rsid w:val="00A80FD7"/>
    <w:rsid w:val="00A81101"/>
    <w:rsid w:val="00A8157C"/>
    <w:rsid w:val="00A815A5"/>
    <w:rsid w:val="00A81B67"/>
    <w:rsid w:val="00A826EA"/>
    <w:rsid w:val="00A828B2"/>
    <w:rsid w:val="00A829A9"/>
    <w:rsid w:val="00A82C5B"/>
    <w:rsid w:val="00A830AD"/>
    <w:rsid w:val="00A834A2"/>
    <w:rsid w:val="00A83C58"/>
    <w:rsid w:val="00A84460"/>
    <w:rsid w:val="00A84700"/>
    <w:rsid w:val="00A84B7A"/>
    <w:rsid w:val="00A84F47"/>
    <w:rsid w:val="00A851B0"/>
    <w:rsid w:val="00A85617"/>
    <w:rsid w:val="00A856E1"/>
    <w:rsid w:val="00A8592E"/>
    <w:rsid w:val="00A8626D"/>
    <w:rsid w:val="00A86BB6"/>
    <w:rsid w:val="00A86D37"/>
    <w:rsid w:val="00A87367"/>
    <w:rsid w:val="00A873DC"/>
    <w:rsid w:val="00A87507"/>
    <w:rsid w:val="00A876BB"/>
    <w:rsid w:val="00A879C3"/>
    <w:rsid w:val="00A879FA"/>
    <w:rsid w:val="00A90989"/>
    <w:rsid w:val="00A909AF"/>
    <w:rsid w:val="00A91021"/>
    <w:rsid w:val="00A913B0"/>
    <w:rsid w:val="00A91969"/>
    <w:rsid w:val="00A9200B"/>
    <w:rsid w:val="00A9290F"/>
    <w:rsid w:val="00A92AAE"/>
    <w:rsid w:val="00A92AFF"/>
    <w:rsid w:val="00A9345F"/>
    <w:rsid w:val="00A94AAE"/>
    <w:rsid w:val="00A94FDB"/>
    <w:rsid w:val="00A958C3"/>
    <w:rsid w:val="00A95995"/>
    <w:rsid w:val="00A95BE6"/>
    <w:rsid w:val="00A95EA8"/>
    <w:rsid w:val="00A95EF0"/>
    <w:rsid w:val="00A968C2"/>
    <w:rsid w:val="00A97264"/>
    <w:rsid w:val="00A97AD6"/>
    <w:rsid w:val="00AA0075"/>
    <w:rsid w:val="00AA025A"/>
    <w:rsid w:val="00AA06B8"/>
    <w:rsid w:val="00AA0819"/>
    <w:rsid w:val="00AA09CC"/>
    <w:rsid w:val="00AA1399"/>
    <w:rsid w:val="00AA19A0"/>
    <w:rsid w:val="00AA1E77"/>
    <w:rsid w:val="00AA2268"/>
    <w:rsid w:val="00AA2428"/>
    <w:rsid w:val="00AA2589"/>
    <w:rsid w:val="00AA26C6"/>
    <w:rsid w:val="00AA295A"/>
    <w:rsid w:val="00AA2BC6"/>
    <w:rsid w:val="00AA37E3"/>
    <w:rsid w:val="00AA41F0"/>
    <w:rsid w:val="00AA42EA"/>
    <w:rsid w:val="00AA4418"/>
    <w:rsid w:val="00AA4716"/>
    <w:rsid w:val="00AA4732"/>
    <w:rsid w:val="00AA4A0C"/>
    <w:rsid w:val="00AA4B94"/>
    <w:rsid w:val="00AA4ECA"/>
    <w:rsid w:val="00AA5212"/>
    <w:rsid w:val="00AA626D"/>
    <w:rsid w:val="00AA680A"/>
    <w:rsid w:val="00AA6FBC"/>
    <w:rsid w:val="00AA7A26"/>
    <w:rsid w:val="00AA7B0F"/>
    <w:rsid w:val="00AB0CA3"/>
    <w:rsid w:val="00AB1242"/>
    <w:rsid w:val="00AB1C0D"/>
    <w:rsid w:val="00AB20EA"/>
    <w:rsid w:val="00AB2292"/>
    <w:rsid w:val="00AB2664"/>
    <w:rsid w:val="00AB26C7"/>
    <w:rsid w:val="00AB2E1E"/>
    <w:rsid w:val="00AB3023"/>
    <w:rsid w:val="00AB31EA"/>
    <w:rsid w:val="00AB34F8"/>
    <w:rsid w:val="00AB38D6"/>
    <w:rsid w:val="00AB4420"/>
    <w:rsid w:val="00AB4A0D"/>
    <w:rsid w:val="00AB4BE8"/>
    <w:rsid w:val="00AB4C50"/>
    <w:rsid w:val="00AB4CBB"/>
    <w:rsid w:val="00AB4EC1"/>
    <w:rsid w:val="00AB624C"/>
    <w:rsid w:val="00AB6290"/>
    <w:rsid w:val="00AB67F0"/>
    <w:rsid w:val="00AB6982"/>
    <w:rsid w:val="00AB6AA8"/>
    <w:rsid w:val="00AB6AAD"/>
    <w:rsid w:val="00AB6D1C"/>
    <w:rsid w:val="00AB722D"/>
    <w:rsid w:val="00AB746E"/>
    <w:rsid w:val="00AB78A5"/>
    <w:rsid w:val="00AB78A9"/>
    <w:rsid w:val="00AC0433"/>
    <w:rsid w:val="00AC050D"/>
    <w:rsid w:val="00AC096D"/>
    <w:rsid w:val="00AC0B75"/>
    <w:rsid w:val="00AC13A6"/>
    <w:rsid w:val="00AC1719"/>
    <w:rsid w:val="00AC1AD5"/>
    <w:rsid w:val="00AC1BDB"/>
    <w:rsid w:val="00AC1E97"/>
    <w:rsid w:val="00AC2461"/>
    <w:rsid w:val="00AC2841"/>
    <w:rsid w:val="00AC286F"/>
    <w:rsid w:val="00AC2BCA"/>
    <w:rsid w:val="00AC3178"/>
    <w:rsid w:val="00AC3253"/>
    <w:rsid w:val="00AC369F"/>
    <w:rsid w:val="00AC4110"/>
    <w:rsid w:val="00AC4445"/>
    <w:rsid w:val="00AC48BA"/>
    <w:rsid w:val="00AC4C56"/>
    <w:rsid w:val="00AC54F9"/>
    <w:rsid w:val="00AC564F"/>
    <w:rsid w:val="00AC5AAB"/>
    <w:rsid w:val="00AC5B46"/>
    <w:rsid w:val="00AC6706"/>
    <w:rsid w:val="00AC79AC"/>
    <w:rsid w:val="00AC79C8"/>
    <w:rsid w:val="00AC7EDD"/>
    <w:rsid w:val="00AD0BDD"/>
    <w:rsid w:val="00AD2376"/>
    <w:rsid w:val="00AD262F"/>
    <w:rsid w:val="00AD296C"/>
    <w:rsid w:val="00AD29DA"/>
    <w:rsid w:val="00AD3F06"/>
    <w:rsid w:val="00AD445B"/>
    <w:rsid w:val="00AD44A3"/>
    <w:rsid w:val="00AD4B8F"/>
    <w:rsid w:val="00AD4DAB"/>
    <w:rsid w:val="00AD54D9"/>
    <w:rsid w:val="00AD63A0"/>
    <w:rsid w:val="00AD6417"/>
    <w:rsid w:val="00AD67E3"/>
    <w:rsid w:val="00AD6809"/>
    <w:rsid w:val="00AD74B3"/>
    <w:rsid w:val="00AD7901"/>
    <w:rsid w:val="00AD7A47"/>
    <w:rsid w:val="00AD7C11"/>
    <w:rsid w:val="00AE0A9C"/>
    <w:rsid w:val="00AE0F1D"/>
    <w:rsid w:val="00AE100C"/>
    <w:rsid w:val="00AE1143"/>
    <w:rsid w:val="00AE1911"/>
    <w:rsid w:val="00AE2395"/>
    <w:rsid w:val="00AE2A49"/>
    <w:rsid w:val="00AE2B06"/>
    <w:rsid w:val="00AE3DD9"/>
    <w:rsid w:val="00AE3FFB"/>
    <w:rsid w:val="00AE43F2"/>
    <w:rsid w:val="00AE488B"/>
    <w:rsid w:val="00AE48B4"/>
    <w:rsid w:val="00AE4CE2"/>
    <w:rsid w:val="00AE4EEA"/>
    <w:rsid w:val="00AE4EF7"/>
    <w:rsid w:val="00AE527B"/>
    <w:rsid w:val="00AE5713"/>
    <w:rsid w:val="00AE5D81"/>
    <w:rsid w:val="00AE5FAE"/>
    <w:rsid w:val="00AE61CE"/>
    <w:rsid w:val="00AE66BF"/>
    <w:rsid w:val="00AE6C40"/>
    <w:rsid w:val="00AE6E1B"/>
    <w:rsid w:val="00AE7491"/>
    <w:rsid w:val="00AE7503"/>
    <w:rsid w:val="00AE7FF7"/>
    <w:rsid w:val="00AF0173"/>
    <w:rsid w:val="00AF0408"/>
    <w:rsid w:val="00AF0F73"/>
    <w:rsid w:val="00AF10A8"/>
    <w:rsid w:val="00AF1663"/>
    <w:rsid w:val="00AF1CC2"/>
    <w:rsid w:val="00AF1CCB"/>
    <w:rsid w:val="00AF20C7"/>
    <w:rsid w:val="00AF23ED"/>
    <w:rsid w:val="00AF2988"/>
    <w:rsid w:val="00AF3103"/>
    <w:rsid w:val="00AF39E1"/>
    <w:rsid w:val="00AF3AED"/>
    <w:rsid w:val="00AF4831"/>
    <w:rsid w:val="00AF4982"/>
    <w:rsid w:val="00AF4DF9"/>
    <w:rsid w:val="00AF53B4"/>
    <w:rsid w:val="00AF5F98"/>
    <w:rsid w:val="00AF606B"/>
    <w:rsid w:val="00AF61AA"/>
    <w:rsid w:val="00AF650E"/>
    <w:rsid w:val="00AF6780"/>
    <w:rsid w:val="00AF6833"/>
    <w:rsid w:val="00AF6E34"/>
    <w:rsid w:val="00AF74E8"/>
    <w:rsid w:val="00AF787B"/>
    <w:rsid w:val="00AF7963"/>
    <w:rsid w:val="00AF7D69"/>
    <w:rsid w:val="00AF7D8A"/>
    <w:rsid w:val="00AF7E0E"/>
    <w:rsid w:val="00AF7FC4"/>
    <w:rsid w:val="00B00698"/>
    <w:rsid w:val="00B00D4B"/>
    <w:rsid w:val="00B00E6A"/>
    <w:rsid w:val="00B00F9A"/>
    <w:rsid w:val="00B01104"/>
    <w:rsid w:val="00B0110A"/>
    <w:rsid w:val="00B015E5"/>
    <w:rsid w:val="00B026F3"/>
    <w:rsid w:val="00B02831"/>
    <w:rsid w:val="00B029F6"/>
    <w:rsid w:val="00B02FAD"/>
    <w:rsid w:val="00B03A82"/>
    <w:rsid w:val="00B03C7F"/>
    <w:rsid w:val="00B03DD4"/>
    <w:rsid w:val="00B04210"/>
    <w:rsid w:val="00B04372"/>
    <w:rsid w:val="00B04B59"/>
    <w:rsid w:val="00B04E0F"/>
    <w:rsid w:val="00B05103"/>
    <w:rsid w:val="00B054B2"/>
    <w:rsid w:val="00B05C70"/>
    <w:rsid w:val="00B06007"/>
    <w:rsid w:val="00B061BB"/>
    <w:rsid w:val="00B06332"/>
    <w:rsid w:val="00B067C8"/>
    <w:rsid w:val="00B06871"/>
    <w:rsid w:val="00B069F7"/>
    <w:rsid w:val="00B06C34"/>
    <w:rsid w:val="00B07758"/>
    <w:rsid w:val="00B101AD"/>
    <w:rsid w:val="00B10D7E"/>
    <w:rsid w:val="00B10E73"/>
    <w:rsid w:val="00B10FD4"/>
    <w:rsid w:val="00B118B7"/>
    <w:rsid w:val="00B11B39"/>
    <w:rsid w:val="00B12300"/>
    <w:rsid w:val="00B1244C"/>
    <w:rsid w:val="00B12EAB"/>
    <w:rsid w:val="00B135FF"/>
    <w:rsid w:val="00B1375D"/>
    <w:rsid w:val="00B13E57"/>
    <w:rsid w:val="00B14509"/>
    <w:rsid w:val="00B148A1"/>
    <w:rsid w:val="00B15277"/>
    <w:rsid w:val="00B153D2"/>
    <w:rsid w:val="00B15430"/>
    <w:rsid w:val="00B15459"/>
    <w:rsid w:val="00B15551"/>
    <w:rsid w:val="00B15D65"/>
    <w:rsid w:val="00B16161"/>
    <w:rsid w:val="00B16410"/>
    <w:rsid w:val="00B16546"/>
    <w:rsid w:val="00B16839"/>
    <w:rsid w:val="00B1687B"/>
    <w:rsid w:val="00B16AC6"/>
    <w:rsid w:val="00B16D67"/>
    <w:rsid w:val="00B17195"/>
    <w:rsid w:val="00B17449"/>
    <w:rsid w:val="00B205AE"/>
    <w:rsid w:val="00B20975"/>
    <w:rsid w:val="00B209A6"/>
    <w:rsid w:val="00B20AA8"/>
    <w:rsid w:val="00B21304"/>
    <w:rsid w:val="00B21E14"/>
    <w:rsid w:val="00B21E39"/>
    <w:rsid w:val="00B2241B"/>
    <w:rsid w:val="00B22568"/>
    <w:rsid w:val="00B22745"/>
    <w:rsid w:val="00B227A2"/>
    <w:rsid w:val="00B22936"/>
    <w:rsid w:val="00B22B7F"/>
    <w:rsid w:val="00B22DCA"/>
    <w:rsid w:val="00B230C1"/>
    <w:rsid w:val="00B23BC2"/>
    <w:rsid w:val="00B23CD1"/>
    <w:rsid w:val="00B242E2"/>
    <w:rsid w:val="00B244CA"/>
    <w:rsid w:val="00B2464D"/>
    <w:rsid w:val="00B24C89"/>
    <w:rsid w:val="00B251E1"/>
    <w:rsid w:val="00B25226"/>
    <w:rsid w:val="00B25460"/>
    <w:rsid w:val="00B25D17"/>
    <w:rsid w:val="00B25D3E"/>
    <w:rsid w:val="00B25F2C"/>
    <w:rsid w:val="00B25F34"/>
    <w:rsid w:val="00B26473"/>
    <w:rsid w:val="00B26691"/>
    <w:rsid w:val="00B26E67"/>
    <w:rsid w:val="00B270D6"/>
    <w:rsid w:val="00B2777B"/>
    <w:rsid w:val="00B30AEE"/>
    <w:rsid w:val="00B30B30"/>
    <w:rsid w:val="00B30D24"/>
    <w:rsid w:val="00B31559"/>
    <w:rsid w:val="00B31587"/>
    <w:rsid w:val="00B31D35"/>
    <w:rsid w:val="00B31F03"/>
    <w:rsid w:val="00B3273E"/>
    <w:rsid w:val="00B337AB"/>
    <w:rsid w:val="00B340E0"/>
    <w:rsid w:val="00B34970"/>
    <w:rsid w:val="00B34F88"/>
    <w:rsid w:val="00B3563A"/>
    <w:rsid w:val="00B357C8"/>
    <w:rsid w:val="00B36A13"/>
    <w:rsid w:val="00B36B1B"/>
    <w:rsid w:val="00B37075"/>
    <w:rsid w:val="00B3764C"/>
    <w:rsid w:val="00B40280"/>
    <w:rsid w:val="00B40358"/>
    <w:rsid w:val="00B40431"/>
    <w:rsid w:val="00B40E1E"/>
    <w:rsid w:val="00B40FE3"/>
    <w:rsid w:val="00B41664"/>
    <w:rsid w:val="00B4218F"/>
    <w:rsid w:val="00B42225"/>
    <w:rsid w:val="00B42582"/>
    <w:rsid w:val="00B428F2"/>
    <w:rsid w:val="00B42BA5"/>
    <w:rsid w:val="00B42D5F"/>
    <w:rsid w:val="00B42E3B"/>
    <w:rsid w:val="00B4304C"/>
    <w:rsid w:val="00B4318D"/>
    <w:rsid w:val="00B43764"/>
    <w:rsid w:val="00B439BB"/>
    <w:rsid w:val="00B43B5C"/>
    <w:rsid w:val="00B43C70"/>
    <w:rsid w:val="00B43DF3"/>
    <w:rsid w:val="00B43FD0"/>
    <w:rsid w:val="00B442C7"/>
    <w:rsid w:val="00B443C4"/>
    <w:rsid w:val="00B44C52"/>
    <w:rsid w:val="00B45487"/>
    <w:rsid w:val="00B45B63"/>
    <w:rsid w:val="00B45CCA"/>
    <w:rsid w:val="00B45E4A"/>
    <w:rsid w:val="00B4609B"/>
    <w:rsid w:val="00B46296"/>
    <w:rsid w:val="00B465AB"/>
    <w:rsid w:val="00B4677F"/>
    <w:rsid w:val="00B46F2B"/>
    <w:rsid w:val="00B47060"/>
    <w:rsid w:val="00B47577"/>
    <w:rsid w:val="00B479E9"/>
    <w:rsid w:val="00B50761"/>
    <w:rsid w:val="00B50872"/>
    <w:rsid w:val="00B50AE2"/>
    <w:rsid w:val="00B50D10"/>
    <w:rsid w:val="00B5112C"/>
    <w:rsid w:val="00B51A5F"/>
    <w:rsid w:val="00B5222B"/>
    <w:rsid w:val="00B52387"/>
    <w:rsid w:val="00B523D4"/>
    <w:rsid w:val="00B524B6"/>
    <w:rsid w:val="00B52F88"/>
    <w:rsid w:val="00B53009"/>
    <w:rsid w:val="00B5338F"/>
    <w:rsid w:val="00B53B7B"/>
    <w:rsid w:val="00B540ED"/>
    <w:rsid w:val="00B54526"/>
    <w:rsid w:val="00B54A21"/>
    <w:rsid w:val="00B54C4D"/>
    <w:rsid w:val="00B54F0A"/>
    <w:rsid w:val="00B54F8D"/>
    <w:rsid w:val="00B551CC"/>
    <w:rsid w:val="00B551EC"/>
    <w:rsid w:val="00B5527B"/>
    <w:rsid w:val="00B55BD5"/>
    <w:rsid w:val="00B55C68"/>
    <w:rsid w:val="00B55D6B"/>
    <w:rsid w:val="00B55D92"/>
    <w:rsid w:val="00B56336"/>
    <w:rsid w:val="00B56962"/>
    <w:rsid w:val="00B56AA0"/>
    <w:rsid w:val="00B56D4F"/>
    <w:rsid w:val="00B56F6A"/>
    <w:rsid w:val="00B57450"/>
    <w:rsid w:val="00B57674"/>
    <w:rsid w:val="00B5769F"/>
    <w:rsid w:val="00B576EA"/>
    <w:rsid w:val="00B603D7"/>
    <w:rsid w:val="00B606C2"/>
    <w:rsid w:val="00B607D6"/>
    <w:rsid w:val="00B60D6E"/>
    <w:rsid w:val="00B60E9A"/>
    <w:rsid w:val="00B61DD5"/>
    <w:rsid w:val="00B62016"/>
    <w:rsid w:val="00B62080"/>
    <w:rsid w:val="00B621D6"/>
    <w:rsid w:val="00B6225B"/>
    <w:rsid w:val="00B622EF"/>
    <w:rsid w:val="00B62618"/>
    <w:rsid w:val="00B626DD"/>
    <w:rsid w:val="00B62C74"/>
    <w:rsid w:val="00B62CF0"/>
    <w:rsid w:val="00B6361A"/>
    <w:rsid w:val="00B63854"/>
    <w:rsid w:val="00B64B34"/>
    <w:rsid w:val="00B64F65"/>
    <w:rsid w:val="00B6516D"/>
    <w:rsid w:val="00B65197"/>
    <w:rsid w:val="00B65805"/>
    <w:rsid w:val="00B65A54"/>
    <w:rsid w:val="00B65DAB"/>
    <w:rsid w:val="00B663D3"/>
    <w:rsid w:val="00B666C1"/>
    <w:rsid w:val="00B666CE"/>
    <w:rsid w:val="00B66A72"/>
    <w:rsid w:val="00B66C1B"/>
    <w:rsid w:val="00B67461"/>
    <w:rsid w:val="00B675A8"/>
    <w:rsid w:val="00B67948"/>
    <w:rsid w:val="00B67C1B"/>
    <w:rsid w:val="00B67E02"/>
    <w:rsid w:val="00B703E9"/>
    <w:rsid w:val="00B708AE"/>
    <w:rsid w:val="00B709D6"/>
    <w:rsid w:val="00B713C4"/>
    <w:rsid w:val="00B719F3"/>
    <w:rsid w:val="00B71C9E"/>
    <w:rsid w:val="00B72505"/>
    <w:rsid w:val="00B72C0C"/>
    <w:rsid w:val="00B72E03"/>
    <w:rsid w:val="00B73E36"/>
    <w:rsid w:val="00B740C1"/>
    <w:rsid w:val="00B7423A"/>
    <w:rsid w:val="00B74739"/>
    <w:rsid w:val="00B75088"/>
    <w:rsid w:val="00B75963"/>
    <w:rsid w:val="00B75C10"/>
    <w:rsid w:val="00B75D95"/>
    <w:rsid w:val="00B76216"/>
    <w:rsid w:val="00B76326"/>
    <w:rsid w:val="00B76434"/>
    <w:rsid w:val="00B764F9"/>
    <w:rsid w:val="00B765C8"/>
    <w:rsid w:val="00B76878"/>
    <w:rsid w:val="00B76CCE"/>
    <w:rsid w:val="00B773B7"/>
    <w:rsid w:val="00B77C7C"/>
    <w:rsid w:val="00B802AD"/>
    <w:rsid w:val="00B803E6"/>
    <w:rsid w:val="00B8061B"/>
    <w:rsid w:val="00B80676"/>
    <w:rsid w:val="00B810DC"/>
    <w:rsid w:val="00B81226"/>
    <w:rsid w:val="00B81A53"/>
    <w:rsid w:val="00B81CCB"/>
    <w:rsid w:val="00B81E55"/>
    <w:rsid w:val="00B8207F"/>
    <w:rsid w:val="00B827C2"/>
    <w:rsid w:val="00B8281F"/>
    <w:rsid w:val="00B82B4F"/>
    <w:rsid w:val="00B82B92"/>
    <w:rsid w:val="00B83A47"/>
    <w:rsid w:val="00B83B5F"/>
    <w:rsid w:val="00B8507F"/>
    <w:rsid w:val="00B850B1"/>
    <w:rsid w:val="00B85237"/>
    <w:rsid w:val="00B8536E"/>
    <w:rsid w:val="00B85795"/>
    <w:rsid w:val="00B85888"/>
    <w:rsid w:val="00B8595C"/>
    <w:rsid w:val="00B85B45"/>
    <w:rsid w:val="00B85D91"/>
    <w:rsid w:val="00B86362"/>
    <w:rsid w:val="00B86CEF"/>
    <w:rsid w:val="00B86DBE"/>
    <w:rsid w:val="00B8725C"/>
    <w:rsid w:val="00B875F6"/>
    <w:rsid w:val="00B87703"/>
    <w:rsid w:val="00B87CC6"/>
    <w:rsid w:val="00B9043E"/>
    <w:rsid w:val="00B90982"/>
    <w:rsid w:val="00B90E05"/>
    <w:rsid w:val="00B90E9E"/>
    <w:rsid w:val="00B91064"/>
    <w:rsid w:val="00B91731"/>
    <w:rsid w:val="00B91A47"/>
    <w:rsid w:val="00B92397"/>
    <w:rsid w:val="00B926ED"/>
    <w:rsid w:val="00B927B6"/>
    <w:rsid w:val="00B92D4B"/>
    <w:rsid w:val="00B930C2"/>
    <w:rsid w:val="00B93254"/>
    <w:rsid w:val="00B93597"/>
    <w:rsid w:val="00B936AB"/>
    <w:rsid w:val="00B93B24"/>
    <w:rsid w:val="00B9605E"/>
    <w:rsid w:val="00B964F9"/>
    <w:rsid w:val="00B96BB4"/>
    <w:rsid w:val="00B96D36"/>
    <w:rsid w:val="00B97016"/>
    <w:rsid w:val="00B97148"/>
    <w:rsid w:val="00B9751C"/>
    <w:rsid w:val="00B979B9"/>
    <w:rsid w:val="00B97BCF"/>
    <w:rsid w:val="00B97F59"/>
    <w:rsid w:val="00B97FDE"/>
    <w:rsid w:val="00BA0106"/>
    <w:rsid w:val="00BA1270"/>
    <w:rsid w:val="00BA150A"/>
    <w:rsid w:val="00BA1BF4"/>
    <w:rsid w:val="00BA200D"/>
    <w:rsid w:val="00BA203B"/>
    <w:rsid w:val="00BA25F5"/>
    <w:rsid w:val="00BA27B7"/>
    <w:rsid w:val="00BA2957"/>
    <w:rsid w:val="00BA2A39"/>
    <w:rsid w:val="00BA2D85"/>
    <w:rsid w:val="00BA3188"/>
    <w:rsid w:val="00BA34EA"/>
    <w:rsid w:val="00BA3B5E"/>
    <w:rsid w:val="00BA418C"/>
    <w:rsid w:val="00BA4556"/>
    <w:rsid w:val="00BA4A86"/>
    <w:rsid w:val="00BA4D16"/>
    <w:rsid w:val="00BA4D58"/>
    <w:rsid w:val="00BA4E0F"/>
    <w:rsid w:val="00BA4E46"/>
    <w:rsid w:val="00BA54C3"/>
    <w:rsid w:val="00BA56BF"/>
    <w:rsid w:val="00BA570B"/>
    <w:rsid w:val="00BA62BB"/>
    <w:rsid w:val="00BA64AB"/>
    <w:rsid w:val="00BA652F"/>
    <w:rsid w:val="00BA6DAD"/>
    <w:rsid w:val="00BA6F7D"/>
    <w:rsid w:val="00BA7826"/>
    <w:rsid w:val="00BA7987"/>
    <w:rsid w:val="00BA7CA0"/>
    <w:rsid w:val="00BA7EE6"/>
    <w:rsid w:val="00BB06C1"/>
    <w:rsid w:val="00BB0731"/>
    <w:rsid w:val="00BB0A3F"/>
    <w:rsid w:val="00BB0BF3"/>
    <w:rsid w:val="00BB0F1C"/>
    <w:rsid w:val="00BB0FD8"/>
    <w:rsid w:val="00BB1685"/>
    <w:rsid w:val="00BB1F60"/>
    <w:rsid w:val="00BB240B"/>
    <w:rsid w:val="00BB2A8B"/>
    <w:rsid w:val="00BB2CB9"/>
    <w:rsid w:val="00BB3D66"/>
    <w:rsid w:val="00BB46F4"/>
    <w:rsid w:val="00BB4F58"/>
    <w:rsid w:val="00BB5314"/>
    <w:rsid w:val="00BB5CB8"/>
    <w:rsid w:val="00BB5DCB"/>
    <w:rsid w:val="00BB61AA"/>
    <w:rsid w:val="00BB62E1"/>
    <w:rsid w:val="00BB6804"/>
    <w:rsid w:val="00BB7949"/>
    <w:rsid w:val="00BC005E"/>
    <w:rsid w:val="00BC054E"/>
    <w:rsid w:val="00BC09B1"/>
    <w:rsid w:val="00BC0BDA"/>
    <w:rsid w:val="00BC0C5F"/>
    <w:rsid w:val="00BC0CA6"/>
    <w:rsid w:val="00BC0F98"/>
    <w:rsid w:val="00BC0FBC"/>
    <w:rsid w:val="00BC1BA6"/>
    <w:rsid w:val="00BC1BB3"/>
    <w:rsid w:val="00BC219E"/>
    <w:rsid w:val="00BC3D6B"/>
    <w:rsid w:val="00BC3EF3"/>
    <w:rsid w:val="00BC4976"/>
    <w:rsid w:val="00BC4B55"/>
    <w:rsid w:val="00BC4C7F"/>
    <w:rsid w:val="00BC50B0"/>
    <w:rsid w:val="00BC51EA"/>
    <w:rsid w:val="00BC5EA0"/>
    <w:rsid w:val="00BC6088"/>
    <w:rsid w:val="00BC656F"/>
    <w:rsid w:val="00BC677E"/>
    <w:rsid w:val="00BC6F10"/>
    <w:rsid w:val="00BC74D0"/>
    <w:rsid w:val="00BC7D1C"/>
    <w:rsid w:val="00BD0052"/>
    <w:rsid w:val="00BD0195"/>
    <w:rsid w:val="00BD07E6"/>
    <w:rsid w:val="00BD0A95"/>
    <w:rsid w:val="00BD0B9A"/>
    <w:rsid w:val="00BD0C0E"/>
    <w:rsid w:val="00BD0D43"/>
    <w:rsid w:val="00BD0E41"/>
    <w:rsid w:val="00BD11FB"/>
    <w:rsid w:val="00BD131B"/>
    <w:rsid w:val="00BD161E"/>
    <w:rsid w:val="00BD19E8"/>
    <w:rsid w:val="00BD2096"/>
    <w:rsid w:val="00BD2205"/>
    <w:rsid w:val="00BD247E"/>
    <w:rsid w:val="00BD2A84"/>
    <w:rsid w:val="00BD2AFB"/>
    <w:rsid w:val="00BD33DC"/>
    <w:rsid w:val="00BD3482"/>
    <w:rsid w:val="00BD358A"/>
    <w:rsid w:val="00BD359E"/>
    <w:rsid w:val="00BD3606"/>
    <w:rsid w:val="00BD383F"/>
    <w:rsid w:val="00BD3ABF"/>
    <w:rsid w:val="00BD3FE5"/>
    <w:rsid w:val="00BD49FB"/>
    <w:rsid w:val="00BD4D15"/>
    <w:rsid w:val="00BD5984"/>
    <w:rsid w:val="00BD6ADE"/>
    <w:rsid w:val="00BD6BBC"/>
    <w:rsid w:val="00BD6C2D"/>
    <w:rsid w:val="00BD6F39"/>
    <w:rsid w:val="00BD7278"/>
    <w:rsid w:val="00BD7280"/>
    <w:rsid w:val="00BD740E"/>
    <w:rsid w:val="00BD7812"/>
    <w:rsid w:val="00BD7C32"/>
    <w:rsid w:val="00BD7C63"/>
    <w:rsid w:val="00BD7D55"/>
    <w:rsid w:val="00BE00F5"/>
    <w:rsid w:val="00BE02D5"/>
    <w:rsid w:val="00BE0A8F"/>
    <w:rsid w:val="00BE108D"/>
    <w:rsid w:val="00BE1807"/>
    <w:rsid w:val="00BE1A0A"/>
    <w:rsid w:val="00BE1C87"/>
    <w:rsid w:val="00BE1DD2"/>
    <w:rsid w:val="00BE1EDD"/>
    <w:rsid w:val="00BE1FC4"/>
    <w:rsid w:val="00BE2AC6"/>
    <w:rsid w:val="00BE3596"/>
    <w:rsid w:val="00BE3ED2"/>
    <w:rsid w:val="00BE483A"/>
    <w:rsid w:val="00BE48B6"/>
    <w:rsid w:val="00BE498E"/>
    <w:rsid w:val="00BE506B"/>
    <w:rsid w:val="00BE5084"/>
    <w:rsid w:val="00BE51A0"/>
    <w:rsid w:val="00BE5380"/>
    <w:rsid w:val="00BE5EEE"/>
    <w:rsid w:val="00BE5FAD"/>
    <w:rsid w:val="00BE60B0"/>
    <w:rsid w:val="00BE610B"/>
    <w:rsid w:val="00BE62A5"/>
    <w:rsid w:val="00BE77EF"/>
    <w:rsid w:val="00BF02C1"/>
    <w:rsid w:val="00BF05CA"/>
    <w:rsid w:val="00BF063A"/>
    <w:rsid w:val="00BF066B"/>
    <w:rsid w:val="00BF0C0F"/>
    <w:rsid w:val="00BF0C59"/>
    <w:rsid w:val="00BF0CE7"/>
    <w:rsid w:val="00BF0FA7"/>
    <w:rsid w:val="00BF13C0"/>
    <w:rsid w:val="00BF18A1"/>
    <w:rsid w:val="00BF1A27"/>
    <w:rsid w:val="00BF1B62"/>
    <w:rsid w:val="00BF2076"/>
    <w:rsid w:val="00BF218C"/>
    <w:rsid w:val="00BF22BC"/>
    <w:rsid w:val="00BF230F"/>
    <w:rsid w:val="00BF25B6"/>
    <w:rsid w:val="00BF29EE"/>
    <w:rsid w:val="00BF2F5F"/>
    <w:rsid w:val="00BF3A5B"/>
    <w:rsid w:val="00BF3B65"/>
    <w:rsid w:val="00BF3F62"/>
    <w:rsid w:val="00BF407A"/>
    <w:rsid w:val="00BF4347"/>
    <w:rsid w:val="00BF43DF"/>
    <w:rsid w:val="00BF4A1F"/>
    <w:rsid w:val="00BF4A6E"/>
    <w:rsid w:val="00BF4ACE"/>
    <w:rsid w:val="00BF4F30"/>
    <w:rsid w:val="00BF5026"/>
    <w:rsid w:val="00BF5503"/>
    <w:rsid w:val="00BF57A5"/>
    <w:rsid w:val="00BF5F26"/>
    <w:rsid w:val="00BF622C"/>
    <w:rsid w:val="00BF6466"/>
    <w:rsid w:val="00BF73AA"/>
    <w:rsid w:val="00BF75FE"/>
    <w:rsid w:val="00BF77AE"/>
    <w:rsid w:val="00BF7867"/>
    <w:rsid w:val="00BF7A9A"/>
    <w:rsid w:val="00BF7CCD"/>
    <w:rsid w:val="00BF7D99"/>
    <w:rsid w:val="00BF7E11"/>
    <w:rsid w:val="00BF7EBB"/>
    <w:rsid w:val="00C0065D"/>
    <w:rsid w:val="00C0082A"/>
    <w:rsid w:val="00C0116C"/>
    <w:rsid w:val="00C01191"/>
    <w:rsid w:val="00C01777"/>
    <w:rsid w:val="00C01832"/>
    <w:rsid w:val="00C018CC"/>
    <w:rsid w:val="00C01FC3"/>
    <w:rsid w:val="00C01FE0"/>
    <w:rsid w:val="00C0241E"/>
    <w:rsid w:val="00C02A47"/>
    <w:rsid w:val="00C02DE2"/>
    <w:rsid w:val="00C02F7F"/>
    <w:rsid w:val="00C038C8"/>
    <w:rsid w:val="00C03D60"/>
    <w:rsid w:val="00C040DA"/>
    <w:rsid w:val="00C04406"/>
    <w:rsid w:val="00C0497C"/>
    <w:rsid w:val="00C04DE9"/>
    <w:rsid w:val="00C050FE"/>
    <w:rsid w:val="00C057AC"/>
    <w:rsid w:val="00C05986"/>
    <w:rsid w:val="00C05C4F"/>
    <w:rsid w:val="00C06B0D"/>
    <w:rsid w:val="00C07012"/>
    <w:rsid w:val="00C07217"/>
    <w:rsid w:val="00C074D9"/>
    <w:rsid w:val="00C0762A"/>
    <w:rsid w:val="00C07A01"/>
    <w:rsid w:val="00C07BB6"/>
    <w:rsid w:val="00C07D13"/>
    <w:rsid w:val="00C101E9"/>
    <w:rsid w:val="00C1053E"/>
    <w:rsid w:val="00C10726"/>
    <w:rsid w:val="00C10B0B"/>
    <w:rsid w:val="00C1187C"/>
    <w:rsid w:val="00C11989"/>
    <w:rsid w:val="00C119FD"/>
    <w:rsid w:val="00C11B98"/>
    <w:rsid w:val="00C11CCF"/>
    <w:rsid w:val="00C11D29"/>
    <w:rsid w:val="00C11DCD"/>
    <w:rsid w:val="00C12008"/>
    <w:rsid w:val="00C12459"/>
    <w:rsid w:val="00C12E74"/>
    <w:rsid w:val="00C133A5"/>
    <w:rsid w:val="00C133D2"/>
    <w:rsid w:val="00C13EFF"/>
    <w:rsid w:val="00C147EB"/>
    <w:rsid w:val="00C14A0B"/>
    <w:rsid w:val="00C14FD6"/>
    <w:rsid w:val="00C15540"/>
    <w:rsid w:val="00C1558C"/>
    <w:rsid w:val="00C158F5"/>
    <w:rsid w:val="00C15D93"/>
    <w:rsid w:val="00C15E5F"/>
    <w:rsid w:val="00C16FA3"/>
    <w:rsid w:val="00C17A40"/>
    <w:rsid w:val="00C17B85"/>
    <w:rsid w:val="00C20CE8"/>
    <w:rsid w:val="00C211EA"/>
    <w:rsid w:val="00C215CC"/>
    <w:rsid w:val="00C217AF"/>
    <w:rsid w:val="00C21CD8"/>
    <w:rsid w:val="00C22759"/>
    <w:rsid w:val="00C22768"/>
    <w:rsid w:val="00C229CE"/>
    <w:rsid w:val="00C23613"/>
    <w:rsid w:val="00C23A58"/>
    <w:rsid w:val="00C23E79"/>
    <w:rsid w:val="00C23EEA"/>
    <w:rsid w:val="00C24056"/>
    <w:rsid w:val="00C2448D"/>
    <w:rsid w:val="00C245D3"/>
    <w:rsid w:val="00C248E0"/>
    <w:rsid w:val="00C25019"/>
    <w:rsid w:val="00C25045"/>
    <w:rsid w:val="00C25145"/>
    <w:rsid w:val="00C252A8"/>
    <w:rsid w:val="00C25488"/>
    <w:rsid w:val="00C25864"/>
    <w:rsid w:val="00C259E4"/>
    <w:rsid w:val="00C260F2"/>
    <w:rsid w:val="00C26549"/>
    <w:rsid w:val="00C2671C"/>
    <w:rsid w:val="00C26B03"/>
    <w:rsid w:val="00C2708A"/>
    <w:rsid w:val="00C306DB"/>
    <w:rsid w:val="00C3071A"/>
    <w:rsid w:val="00C30B06"/>
    <w:rsid w:val="00C30C59"/>
    <w:rsid w:val="00C30C6B"/>
    <w:rsid w:val="00C30D55"/>
    <w:rsid w:val="00C3168A"/>
    <w:rsid w:val="00C316AB"/>
    <w:rsid w:val="00C31885"/>
    <w:rsid w:val="00C31BDA"/>
    <w:rsid w:val="00C31C68"/>
    <w:rsid w:val="00C31D00"/>
    <w:rsid w:val="00C31E26"/>
    <w:rsid w:val="00C327FC"/>
    <w:rsid w:val="00C32922"/>
    <w:rsid w:val="00C33012"/>
    <w:rsid w:val="00C33373"/>
    <w:rsid w:val="00C3390C"/>
    <w:rsid w:val="00C33B17"/>
    <w:rsid w:val="00C33BAD"/>
    <w:rsid w:val="00C33D75"/>
    <w:rsid w:val="00C340FD"/>
    <w:rsid w:val="00C3480F"/>
    <w:rsid w:val="00C34838"/>
    <w:rsid w:val="00C34F54"/>
    <w:rsid w:val="00C3558F"/>
    <w:rsid w:val="00C35C57"/>
    <w:rsid w:val="00C3607F"/>
    <w:rsid w:val="00C360D4"/>
    <w:rsid w:val="00C364F6"/>
    <w:rsid w:val="00C36842"/>
    <w:rsid w:val="00C36D88"/>
    <w:rsid w:val="00C373DF"/>
    <w:rsid w:val="00C373FA"/>
    <w:rsid w:val="00C37610"/>
    <w:rsid w:val="00C376A2"/>
    <w:rsid w:val="00C4014C"/>
    <w:rsid w:val="00C41DB2"/>
    <w:rsid w:val="00C42194"/>
    <w:rsid w:val="00C427E1"/>
    <w:rsid w:val="00C42B30"/>
    <w:rsid w:val="00C42EA5"/>
    <w:rsid w:val="00C430D0"/>
    <w:rsid w:val="00C4344C"/>
    <w:rsid w:val="00C43745"/>
    <w:rsid w:val="00C438D3"/>
    <w:rsid w:val="00C43A0D"/>
    <w:rsid w:val="00C443AD"/>
    <w:rsid w:val="00C448B1"/>
    <w:rsid w:val="00C45451"/>
    <w:rsid w:val="00C4749D"/>
    <w:rsid w:val="00C47B01"/>
    <w:rsid w:val="00C47D3D"/>
    <w:rsid w:val="00C50920"/>
    <w:rsid w:val="00C50FAA"/>
    <w:rsid w:val="00C513F8"/>
    <w:rsid w:val="00C51683"/>
    <w:rsid w:val="00C517F5"/>
    <w:rsid w:val="00C51A62"/>
    <w:rsid w:val="00C51B9D"/>
    <w:rsid w:val="00C51E8E"/>
    <w:rsid w:val="00C52608"/>
    <w:rsid w:val="00C52871"/>
    <w:rsid w:val="00C52F60"/>
    <w:rsid w:val="00C53198"/>
    <w:rsid w:val="00C53436"/>
    <w:rsid w:val="00C539C0"/>
    <w:rsid w:val="00C53C92"/>
    <w:rsid w:val="00C543D6"/>
    <w:rsid w:val="00C54459"/>
    <w:rsid w:val="00C54787"/>
    <w:rsid w:val="00C54F61"/>
    <w:rsid w:val="00C55052"/>
    <w:rsid w:val="00C55383"/>
    <w:rsid w:val="00C55935"/>
    <w:rsid w:val="00C559C7"/>
    <w:rsid w:val="00C56463"/>
    <w:rsid w:val="00C565BD"/>
    <w:rsid w:val="00C5678F"/>
    <w:rsid w:val="00C56E5A"/>
    <w:rsid w:val="00C57282"/>
    <w:rsid w:val="00C57333"/>
    <w:rsid w:val="00C57694"/>
    <w:rsid w:val="00C57E50"/>
    <w:rsid w:val="00C57F3B"/>
    <w:rsid w:val="00C604BA"/>
    <w:rsid w:val="00C6098B"/>
    <w:rsid w:val="00C61A2B"/>
    <w:rsid w:val="00C61EFF"/>
    <w:rsid w:val="00C61F81"/>
    <w:rsid w:val="00C62889"/>
    <w:rsid w:val="00C62AA5"/>
    <w:rsid w:val="00C63004"/>
    <w:rsid w:val="00C639EA"/>
    <w:rsid w:val="00C63FA6"/>
    <w:rsid w:val="00C63FB6"/>
    <w:rsid w:val="00C6418E"/>
    <w:rsid w:val="00C642F2"/>
    <w:rsid w:val="00C64442"/>
    <w:rsid w:val="00C64C77"/>
    <w:rsid w:val="00C64CC2"/>
    <w:rsid w:val="00C651C7"/>
    <w:rsid w:val="00C65580"/>
    <w:rsid w:val="00C656F1"/>
    <w:rsid w:val="00C659F6"/>
    <w:rsid w:val="00C65CED"/>
    <w:rsid w:val="00C65EF5"/>
    <w:rsid w:val="00C67522"/>
    <w:rsid w:val="00C67698"/>
    <w:rsid w:val="00C678E8"/>
    <w:rsid w:val="00C67BE3"/>
    <w:rsid w:val="00C70A29"/>
    <w:rsid w:val="00C70B28"/>
    <w:rsid w:val="00C71036"/>
    <w:rsid w:val="00C71667"/>
    <w:rsid w:val="00C71E6B"/>
    <w:rsid w:val="00C71EFF"/>
    <w:rsid w:val="00C71FF6"/>
    <w:rsid w:val="00C72552"/>
    <w:rsid w:val="00C727E7"/>
    <w:rsid w:val="00C7305A"/>
    <w:rsid w:val="00C73B2B"/>
    <w:rsid w:val="00C73C42"/>
    <w:rsid w:val="00C73DB9"/>
    <w:rsid w:val="00C73F85"/>
    <w:rsid w:val="00C740B1"/>
    <w:rsid w:val="00C7436D"/>
    <w:rsid w:val="00C74577"/>
    <w:rsid w:val="00C7472F"/>
    <w:rsid w:val="00C75BCF"/>
    <w:rsid w:val="00C75C0B"/>
    <w:rsid w:val="00C75F2A"/>
    <w:rsid w:val="00C763C6"/>
    <w:rsid w:val="00C764C8"/>
    <w:rsid w:val="00C769D9"/>
    <w:rsid w:val="00C76DE8"/>
    <w:rsid w:val="00C774D9"/>
    <w:rsid w:val="00C8001E"/>
    <w:rsid w:val="00C803E6"/>
    <w:rsid w:val="00C8076E"/>
    <w:rsid w:val="00C80A2F"/>
    <w:rsid w:val="00C80CD2"/>
    <w:rsid w:val="00C80D34"/>
    <w:rsid w:val="00C80DC8"/>
    <w:rsid w:val="00C81720"/>
    <w:rsid w:val="00C818D3"/>
    <w:rsid w:val="00C818FA"/>
    <w:rsid w:val="00C81B9F"/>
    <w:rsid w:val="00C81BE5"/>
    <w:rsid w:val="00C824F9"/>
    <w:rsid w:val="00C82816"/>
    <w:rsid w:val="00C8292D"/>
    <w:rsid w:val="00C82CD8"/>
    <w:rsid w:val="00C82E51"/>
    <w:rsid w:val="00C83100"/>
    <w:rsid w:val="00C83308"/>
    <w:rsid w:val="00C83969"/>
    <w:rsid w:val="00C83B96"/>
    <w:rsid w:val="00C84395"/>
    <w:rsid w:val="00C850F3"/>
    <w:rsid w:val="00C851C1"/>
    <w:rsid w:val="00C85464"/>
    <w:rsid w:val="00C8578C"/>
    <w:rsid w:val="00C86047"/>
    <w:rsid w:val="00C8609A"/>
    <w:rsid w:val="00C86156"/>
    <w:rsid w:val="00C873A4"/>
    <w:rsid w:val="00C8748E"/>
    <w:rsid w:val="00C87BB4"/>
    <w:rsid w:val="00C900A5"/>
    <w:rsid w:val="00C90ED2"/>
    <w:rsid w:val="00C911D9"/>
    <w:rsid w:val="00C9125C"/>
    <w:rsid w:val="00C91B23"/>
    <w:rsid w:val="00C91C12"/>
    <w:rsid w:val="00C91C9B"/>
    <w:rsid w:val="00C91DBF"/>
    <w:rsid w:val="00C921C1"/>
    <w:rsid w:val="00C92C30"/>
    <w:rsid w:val="00C92E57"/>
    <w:rsid w:val="00C930E5"/>
    <w:rsid w:val="00C9371F"/>
    <w:rsid w:val="00C93B07"/>
    <w:rsid w:val="00C93DFC"/>
    <w:rsid w:val="00C93EA3"/>
    <w:rsid w:val="00C9433F"/>
    <w:rsid w:val="00C94E1F"/>
    <w:rsid w:val="00C9554B"/>
    <w:rsid w:val="00C95CC3"/>
    <w:rsid w:val="00C962D8"/>
    <w:rsid w:val="00C969F2"/>
    <w:rsid w:val="00C96BE9"/>
    <w:rsid w:val="00C96D26"/>
    <w:rsid w:val="00C96DA4"/>
    <w:rsid w:val="00C97033"/>
    <w:rsid w:val="00C971D3"/>
    <w:rsid w:val="00C97455"/>
    <w:rsid w:val="00C97B44"/>
    <w:rsid w:val="00C97E74"/>
    <w:rsid w:val="00CA00AA"/>
    <w:rsid w:val="00CA022E"/>
    <w:rsid w:val="00CA036D"/>
    <w:rsid w:val="00CA03AD"/>
    <w:rsid w:val="00CA0439"/>
    <w:rsid w:val="00CA0ADA"/>
    <w:rsid w:val="00CA0C63"/>
    <w:rsid w:val="00CA0D90"/>
    <w:rsid w:val="00CA0DD5"/>
    <w:rsid w:val="00CA0E42"/>
    <w:rsid w:val="00CA1101"/>
    <w:rsid w:val="00CA1176"/>
    <w:rsid w:val="00CA1579"/>
    <w:rsid w:val="00CA173C"/>
    <w:rsid w:val="00CA1756"/>
    <w:rsid w:val="00CA19B2"/>
    <w:rsid w:val="00CA19D6"/>
    <w:rsid w:val="00CA20F9"/>
    <w:rsid w:val="00CA21D2"/>
    <w:rsid w:val="00CA2212"/>
    <w:rsid w:val="00CA247F"/>
    <w:rsid w:val="00CA26DD"/>
    <w:rsid w:val="00CA27FC"/>
    <w:rsid w:val="00CA2ACB"/>
    <w:rsid w:val="00CA2B55"/>
    <w:rsid w:val="00CA2EB1"/>
    <w:rsid w:val="00CA30D7"/>
    <w:rsid w:val="00CA3634"/>
    <w:rsid w:val="00CA39D8"/>
    <w:rsid w:val="00CA56C2"/>
    <w:rsid w:val="00CA59B6"/>
    <w:rsid w:val="00CA5F46"/>
    <w:rsid w:val="00CA6A98"/>
    <w:rsid w:val="00CA6DE6"/>
    <w:rsid w:val="00CA6FB4"/>
    <w:rsid w:val="00CA7438"/>
    <w:rsid w:val="00CA7756"/>
    <w:rsid w:val="00CA7A04"/>
    <w:rsid w:val="00CA7B19"/>
    <w:rsid w:val="00CA7D7E"/>
    <w:rsid w:val="00CA7FA6"/>
    <w:rsid w:val="00CB010C"/>
    <w:rsid w:val="00CB0BC8"/>
    <w:rsid w:val="00CB0CD6"/>
    <w:rsid w:val="00CB1391"/>
    <w:rsid w:val="00CB14A5"/>
    <w:rsid w:val="00CB14B7"/>
    <w:rsid w:val="00CB161A"/>
    <w:rsid w:val="00CB16DD"/>
    <w:rsid w:val="00CB18EB"/>
    <w:rsid w:val="00CB1C39"/>
    <w:rsid w:val="00CB21D4"/>
    <w:rsid w:val="00CB271F"/>
    <w:rsid w:val="00CB3022"/>
    <w:rsid w:val="00CB3833"/>
    <w:rsid w:val="00CB3EB9"/>
    <w:rsid w:val="00CB4D74"/>
    <w:rsid w:val="00CB55C8"/>
    <w:rsid w:val="00CB5BD3"/>
    <w:rsid w:val="00CB602A"/>
    <w:rsid w:val="00CB65BE"/>
    <w:rsid w:val="00CB6731"/>
    <w:rsid w:val="00CB6ADA"/>
    <w:rsid w:val="00CB6E73"/>
    <w:rsid w:val="00CB732B"/>
    <w:rsid w:val="00CB78B3"/>
    <w:rsid w:val="00CB7B90"/>
    <w:rsid w:val="00CB7E06"/>
    <w:rsid w:val="00CC0B3F"/>
    <w:rsid w:val="00CC0DD1"/>
    <w:rsid w:val="00CC1028"/>
    <w:rsid w:val="00CC1372"/>
    <w:rsid w:val="00CC1996"/>
    <w:rsid w:val="00CC2386"/>
    <w:rsid w:val="00CC274D"/>
    <w:rsid w:val="00CC2AFF"/>
    <w:rsid w:val="00CC2CDE"/>
    <w:rsid w:val="00CC325B"/>
    <w:rsid w:val="00CC3378"/>
    <w:rsid w:val="00CC3847"/>
    <w:rsid w:val="00CC3A8A"/>
    <w:rsid w:val="00CC4159"/>
    <w:rsid w:val="00CC41E1"/>
    <w:rsid w:val="00CC464D"/>
    <w:rsid w:val="00CC4820"/>
    <w:rsid w:val="00CC4947"/>
    <w:rsid w:val="00CC49BA"/>
    <w:rsid w:val="00CC4ABF"/>
    <w:rsid w:val="00CC4CCD"/>
    <w:rsid w:val="00CC502C"/>
    <w:rsid w:val="00CC5634"/>
    <w:rsid w:val="00CC5F70"/>
    <w:rsid w:val="00CC62A2"/>
    <w:rsid w:val="00CC7097"/>
    <w:rsid w:val="00CC7275"/>
    <w:rsid w:val="00CC7A84"/>
    <w:rsid w:val="00CD0270"/>
    <w:rsid w:val="00CD03A4"/>
    <w:rsid w:val="00CD07C7"/>
    <w:rsid w:val="00CD0D21"/>
    <w:rsid w:val="00CD0D22"/>
    <w:rsid w:val="00CD167C"/>
    <w:rsid w:val="00CD1927"/>
    <w:rsid w:val="00CD19D5"/>
    <w:rsid w:val="00CD1DB0"/>
    <w:rsid w:val="00CD1DD6"/>
    <w:rsid w:val="00CD1FE7"/>
    <w:rsid w:val="00CD28D9"/>
    <w:rsid w:val="00CD2E44"/>
    <w:rsid w:val="00CD3735"/>
    <w:rsid w:val="00CD42DC"/>
    <w:rsid w:val="00CD4335"/>
    <w:rsid w:val="00CD447E"/>
    <w:rsid w:val="00CD44C6"/>
    <w:rsid w:val="00CD47D7"/>
    <w:rsid w:val="00CD4DB8"/>
    <w:rsid w:val="00CD592F"/>
    <w:rsid w:val="00CD5F82"/>
    <w:rsid w:val="00CD666D"/>
    <w:rsid w:val="00CD6B09"/>
    <w:rsid w:val="00CD6F79"/>
    <w:rsid w:val="00CD6FE2"/>
    <w:rsid w:val="00CD7BD7"/>
    <w:rsid w:val="00CE082E"/>
    <w:rsid w:val="00CE142C"/>
    <w:rsid w:val="00CE15F9"/>
    <w:rsid w:val="00CE17B6"/>
    <w:rsid w:val="00CE1994"/>
    <w:rsid w:val="00CE1CE5"/>
    <w:rsid w:val="00CE2EDF"/>
    <w:rsid w:val="00CE3BDE"/>
    <w:rsid w:val="00CE3F29"/>
    <w:rsid w:val="00CE4FAF"/>
    <w:rsid w:val="00CE507E"/>
    <w:rsid w:val="00CE50A4"/>
    <w:rsid w:val="00CE541E"/>
    <w:rsid w:val="00CE562E"/>
    <w:rsid w:val="00CE5965"/>
    <w:rsid w:val="00CE5B3E"/>
    <w:rsid w:val="00CE630D"/>
    <w:rsid w:val="00CE6C89"/>
    <w:rsid w:val="00CE6E95"/>
    <w:rsid w:val="00CE70BC"/>
    <w:rsid w:val="00CE7320"/>
    <w:rsid w:val="00CE7731"/>
    <w:rsid w:val="00CE7A47"/>
    <w:rsid w:val="00CF010E"/>
    <w:rsid w:val="00CF1212"/>
    <w:rsid w:val="00CF127C"/>
    <w:rsid w:val="00CF13D3"/>
    <w:rsid w:val="00CF15FA"/>
    <w:rsid w:val="00CF18D0"/>
    <w:rsid w:val="00CF1F85"/>
    <w:rsid w:val="00CF2448"/>
    <w:rsid w:val="00CF465F"/>
    <w:rsid w:val="00CF4944"/>
    <w:rsid w:val="00CF4D65"/>
    <w:rsid w:val="00CF4FFF"/>
    <w:rsid w:val="00CF5407"/>
    <w:rsid w:val="00CF562A"/>
    <w:rsid w:val="00CF56C4"/>
    <w:rsid w:val="00CF5C3F"/>
    <w:rsid w:val="00CF5DA8"/>
    <w:rsid w:val="00CF670C"/>
    <w:rsid w:val="00CF6786"/>
    <w:rsid w:val="00CF6846"/>
    <w:rsid w:val="00CF69AC"/>
    <w:rsid w:val="00CF6DC7"/>
    <w:rsid w:val="00CF6F49"/>
    <w:rsid w:val="00CF739C"/>
    <w:rsid w:val="00D00358"/>
    <w:rsid w:val="00D004E0"/>
    <w:rsid w:val="00D00AB2"/>
    <w:rsid w:val="00D00FE2"/>
    <w:rsid w:val="00D01065"/>
    <w:rsid w:val="00D01381"/>
    <w:rsid w:val="00D02061"/>
    <w:rsid w:val="00D020A0"/>
    <w:rsid w:val="00D0235C"/>
    <w:rsid w:val="00D02672"/>
    <w:rsid w:val="00D0296A"/>
    <w:rsid w:val="00D029BE"/>
    <w:rsid w:val="00D031CC"/>
    <w:rsid w:val="00D03583"/>
    <w:rsid w:val="00D0373A"/>
    <w:rsid w:val="00D03E9B"/>
    <w:rsid w:val="00D042C8"/>
    <w:rsid w:val="00D042EB"/>
    <w:rsid w:val="00D048DA"/>
    <w:rsid w:val="00D04EAD"/>
    <w:rsid w:val="00D0517B"/>
    <w:rsid w:val="00D052E7"/>
    <w:rsid w:val="00D05A90"/>
    <w:rsid w:val="00D0642D"/>
    <w:rsid w:val="00D079C2"/>
    <w:rsid w:val="00D07D93"/>
    <w:rsid w:val="00D07E02"/>
    <w:rsid w:val="00D10220"/>
    <w:rsid w:val="00D1052B"/>
    <w:rsid w:val="00D10B69"/>
    <w:rsid w:val="00D10E30"/>
    <w:rsid w:val="00D10F70"/>
    <w:rsid w:val="00D1123C"/>
    <w:rsid w:val="00D11270"/>
    <w:rsid w:val="00D11A9D"/>
    <w:rsid w:val="00D11B05"/>
    <w:rsid w:val="00D12117"/>
    <w:rsid w:val="00D1211D"/>
    <w:rsid w:val="00D1268E"/>
    <w:rsid w:val="00D12E54"/>
    <w:rsid w:val="00D12FBB"/>
    <w:rsid w:val="00D13D40"/>
    <w:rsid w:val="00D13DCD"/>
    <w:rsid w:val="00D13E39"/>
    <w:rsid w:val="00D14827"/>
    <w:rsid w:val="00D149AE"/>
    <w:rsid w:val="00D15032"/>
    <w:rsid w:val="00D1608B"/>
    <w:rsid w:val="00D16163"/>
    <w:rsid w:val="00D16865"/>
    <w:rsid w:val="00D178C2"/>
    <w:rsid w:val="00D17D2C"/>
    <w:rsid w:val="00D20230"/>
    <w:rsid w:val="00D204AE"/>
    <w:rsid w:val="00D2056C"/>
    <w:rsid w:val="00D20D7C"/>
    <w:rsid w:val="00D21588"/>
    <w:rsid w:val="00D2171E"/>
    <w:rsid w:val="00D21CCD"/>
    <w:rsid w:val="00D22345"/>
    <w:rsid w:val="00D229CD"/>
    <w:rsid w:val="00D22AA8"/>
    <w:rsid w:val="00D22CDB"/>
    <w:rsid w:val="00D22D63"/>
    <w:rsid w:val="00D22EBB"/>
    <w:rsid w:val="00D23282"/>
    <w:rsid w:val="00D232F2"/>
    <w:rsid w:val="00D23E49"/>
    <w:rsid w:val="00D245EB"/>
    <w:rsid w:val="00D24612"/>
    <w:rsid w:val="00D24D28"/>
    <w:rsid w:val="00D24F8E"/>
    <w:rsid w:val="00D24FC9"/>
    <w:rsid w:val="00D25657"/>
    <w:rsid w:val="00D25CE5"/>
    <w:rsid w:val="00D25D68"/>
    <w:rsid w:val="00D25E06"/>
    <w:rsid w:val="00D26229"/>
    <w:rsid w:val="00D263FE"/>
    <w:rsid w:val="00D26623"/>
    <w:rsid w:val="00D26F9F"/>
    <w:rsid w:val="00D2786C"/>
    <w:rsid w:val="00D31121"/>
    <w:rsid w:val="00D3178B"/>
    <w:rsid w:val="00D31ABA"/>
    <w:rsid w:val="00D31CC0"/>
    <w:rsid w:val="00D333C9"/>
    <w:rsid w:val="00D33B2E"/>
    <w:rsid w:val="00D3400B"/>
    <w:rsid w:val="00D344A3"/>
    <w:rsid w:val="00D34A26"/>
    <w:rsid w:val="00D34AAD"/>
    <w:rsid w:val="00D3505D"/>
    <w:rsid w:val="00D35408"/>
    <w:rsid w:val="00D3565D"/>
    <w:rsid w:val="00D3569D"/>
    <w:rsid w:val="00D3570D"/>
    <w:rsid w:val="00D35909"/>
    <w:rsid w:val="00D35C30"/>
    <w:rsid w:val="00D35C80"/>
    <w:rsid w:val="00D35E04"/>
    <w:rsid w:val="00D36CA6"/>
    <w:rsid w:val="00D3703C"/>
    <w:rsid w:val="00D3770B"/>
    <w:rsid w:val="00D377A7"/>
    <w:rsid w:val="00D37A90"/>
    <w:rsid w:val="00D37DDB"/>
    <w:rsid w:val="00D4013C"/>
    <w:rsid w:val="00D40314"/>
    <w:rsid w:val="00D40B0A"/>
    <w:rsid w:val="00D40C2C"/>
    <w:rsid w:val="00D412F5"/>
    <w:rsid w:val="00D4140F"/>
    <w:rsid w:val="00D41783"/>
    <w:rsid w:val="00D422EF"/>
    <w:rsid w:val="00D426AB"/>
    <w:rsid w:val="00D42B3A"/>
    <w:rsid w:val="00D42B4A"/>
    <w:rsid w:val="00D437B1"/>
    <w:rsid w:val="00D43F30"/>
    <w:rsid w:val="00D44491"/>
    <w:rsid w:val="00D446C6"/>
    <w:rsid w:val="00D44FDD"/>
    <w:rsid w:val="00D45854"/>
    <w:rsid w:val="00D45AAB"/>
    <w:rsid w:val="00D45AC8"/>
    <w:rsid w:val="00D4601C"/>
    <w:rsid w:val="00D467A9"/>
    <w:rsid w:val="00D4688A"/>
    <w:rsid w:val="00D46FCA"/>
    <w:rsid w:val="00D47253"/>
    <w:rsid w:val="00D47CBE"/>
    <w:rsid w:val="00D47EE6"/>
    <w:rsid w:val="00D47FF8"/>
    <w:rsid w:val="00D5016F"/>
    <w:rsid w:val="00D5070D"/>
    <w:rsid w:val="00D50964"/>
    <w:rsid w:val="00D509CC"/>
    <w:rsid w:val="00D50FB5"/>
    <w:rsid w:val="00D512D3"/>
    <w:rsid w:val="00D5171C"/>
    <w:rsid w:val="00D51AAB"/>
    <w:rsid w:val="00D51E4E"/>
    <w:rsid w:val="00D520FE"/>
    <w:rsid w:val="00D527BD"/>
    <w:rsid w:val="00D52E31"/>
    <w:rsid w:val="00D52F42"/>
    <w:rsid w:val="00D53B31"/>
    <w:rsid w:val="00D53BC6"/>
    <w:rsid w:val="00D53F8F"/>
    <w:rsid w:val="00D542C7"/>
    <w:rsid w:val="00D543CC"/>
    <w:rsid w:val="00D549FA"/>
    <w:rsid w:val="00D551E9"/>
    <w:rsid w:val="00D553F7"/>
    <w:rsid w:val="00D55C75"/>
    <w:rsid w:val="00D55DBD"/>
    <w:rsid w:val="00D5635C"/>
    <w:rsid w:val="00D56363"/>
    <w:rsid w:val="00D56663"/>
    <w:rsid w:val="00D5699D"/>
    <w:rsid w:val="00D56BBC"/>
    <w:rsid w:val="00D57209"/>
    <w:rsid w:val="00D5775A"/>
    <w:rsid w:val="00D578F2"/>
    <w:rsid w:val="00D609D6"/>
    <w:rsid w:val="00D60E88"/>
    <w:rsid w:val="00D61A05"/>
    <w:rsid w:val="00D61DFE"/>
    <w:rsid w:val="00D61E62"/>
    <w:rsid w:val="00D62205"/>
    <w:rsid w:val="00D6238D"/>
    <w:rsid w:val="00D6248A"/>
    <w:rsid w:val="00D62531"/>
    <w:rsid w:val="00D626C4"/>
    <w:rsid w:val="00D6271D"/>
    <w:rsid w:val="00D627C1"/>
    <w:rsid w:val="00D62C80"/>
    <w:rsid w:val="00D62E52"/>
    <w:rsid w:val="00D63AF9"/>
    <w:rsid w:val="00D63B0F"/>
    <w:rsid w:val="00D646C2"/>
    <w:rsid w:val="00D6486E"/>
    <w:rsid w:val="00D6497F"/>
    <w:rsid w:val="00D65437"/>
    <w:rsid w:val="00D6560A"/>
    <w:rsid w:val="00D657FE"/>
    <w:rsid w:val="00D65905"/>
    <w:rsid w:val="00D65D99"/>
    <w:rsid w:val="00D66885"/>
    <w:rsid w:val="00D66B8A"/>
    <w:rsid w:val="00D66E22"/>
    <w:rsid w:val="00D67241"/>
    <w:rsid w:val="00D67372"/>
    <w:rsid w:val="00D674DF"/>
    <w:rsid w:val="00D67D53"/>
    <w:rsid w:val="00D67E28"/>
    <w:rsid w:val="00D67F57"/>
    <w:rsid w:val="00D70923"/>
    <w:rsid w:val="00D70E3B"/>
    <w:rsid w:val="00D70EC8"/>
    <w:rsid w:val="00D70FC5"/>
    <w:rsid w:val="00D7155B"/>
    <w:rsid w:val="00D71A7E"/>
    <w:rsid w:val="00D71B79"/>
    <w:rsid w:val="00D71DAA"/>
    <w:rsid w:val="00D71ED3"/>
    <w:rsid w:val="00D7219F"/>
    <w:rsid w:val="00D726F0"/>
    <w:rsid w:val="00D728E9"/>
    <w:rsid w:val="00D72946"/>
    <w:rsid w:val="00D72B8A"/>
    <w:rsid w:val="00D746A6"/>
    <w:rsid w:val="00D74FC6"/>
    <w:rsid w:val="00D7583B"/>
    <w:rsid w:val="00D75B3E"/>
    <w:rsid w:val="00D75E05"/>
    <w:rsid w:val="00D75F87"/>
    <w:rsid w:val="00D762DF"/>
    <w:rsid w:val="00D7630D"/>
    <w:rsid w:val="00D765F4"/>
    <w:rsid w:val="00D76E9F"/>
    <w:rsid w:val="00D76F8E"/>
    <w:rsid w:val="00D7709A"/>
    <w:rsid w:val="00D778D3"/>
    <w:rsid w:val="00D77B2D"/>
    <w:rsid w:val="00D77F59"/>
    <w:rsid w:val="00D8148D"/>
    <w:rsid w:val="00D81509"/>
    <w:rsid w:val="00D81A0A"/>
    <w:rsid w:val="00D82083"/>
    <w:rsid w:val="00D822D1"/>
    <w:rsid w:val="00D8261B"/>
    <w:rsid w:val="00D82852"/>
    <w:rsid w:val="00D82C50"/>
    <w:rsid w:val="00D82D97"/>
    <w:rsid w:val="00D832FE"/>
    <w:rsid w:val="00D83A20"/>
    <w:rsid w:val="00D83CB7"/>
    <w:rsid w:val="00D83E44"/>
    <w:rsid w:val="00D83FD2"/>
    <w:rsid w:val="00D843B6"/>
    <w:rsid w:val="00D84534"/>
    <w:rsid w:val="00D84BBE"/>
    <w:rsid w:val="00D84BDA"/>
    <w:rsid w:val="00D84D19"/>
    <w:rsid w:val="00D84EED"/>
    <w:rsid w:val="00D852B4"/>
    <w:rsid w:val="00D856E6"/>
    <w:rsid w:val="00D857FC"/>
    <w:rsid w:val="00D85A2A"/>
    <w:rsid w:val="00D85AD3"/>
    <w:rsid w:val="00D8630E"/>
    <w:rsid w:val="00D86A98"/>
    <w:rsid w:val="00D8703F"/>
    <w:rsid w:val="00D87D95"/>
    <w:rsid w:val="00D87E2C"/>
    <w:rsid w:val="00D9064B"/>
    <w:rsid w:val="00D906AD"/>
    <w:rsid w:val="00D90837"/>
    <w:rsid w:val="00D9087E"/>
    <w:rsid w:val="00D90C50"/>
    <w:rsid w:val="00D90C7E"/>
    <w:rsid w:val="00D90F5E"/>
    <w:rsid w:val="00D9120F"/>
    <w:rsid w:val="00D91E3B"/>
    <w:rsid w:val="00D921A1"/>
    <w:rsid w:val="00D92CB2"/>
    <w:rsid w:val="00D9320E"/>
    <w:rsid w:val="00D932ED"/>
    <w:rsid w:val="00D94042"/>
    <w:rsid w:val="00D947EA"/>
    <w:rsid w:val="00D9494C"/>
    <w:rsid w:val="00D94A57"/>
    <w:rsid w:val="00D94BF1"/>
    <w:rsid w:val="00D954D7"/>
    <w:rsid w:val="00D95CB4"/>
    <w:rsid w:val="00D95CDC"/>
    <w:rsid w:val="00D96396"/>
    <w:rsid w:val="00D96422"/>
    <w:rsid w:val="00D96970"/>
    <w:rsid w:val="00D972E4"/>
    <w:rsid w:val="00D973BF"/>
    <w:rsid w:val="00D97485"/>
    <w:rsid w:val="00D9756C"/>
    <w:rsid w:val="00D97628"/>
    <w:rsid w:val="00D978DF"/>
    <w:rsid w:val="00D97D04"/>
    <w:rsid w:val="00DA009E"/>
    <w:rsid w:val="00DA0225"/>
    <w:rsid w:val="00DA02A3"/>
    <w:rsid w:val="00DA15DA"/>
    <w:rsid w:val="00DA16BA"/>
    <w:rsid w:val="00DA1957"/>
    <w:rsid w:val="00DA1A7F"/>
    <w:rsid w:val="00DA1B6A"/>
    <w:rsid w:val="00DA1F27"/>
    <w:rsid w:val="00DA20ED"/>
    <w:rsid w:val="00DA3C50"/>
    <w:rsid w:val="00DA4B9D"/>
    <w:rsid w:val="00DA500E"/>
    <w:rsid w:val="00DA51D0"/>
    <w:rsid w:val="00DA5364"/>
    <w:rsid w:val="00DA5509"/>
    <w:rsid w:val="00DA56E2"/>
    <w:rsid w:val="00DA588C"/>
    <w:rsid w:val="00DA5A9D"/>
    <w:rsid w:val="00DA5C35"/>
    <w:rsid w:val="00DA6902"/>
    <w:rsid w:val="00DA6CAF"/>
    <w:rsid w:val="00DA71EF"/>
    <w:rsid w:val="00DA7306"/>
    <w:rsid w:val="00DA7627"/>
    <w:rsid w:val="00DA77D1"/>
    <w:rsid w:val="00DA78A7"/>
    <w:rsid w:val="00DA7D55"/>
    <w:rsid w:val="00DB05D5"/>
    <w:rsid w:val="00DB076B"/>
    <w:rsid w:val="00DB0C18"/>
    <w:rsid w:val="00DB0ED3"/>
    <w:rsid w:val="00DB0FF0"/>
    <w:rsid w:val="00DB1269"/>
    <w:rsid w:val="00DB15B8"/>
    <w:rsid w:val="00DB1A88"/>
    <w:rsid w:val="00DB1E12"/>
    <w:rsid w:val="00DB2265"/>
    <w:rsid w:val="00DB2782"/>
    <w:rsid w:val="00DB2783"/>
    <w:rsid w:val="00DB28D6"/>
    <w:rsid w:val="00DB29E3"/>
    <w:rsid w:val="00DB29F9"/>
    <w:rsid w:val="00DB2B68"/>
    <w:rsid w:val="00DB2B7E"/>
    <w:rsid w:val="00DB2C8F"/>
    <w:rsid w:val="00DB3D11"/>
    <w:rsid w:val="00DB4293"/>
    <w:rsid w:val="00DB42FB"/>
    <w:rsid w:val="00DB4DD3"/>
    <w:rsid w:val="00DB55B2"/>
    <w:rsid w:val="00DB5687"/>
    <w:rsid w:val="00DB6CEF"/>
    <w:rsid w:val="00DB6E1D"/>
    <w:rsid w:val="00DB710D"/>
    <w:rsid w:val="00DB76E7"/>
    <w:rsid w:val="00DB7B70"/>
    <w:rsid w:val="00DB7CA8"/>
    <w:rsid w:val="00DB7CD1"/>
    <w:rsid w:val="00DC0014"/>
    <w:rsid w:val="00DC049B"/>
    <w:rsid w:val="00DC0E59"/>
    <w:rsid w:val="00DC0F1C"/>
    <w:rsid w:val="00DC0FE0"/>
    <w:rsid w:val="00DC1DC6"/>
    <w:rsid w:val="00DC236E"/>
    <w:rsid w:val="00DC2EA5"/>
    <w:rsid w:val="00DC2FFC"/>
    <w:rsid w:val="00DC37E3"/>
    <w:rsid w:val="00DC39B4"/>
    <w:rsid w:val="00DC40B5"/>
    <w:rsid w:val="00DC48E4"/>
    <w:rsid w:val="00DC51A7"/>
    <w:rsid w:val="00DC55ED"/>
    <w:rsid w:val="00DC688A"/>
    <w:rsid w:val="00DC6A52"/>
    <w:rsid w:val="00DC7CA0"/>
    <w:rsid w:val="00DC7D6F"/>
    <w:rsid w:val="00DD0464"/>
    <w:rsid w:val="00DD12D5"/>
    <w:rsid w:val="00DD1417"/>
    <w:rsid w:val="00DD15B2"/>
    <w:rsid w:val="00DD1635"/>
    <w:rsid w:val="00DD18AB"/>
    <w:rsid w:val="00DD2231"/>
    <w:rsid w:val="00DD2B43"/>
    <w:rsid w:val="00DD2DF9"/>
    <w:rsid w:val="00DD2E04"/>
    <w:rsid w:val="00DD30BB"/>
    <w:rsid w:val="00DD32F7"/>
    <w:rsid w:val="00DD349A"/>
    <w:rsid w:val="00DD3705"/>
    <w:rsid w:val="00DD38FE"/>
    <w:rsid w:val="00DD398B"/>
    <w:rsid w:val="00DD3ED3"/>
    <w:rsid w:val="00DD451F"/>
    <w:rsid w:val="00DD4693"/>
    <w:rsid w:val="00DD49D5"/>
    <w:rsid w:val="00DD6A6F"/>
    <w:rsid w:val="00DD6F45"/>
    <w:rsid w:val="00DD7095"/>
    <w:rsid w:val="00DD72B8"/>
    <w:rsid w:val="00DD7412"/>
    <w:rsid w:val="00DD7708"/>
    <w:rsid w:val="00DD794D"/>
    <w:rsid w:val="00DE04C0"/>
    <w:rsid w:val="00DE0813"/>
    <w:rsid w:val="00DE1039"/>
    <w:rsid w:val="00DE10B8"/>
    <w:rsid w:val="00DE125D"/>
    <w:rsid w:val="00DE1927"/>
    <w:rsid w:val="00DE1985"/>
    <w:rsid w:val="00DE2821"/>
    <w:rsid w:val="00DE2B85"/>
    <w:rsid w:val="00DE2EAB"/>
    <w:rsid w:val="00DE2F9F"/>
    <w:rsid w:val="00DE3319"/>
    <w:rsid w:val="00DE3ACB"/>
    <w:rsid w:val="00DE3ADF"/>
    <w:rsid w:val="00DE4152"/>
    <w:rsid w:val="00DE42D0"/>
    <w:rsid w:val="00DE43AB"/>
    <w:rsid w:val="00DE4E8E"/>
    <w:rsid w:val="00DE5293"/>
    <w:rsid w:val="00DE52DE"/>
    <w:rsid w:val="00DE5AC0"/>
    <w:rsid w:val="00DE5E3C"/>
    <w:rsid w:val="00DE62D1"/>
    <w:rsid w:val="00DE65F8"/>
    <w:rsid w:val="00DE69E3"/>
    <w:rsid w:val="00DE72C3"/>
    <w:rsid w:val="00DE740F"/>
    <w:rsid w:val="00DF0040"/>
    <w:rsid w:val="00DF05F2"/>
    <w:rsid w:val="00DF0AAD"/>
    <w:rsid w:val="00DF0B5F"/>
    <w:rsid w:val="00DF0C76"/>
    <w:rsid w:val="00DF0D26"/>
    <w:rsid w:val="00DF103A"/>
    <w:rsid w:val="00DF1271"/>
    <w:rsid w:val="00DF1CF5"/>
    <w:rsid w:val="00DF2013"/>
    <w:rsid w:val="00DF2432"/>
    <w:rsid w:val="00DF2A00"/>
    <w:rsid w:val="00DF2B3E"/>
    <w:rsid w:val="00DF323B"/>
    <w:rsid w:val="00DF3A44"/>
    <w:rsid w:val="00DF3B08"/>
    <w:rsid w:val="00DF3EF7"/>
    <w:rsid w:val="00DF3F06"/>
    <w:rsid w:val="00DF46B7"/>
    <w:rsid w:val="00DF4A41"/>
    <w:rsid w:val="00DF559E"/>
    <w:rsid w:val="00DF57D7"/>
    <w:rsid w:val="00DF58D6"/>
    <w:rsid w:val="00DF5AC1"/>
    <w:rsid w:val="00DF5D8F"/>
    <w:rsid w:val="00DF6925"/>
    <w:rsid w:val="00DF69D4"/>
    <w:rsid w:val="00DF6D66"/>
    <w:rsid w:val="00DF72AA"/>
    <w:rsid w:val="00DF72DA"/>
    <w:rsid w:val="00DF7469"/>
    <w:rsid w:val="00DF7683"/>
    <w:rsid w:val="00DF7AD2"/>
    <w:rsid w:val="00DF7CEA"/>
    <w:rsid w:val="00DF7FBA"/>
    <w:rsid w:val="00E003B5"/>
    <w:rsid w:val="00E00A85"/>
    <w:rsid w:val="00E00B68"/>
    <w:rsid w:val="00E00F58"/>
    <w:rsid w:val="00E01472"/>
    <w:rsid w:val="00E01CDC"/>
    <w:rsid w:val="00E01DFC"/>
    <w:rsid w:val="00E01E0A"/>
    <w:rsid w:val="00E021B4"/>
    <w:rsid w:val="00E021E4"/>
    <w:rsid w:val="00E02ACF"/>
    <w:rsid w:val="00E02DCA"/>
    <w:rsid w:val="00E0308A"/>
    <w:rsid w:val="00E03093"/>
    <w:rsid w:val="00E0333C"/>
    <w:rsid w:val="00E03D6A"/>
    <w:rsid w:val="00E03E78"/>
    <w:rsid w:val="00E03F5A"/>
    <w:rsid w:val="00E045EF"/>
    <w:rsid w:val="00E04E1B"/>
    <w:rsid w:val="00E05191"/>
    <w:rsid w:val="00E057FE"/>
    <w:rsid w:val="00E062ED"/>
    <w:rsid w:val="00E06DDF"/>
    <w:rsid w:val="00E06DEB"/>
    <w:rsid w:val="00E07377"/>
    <w:rsid w:val="00E073DD"/>
    <w:rsid w:val="00E075D9"/>
    <w:rsid w:val="00E07611"/>
    <w:rsid w:val="00E077D0"/>
    <w:rsid w:val="00E07AC1"/>
    <w:rsid w:val="00E07C13"/>
    <w:rsid w:val="00E07D72"/>
    <w:rsid w:val="00E07DC2"/>
    <w:rsid w:val="00E07E1C"/>
    <w:rsid w:val="00E07EC6"/>
    <w:rsid w:val="00E1099B"/>
    <w:rsid w:val="00E10B7D"/>
    <w:rsid w:val="00E10C74"/>
    <w:rsid w:val="00E11977"/>
    <w:rsid w:val="00E11AFB"/>
    <w:rsid w:val="00E11D92"/>
    <w:rsid w:val="00E1288A"/>
    <w:rsid w:val="00E12A77"/>
    <w:rsid w:val="00E12CD6"/>
    <w:rsid w:val="00E12CF3"/>
    <w:rsid w:val="00E1385B"/>
    <w:rsid w:val="00E1386F"/>
    <w:rsid w:val="00E13AB7"/>
    <w:rsid w:val="00E13ECE"/>
    <w:rsid w:val="00E141CA"/>
    <w:rsid w:val="00E14E6B"/>
    <w:rsid w:val="00E14FDD"/>
    <w:rsid w:val="00E15387"/>
    <w:rsid w:val="00E15988"/>
    <w:rsid w:val="00E15A81"/>
    <w:rsid w:val="00E162B2"/>
    <w:rsid w:val="00E16DF5"/>
    <w:rsid w:val="00E17106"/>
    <w:rsid w:val="00E17275"/>
    <w:rsid w:val="00E17EE6"/>
    <w:rsid w:val="00E2066C"/>
    <w:rsid w:val="00E20B67"/>
    <w:rsid w:val="00E21020"/>
    <w:rsid w:val="00E214D3"/>
    <w:rsid w:val="00E21DD4"/>
    <w:rsid w:val="00E21FE8"/>
    <w:rsid w:val="00E222B1"/>
    <w:rsid w:val="00E22634"/>
    <w:rsid w:val="00E22AF8"/>
    <w:rsid w:val="00E22C0E"/>
    <w:rsid w:val="00E22D35"/>
    <w:rsid w:val="00E22FF7"/>
    <w:rsid w:val="00E231FE"/>
    <w:rsid w:val="00E235A2"/>
    <w:rsid w:val="00E236BA"/>
    <w:rsid w:val="00E239C2"/>
    <w:rsid w:val="00E23A93"/>
    <w:rsid w:val="00E24710"/>
    <w:rsid w:val="00E24EAC"/>
    <w:rsid w:val="00E251BB"/>
    <w:rsid w:val="00E259BA"/>
    <w:rsid w:val="00E25C7D"/>
    <w:rsid w:val="00E260B0"/>
    <w:rsid w:val="00E260CB"/>
    <w:rsid w:val="00E262AD"/>
    <w:rsid w:val="00E26852"/>
    <w:rsid w:val="00E269D1"/>
    <w:rsid w:val="00E26A50"/>
    <w:rsid w:val="00E278E1"/>
    <w:rsid w:val="00E27A13"/>
    <w:rsid w:val="00E27B0B"/>
    <w:rsid w:val="00E30030"/>
    <w:rsid w:val="00E30533"/>
    <w:rsid w:val="00E30676"/>
    <w:rsid w:val="00E3096B"/>
    <w:rsid w:val="00E312F0"/>
    <w:rsid w:val="00E3133C"/>
    <w:rsid w:val="00E31740"/>
    <w:rsid w:val="00E31E50"/>
    <w:rsid w:val="00E31E9A"/>
    <w:rsid w:val="00E324FE"/>
    <w:rsid w:val="00E32896"/>
    <w:rsid w:val="00E328DF"/>
    <w:rsid w:val="00E32DD2"/>
    <w:rsid w:val="00E32FDF"/>
    <w:rsid w:val="00E3319B"/>
    <w:rsid w:val="00E334AE"/>
    <w:rsid w:val="00E33654"/>
    <w:rsid w:val="00E33E73"/>
    <w:rsid w:val="00E349D5"/>
    <w:rsid w:val="00E34E6E"/>
    <w:rsid w:val="00E34F97"/>
    <w:rsid w:val="00E35023"/>
    <w:rsid w:val="00E3525C"/>
    <w:rsid w:val="00E353B6"/>
    <w:rsid w:val="00E35659"/>
    <w:rsid w:val="00E356A9"/>
    <w:rsid w:val="00E35D2F"/>
    <w:rsid w:val="00E35E90"/>
    <w:rsid w:val="00E3642F"/>
    <w:rsid w:val="00E3647E"/>
    <w:rsid w:val="00E36FBF"/>
    <w:rsid w:val="00E3725D"/>
    <w:rsid w:val="00E375CA"/>
    <w:rsid w:val="00E379D2"/>
    <w:rsid w:val="00E37D94"/>
    <w:rsid w:val="00E400FC"/>
    <w:rsid w:val="00E401AF"/>
    <w:rsid w:val="00E408D8"/>
    <w:rsid w:val="00E40B36"/>
    <w:rsid w:val="00E412C5"/>
    <w:rsid w:val="00E4131B"/>
    <w:rsid w:val="00E414CC"/>
    <w:rsid w:val="00E41957"/>
    <w:rsid w:val="00E424C6"/>
    <w:rsid w:val="00E42F7E"/>
    <w:rsid w:val="00E4410D"/>
    <w:rsid w:val="00E443CD"/>
    <w:rsid w:val="00E44623"/>
    <w:rsid w:val="00E446EB"/>
    <w:rsid w:val="00E44E00"/>
    <w:rsid w:val="00E45166"/>
    <w:rsid w:val="00E451D4"/>
    <w:rsid w:val="00E455BE"/>
    <w:rsid w:val="00E4609E"/>
    <w:rsid w:val="00E46114"/>
    <w:rsid w:val="00E46288"/>
    <w:rsid w:val="00E465CB"/>
    <w:rsid w:val="00E47070"/>
    <w:rsid w:val="00E472CA"/>
    <w:rsid w:val="00E4740D"/>
    <w:rsid w:val="00E47C7F"/>
    <w:rsid w:val="00E503B6"/>
    <w:rsid w:val="00E50CF6"/>
    <w:rsid w:val="00E512F9"/>
    <w:rsid w:val="00E516CA"/>
    <w:rsid w:val="00E520D5"/>
    <w:rsid w:val="00E526ED"/>
    <w:rsid w:val="00E52932"/>
    <w:rsid w:val="00E52A82"/>
    <w:rsid w:val="00E53163"/>
    <w:rsid w:val="00E534D2"/>
    <w:rsid w:val="00E5360F"/>
    <w:rsid w:val="00E539A1"/>
    <w:rsid w:val="00E53AC8"/>
    <w:rsid w:val="00E53C35"/>
    <w:rsid w:val="00E540AB"/>
    <w:rsid w:val="00E54705"/>
    <w:rsid w:val="00E54BA0"/>
    <w:rsid w:val="00E5501D"/>
    <w:rsid w:val="00E5573F"/>
    <w:rsid w:val="00E557EA"/>
    <w:rsid w:val="00E56013"/>
    <w:rsid w:val="00E56572"/>
    <w:rsid w:val="00E56C5F"/>
    <w:rsid w:val="00E56FCA"/>
    <w:rsid w:val="00E56FE3"/>
    <w:rsid w:val="00E5786B"/>
    <w:rsid w:val="00E5795E"/>
    <w:rsid w:val="00E57EA9"/>
    <w:rsid w:val="00E600D8"/>
    <w:rsid w:val="00E604F6"/>
    <w:rsid w:val="00E60C55"/>
    <w:rsid w:val="00E61699"/>
    <w:rsid w:val="00E618BD"/>
    <w:rsid w:val="00E61B64"/>
    <w:rsid w:val="00E62244"/>
    <w:rsid w:val="00E6249D"/>
    <w:rsid w:val="00E62800"/>
    <w:rsid w:val="00E6341E"/>
    <w:rsid w:val="00E6372D"/>
    <w:rsid w:val="00E64AA9"/>
    <w:rsid w:val="00E64C38"/>
    <w:rsid w:val="00E64DEC"/>
    <w:rsid w:val="00E64F51"/>
    <w:rsid w:val="00E654E2"/>
    <w:rsid w:val="00E65ABD"/>
    <w:rsid w:val="00E660D2"/>
    <w:rsid w:val="00E66465"/>
    <w:rsid w:val="00E6668F"/>
    <w:rsid w:val="00E66CAE"/>
    <w:rsid w:val="00E6757B"/>
    <w:rsid w:val="00E67C97"/>
    <w:rsid w:val="00E67CA6"/>
    <w:rsid w:val="00E67E99"/>
    <w:rsid w:val="00E702F2"/>
    <w:rsid w:val="00E70A02"/>
    <w:rsid w:val="00E711DF"/>
    <w:rsid w:val="00E714E0"/>
    <w:rsid w:val="00E7151E"/>
    <w:rsid w:val="00E720EA"/>
    <w:rsid w:val="00E722B7"/>
    <w:rsid w:val="00E7236D"/>
    <w:rsid w:val="00E72B2B"/>
    <w:rsid w:val="00E72B79"/>
    <w:rsid w:val="00E72DCF"/>
    <w:rsid w:val="00E73D32"/>
    <w:rsid w:val="00E73DBF"/>
    <w:rsid w:val="00E740F8"/>
    <w:rsid w:val="00E74397"/>
    <w:rsid w:val="00E7446F"/>
    <w:rsid w:val="00E745F5"/>
    <w:rsid w:val="00E7481F"/>
    <w:rsid w:val="00E748D5"/>
    <w:rsid w:val="00E74B49"/>
    <w:rsid w:val="00E755E2"/>
    <w:rsid w:val="00E756FF"/>
    <w:rsid w:val="00E7582E"/>
    <w:rsid w:val="00E75A2C"/>
    <w:rsid w:val="00E7650F"/>
    <w:rsid w:val="00E76A3B"/>
    <w:rsid w:val="00E76F10"/>
    <w:rsid w:val="00E771C2"/>
    <w:rsid w:val="00E773D6"/>
    <w:rsid w:val="00E77B36"/>
    <w:rsid w:val="00E800C2"/>
    <w:rsid w:val="00E801D9"/>
    <w:rsid w:val="00E805A2"/>
    <w:rsid w:val="00E81995"/>
    <w:rsid w:val="00E819FD"/>
    <w:rsid w:val="00E819FE"/>
    <w:rsid w:val="00E81E9D"/>
    <w:rsid w:val="00E820CA"/>
    <w:rsid w:val="00E82A0D"/>
    <w:rsid w:val="00E82FC2"/>
    <w:rsid w:val="00E82FD4"/>
    <w:rsid w:val="00E83086"/>
    <w:rsid w:val="00E8350F"/>
    <w:rsid w:val="00E83916"/>
    <w:rsid w:val="00E8394B"/>
    <w:rsid w:val="00E840AB"/>
    <w:rsid w:val="00E84178"/>
    <w:rsid w:val="00E84DAB"/>
    <w:rsid w:val="00E8527E"/>
    <w:rsid w:val="00E852E0"/>
    <w:rsid w:val="00E85522"/>
    <w:rsid w:val="00E8599F"/>
    <w:rsid w:val="00E859B2"/>
    <w:rsid w:val="00E85C9F"/>
    <w:rsid w:val="00E86168"/>
    <w:rsid w:val="00E86218"/>
    <w:rsid w:val="00E871A3"/>
    <w:rsid w:val="00E871B4"/>
    <w:rsid w:val="00E8742D"/>
    <w:rsid w:val="00E87F35"/>
    <w:rsid w:val="00E90069"/>
    <w:rsid w:val="00E90916"/>
    <w:rsid w:val="00E90C00"/>
    <w:rsid w:val="00E90F08"/>
    <w:rsid w:val="00E91817"/>
    <w:rsid w:val="00E923EA"/>
    <w:rsid w:val="00E92646"/>
    <w:rsid w:val="00E9295E"/>
    <w:rsid w:val="00E92AE1"/>
    <w:rsid w:val="00E92BE7"/>
    <w:rsid w:val="00E92C4B"/>
    <w:rsid w:val="00E930A6"/>
    <w:rsid w:val="00E932BA"/>
    <w:rsid w:val="00E93779"/>
    <w:rsid w:val="00E93C80"/>
    <w:rsid w:val="00E93CBA"/>
    <w:rsid w:val="00E93ECE"/>
    <w:rsid w:val="00E94220"/>
    <w:rsid w:val="00E94B5D"/>
    <w:rsid w:val="00E9505F"/>
    <w:rsid w:val="00E951EC"/>
    <w:rsid w:val="00E95A11"/>
    <w:rsid w:val="00E960AC"/>
    <w:rsid w:val="00E96171"/>
    <w:rsid w:val="00E961E0"/>
    <w:rsid w:val="00E9630A"/>
    <w:rsid w:val="00E963FB"/>
    <w:rsid w:val="00E964A0"/>
    <w:rsid w:val="00E96827"/>
    <w:rsid w:val="00E96D6D"/>
    <w:rsid w:val="00E96E52"/>
    <w:rsid w:val="00EA050E"/>
    <w:rsid w:val="00EA06AA"/>
    <w:rsid w:val="00EA113E"/>
    <w:rsid w:val="00EA1185"/>
    <w:rsid w:val="00EA1D4D"/>
    <w:rsid w:val="00EA1E0C"/>
    <w:rsid w:val="00EA209F"/>
    <w:rsid w:val="00EA2AD9"/>
    <w:rsid w:val="00EA2BF2"/>
    <w:rsid w:val="00EA2CAF"/>
    <w:rsid w:val="00EA2DCB"/>
    <w:rsid w:val="00EA2E8C"/>
    <w:rsid w:val="00EA3106"/>
    <w:rsid w:val="00EA355A"/>
    <w:rsid w:val="00EA4090"/>
    <w:rsid w:val="00EA5114"/>
    <w:rsid w:val="00EA547F"/>
    <w:rsid w:val="00EA5C08"/>
    <w:rsid w:val="00EA6599"/>
    <w:rsid w:val="00EA65C6"/>
    <w:rsid w:val="00EA685E"/>
    <w:rsid w:val="00EA6E86"/>
    <w:rsid w:val="00EA6F43"/>
    <w:rsid w:val="00EA768D"/>
    <w:rsid w:val="00EA789A"/>
    <w:rsid w:val="00EA7C62"/>
    <w:rsid w:val="00EA7FC6"/>
    <w:rsid w:val="00EB0707"/>
    <w:rsid w:val="00EB1212"/>
    <w:rsid w:val="00EB1A54"/>
    <w:rsid w:val="00EB2B7D"/>
    <w:rsid w:val="00EB3860"/>
    <w:rsid w:val="00EB3ED7"/>
    <w:rsid w:val="00EB3FA1"/>
    <w:rsid w:val="00EB403C"/>
    <w:rsid w:val="00EB40AF"/>
    <w:rsid w:val="00EB4664"/>
    <w:rsid w:val="00EB585A"/>
    <w:rsid w:val="00EB5D9A"/>
    <w:rsid w:val="00EB741A"/>
    <w:rsid w:val="00EB775D"/>
    <w:rsid w:val="00EB7CD8"/>
    <w:rsid w:val="00EC0E29"/>
    <w:rsid w:val="00EC119E"/>
    <w:rsid w:val="00EC1216"/>
    <w:rsid w:val="00EC1330"/>
    <w:rsid w:val="00EC1462"/>
    <w:rsid w:val="00EC164B"/>
    <w:rsid w:val="00EC264E"/>
    <w:rsid w:val="00EC27C4"/>
    <w:rsid w:val="00EC3650"/>
    <w:rsid w:val="00EC3D82"/>
    <w:rsid w:val="00EC3E0C"/>
    <w:rsid w:val="00EC3F2A"/>
    <w:rsid w:val="00EC40EA"/>
    <w:rsid w:val="00EC4794"/>
    <w:rsid w:val="00EC4A8C"/>
    <w:rsid w:val="00EC4BC5"/>
    <w:rsid w:val="00EC4EA0"/>
    <w:rsid w:val="00EC4EFB"/>
    <w:rsid w:val="00EC564B"/>
    <w:rsid w:val="00EC594B"/>
    <w:rsid w:val="00EC59BC"/>
    <w:rsid w:val="00EC5AED"/>
    <w:rsid w:val="00EC5EBD"/>
    <w:rsid w:val="00EC62E3"/>
    <w:rsid w:val="00EC649A"/>
    <w:rsid w:val="00EC672F"/>
    <w:rsid w:val="00EC67B6"/>
    <w:rsid w:val="00EC6B8A"/>
    <w:rsid w:val="00EC7585"/>
    <w:rsid w:val="00EC76EC"/>
    <w:rsid w:val="00EC7B59"/>
    <w:rsid w:val="00EC7F38"/>
    <w:rsid w:val="00ED0336"/>
    <w:rsid w:val="00ED097E"/>
    <w:rsid w:val="00ED0CEC"/>
    <w:rsid w:val="00ED0E99"/>
    <w:rsid w:val="00ED166E"/>
    <w:rsid w:val="00ED181F"/>
    <w:rsid w:val="00ED1CEC"/>
    <w:rsid w:val="00ED2861"/>
    <w:rsid w:val="00ED2C96"/>
    <w:rsid w:val="00ED2EB5"/>
    <w:rsid w:val="00ED3AC6"/>
    <w:rsid w:val="00ED3B9A"/>
    <w:rsid w:val="00ED48BC"/>
    <w:rsid w:val="00ED490E"/>
    <w:rsid w:val="00ED496A"/>
    <w:rsid w:val="00ED4B74"/>
    <w:rsid w:val="00ED4DD0"/>
    <w:rsid w:val="00ED506B"/>
    <w:rsid w:val="00ED55F8"/>
    <w:rsid w:val="00ED5701"/>
    <w:rsid w:val="00ED57AB"/>
    <w:rsid w:val="00ED5F7B"/>
    <w:rsid w:val="00ED65FB"/>
    <w:rsid w:val="00ED676C"/>
    <w:rsid w:val="00ED67E9"/>
    <w:rsid w:val="00ED6A9D"/>
    <w:rsid w:val="00ED6D89"/>
    <w:rsid w:val="00ED7742"/>
    <w:rsid w:val="00ED7CAD"/>
    <w:rsid w:val="00ED7E71"/>
    <w:rsid w:val="00EE0353"/>
    <w:rsid w:val="00EE0399"/>
    <w:rsid w:val="00EE0E45"/>
    <w:rsid w:val="00EE145E"/>
    <w:rsid w:val="00EE1473"/>
    <w:rsid w:val="00EE1588"/>
    <w:rsid w:val="00EE1704"/>
    <w:rsid w:val="00EE2465"/>
    <w:rsid w:val="00EE2696"/>
    <w:rsid w:val="00EE34AD"/>
    <w:rsid w:val="00EE3A71"/>
    <w:rsid w:val="00EE3E17"/>
    <w:rsid w:val="00EE4644"/>
    <w:rsid w:val="00EE46B7"/>
    <w:rsid w:val="00EE476C"/>
    <w:rsid w:val="00EE47D9"/>
    <w:rsid w:val="00EE4A98"/>
    <w:rsid w:val="00EE4D70"/>
    <w:rsid w:val="00EE588F"/>
    <w:rsid w:val="00EE5C17"/>
    <w:rsid w:val="00EE5F06"/>
    <w:rsid w:val="00EE5F74"/>
    <w:rsid w:val="00EE5FF7"/>
    <w:rsid w:val="00EE6084"/>
    <w:rsid w:val="00EE6087"/>
    <w:rsid w:val="00EE661A"/>
    <w:rsid w:val="00EE679B"/>
    <w:rsid w:val="00EE69EA"/>
    <w:rsid w:val="00EE709A"/>
    <w:rsid w:val="00EE7726"/>
    <w:rsid w:val="00EE7AE1"/>
    <w:rsid w:val="00EE7D42"/>
    <w:rsid w:val="00EF01A9"/>
    <w:rsid w:val="00EF1A95"/>
    <w:rsid w:val="00EF1BFB"/>
    <w:rsid w:val="00EF1DB0"/>
    <w:rsid w:val="00EF20E8"/>
    <w:rsid w:val="00EF21F0"/>
    <w:rsid w:val="00EF2299"/>
    <w:rsid w:val="00EF2575"/>
    <w:rsid w:val="00EF27C1"/>
    <w:rsid w:val="00EF2F15"/>
    <w:rsid w:val="00EF3693"/>
    <w:rsid w:val="00EF409F"/>
    <w:rsid w:val="00EF4149"/>
    <w:rsid w:val="00EF4A32"/>
    <w:rsid w:val="00EF4A6E"/>
    <w:rsid w:val="00EF4D6D"/>
    <w:rsid w:val="00EF5137"/>
    <w:rsid w:val="00EF51C6"/>
    <w:rsid w:val="00EF5734"/>
    <w:rsid w:val="00EF5C6A"/>
    <w:rsid w:val="00EF5DFB"/>
    <w:rsid w:val="00EF64A2"/>
    <w:rsid w:val="00EF6B6F"/>
    <w:rsid w:val="00EF792A"/>
    <w:rsid w:val="00F00829"/>
    <w:rsid w:val="00F00B83"/>
    <w:rsid w:val="00F01EB6"/>
    <w:rsid w:val="00F02514"/>
    <w:rsid w:val="00F02884"/>
    <w:rsid w:val="00F02A46"/>
    <w:rsid w:val="00F02AE6"/>
    <w:rsid w:val="00F034A7"/>
    <w:rsid w:val="00F034B5"/>
    <w:rsid w:val="00F03815"/>
    <w:rsid w:val="00F039CB"/>
    <w:rsid w:val="00F03A5C"/>
    <w:rsid w:val="00F03EFD"/>
    <w:rsid w:val="00F04190"/>
    <w:rsid w:val="00F044D0"/>
    <w:rsid w:val="00F047C6"/>
    <w:rsid w:val="00F04953"/>
    <w:rsid w:val="00F04A64"/>
    <w:rsid w:val="00F053CA"/>
    <w:rsid w:val="00F0562A"/>
    <w:rsid w:val="00F059DA"/>
    <w:rsid w:val="00F05B64"/>
    <w:rsid w:val="00F05D78"/>
    <w:rsid w:val="00F05EF1"/>
    <w:rsid w:val="00F06692"/>
    <w:rsid w:val="00F077CF"/>
    <w:rsid w:val="00F078A8"/>
    <w:rsid w:val="00F07E31"/>
    <w:rsid w:val="00F104FD"/>
    <w:rsid w:val="00F10A3C"/>
    <w:rsid w:val="00F10BF0"/>
    <w:rsid w:val="00F110BB"/>
    <w:rsid w:val="00F11F73"/>
    <w:rsid w:val="00F12054"/>
    <w:rsid w:val="00F1209D"/>
    <w:rsid w:val="00F126B0"/>
    <w:rsid w:val="00F12AAF"/>
    <w:rsid w:val="00F12E09"/>
    <w:rsid w:val="00F13114"/>
    <w:rsid w:val="00F13556"/>
    <w:rsid w:val="00F1383F"/>
    <w:rsid w:val="00F13866"/>
    <w:rsid w:val="00F138FA"/>
    <w:rsid w:val="00F13AFD"/>
    <w:rsid w:val="00F14711"/>
    <w:rsid w:val="00F14957"/>
    <w:rsid w:val="00F14A27"/>
    <w:rsid w:val="00F1539B"/>
    <w:rsid w:val="00F169F0"/>
    <w:rsid w:val="00F16A06"/>
    <w:rsid w:val="00F16AE1"/>
    <w:rsid w:val="00F17528"/>
    <w:rsid w:val="00F175A4"/>
    <w:rsid w:val="00F176E7"/>
    <w:rsid w:val="00F17C26"/>
    <w:rsid w:val="00F17EBE"/>
    <w:rsid w:val="00F2034E"/>
    <w:rsid w:val="00F20655"/>
    <w:rsid w:val="00F20774"/>
    <w:rsid w:val="00F20E32"/>
    <w:rsid w:val="00F20F7F"/>
    <w:rsid w:val="00F21A1B"/>
    <w:rsid w:val="00F21F62"/>
    <w:rsid w:val="00F22106"/>
    <w:rsid w:val="00F22313"/>
    <w:rsid w:val="00F22B44"/>
    <w:rsid w:val="00F2301C"/>
    <w:rsid w:val="00F23066"/>
    <w:rsid w:val="00F237FA"/>
    <w:rsid w:val="00F23E66"/>
    <w:rsid w:val="00F2415B"/>
    <w:rsid w:val="00F25255"/>
    <w:rsid w:val="00F2550F"/>
    <w:rsid w:val="00F25603"/>
    <w:rsid w:val="00F256A6"/>
    <w:rsid w:val="00F25ACF"/>
    <w:rsid w:val="00F25FC6"/>
    <w:rsid w:val="00F26BD4"/>
    <w:rsid w:val="00F27294"/>
    <w:rsid w:val="00F274B3"/>
    <w:rsid w:val="00F275FA"/>
    <w:rsid w:val="00F27806"/>
    <w:rsid w:val="00F279AD"/>
    <w:rsid w:val="00F27BE9"/>
    <w:rsid w:val="00F27C37"/>
    <w:rsid w:val="00F27D1D"/>
    <w:rsid w:val="00F3032A"/>
    <w:rsid w:val="00F303B5"/>
    <w:rsid w:val="00F30FF1"/>
    <w:rsid w:val="00F31111"/>
    <w:rsid w:val="00F31232"/>
    <w:rsid w:val="00F31336"/>
    <w:rsid w:val="00F31577"/>
    <w:rsid w:val="00F317A8"/>
    <w:rsid w:val="00F31B7B"/>
    <w:rsid w:val="00F32198"/>
    <w:rsid w:val="00F324A8"/>
    <w:rsid w:val="00F3264C"/>
    <w:rsid w:val="00F33168"/>
    <w:rsid w:val="00F3371D"/>
    <w:rsid w:val="00F33FF4"/>
    <w:rsid w:val="00F342EC"/>
    <w:rsid w:val="00F352B2"/>
    <w:rsid w:val="00F35456"/>
    <w:rsid w:val="00F3550A"/>
    <w:rsid w:val="00F355F0"/>
    <w:rsid w:val="00F35682"/>
    <w:rsid w:val="00F35B6A"/>
    <w:rsid w:val="00F35C33"/>
    <w:rsid w:val="00F366E5"/>
    <w:rsid w:val="00F369E1"/>
    <w:rsid w:val="00F36E8F"/>
    <w:rsid w:val="00F37641"/>
    <w:rsid w:val="00F4033A"/>
    <w:rsid w:val="00F40438"/>
    <w:rsid w:val="00F406BB"/>
    <w:rsid w:val="00F407AA"/>
    <w:rsid w:val="00F40DD1"/>
    <w:rsid w:val="00F40E9D"/>
    <w:rsid w:val="00F40F96"/>
    <w:rsid w:val="00F41084"/>
    <w:rsid w:val="00F414B9"/>
    <w:rsid w:val="00F41A65"/>
    <w:rsid w:val="00F42A32"/>
    <w:rsid w:val="00F42BED"/>
    <w:rsid w:val="00F42EC1"/>
    <w:rsid w:val="00F42F8E"/>
    <w:rsid w:val="00F43519"/>
    <w:rsid w:val="00F435B1"/>
    <w:rsid w:val="00F43F97"/>
    <w:rsid w:val="00F44838"/>
    <w:rsid w:val="00F44AAF"/>
    <w:rsid w:val="00F44E59"/>
    <w:rsid w:val="00F44F7E"/>
    <w:rsid w:val="00F45674"/>
    <w:rsid w:val="00F460BF"/>
    <w:rsid w:val="00F4654F"/>
    <w:rsid w:val="00F46FB1"/>
    <w:rsid w:val="00F4709D"/>
    <w:rsid w:val="00F4738D"/>
    <w:rsid w:val="00F47C21"/>
    <w:rsid w:val="00F50014"/>
    <w:rsid w:val="00F50741"/>
    <w:rsid w:val="00F50A2B"/>
    <w:rsid w:val="00F50E19"/>
    <w:rsid w:val="00F51184"/>
    <w:rsid w:val="00F516B2"/>
    <w:rsid w:val="00F516E6"/>
    <w:rsid w:val="00F518AE"/>
    <w:rsid w:val="00F52127"/>
    <w:rsid w:val="00F524D9"/>
    <w:rsid w:val="00F52863"/>
    <w:rsid w:val="00F52A16"/>
    <w:rsid w:val="00F52E6A"/>
    <w:rsid w:val="00F52FF0"/>
    <w:rsid w:val="00F53165"/>
    <w:rsid w:val="00F53393"/>
    <w:rsid w:val="00F5353F"/>
    <w:rsid w:val="00F53715"/>
    <w:rsid w:val="00F53A90"/>
    <w:rsid w:val="00F53B23"/>
    <w:rsid w:val="00F53F8B"/>
    <w:rsid w:val="00F54493"/>
    <w:rsid w:val="00F5453A"/>
    <w:rsid w:val="00F545F1"/>
    <w:rsid w:val="00F54B4B"/>
    <w:rsid w:val="00F54F71"/>
    <w:rsid w:val="00F55396"/>
    <w:rsid w:val="00F55780"/>
    <w:rsid w:val="00F55991"/>
    <w:rsid w:val="00F567BB"/>
    <w:rsid w:val="00F56864"/>
    <w:rsid w:val="00F56885"/>
    <w:rsid w:val="00F568B2"/>
    <w:rsid w:val="00F56BFA"/>
    <w:rsid w:val="00F56C64"/>
    <w:rsid w:val="00F56E58"/>
    <w:rsid w:val="00F571D0"/>
    <w:rsid w:val="00F571E3"/>
    <w:rsid w:val="00F57780"/>
    <w:rsid w:val="00F57AF6"/>
    <w:rsid w:val="00F6034D"/>
    <w:rsid w:val="00F6067D"/>
    <w:rsid w:val="00F608BD"/>
    <w:rsid w:val="00F61739"/>
    <w:rsid w:val="00F619C8"/>
    <w:rsid w:val="00F630FD"/>
    <w:rsid w:val="00F6333E"/>
    <w:rsid w:val="00F64038"/>
    <w:rsid w:val="00F648FE"/>
    <w:rsid w:val="00F649C3"/>
    <w:rsid w:val="00F64CA9"/>
    <w:rsid w:val="00F64CCC"/>
    <w:rsid w:val="00F65698"/>
    <w:rsid w:val="00F65B7C"/>
    <w:rsid w:val="00F65D35"/>
    <w:rsid w:val="00F66BB5"/>
    <w:rsid w:val="00F67165"/>
    <w:rsid w:val="00F67BD1"/>
    <w:rsid w:val="00F7034C"/>
    <w:rsid w:val="00F7042F"/>
    <w:rsid w:val="00F70435"/>
    <w:rsid w:val="00F70C70"/>
    <w:rsid w:val="00F71B32"/>
    <w:rsid w:val="00F71BEA"/>
    <w:rsid w:val="00F71CB9"/>
    <w:rsid w:val="00F7234C"/>
    <w:rsid w:val="00F72469"/>
    <w:rsid w:val="00F731F2"/>
    <w:rsid w:val="00F73681"/>
    <w:rsid w:val="00F73BF9"/>
    <w:rsid w:val="00F73C17"/>
    <w:rsid w:val="00F73C49"/>
    <w:rsid w:val="00F73C99"/>
    <w:rsid w:val="00F73EDC"/>
    <w:rsid w:val="00F744EB"/>
    <w:rsid w:val="00F746F8"/>
    <w:rsid w:val="00F74736"/>
    <w:rsid w:val="00F7492E"/>
    <w:rsid w:val="00F74CAE"/>
    <w:rsid w:val="00F74CC2"/>
    <w:rsid w:val="00F75148"/>
    <w:rsid w:val="00F753F8"/>
    <w:rsid w:val="00F755FE"/>
    <w:rsid w:val="00F75928"/>
    <w:rsid w:val="00F75B1A"/>
    <w:rsid w:val="00F75E83"/>
    <w:rsid w:val="00F75FA5"/>
    <w:rsid w:val="00F76550"/>
    <w:rsid w:val="00F76B70"/>
    <w:rsid w:val="00F76E09"/>
    <w:rsid w:val="00F77043"/>
    <w:rsid w:val="00F771FF"/>
    <w:rsid w:val="00F7742F"/>
    <w:rsid w:val="00F776E2"/>
    <w:rsid w:val="00F779B8"/>
    <w:rsid w:val="00F77C2B"/>
    <w:rsid w:val="00F805EA"/>
    <w:rsid w:val="00F80E28"/>
    <w:rsid w:val="00F812A4"/>
    <w:rsid w:val="00F816C4"/>
    <w:rsid w:val="00F817C4"/>
    <w:rsid w:val="00F81909"/>
    <w:rsid w:val="00F82436"/>
    <w:rsid w:val="00F825CC"/>
    <w:rsid w:val="00F8289E"/>
    <w:rsid w:val="00F82AC8"/>
    <w:rsid w:val="00F82D52"/>
    <w:rsid w:val="00F82E22"/>
    <w:rsid w:val="00F83184"/>
    <w:rsid w:val="00F83818"/>
    <w:rsid w:val="00F83CEA"/>
    <w:rsid w:val="00F83FE6"/>
    <w:rsid w:val="00F84332"/>
    <w:rsid w:val="00F8441B"/>
    <w:rsid w:val="00F84C8E"/>
    <w:rsid w:val="00F8525A"/>
    <w:rsid w:val="00F85491"/>
    <w:rsid w:val="00F85630"/>
    <w:rsid w:val="00F85683"/>
    <w:rsid w:val="00F857A1"/>
    <w:rsid w:val="00F85B3B"/>
    <w:rsid w:val="00F85F2D"/>
    <w:rsid w:val="00F86220"/>
    <w:rsid w:val="00F864D7"/>
    <w:rsid w:val="00F86895"/>
    <w:rsid w:val="00F86A89"/>
    <w:rsid w:val="00F86F50"/>
    <w:rsid w:val="00F86F7B"/>
    <w:rsid w:val="00F87496"/>
    <w:rsid w:val="00F87543"/>
    <w:rsid w:val="00F876B2"/>
    <w:rsid w:val="00F87C76"/>
    <w:rsid w:val="00F87DCF"/>
    <w:rsid w:val="00F87E81"/>
    <w:rsid w:val="00F900A1"/>
    <w:rsid w:val="00F901E0"/>
    <w:rsid w:val="00F90252"/>
    <w:rsid w:val="00F91319"/>
    <w:rsid w:val="00F91420"/>
    <w:rsid w:val="00F9199D"/>
    <w:rsid w:val="00F919FF"/>
    <w:rsid w:val="00F92093"/>
    <w:rsid w:val="00F924D3"/>
    <w:rsid w:val="00F94154"/>
    <w:rsid w:val="00F94395"/>
    <w:rsid w:val="00F944C8"/>
    <w:rsid w:val="00F951E7"/>
    <w:rsid w:val="00F952C1"/>
    <w:rsid w:val="00F95346"/>
    <w:rsid w:val="00F95838"/>
    <w:rsid w:val="00F95D72"/>
    <w:rsid w:val="00F95F56"/>
    <w:rsid w:val="00F963BB"/>
    <w:rsid w:val="00F967DA"/>
    <w:rsid w:val="00F96ADD"/>
    <w:rsid w:val="00F974C1"/>
    <w:rsid w:val="00F975EA"/>
    <w:rsid w:val="00F97D91"/>
    <w:rsid w:val="00FA01DA"/>
    <w:rsid w:val="00FA04FE"/>
    <w:rsid w:val="00FA1350"/>
    <w:rsid w:val="00FA1E28"/>
    <w:rsid w:val="00FA2071"/>
    <w:rsid w:val="00FA20A8"/>
    <w:rsid w:val="00FA2269"/>
    <w:rsid w:val="00FA297B"/>
    <w:rsid w:val="00FA2A03"/>
    <w:rsid w:val="00FA2DBC"/>
    <w:rsid w:val="00FA30E9"/>
    <w:rsid w:val="00FA33CC"/>
    <w:rsid w:val="00FA3978"/>
    <w:rsid w:val="00FA3E02"/>
    <w:rsid w:val="00FA419C"/>
    <w:rsid w:val="00FA4FDF"/>
    <w:rsid w:val="00FA59D0"/>
    <w:rsid w:val="00FA5CDD"/>
    <w:rsid w:val="00FA606F"/>
    <w:rsid w:val="00FA661B"/>
    <w:rsid w:val="00FA6DAB"/>
    <w:rsid w:val="00FA72D0"/>
    <w:rsid w:val="00FA76E4"/>
    <w:rsid w:val="00FA7EAA"/>
    <w:rsid w:val="00FB0653"/>
    <w:rsid w:val="00FB065E"/>
    <w:rsid w:val="00FB0D2F"/>
    <w:rsid w:val="00FB169D"/>
    <w:rsid w:val="00FB1A26"/>
    <w:rsid w:val="00FB1D61"/>
    <w:rsid w:val="00FB2375"/>
    <w:rsid w:val="00FB2B02"/>
    <w:rsid w:val="00FB2C43"/>
    <w:rsid w:val="00FB358C"/>
    <w:rsid w:val="00FB3920"/>
    <w:rsid w:val="00FB4028"/>
    <w:rsid w:val="00FB53D4"/>
    <w:rsid w:val="00FB5A4F"/>
    <w:rsid w:val="00FB5C98"/>
    <w:rsid w:val="00FB5CC0"/>
    <w:rsid w:val="00FB5D76"/>
    <w:rsid w:val="00FB5F6B"/>
    <w:rsid w:val="00FB6425"/>
    <w:rsid w:val="00FB69F7"/>
    <w:rsid w:val="00FB6B03"/>
    <w:rsid w:val="00FB6E00"/>
    <w:rsid w:val="00FB6E22"/>
    <w:rsid w:val="00FB75A8"/>
    <w:rsid w:val="00FB75C0"/>
    <w:rsid w:val="00FB7677"/>
    <w:rsid w:val="00FB77B9"/>
    <w:rsid w:val="00FB78B8"/>
    <w:rsid w:val="00FB7CF7"/>
    <w:rsid w:val="00FB7EBC"/>
    <w:rsid w:val="00FB7F00"/>
    <w:rsid w:val="00FC045D"/>
    <w:rsid w:val="00FC05B4"/>
    <w:rsid w:val="00FC068B"/>
    <w:rsid w:val="00FC07BD"/>
    <w:rsid w:val="00FC08FE"/>
    <w:rsid w:val="00FC1003"/>
    <w:rsid w:val="00FC105D"/>
    <w:rsid w:val="00FC105E"/>
    <w:rsid w:val="00FC10E5"/>
    <w:rsid w:val="00FC233C"/>
    <w:rsid w:val="00FC284A"/>
    <w:rsid w:val="00FC2B46"/>
    <w:rsid w:val="00FC393D"/>
    <w:rsid w:val="00FC3CA2"/>
    <w:rsid w:val="00FC4144"/>
    <w:rsid w:val="00FC4145"/>
    <w:rsid w:val="00FC4626"/>
    <w:rsid w:val="00FC4A9A"/>
    <w:rsid w:val="00FC4BC5"/>
    <w:rsid w:val="00FC52EE"/>
    <w:rsid w:val="00FC55EB"/>
    <w:rsid w:val="00FC562A"/>
    <w:rsid w:val="00FC5703"/>
    <w:rsid w:val="00FC6151"/>
    <w:rsid w:val="00FC6A16"/>
    <w:rsid w:val="00FC7143"/>
    <w:rsid w:val="00FC7C24"/>
    <w:rsid w:val="00FD032F"/>
    <w:rsid w:val="00FD057D"/>
    <w:rsid w:val="00FD0B5E"/>
    <w:rsid w:val="00FD0B85"/>
    <w:rsid w:val="00FD0E42"/>
    <w:rsid w:val="00FD114B"/>
    <w:rsid w:val="00FD141C"/>
    <w:rsid w:val="00FD1A55"/>
    <w:rsid w:val="00FD23E0"/>
    <w:rsid w:val="00FD269B"/>
    <w:rsid w:val="00FD281C"/>
    <w:rsid w:val="00FD28E2"/>
    <w:rsid w:val="00FD3205"/>
    <w:rsid w:val="00FD3C6D"/>
    <w:rsid w:val="00FD3F70"/>
    <w:rsid w:val="00FD404D"/>
    <w:rsid w:val="00FD4179"/>
    <w:rsid w:val="00FD417B"/>
    <w:rsid w:val="00FD4321"/>
    <w:rsid w:val="00FD43C3"/>
    <w:rsid w:val="00FD4458"/>
    <w:rsid w:val="00FD46CE"/>
    <w:rsid w:val="00FD46D2"/>
    <w:rsid w:val="00FD4F74"/>
    <w:rsid w:val="00FD4FB1"/>
    <w:rsid w:val="00FD5613"/>
    <w:rsid w:val="00FD6A89"/>
    <w:rsid w:val="00FD6C58"/>
    <w:rsid w:val="00FD7078"/>
    <w:rsid w:val="00FD7108"/>
    <w:rsid w:val="00FD736A"/>
    <w:rsid w:val="00FD7423"/>
    <w:rsid w:val="00FD7A34"/>
    <w:rsid w:val="00FE0060"/>
    <w:rsid w:val="00FE01E0"/>
    <w:rsid w:val="00FE049C"/>
    <w:rsid w:val="00FE053C"/>
    <w:rsid w:val="00FE0789"/>
    <w:rsid w:val="00FE0921"/>
    <w:rsid w:val="00FE0DC0"/>
    <w:rsid w:val="00FE1B15"/>
    <w:rsid w:val="00FE1C83"/>
    <w:rsid w:val="00FE21A4"/>
    <w:rsid w:val="00FE2D0D"/>
    <w:rsid w:val="00FE2F05"/>
    <w:rsid w:val="00FE325D"/>
    <w:rsid w:val="00FE369B"/>
    <w:rsid w:val="00FE4688"/>
    <w:rsid w:val="00FE4D0B"/>
    <w:rsid w:val="00FE4D23"/>
    <w:rsid w:val="00FE54A9"/>
    <w:rsid w:val="00FE5DE8"/>
    <w:rsid w:val="00FE5F49"/>
    <w:rsid w:val="00FE5FDF"/>
    <w:rsid w:val="00FE6142"/>
    <w:rsid w:val="00FE6DC1"/>
    <w:rsid w:val="00FE6DCA"/>
    <w:rsid w:val="00FE6EE7"/>
    <w:rsid w:val="00FE6FB4"/>
    <w:rsid w:val="00FE70B8"/>
    <w:rsid w:val="00FE7762"/>
    <w:rsid w:val="00FE77E2"/>
    <w:rsid w:val="00FF013F"/>
    <w:rsid w:val="00FF0438"/>
    <w:rsid w:val="00FF0787"/>
    <w:rsid w:val="00FF0AC9"/>
    <w:rsid w:val="00FF0E10"/>
    <w:rsid w:val="00FF1520"/>
    <w:rsid w:val="00FF1B97"/>
    <w:rsid w:val="00FF200D"/>
    <w:rsid w:val="00FF219A"/>
    <w:rsid w:val="00FF2312"/>
    <w:rsid w:val="00FF24DD"/>
    <w:rsid w:val="00FF25B2"/>
    <w:rsid w:val="00FF27BC"/>
    <w:rsid w:val="00FF2BBD"/>
    <w:rsid w:val="00FF32D1"/>
    <w:rsid w:val="00FF33C3"/>
    <w:rsid w:val="00FF34BF"/>
    <w:rsid w:val="00FF3C93"/>
    <w:rsid w:val="00FF3C9C"/>
    <w:rsid w:val="00FF4202"/>
    <w:rsid w:val="00FF4E4F"/>
    <w:rsid w:val="00FF532E"/>
    <w:rsid w:val="00FF6091"/>
    <w:rsid w:val="00FF61BC"/>
    <w:rsid w:val="00FF651A"/>
    <w:rsid w:val="00FF6713"/>
    <w:rsid w:val="00FF6B4D"/>
    <w:rsid w:val="00FF6D7B"/>
    <w:rsid w:val="00FF6E00"/>
    <w:rsid w:val="00FF70C6"/>
    <w:rsid w:val="00FF733D"/>
    <w:rsid w:val="00FF7B75"/>
    <w:rsid w:val="00FF7E7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E32EF"/>
  <w15:docId w15:val="{3E4C9E6A-2D63-415E-9EA8-27E5DF532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D30"/>
  </w:style>
  <w:style w:type="paragraph" w:styleId="Heading1">
    <w:name w:val="heading 1"/>
    <w:basedOn w:val="Normal"/>
    <w:next w:val="Normal"/>
    <w:link w:val="Heading1Char"/>
    <w:uiPriority w:val="9"/>
    <w:qFormat/>
    <w:rsid w:val="00501E4B"/>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501E4B"/>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Heading3">
    <w:name w:val="heading 3"/>
    <w:basedOn w:val="Normal"/>
    <w:next w:val="Normal"/>
    <w:link w:val="Heading3Char"/>
    <w:uiPriority w:val="9"/>
    <w:unhideWhenUsed/>
    <w:qFormat/>
    <w:rsid w:val="00501E4B"/>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Heading4">
    <w:name w:val="heading 4"/>
    <w:basedOn w:val="Normal"/>
    <w:next w:val="Normal"/>
    <w:link w:val="Heading4Char"/>
    <w:uiPriority w:val="9"/>
    <w:unhideWhenUsed/>
    <w:qFormat/>
    <w:rsid w:val="00501E4B"/>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Heading5">
    <w:name w:val="heading 5"/>
    <w:basedOn w:val="Normal"/>
    <w:next w:val="Normal"/>
    <w:link w:val="Heading5Char"/>
    <w:uiPriority w:val="9"/>
    <w:unhideWhenUsed/>
    <w:qFormat/>
    <w:rsid w:val="00501E4B"/>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Heading6">
    <w:name w:val="heading 6"/>
    <w:basedOn w:val="Normal"/>
    <w:next w:val="Normal"/>
    <w:link w:val="Heading6Char"/>
    <w:uiPriority w:val="9"/>
    <w:unhideWhenUsed/>
    <w:qFormat/>
    <w:rsid w:val="00501E4B"/>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Heading7">
    <w:name w:val="heading 7"/>
    <w:basedOn w:val="Normal"/>
    <w:next w:val="Normal"/>
    <w:link w:val="Heading7Char"/>
    <w:uiPriority w:val="9"/>
    <w:unhideWhenUsed/>
    <w:qFormat/>
    <w:rsid w:val="00501E4B"/>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Heading8">
    <w:name w:val="heading 8"/>
    <w:basedOn w:val="Normal"/>
    <w:next w:val="Normal"/>
    <w:link w:val="Heading8Char"/>
    <w:uiPriority w:val="9"/>
    <w:unhideWhenUsed/>
    <w:qFormat/>
    <w:rsid w:val="00501E4B"/>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Heading9">
    <w:name w:val="heading 9"/>
    <w:basedOn w:val="Normal"/>
    <w:next w:val="Normal"/>
    <w:link w:val="Heading9Char"/>
    <w:uiPriority w:val="9"/>
    <w:unhideWhenUsed/>
    <w:qFormat/>
    <w:rsid w:val="00501E4B"/>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E4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501E4B"/>
    <w:rPr>
      <w:rFonts w:asciiTheme="majorHAnsi" w:eastAsiaTheme="majorEastAsia" w:hAnsiTheme="majorHAnsi" w:cstheme="majorBidi"/>
      <w:color w:val="C0504D" w:themeColor="accent2"/>
      <w:sz w:val="36"/>
      <w:szCs w:val="36"/>
    </w:rPr>
  </w:style>
  <w:style w:type="character" w:customStyle="1" w:styleId="Heading3Char">
    <w:name w:val="Heading 3 Char"/>
    <w:basedOn w:val="DefaultParagraphFont"/>
    <w:link w:val="Heading3"/>
    <w:uiPriority w:val="9"/>
    <w:rsid w:val="00501E4B"/>
    <w:rPr>
      <w:rFonts w:asciiTheme="majorHAnsi" w:eastAsiaTheme="majorEastAsia" w:hAnsiTheme="majorHAnsi" w:cstheme="majorBidi"/>
      <w:color w:val="943634" w:themeColor="accent2" w:themeShade="BF"/>
      <w:sz w:val="32"/>
      <w:szCs w:val="32"/>
    </w:rPr>
  </w:style>
  <w:style w:type="paragraph" w:styleId="BalloonText">
    <w:name w:val="Balloon Text"/>
    <w:basedOn w:val="Normal"/>
    <w:link w:val="BalloonTextChar"/>
    <w:uiPriority w:val="99"/>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eastAsia="DengXian" w:hAnsi="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501E4B"/>
    <w:pPr>
      <w:spacing w:after="0" w:line="240" w:lineRule="auto"/>
    </w:p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basedOn w:val="DefaultParagraphFont"/>
    <w:uiPriority w:val="20"/>
    <w:qFormat/>
    <w:rsid w:val="00501E4B"/>
    <w:rPr>
      <w:i/>
      <w:iCs/>
      <w:color w:val="000000" w:themeColor="text1"/>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rsid w:val="002B4E76"/>
    <w:pPr>
      <w:widowControl w:val="0"/>
      <w:spacing w:after="0" w:line="240" w:lineRule="auto"/>
    </w:pPr>
  </w:style>
  <w:style w:type="paragraph" w:styleId="BodyText">
    <w:name w:val="Body Text"/>
    <w:basedOn w:val="Normal"/>
    <w:link w:val="BodyTextChar"/>
    <w:uiPriority w:val="1"/>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basedOn w:val="DefaultParagraphFont"/>
    <w:uiPriority w:val="22"/>
    <w:qFormat/>
    <w:rsid w:val="00501E4B"/>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Title2">
    <w:name w:val="Title2"/>
    <w:basedOn w:val="Normal"/>
    <w:rsid w:val="00FF4E4F"/>
    <w:pPr>
      <w:spacing w:before="100" w:beforeAutospacing="1" w:after="100" w:afterAutospacing="1" w:line="240" w:lineRule="auto"/>
    </w:pPr>
    <w:rPr>
      <w:rFonts w:ascii="Times New Roman" w:eastAsia="Times New Roman" w:hAnsi="Times New Roman"/>
      <w:sz w:val="24"/>
      <w:szCs w:val="24"/>
      <w:lang w:val="pt-BR" w:eastAsia="pt-BR"/>
    </w:rPr>
  </w:style>
  <w:style w:type="paragraph" w:styleId="BodyTextIndent">
    <w:name w:val="Body Text Indent"/>
    <w:basedOn w:val="Normal"/>
    <w:link w:val="BodyTextIndentChar"/>
    <w:uiPriority w:val="99"/>
    <w:semiHidden/>
    <w:unhideWhenUsed/>
    <w:rsid w:val="00BE5EEE"/>
    <w:pPr>
      <w:spacing w:after="120"/>
      <w:ind w:left="360"/>
    </w:pPr>
  </w:style>
  <w:style w:type="character" w:customStyle="1" w:styleId="BodyTextIndentChar">
    <w:name w:val="Body Text Indent Char"/>
    <w:basedOn w:val="DefaultParagraphFont"/>
    <w:link w:val="BodyTextIndent"/>
    <w:uiPriority w:val="99"/>
    <w:semiHidden/>
    <w:rsid w:val="00BE5EEE"/>
  </w:style>
  <w:style w:type="character" w:customStyle="1" w:styleId="Heading6Char">
    <w:name w:val="Heading 6 Char"/>
    <w:basedOn w:val="DefaultParagraphFont"/>
    <w:link w:val="Heading6"/>
    <w:uiPriority w:val="9"/>
    <w:rsid w:val="00501E4B"/>
    <w:rPr>
      <w:rFonts w:asciiTheme="majorHAnsi" w:eastAsiaTheme="majorEastAsia" w:hAnsiTheme="majorHAnsi" w:cstheme="majorBidi"/>
      <w:i/>
      <w:iCs/>
      <w:color w:val="632423" w:themeColor="accent2" w:themeShade="80"/>
      <w:sz w:val="24"/>
      <w:szCs w:val="24"/>
    </w:rPr>
  </w:style>
  <w:style w:type="character" w:customStyle="1" w:styleId="Heading4Char">
    <w:name w:val="Heading 4 Char"/>
    <w:basedOn w:val="DefaultParagraphFont"/>
    <w:link w:val="Heading4"/>
    <w:uiPriority w:val="9"/>
    <w:rsid w:val="00501E4B"/>
    <w:rPr>
      <w:rFonts w:asciiTheme="majorHAnsi" w:eastAsiaTheme="majorEastAsia" w:hAnsiTheme="majorHAnsi" w:cstheme="majorBidi"/>
      <w:i/>
      <w:iCs/>
      <w:color w:val="632423" w:themeColor="accent2" w:themeShade="80"/>
      <w:sz w:val="28"/>
      <w:szCs w:val="28"/>
    </w:rPr>
  </w:style>
  <w:style w:type="character" w:styleId="FollowedHyperlink">
    <w:name w:val="FollowedHyperlink"/>
    <w:uiPriority w:val="99"/>
    <w:semiHidden/>
    <w:unhideWhenUsed/>
    <w:rsid w:val="005E6B3A"/>
    <w:rPr>
      <w:color w:val="954F72"/>
      <w:u w:val="single"/>
    </w:rPr>
  </w:style>
  <w:style w:type="paragraph" w:customStyle="1" w:styleId="EndNoteBibliographyTitle">
    <w:name w:val="EndNote Bibliography Title"/>
    <w:basedOn w:val="Normal"/>
    <w:link w:val="EndNoteBibliographyTitleChar"/>
    <w:rsid w:val="005E6B3A"/>
    <w:pPr>
      <w:spacing w:after="0"/>
      <w:jc w:val="center"/>
    </w:pPr>
    <w:rPr>
      <w:rFonts w:ascii="Times New Roman" w:hAnsi="Times New Roman"/>
      <w:noProof/>
      <w:sz w:val="24"/>
    </w:rPr>
  </w:style>
  <w:style w:type="character" w:customStyle="1" w:styleId="EndNoteBibliographyTitleChar">
    <w:name w:val="EndNote Bibliography Title Char"/>
    <w:link w:val="EndNoteBibliographyTitle"/>
    <w:rsid w:val="005E6B3A"/>
    <w:rPr>
      <w:rFonts w:ascii="Times New Roman" w:hAnsi="Times New Roman" w:cs="Times New Roman"/>
      <w:noProof/>
      <w:sz w:val="24"/>
    </w:rPr>
  </w:style>
  <w:style w:type="paragraph" w:customStyle="1" w:styleId="EndNoteBibliography">
    <w:name w:val="EndNote Bibliography"/>
    <w:basedOn w:val="Normal"/>
    <w:link w:val="EndNoteBibliographyChar"/>
    <w:rsid w:val="005E6B3A"/>
    <w:pPr>
      <w:spacing w:line="240" w:lineRule="auto"/>
      <w:jc w:val="both"/>
    </w:pPr>
    <w:rPr>
      <w:rFonts w:ascii="Times New Roman" w:hAnsi="Times New Roman"/>
      <w:noProof/>
      <w:sz w:val="24"/>
    </w:rPr>
  </w:style>
  <w:style w:type="character" w:customStyle="1" w:styleId="EndNoteBibliographyChar">
    <w:name w:val="EndNote Bibliography Char"/>
    <w:link w:val="EndNoteBibliography"/>
    <w:rsid w:val="005E6B3A"/>
    <w:rPr>
      <w:rFonts w:ascii="Times New Roman" w:hAnsi="Times New Roman" w:cs="Times New Roman"/>
      <w:noProof/>
      <w:sz w:val="24"/>
    </w:rPr>
  </w:style>
  <w:style w:type="paragraph" w:styleId="Revision">
    <w:name w:val="Revision"/>
    <w:hidden/>
    <w:uiPriority w:val="99"/>
    <w:semiHidden/>
    <w:rsid w:val="005E6B3A"/>
    <w:rPr>
      <w:sz w:val="22"/>
      <w:szCs w:val="22"/>
      <w:lang w:val="en-GB"/>
    </w:rPr>
  </w:style>
  <w:style w:type="paragraph" w:styleId="PlainText">
    <w:name w:val="Plain Text"/>
    <w:basedOn w:val="Normal"/>
    <w:link w:val="PlainTextChar"/>
    <w:uiPriority w:val="99"/>
    <w:unhideWhenUsed/>
    <w:rsid w:val="005E46CB"/>
    <w:pPr>
      <w:spacing w:after="0" w:line="240" w:lineRule="auto"/>
    </w:pPr>
    <w:rPr>
      <w:rFonts w:cs="Consolas"/>
    </w:rPr>
  </w:style>
  <w:style w:type="character" w:customStyle="1" w:styleId="PlainTextChar">
    <w:name w:val="Plain Text Char"/>
    <w:link w:val="PlainText"/>
    <w:uiPriority w:val="99"/>
    <w:rsid w:val="005E46CB"/>
    <w:rPr>
      <w:rFonts w:ascii="Calibri" w:hAnsi="Calibri" w:cs="Consolas"/>
      <w:szCs w:val="21"/>
    </w:rPr>
  </w:style>
  <w:style w:type="paragraph" w:customStyle="1" w:styleId="Pa4">
    <w:name w:val="Pa4"/>
    <w:basedOn w:val="Normal"/>
    <w:next w:val="Normal"/>
    <w:uiPriority w:val="99"/>
    <w:rsid w:val="00C65580"/>
    <w:pPr>
      <w:widowControl w:val="0"/>
      <w:autoSpaceDE w:val="0"/>
      <w:autoSpaceDN w:val="0"/>
      <w:adjustRightInd w:val="0"/>
      <w:spacing w:after="0" w:line="201" w:lineRule="atLeast"/>
    </w:pPr>
    <w:rPr>
      <w:rFonts w:ascii="Times" w:eastAsia="Times"/>
      <w:sz w:val="24"/>
      <w:szCs w:val="24"/>
      <w:lang w:eastAsia="zh-CN"/>
    </w:rPr>
  </w:style>
  <w:style w:type="paragraph" w:customStyle="1" w:styleId="Pa3">
    <w:name w:val="Pa3"/>
    <w:basedOn w:val="Normal"/>
    <w:next w:val="Normal"/>
    <w:uiPriority w:val="99"/>
    <w:rsid w:val="00C65580"/>
    <w:pPr>
      <w:widowControl w:val="0"/>
      <w:autoSpaceDE w:val="0"/>
      <w:autoSpaceDN w:val="0"/>
      <w:adjustRightInd w:val="0"/>
      <w:spacing w:before="160" w:after="0" w:line="201" w:lineRule="atLeast"/>
    </w:pPr>
    <w:rPr>
      <w:rFonts w:ascii="Times" w:eastAsia="Times"/>
      <w:sz w:val="24"/>
      <w:szCs w:val="24"/>
      <w:lang w:eastAsia="zh-CN"/>
    </w:rPr>
  </w:style>
  <w:style w:type="paragraph" w:customStyle="1" w:styleId="Pa12">
    <w:name w:val="Pa12"/>
    <w:basedOn w:val="Default"/>
    <w:next w:val="Default"/>
    <w:uiPriority w:val="99"/>
    <w:rsid w:val="001D613E"/>
    <w:pPr>
      <w:widowControl w:val="0"/>
      <w:spacing w:line="181" w:lineRule="atLeast"/>
    </w:pPr>
    <w:rPr>
      <w:rFonts w:ascii="Times" w:eastAsia="Times" w:hAnsi="Calibri" w:cs="Times New Roman"/>
      <w:color w:val="auto"/>
      <w:lang w:eastAsia="zh-CN"/>
    </w:rPr>
  </w:style>
  <w:style w:type="table" w:customStyle="1" w:styleId="GridTable1Light1">
    <w:name w:val="Grid Table 1 Light1"/>
    <w:basedOn w:val="TableNormal"/>
    <w:uiPriority w:val="46"/>
    <w:rsid w:val="004D2609"/>
    <w:rPr>
      <w:lang w:val="es-CO"/>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varticlesectionclear">
    <w:name w:val="svarticle section clear"/>
    <w:basedOn w:val="Normal"/>
    <w:rsid w:val="00DF58D6"/>
    <w:pPr>
      <w:spacing w:before="100" w:beforeAutospacing="1" w:after="100" w:afterAutospacing="1" w:line="240" w:lineRule="auto"/>
    </w:pPr>
    <w:rPr>
      <w:rFonts w:ascii="SimSun" w:eastAsia="SimSun" w:hAnsi="SimSun" w:cs="SimSun"/>
      <w:sz w:val="24"/>
      <w:szCs w:val="24"/>
      <w:lang w:eastAsia="zh-CN"/>
    </w:rPr>
  </w:style>
  <w:style w:type="table" w:customStyle="1" w:styleId="TabeladeLista2-Destaque31">
    <w:name w:val="Tabela de Lista 2 - Destaque 31"/>
    <w:basedOn w:val="TableNormal"/>
    <w:uiPriority w:val="47"/>
    <w:rsid w:val="008313F6"/>
    <w:rPr>
      <w:lang w:val="pt-PT"/>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deLista6Colorida-Destaque31">
    <w:name w:val="Tabela de Lista 6 Colorida - Destaque 31"/>
    <w:basedOn w:val="TableNormal"/>
    <w:uiPriority w:val="51"/>
    <w:rsid w:val="008313F6"/>
    <w:rPr>
      <w:color w:val="7B7B7B"/>
      <w:lang w:val="pt-PT"/>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Caption">
    <w:name w:val="caption"/>
    <w:basedOn w:val="Normal"/>
    <w:next w:val="Normal"/>
    <w:uiPriority w:val="35"/>
    <w:unhideWhenUsed/>
    <w:qFormat/>
    <w:rsid w:val="00501E4B"/>
    <w:pPr>
      <w:spacing w:line="240" w:lineRule="auto"/>
    </w:pPr>
    <w:rPr>
      <w:b/>
      <w:bCs/>
      <w:color w:val="404040" w:themeColor="text1" w:themeTint="BF"/>
      <w:sz w:val="16"/>
      <w:szCs w:val="16"/>
    </w:rPr>
  </w:style>
  <w:style w:type="paragraph" w:styleId="TableofFigures">
    <w:name w:val="table of figures"/>
    <w:basedOn w:val="Normal"/>
    <w:next w:val="Normal"/>
    <w:uiPriority w:val="99"/>
    <w:unhideWhenUsed/>
    <w:rsid w:val="00C67522"/>
    <w:pPr>
      <w:spacing w:after="0"/>
    </w:pPr>
  </w:style>
  <w:style w:type="character" w:customStyle="1" w:styleId="text">
    <w:name w:val="text"/>
    <w:basedOn w:val="DefaultParagraphFont"/>
    <w:rsid w:val="00C67522"/>
  </w:style>
  <w:style w:type="character" w:customStyle="1" w:styleId="highlight1">
    <w:name w:val="highlight1"/>
    <w:rsid w:val="00F04A64"/>
    <w:rPr>
      <w:rFonts w:cs="Times New Roman"/>
      <w:shd w:val="clear" w:color="auto" w:fill="D6EBF9"/>
    </w:rPr>
  </w:style>
  <w:style w:type="character" w:customStyle="1" w:styleId="web-item2">
    <w:name w:val="web-item2"/>
    <w:rsid w:val="00E259BA"/>
    <w:rPr>
      <w:sz w:val="18"/>
      <w:szCs w:val="18"/>
    </w:rPr>
  </w:style>
  <w:style w:type="paragraph" w:styleId="EndnoteText">
    <w:name w:val="endnote text"/>
    <w:basedOn w:val="Normal"/>
    <w:link w:val="EndnoteTextChar"/>
    <w:uiPriority w:val="99"/>
    <w:semiHidden/>
    <w:unhideWhenUsed/>
    <w:rsid w:val="00B40280"/>
    <w:pPr>
      <w:spacing w:after="0" w:line="240" w:lineRule="auto"/>
    </w:pPr>
    <w:rPr>
      <w:sz w:val="20"/>
      <w:szCs w:val="20"/>
    </w:rPr>
  </w:style>
  <w:style w:type="character" w:customStyle="1" w:styleId="EndnoteTextChar">
    <w:name w:val="Endnote Text Char"/>
    <w:link w:val="EndnoteText"/>
    <w:uiPriority w:val="99"/>
    <w:semiHidden/>
    <w:rsid w:val="00B40280"/>
    <w:rPr>
      <w:sz w:val="20"/>
      <w:szCs w:val="20"/>
    </w:rPr>
  </w:style>
  <w:style w:type="character" w:styleId="EndnoteReference">
    <w:name w:val="endnote reference"/>
    <w:uiPriority w:val="99"/>
    <w:semiHidden/>
    <w:unhideWhenUsed/>
    <w:rsid w:val="00B40280"/>
    <w:rPr>
      <w:vertAlign w:val="superscript"/>
    </w:rPr>
  </w:style>
  <w:style w:type="character" w:customStyle="1" w:styleId="Heading5Char">
    <w:name w:val="Heading 5 Char"/>
    <w:basedOn w:val="DefaultParagraphFont"/>
    <w:link w:val="Heading5"/>
    <w:uiPriority w:val="9"/>
    <w:rsid w:val="00501E4B"/>
    <w:rPr>
      <w:rFonts w:asciiTheme="majorHAnsi" w:eastAsiaTheme="majorEastAsia" w:hAnsiTheme="majorHAnsi" w:cstheme="majorBidi"/>
      <w:color w:val="943634" w:themeColor="accent2" w:themeShade="BF"/>
      <w:sz w:val="24"/>
      <w:szCs w:val="24"/>
    </w:rPr>
  </w:style>
  <w:style w:type="character" w:customStyle="1" w:styleId="Heading7Char">
    <w:name w:val="Heading 7 Char"/>
    <w:basedOn w:val="DefaultParagraphFont"/>
    <w:link w:val="Heading7"/>
    <w:uiPriority w:val="9"/>
    <w:rsid w:val="00501E4B"/>
    <w:rPr>
      <w:rFonts w:asciiTheme="majorHAnsi" w:eastAsiaTheme="majorEastAsia" w:hAnsiTheme="majorHAnsi" w:cstheme="majorBidi"/>
      <w:b/>
      <w:bCs/>
      <w:color w:val="632423" w:themeColor="accent2" w:themeShade="80"/>
      <w:sz w:val="22"/>
      <w:szCs w:val="22"/>
    </w:rPr>
  </w:style>
  <w:style w:type="character" w:customStyle="1" w:styleId="Heading8Char">
    <w:name w:val="Heading 8 Char"/>
    <w:basedOn w:val="DefaultParagraphFont"/>
    <w:link w:val="Heading8"/>
    <w:uiPriority w:val="9"/>
    <w:rsid w:val="00501E4B"/>
    <w:rPr>
      <w:rFonts w:asciiTheme="majorHAnsi" w:eastAsiaTheme="majorEastAsia" w:hAnsiTheme="majorHAnsi" w:cstheme="majorBidi"/>
      <w:color w:val="632423" w:themeColor="accent2" w:themeShade="80"/>
      <w:sz w:val="22"/>
      <w:szCs w:val="22"/>
    </w:rPr>
  </w:style>
  <w:style w:type="character" w:customStyle="1" w:styleId="Heading9Char">
    <w:name w:val="Heading 9 Char"/>
    <w:basedOn w:val="DefaultParagraphFont"/>
    <w:link w:val="Heading9"/>
    <w:uiPriority w:val="9"/>
    <w:rsid w:val="00501E4B"/>
    <w:rPr>
      <w:rFonts w:asciiTheme="majorHAnsi" w:eastAsiaTheme="majorEastAsia" w:hAnsiTheme="majorHAnsi" w:cstheme="majorBidi"/>
      <w:i/>
      <w:iCs/>
      <w:color w:val="632423" w:themeColor="accent2" w:themeShade="80"/>
      <w:sz w:val="22"/>
      <w:szCs w:val="22"/>
    </w:rPr>
  </w:style>
  <w:style w:type="table" w:customStyle="1" w:styleId="GridTable2-Accent51">
    <w:name w:val="Grid Table 2 - Accent 51"/>
    <w:basedOn w:val="TableNormal"/>
    <w:uiPriority w:val="47"/>
    <w:rsid w:val="00DF3F06"/>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51">
    <w:name w:val="List Table 5 Dark - Accent 51"/>
    <w:basedOn w:val="TableNormal"/>
    <w:uiPriority w:val="50"/>
    <w:rsid w:val="00DF3F06"/>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3-Accent51">
    <w:name w:val="List Table 3 - Accent 51"/>
    <w:basedOn w:val="TableNormal"/>
    <w:uiPriority w:val="48"/>
    <w:rsid w:val="00DF3F06"/>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5Dark-Accent11">
    <w:name w:val="List Table 5 Dark - Accent 11"/>
    <w:basedOn w:val="TableNormal"/>
    <w:uiPriority w:val="50"/>
    <w:rsid w:val="00DF3F06"/>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4-Accent51">
    <w:name w:val="List Table 4 - Accent 51"/>
    <w:basedOn w:val="TableNormal"/>
    <w:uiPriority w:val="49"/>
    <w:rsid w:val="00DF3F06"/>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3-Accent61">
    <w:name w:val="List Table 3 - Accent 61"/>
    <w:basedOn w:val="TableNormal"/>
    <w:uiPriority w:val="48"/>
    <w:rsid w:val="00DF3F06"/>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PlainTable31">
    <w:name w:val="Plain Table 31"/>
    <w:basedOn w:val="TableNormal"/>
    <w:uiPriority w:val="43"/>
    <w:rsid w:val="00DF3F0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F3F0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Heading1">
    <w:name w:val="TOC Heading1"/>
    <w:basedOn w:val="Heading1"/>
    <w:next w:val="Normal"/>
    <w:uiPriority w:val="39"/>
    <w:unhideWhenUsed/>
    <w:rsid w:val="00DF3F06"/>
    <w:pPr>
      <w:spacing w:before="240" w:after="0" w:line="259" w:lineRule="auto"/>
      <w:outlineLvl w:val="9"/>
    </w:pPr>
    <w:rPr>
      <w:rFonts w:ascii="Calibri Light" w:hAnsi="Calibri Light"/>
      <w:b/>
      <w:bCs/>
      <w:color w:val="2E74B5"/>
      <w:sz w:val="32"/>
      <w:szCs w:val="32"/>
    </w:rPr>
  </w:style>
  <w:style w:type="paragraph" w:styleId="TOC1">
    <w:name w:val="toc 1"/>
    <w:basedOn w:val="Normal"/>
    <w:next w:val="Normal"/>
    <w:autoRedefine/>
    <w:uiPriority w:val="39"/>
    <w:unhideWhenUsed/>
    <w:rsid w:val="00DF3F06"/>
    <w:pPr>
      <w:spacing w:before="100" w:beforeAutospacing="1" w:line="252" w:lineRule="auto"/>
    </w:pPr>
    <w:rPr>
      <w:rFonts w:eastAsia="Times New Roman"/>
    </w:rPr>
  </w:style>
  <w:style w:type="paragraph" w:styleId="TOC3">
    <w:name w:val="toc 3"/>
    <w:basedOn w:val="Normal"/>
    <w:next w:val="Normal"/>
    <w:autoRedefine/>
    <w:uiPriority w:val="39"/>
    <w:unhideWhenUsed/>
    <w:rsid w:val="00DF3F06"/>
    <w:pPr>
      <w:spacing w:before="100" w:beforeAutospacing="1" w:line="252" w:lineRule="auto"/>
      <w:ind w:left="440"/>
    </w:pPr>
    <w:rPr>
      <w:rFonts w:eastAsia="Times New Roman"/>
    </w:rPr>
  </w:style>
  <w:style w:type="paragraph" w:styleId="TOC4">
    <w:name w:val="toc 4"/>
    <w:basedOn w:val="Normal"/>
    <w:next w:val="Normal"/>
    <w:autoRedefine/>
    <w:uiPriority w:val="39"/>
    <w:unhideWhenUsed/>
    <w:rsid w:val="00DF3F06"/>
    <w:pPr>
      <w:spacing w:before="100" w:beforeAutospacing="1" w:line="252" w:lineRule="auto"/>
      <w:ind w:left="660"/>
    </w:pPr>
    <w:rPr>
      <w:rFonts w:eastAsia="Times New Roman"/>
    </w:rPr>
  </w:style>
  <w:style w:type="paragraph" w:styleId="TOC5">
    <w:name w:val="toc 5"/>
    <w:basedOn w:val="Normal"/>
    <w:next w:val="Normal"/>
    <w:autoRedefine/>
    <w:uiPriority w:val="39"/>
    <w:unhideWhenUsed/>
    <w:rsid w:val="00DF3F06"/>
    <w:pPr>
      <w:spacing w:before="100" w:beforeAutospacing="1" w:line="252" w:lineRule="auto"/>
      <w:ind w:left="880"/>
    </w:pPr>
    <w:rPr>
      <w:rFonts w:eastAsia="Times New Roman"/>
    </w:rPr>
  </w:style>
  <w:style w:type="paragraph" w:styleId="TOC7">
    <w:name w:val="toc 7"/>
    <w:basedOn w:val="Normal"/>
    <w:next w:val="Normal"/>
    <w:autoRedefine/>
    <w:uiPriority w:val="39"/>
    <w:unhideWhenUsed/>
    <w:rsid w:val="00DF3F06"/>
    <w:pPr>
      <w:spacing w:before="100" w:beforeAutospacing="1" w:line="252" w:lineRule="auto"/>
      <w:ind w:left="1320"/>
    </w:pPr>
    <w:rPr>
      <w:rFonts w:eastAsia="Times New Roman"/>
    </w:rPr>
  </w:style>
  <w:style w:type="paragraph" w:styleId="TOC8">
    <w:name w:val="toc 8"/>
    <w:basedOn w:val="Normal"/>
    <w:next w:val="Normal"/>
    <w:autoRedefine/>
    <w:uiPriority w:val="39"/>
    <w:unhideWhenUsed/>
    <w:rsid w:val="00DF3F06"/>
    <w:pPr>
      <w:spacing w:before="100" w:beforeAutospacing="1" w:line="252" w:lineRule="auto"/>
      <w:ind w:left="1540"/>
    </w:pPr>
    <w:rPr>
      <w:rFonts w:eastAsia="Times New Roman"/>
    </w:rPr>
  </w:style>
  <w:style w:type="paragraph" w:styleId="TOC9">
    <w:name w:val="toc 9"/>
    <w:basedOn w:val="Normal"/>
    <w:next w:val="Normal"/>
    <w:autoRedefine/>
    <w:uiPriority w:val="39"/>
    <w:unhideWhenUsed/>
    <w:rsid w:val="00DF3F06"/>
    <w:pPr>
      <w:spacing w:before="100" w:beforeAutospacing="1" w:line="252" w:lineRule="auto"/>
      <w:ind w:left="1760"/>
    </w:pPr>
    <w:rPr>
      <w:rFonts w:eastAsia="Times New Roman"/>
    </w:rPr>
  </w:style>
  <w:style w:type="character" w:customStyle="1" w:styleId="ilfuvd">
    <w:name w:val="ilfuvd"/>
    <w:basedOn w:val="DefaultParagraphFont"/>
    <w:rsid w:val="00DF3F06"/>
  </w:style>
  <w:style w:type="character" w:customStyle="1" w:styleId="st">
    <w:name w:val="st"/>
    <w:basedOn w:val="DefaultParagraphFont"/>
    <w:rsid w:val="00DF3F06"/>
  </w:style>
  <w:style w:type="character" w:customStyle="1" w:styleId="html-italic">
    <w:name w:val="html-italic"/>
    <w:basedOn w:val="DefaultParagraphFont"/>
    <w:rsid w:val="00DF3F06"/>
  </w:style>
  <w:style w:type="character" w:customStyle="1" w:styleId="articletitle">
    <w:name w:val="articletitle"/>
    <w:basedOn w:val="DefaultParagraphFont"/>
    <w:rsid w:val="00DF3F06"/>
  </w:style>
  <w:style w:type="character" w:customStyle="1" w:styleId="pubyear">
    <w:name w:val="pubyear"/>
    <w:basedOn w:val="DefaultParagraphFont"/>
    <w:rsid w:val="00DF3F06"/>
  </w:style>
  <w:style w:type="character" w:customStyle="1" w:styleId="vol">
    <w:name w:val="vol"/>
    <w:basedOn w:val="DefaultParagraphFont"/>
    <w:rsid w:val="00DF3F06"/>
  </w:style>
  <w:style w:type="character" w:customStyle="1" w:styleId="booktitle">
    <w:name w:val="booktitle"/>
    <w:basedOn w:val="DefaultParagraphFont"/>
    <w:rsid w:val="00DF3F06"/>
  </w:style>
  <w:style w:type="character" w:customStyle="1" w:styleId="edition">
    <w:name w:val="edition"/>
    <w:basedOn w:val="DefaultParagraphFont"/>
    <w:rsid w:val="00DF3F06"/>
  </w:style>
  <w:style w:type="character" w:customStyle="1" w:styleId="ej-keyword">
    <w:name w:val="ej-keyword"/>
    <w:basedOn w:val="DefaultParagraphFont"/>
    <w:rsid w:val="00DF3F06"/>
  </w:style>
  <w:style w:type="table" w:customStyle="1" w:styleId="PlainTable11">
    <w:name w:val="Plain Table 11"/>
    <w:basedOn w:val="TableNormal"/>
    <w:uiPriority w:val="41"/>
    <w:rsid w:val="00DF3F0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DF3F06"/>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1Title">
    <w:name w:val="01 Title"/>
    <w:basedOn w:val="Normal"/>
    <w:next w:val="Normal"/>
    <w:rsid w:val="00E37D94"/>
    <w:pPr>
      <w:spacing w:before="520" w:after="460" w:line="500" w:lineRule="exact"/>
      <w:jc w:val="center"/>
    </w:pPr>
    <w:rPr>
      <w:rFonts w:ascii="Times New Roman" w:eastAsia="SimSun" w:hAnsi="Times New Roman"/>
      <w:b/>
      <w:sz w:val="40"/>
    </w:rPr>
  </w:style>
  <w:style w:type="paragraph" w:customStyle="1" w:styleId="02Author">
    <w:name w:val="02 Author"/>
    <w:basedOn w:val="Normal"/>
    <w:next w:val="Normal"/>
    <w:rsid w:val="00542F1E"/>
    <w:pPr>
      <w:spacing w:before="360" w:after="200" w:line="240" w:lineRule="auto"/>
      <w:jc w:val="center"/>
    </w:pPr>
    <w:rPr>
      <w:rFonts w:ascii="Times New Roman" w:eastAsia="SimSun" w:hAnsi="Times New Roman"/>
      <w:b/>
      <w:sz w:val="20"/>
    </w:rPr>
  </w:style>
  <w:style w:type="character" w:customStyle="1" w:styleId="09BodyIndentChar">
    <w:name w:val="09 Body Indent Char"/>
    <w:link w:val="09BodyIndent"/>
    <w:rsid w:val="00E72B79"/>
    <w:rPr>
      <w:rFonts w:ascii="Times New Roman" w:eastAsia="Malgun Gothic" w:hAnsi="Times New Roman"/>
    </w:rPr>
  </w:style>
  <w:style w:type="character" w:customStyle="1" w:styleId="08BodyChar">
    <w:name w:val="08 Body Char"/>
    <w:link w:val="08Body"/>
    <w:rsid w:val="00E72B79"/>
    <w:rPr>
      <w:rFonts w:ascii="Times New Roman" w:hAnsi="Times New Roman"/>
      <w:spacing w:val="-8"/>
    </w:rPr>
  </w:style>
  <w:style w:type="paragraph" w:customStyle="1" w:styleId="08Body">
    <w:name w:val="08 Body"/>
    <w:basedOn w:val="Normal"/>
    <w:next w:val="09BodyIndent"/>
    <w:link w:val="08BodyChar"/>
    <w:rsid w:val="00E72B79"/>
    <w:pPr>
      <w:spacing w:after="0" w:line="240" w:lineRule="auto"/>
      <w:jc w:val="both"/>
    </w:pPr>
    <w:rPr>
      <w:rFonts w:ascii="Times New Roman" w:hAnsi="Times New Roman"/>
      <w:spacing w:val="-8"/>
    </w:rPr>
  </w:style>
  <w:style w:type="paragraph" w:customStyle="1" w:styleId="20Heading1">
    <w:name w:val="20 Heading 1"/>
    <w:basedOn w:val="08Body"/>
    <w:rsid w:val="00E72B79"/>
    <w:pPr>
      <w:spacing w:before="360" w:after="200"/>
    </w:pPr>
    <w:rPr>
      <w:b/>
      <w:sz w:val="28"/>
      <w:szCs w:val="28"/>
    </w:rPr>
  </w:style>
  <w:style w:type="paragraph" w:customStyle="1" w:styleId="07KeyWords">
    <w:name w:val="07 Key Words"/>
    <w:basedOn w:val="Normal"/>
    <w:next w:val="08Body"/>
    <w:rsid w:val="00E72B79"/>
    <w:pPr>
      <w:spacing w:before="320" w:after="240" w:line="240" w:lineRule="auto"/>
      <w:ind w:left="318" w:right="318"/>
      <w:jc w:val="both"/>
    </w:pPr>
    <w:rPr>
      <w:rFonts w:ascii="Times New Roman" w:eastAsia="SimSun" w:hAnsi="Times New Roman"/>
      <w:i/>
      <w:spacing w:val="-2"/>
      <w:sz w:val="20"/>
    </w:rPr>
  </w:style>
  <w:style w:type="paragraph" w:customStyle="1" w:styleId="21Heading2">
    <w:name w:val="21 Heading 2"/>
    <w:basedOn w:val="09BodyIndent"/>
    <w:rsid w:val="00E72B79"/>
    <w:pPr>
      <w:spacing w:before="220" w:after="100"/>
      <w:ind w:firstLine="0"/>
    </w:pPr>
    <w:rPr>
      <w:b/>
      <w:sz w:val="24"/>
    </w:rPr>
  </w:style>
  <w:style w:type="paragraph" w:customStyle="1" w:styleId="19FigureMulti-LinesCaption">
    <w:name w:val="19 Figure Multi-Lines Caption"/>
    <w:basedOn w:val="Normal"/>
    <w:next w:val="08Body"/>
    <w:rsid w:val="00E72B79"/>
    <w:pPr>
      <w:spacing w:before="120" w:after="120" w:line="200" w:lineRule="exact"/>
    </w:pPr>
    <w:rPr>
      <w:rFonts w:ascii="Times New Roman" w:eastAsia="SimSun" w:hAnsi="Times New Roman" w:cs="AdvOT8910dd71"/>
      <w:sz w:val="16"/>
      <w:szCs w:val="14"/>
    </w:rPr>
  </w:style>
  <w:style w:type="paragraph" w:customStyle="1" w:styleId="14TableTitle">
    <w:name w:val="14 Table Title"/>
    <w:basedOn w:val="09BodyIndent"/>
    <w:rsid w:val="00E72B79"/>
    <w:pPr>
      <w:spacing w:before="240"/>
      <w:ind w:firstLine="0"/>
      <w:jc w:val="center"/>
    </w:pPr>
    <w:rPr>
      <w:b/>
      <w:sz w:val="16"/>
      <w:szCs w:val="18"/>
    </w:rPr>
  </w:style>
  <w:style w:type="paragraph" w:customStyle="1" w:styleId="BodyText1">
    <w:name w:val="Body Text1"/>
    <w:rsid w:val="00E72B79"/>
    <w:pPr>
      <w:spacing w:after="120" w:line="228" w:lineRule="auto"/>
      <w:ind w:firstLine="288"/>
      <w:jc w:val="both"/>
    </w:pPr>
    <w:rPr>
      <w:rFonts w:ascii="Times New Roman" w:eastAsia="ヒラギノ角ゴ Pro W3" w:hAnsi="Times New Roman"/>
      <w:color w:val="000000"/>
      <w:spacing w:val="-1"/>
      <w:lang w:eastAsia="zh-CN"/>
    </w:rPr>
  </w:style>
  <w:style w:type="paragraph" w:customStyle="1" w:styleId="15TableHeading">
    <w:name w:val="15 Table Heading"/>
    <w:basedOn w:val="09BodyIndent"/>
    <w:rsid w:val="00E72B79"/>
    <w:pPr>
      <w:ind w:firstLine="0"/>
      <w:jc w:val="center"/>
    </w:pPr>
    <w:rPr>
      <w:sz w:val="16"/>
      <w:szCs w:val="18"/>
    </w:rPr>
  </w:style>
  <w:style w:type="paragraph" w:customStyle="1" w:styleId="13Reference">
    <w:name w:val="13 Reference"/>
    <w:basedOn w:val="Normal"/>
    <w:rsid w:val="00E72B79"/>
    <w:pPr>
      <w:numPr>
        <w:numId w:val="1"/>
      </w:numPr>
      <w:autoSpaceDE w:val="0"/>
      <w:autoSpaceDN w:val="0"/>
      <w:adjustRightInd w:val="0"/>
      <w:spacing w:after="0" w:line="240" w:lineRule="auto"/>
      <w:jc w:val="both"/>
    </w:pPr>
    <w:rPr>
      <w:rFonts w:ascii="Times New Roman" w:eastAsia="SimSun" w:hAnsi="Times New Roman" w:cs="AdvOT9cb306be.B"/>
      <w:sz w:val="16"/>
      <w:szCs w:val="18"/>
    </w:rPr>
  </w:style>
  <w:style w:type="paragraph" w:customStyle="1" w:styleId="16TableBody">
    <w:name w:val="16 Table Body"/>
    <w:basedOn w:val="09BodyIndent"/>
    <w:rsid w:val="00E72B79"/>
    <w:pPr>
      <w:ind w:firstLine="0"/>
      <w:jc w:val="center"/>
    </w:pPr>
    <w:rPr>
      <w:sz w:val="16"/>
      <w:szCs w:val="18"/>
    </w:rPr>
  </w:style>
  <w:style w:type="paragraph" w:customStyle="1" w:styleId="09BodyIndent">
    <w:name w:val="09 Body Indent"/>
    <w:basedOn w:val="08Body"/>
    <w:link w:val="09BodyIndentChar"/>
    <w:rsid w:val="00E72B79"/>
    <w:pPr>
      <w:autoSpaceDE w:val="0"/>
      <w:autoSpaceDN w:val="0"/>
      <w:adjustRightInd w:val="0"/>
      <w:ind w:firstLine="210"/>
    </w:pPr>
    <w:rPr>
      <w:rFonts w:eastAsia="Malgun Gothic"/>
      <w:spacing w:val="0"/>
    </w:rPr>
  </w:style>
  <w:style w:type="table" w:customStyle="1" w:styleId="TableGrid1">
    <w:name w:val="Table Grid1"/>
    <w:basedOn w:val="TableNormal"/>
    <w:next w:val="TableGrid"/>
    <w:uiPriority w:val="59"/>
    <w:rsid w:val="00CC464D"/>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ED55F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CitaviLiteraturverzeichnis">
    <w:name w:val="Citavi Literaturverzeichnis"/>
    <w:basedOn w:val="Normal"/>
    <w:rsid w:val="00AC4445"/>
    <w:pPr>
      <w:spacing w:after="0" w:line="240" w:lineRule="auto"/>
      <w:ind w:left="340" w:hanging="340"/>
    </w:pPr>
    <w:rPr>
      <w:rFonts w:ascii="Segoe UI" w:eastAsia="Segoe UI" w:hAnsi="Segoe UI" w:cs="Segoe UI"/>
      <w:sz w:val="18"/>
      <w:szCs w:val="18"/>
      <w:lang w:val="de-AT" w:eastAsia="de-AT"/>
    </w:rPr>
  </w:style>
  <w:style w:type="table" w:styleId="LightShading">
    <w:name w:val="Light Shading"/>
    <w:basedOn w:val="TableNormal"/>
    <w:uiPriority w:val="60"/>
    <w:rsid w:val="00AC444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LineNumber">
    <w:name w:val="line number"/>
    <w:uiPriority w:val="99"/>
    <w:semiHidden/>
    <w:unhideWhenUsed/>
    <w:rsid w:val="00AC4445"/>
  </w:style>
  <w:style w:type="character" w:customStyle="1" w:styleId="ListParagraphChar">
    <w:name w:val="List Paragraph Char"/>
    <w:link w:val="ListParagraph"/>
    <w:uiPriority w:val="34"/>
    <w:locked/>
    <w:rsid w:val="00AC4445"/>
  </w:style>
  <w:style w:type="character" w:customStyle="1" w:styleId="collabsible-text">
    <w:name w:val="collabsible-text"/>
    <w:rsid w:val="00AC4445"/>
  </w:style>
  <w:style w:type="character" w:customStyle="1" w:styleId="current-selection">
    <w:name w:val="current-selection"/>
    <w:rsid w:val="00AC4445"/>
  </w:style>
  <w:style w:type="character" w:customStyle="1" w:styleId="a">
    <w:name w:val="_"/>
    <w:rsid w:val="00AC4445"/>
  </w:style>
  <w:style w:type="paragraph" w:customStyle="1" w:styleId="Titel1">
    <w:name w:val="Titel1"/>
    <w:basedOn w:val="Normal"/>
    <w:rsid w:val="00AC4445"/>
    <w:pPr>
      <w:spacing w:before="100" w:beforeAutospacing="1" w:after="100" w:afterAutospacing="1" w:line="240" w:lineRule="auto"/>
    </w:pPr>
    <w:rPr>
      <w:rFonts w:ascii="Times New Roman" w:eastAsia="Times New Roman" w:hAnsi="Times New Roman"/>
      <w:sz w:val="24"/>
      <w:szCs w:val="24"/>
      <w:lang w:val="de-DE" w:eastAsia="de-DE"/>
    </w:rPr>
  </w:style>
  <w:style w:type="character" w:customStyle="1" w:styleId="EndNoteBibliographyTitleZchn">
    <w:name w:val="EndNote Bibliography Title Zchn"/>
    <w:rsid w:val="00AC4445"/>
    <w:rPr>
      <w:rFonts w:ascii="Times New Roman" w:eastAsia="Times New Roman" w:hAnsi="Times New Roman" w:cs="Times New Roman"/>
      <w:noProof/>
      <w:sz w:val="24"/>
    </w:rPr>
  </w:style>
  <w:style w:type="character" w:customStyle="1" w:styleId="EndNoteBibliographyZchn">
    <w:name w:val="EndNote Bibliography Zchn"/>
    <w:rsid w:val="00AC4445"/>
    <w:rPr>
      <w:rFonts w:ascii="Times New Roman" w:eastAsia="Times New Roman" w:hAnsi="Times New Roman" w:cs="Times New Roman"/>
      <w:noProof/>
      <w:sz w:val="24"/>
    </w:rPr>
  </w:style>
  <w:style w:type="table" w:customStyle="1" w:styleId="Tabellenraster1">
    <w:name w:val="Tabellenraster1"/>
    <w:basedOn w:val="TableNormal"/>
    <w:next w:val="TableGrid"/>
    <w:uiPriority w:val="59"/>
    <w:rsid w:val="00AC4445"/>
    <w:rPr>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orpsdetexteArial10pt">
    <w:name w:val="Style Corps de texte + Arial 10 pt"/>
    <w:basedOn w:val="BodyText"/>
    <w:uiPriority w:val="99"/>
    <w:rsid w:val="00E31E9A"/>
    <w:pPr>
      <w:widowControl/>
      <w:spacing w:before="60"/>
      <w:ind w:left="720"/>
      <w:jc w:val="both"/>
    </w:pPr>
    <w:rPr>
      <w:rFonts w:ascii="Arial" w:hAnsi="Arial"/>
      <w:sz w:val="20"/>
      <w:szCs w:val="20"/>
      <w:lang w:eastAsia="fr-FR"/>
    </w:rPr>
  </w:style>
  <w:style w:type="paragraph" w:customStyle="1" w:styleId="yiv6584958506msonormal">
    <w:name w:val="yiv6584958506msonormal"/>
    <w:basedOn w:val="Normal"/>
    <w:rsid w:val="004E66F1"/>
    <w:pPr>
      <w:spacing w:before="100" w:beforeAutospacing="1" w:after="100" w:afterAutospacing="1" w:line="240" w:lineRule="auto"/>
    </w:pPr>
    <w:rPr>
      <w:rFonts w:ascii="Arial" w:eastAsia="Times New Roman" w:hAnsi="Arial" w:cs="Arial"/>
      <w:sz w:val="24"/>
      <w:szCs w:val="24"/>
      <w:lang w:val="pt-BR" w:eastAsia="pt-BR"/>
    </w:rPr>
  </w:style>
  <w:style w:type="paragraph" w:customStyle="1" w:styleId="p1">
    <w:name w:val="p1"/>
    <w:basedOn w:val="Normal"/>
    <w:rsid w:val="004E66F1"/>
    <w:pPr>
      <w:spacing w:after="0" w:line="240" w:lineRule="auto"/>
    </w:pPr>
    <w:rPr>
      <w:rFonts w:ascii="Times" w:eastAsiaTheme="minorHAnsi" w:hAnsi="Times" w:cs="Arial"/>
      <w:sz w:val="15"/>
      <w:szCs w:val="15"/>
    </w:rPr>
  </w:style>
  <w:style w:type="character" w:customStyle="1" w:styleId="CollegamentoInternet">
    <w:name w:val="Collegamento Internet"/>
    <w:basedOn w:val="DefaultParagraphFont"/>
    <w:uiPriority w:val="99"/>
    <w:unhideWhenUsed/>
    <w:rsid w:val="00BF29EE"/>
    <w:rPr>
      <w:color w:val="0000FF" w:themeColor="hyperlink"/>
      <w:u w:val="single"/>
    </w:rPr>
  </w:style>
  <w:style w:type="table" w:customStyle="1" w:styleId="Sfondochiaro11">
    <w:name w:val="Sfondo chiaro11"/>
    <w:basedOn w:val="TableNormal"/>
    <w:uiPriority w:val="60"/>
    <w:rsid w:val="002275CB"/>
    <w:rPr>
      <w:color w:val="000000" w:themeColor="text1" w:themeShade="BF"/>
      <w:lang w:val="it-IT"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fondochiaro1">
    <w:name w:val="Sfondo chiaro1"/>
    <w:basedOn w:val="TableNormal"/>
    <w:uiPriority w:val="60"/>
    <w:rsid w:val="00431364"/>
    <w:rPr>
      <w:rFonts w:eastAsiaTheme="minorHAnsi"/>
      <w:color w:val="000000" w:themeColor="text1" w:themeShade="BF"/>
      <w:sz w:val="22"/>
      <w:szCs w:val="22"/>
      <w:lang w:val="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n-label">
    <w:name w:val="fn-label"/>
    <w:basedOn w:val="DefaultParagraphFont"/>
    <w:rsid w:val="00C23A58"/>
  </w:style>
  <w:style w:type="paragraph" w:customStyle="1" w:styleId="a0">
    <w:name w:val="Κύριο τμήμα"/>
    <w:rsid w:val="00D3565D"/>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l-GR"/>
    </w:rPr>
  </w:style>
  <w:style w:type="character" w:styleId="HTMLCode">
    <w:name w:val="HTML Code"/>
    <w:basedOn w:val="DefaultParagraphFont"/>
    <w:uiPriority w:val="99"/>
    <w:semiHidden/>
    <w:unhideWhenUsed/>
    <w:rsid w:val="00FF33C3"/>
    <w:rPr>
      <w:rFonts w:ascii="Courier New" w:eastAsiaTheme="minorHAnsi" w:hAnsi="Courier New" w:cs="Courier New" w:hint="default"/>
      <w:sz w:val="20"/>
      <w:szCs w:val="20"/>
    </w:rPr>
  </w:style>
  <w:style w:type="character" w:customStyle="1" w:styleId="il">
    <w:name w:val="il"/>
    <w:rsid w:val="006F4F17"/>
    <w:rPr>
      <w:lang w:val="en-US"/>
    </w:rPr>
  </w:style>
  <w:style w:type="paragraph" w:customStyle="1" w:styleId="Body">
    <w:name w:val="Body"/>
    <w:rsid w:val="00A958C3"/>
    <w:rPr>
      <w:rFonts w:ascii="Times New Roman" w:eastAsia="Arial Unicode MS" w:hAnsi="Times New Roman" w:cs="Arial Unicode MS"/>
      <w:color w:val="000000"/>
      <w:sz w:val="24"/>
      <w:szCs w:val="24"/>
      <w:u w:color="000000"/>
      <w:lang w:eastAsia="fr-FR"/>
    </w:rPr>
  </w:style>
  <w:style w:type="paragraph" w:styleId="Subtitle">
    <w:name w:val="Subtitle"/>
    <w:basedOn w:val="Normal"/>
    <w:next w:val="Normal"/>
    <w:link w:val="SubtitleChar"/>
    <w:uiPriority w:val="11"/>
    <w:qFormat/>
    <w:rsid w:val="00501E4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01E4B"/>
    <w:rPr>
      <w:caps/>
      <w:color w:val="404040" w:themeColor="text1" w:themeTint="BF"/>
      <w:spacing w:val="20"/>
      <w:sz w:val="28"/>
      <w:szCs w:val="28"/>
    </w:rPr>
  </w:style>
  <w:style w:type="paragraph" w:styleId="Bibliography">
    <w:name w:val="Bibliography"/>
    <w:basedOn w:val="Normal"/>
    <w:next w:val="Normal"/>
    <w:uiPriority w:val="37"/>
    <w:semiHidden/>
    <w:unhideWhenUsed/>
    <w:rsid w:val="007C23B6"/>
  </w:style>
  <w:style w:type="paragraph" w:customStyle="1" w:styleId="MDPI17abstract">
    <w:name w:val="MDPI_1.7_abstract"/>
    <w:next w:val="Normal"/>
    <w:rsid w:val="009D4F4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31text">
    <w:name w:val="MDPI_3.1_text"/>
    <w:rsid w:val="009D4F4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csl-entry">
    <w:name w:val="csl-entry"/>
    <w:basedOn w:val="Normal"/>
    <w:rsid w:val="009D4F4F"/>
    <w:pPr>
      <w:spacing w:before="100" w:beforeAutospacing="1" w:after="100" w:afterAutospacing="1" w:line="240" w:lineRule="auto"/>
    </w:pPr>
    <w:rPr>
      <w:rFonts w:ascii="Times New Roman" w:hAnsi="Times New Roman"/>
      <w:sz w:val="24"/>
      <w:szCs w:val="24"/>
      <w:lang w:val="cs-CZ" w:eastAsia="en-GB"/>
    </w:rPr>
  </w:style>
  <w:style w:type="paragraph" w:customStyle="1" w:styleId="MDPI43tablefooter">
    <w:name w:val="MDPI_4.3_table_footer"/>
    <w:next w:val="MDPI31text"/>
    <w:rsid w:val="00BD2AFB"/>
    <w:pPr>
      <w:adjustRightInd w:val="0"/>
      <w:snapToGrid w:val="0"/>
      <w:spacing w:after="240" w:line="228" w:lineRule="auto"/>
      <w:ind w:left="2608"/>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rsid w:val="000146D2"/>
    <w:pPr>
      <w:adjustRightInd w:val="0"/>
      <w:snapToGrid w:val="0"/>
      <w:spacing w:before="120" w:after="240" w:line="228" w:lineRule="auto"/>
      <w:ind w:left="2608"/>
    </w:pPr>
    <w:rPr>
      <w:rFonts w:ascii="Palatino Linotype" w:eastAsia="Times New Roman" w:hAnsi="Palatino Linotype"/>
      <w:color w:val="000000"/>
      <w:sz w:val="18"/>
      <w:lang w:eastAsia="de-DE" w:bidi="en-US"/>
    </w:rPr>
  </w:style>
  <w:style w:type="character" w:customStyle="1" w:styleId="fontstyle01">
    <w:name w:val="fontstyle01"/>
    <w:basedOn w:val="DefaultParagraphFont"/>
    <w:rsid w:val="00B663D3"/>
    <w:rPr>
      <w:rFonts w:ascii="GdrxnfAdvTT3713a231" w:hAnsi="GdrxnfAdvTT3713a231" w:hint="default"/>
      <w:b w:val="0"/>
      <w:bCs w:val="0"/>
      <w:i w:val="0"/>
      <w:iCs w:val="0"/>
      <w:color w:val="231F20"/>
      <w:sz w:val="20"/>
      <w:szCs w:val="20"/>
    </w:rPr>
  </w:style>
  <w:style w:type="paragraph" w:styleId="FootnoteText">
    <w:name w:val="footnote text"/>
    <w:basedOn w:val="Normal"/>
    <w:link w:val="FootnoteTextChar"/>
    <w:rsid w:val="0042595E"/>
    <w:pPr>
      <w:widowControl w:val="0"/>
      <w:snapToGrid w:val="0"/>
      <w:spacing w:after="0" w:line="240" w:lineRule="auto"/>
    </w:pPr>
    <w:rPr>
      <w:rFonts w:ascii="Times New Roman" w:eastAsia="SimSun" w:hAnsi="Times New Roman"/>
      <w:kern w:val="2"/>
      <w:sz w:val="18"/>
      <w:szCs w:val="24"/>
      <w:lang w:eastAsia="zh-CN"/>
    </w:rPr>
  </w:style>
  <w:style w:type="character" w:customStyle="1" w:styleId="FootnoteTextChar">
    <w:name w:val="Footnote Text Char"/>
    <w:basedOn w:val="DefaultParagraphFont"/>
    <w:link w:val="FootnoteText"/>
    <w:rsid w:val="0042595E"/>
    <w:rPr>
      <w:rFonts w:ascii="Times New Roman" w:eastAsia="SimSun" w:hAnsi="Times New Roman"/>
      <w:kern w:val="2"/>
      <w:sz w:val="18"/>
      <w:szCs w:val="24"/>
      <w:lang w:eastAsia="zh-CN"/>
    </w:rPr>
  </w:style>
  <w:style w:type="paragraph" w:customStyle="1" w:styleId="paragraph">
    <w:name w:val="paragraph"/>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character" w:customStyle="1" w:styleId="referencesyear">
    <w:name w:val="references__year"/>
    <w:basedOn w:val="DefaultParagraphFont"/>
    <w:rsid w:val="0036074A"/>
  </w:style>
  <w:style w:type="paragraph" w:customStyle="1" w:styleId="ref">
    <w:name w:val="ref"/>
    <w:basedOn w:val="Normal"/>
    <w:rsid w:val="0036074A"/>
    <w:pPr>
      <w:spacing w:before="100" w:beforeAutospacing="1" w:after="100" w:afterAutospacing="1" w:line="240" w:lineRule="auto"/>
    </w:pPr>
    <w:rPr>
      <w:rFonts w:ascii="Times New Roman" w:eastAsia="Times New Roman" w:hAnsi="Times New Roman"/>
      <w:sz w:val="24"/>
      <w:szCs w:val="24"/>
      <w:lang w:val="en-GB"/>
    </w:rPr>
  </w:style>
  <w:style w:type="paragraph" w:styleId="TOC6">
    <w:name w:val="toc 6"/>
    <w:basedOn w:val="Normal"/>
    <w:next w:val="Normal"/>
    <w:autoRedefine/>
    <w:uiPriority w:val="39"/>
    <w:unhideWhenUsed/>
    <w:rsid w:val="00F2550F"/>
    <w:pPr>
      <w:spacing w:after="100"/>
      <w:ind w:left="1100"/>
    </w:pPr>
  </w:style>
  <w:style w:type="character" w:customStyle="1" w:styleId="identifier">
    <w:name w:val="identifier"/>
    <w:basedOn w:val="DefaultParagraphFont"/>
    <w:rsid w:val="00F2550F"/>
  </w:style>
  <w:style w:type="character" w:customStyle="1" w:styleId="id-label">
    <w:name w:val="id-label"/>
    <w:basedOn w:val="DefaultParagraphFont"/>
    <w:rsid w:val="00F2550F"/>
  </w:style>
  <w:style w:type="character" w:customStyle="1" w:styleId="docsum-pmid">
    <w:name w:val="docsum-pmid"/>
    <w:basedOn w:val="DefaultParagraphFont"/>
    <w:rsid w:val="00F2550F"/>
  </w:style>
  <w:style w:type="character" w:customStyle="1" w:styleId="docsum-journal-citation">
    <w:name w:val="docsum-journal-citation"/>
    <w:basedOn w:val="DefaultParagraphFont"/>
    <w:rsid w:val="00F2550F"/>
  </w:style>
  <w:style w:type="character" w:customStyle="1" w:styleId="labs-docsum-journal-citation">
    <w:name w:val="labs-docsum-journal-citation"/>
    <w:basedOn w:val="DefaultParagraphFont"/>
    <w:rsid w:val="00F2550F"/>
  </w:style>
  <w:style w:type="character" w:customStyle="1" w:styleId="cit">
    <w:name w:val="cit"/>
    <w:basedOn w:val="DefaultParagraphFont"/>
    <w:rsid w:val="00F2550F"/>
  </w:style>
  <w:style w:type="character" w:customStyle="1" w:styleId="citation-doi">
    <w:name w:val="citation-doi"/>
    <w:basedOn w:val="DefaultParagraphFont"/>
    <w:rsid w:val="00A8592E"/>
  </w:style>
  <w:style w:type="character" w:customStyle="1" w:styleId="epub-sectiondate">
    <w:name w:val="epub-section__date"/>
    <w:basedOn w:val="DefaultParagraphFont"/>
    <w:rsid w:val="006A0708"/>
  </w:style>
  <w:style w:type="paragraph" w:styleId="Title">
    <w:name w:val="Title"/>
    <w:basedOn w:val="Normal"/>
    <w:next w:val="Normal"/>
    <w:link w:val="TitleChar"/>
    <w:uiPriority w:val="10"/>
    <w:qFormat/>
    <w:rsid w:val="00501E4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01E4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QuoteChar"/>
    <w:uiPriority w:val="29"/>
    <w:qFormat/>
    <w:rsid w:val="00501E4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01E4B"/>
    <w:rPr>
      <w:rFonts w:asciiTheme="majorHAnsi" w:eastAsiaTheme="majorEastAsia" w:hAnsiTheme="majorHAnsi" w:cstheme="majorBidi"/>
      <w:color w:val="000000" w:themeColor="text1"/>
      <w:sz w:val="24"/>
      <w:szCs w:val="24"/>
    </w:rPr>
  </w:style>
  <w:style w:type="character" w:styleId="IntenseEmphasis">
    <w:name w:val="Intense Emphasis"/>
    <w:basedOn w:val="DefaultParagraphFont"/>
    <w:uiPriority w:val="21"/>
    <w:qFormat/>
    <w:rsid w:val="00501E4B"/>
    <w:rPr>
      <w:b/>
      <w:bCs/>
      <w:i/>
      <w:iCs/>
      <w:caps w:val="0"/>
      <w:smallCaps w:val="0"/>
      <w:strike w:val="0"/>
      <w:dstrike w:val="0"/>
      <w:color w:val="C0504D" w:themeColor="accent2"/>
    </w:rPr>
  </w:style>
  <w:style w:type="paragraph" w:styleId="IntenseQuote">
    <w:name w:val="Intense Quote"/>
    <w:basedOn w:val="Normal"/>
    <w:next w:val="Normal"/>
    <w:link w:val="IntenseQuoteChar"/>
    <w:uiPriority w:val="30"/>
    <w:qFormat/>
    <w:rsid w:val="00501E4B"/>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01E4B"/>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501E4B"/>
    <w:rPr>
      <w:b/>
      <w:bCs/>
      <w:caps w:val="0"/>
      <w:smallCaps/>
      <w:color w:val="auto"/>
      <w:spacing w:val="0"/>
      <w:u w:val="single"/>
    </w:rPr>
  </w:style>
  <w:style w:type="character" w:styleId="UnresolvedMention">
    <w:name w:val="Unresolved Mention"/>
    <w:basedOn w:val="DefaultParagraphFont"/>
    <w:uiPriority w:val="99"/>
    <w:semiHidden/>
    <w:unhideWhenUsed/>
    <w:rsid w:val="00891703"/>
    <w:rPr>
      <w:color w:val="605E5C"/>
      <w:shd w:val="clear" w:color="auto" w:fill="E1DFDD"/>
    </w:rPr>
  </w:style>
  <w:style w:type="character" w:styleId="PageNumber">
    <w:name w:val="page number"/>
    <w:basedOn w:val="DefaultParagraphFont"/>
    <w:uiPriority w:val="99"/>
    <w:semiHidden/>
    <w:unhideWhenUsed/>
    <w:rsid w:val="00891703"/>
  </w:style>
  <w:style w:type="paragraph" w:customStyle="1" w:styleId="TableCaption">
    <w:name w:val="Table Caption"/>
    <w:basedOn w:val="Normal"/>
    <w:rsid w:val="00292A35"/>
    <w:pPr>
      <w:spacing w:after="0" w:line="240" w:lineRule="auto"/>
      <w:jc w:val="center"/>
    </w:pPr>
    <w:rPr>
      <w:b/>
      <w:i/>
      <w:sz w:val="24"/>
      <w:szCs w:val="24"/>
    </w:rPr>
  </w:style>
  <w:style w:type="paragraph" w:customStyle="1" w:styleId="nova-legacy-e-listitem">
    <w:name w:val="nova-legacy-e-list__item"/>
    <w:basedOn w:val="Normal"/>
    <w:rsid w:val="007B7118"/>
    <w:pPr>
      <w:spacing w:before="100" w:beforeAutospacing="1" w:after="100" w:afterAutospacing="1" w:line="240" w:lineRule="auto"/>
    </w:pPr>
    <w:rPr>
      <w:rFonts w:ascii="Times New Roman" w:eastAsia="Times New Roman" w:hAnsi="Times New Roman"/>
      <w:sz w:val="24"/>
      <w:szCs w:val="24"/>
      <w:lang w:val="en-IN" w:eastAsia="en-IN"/>
    </w:rPr>
  </w:style>
  <w:style w:type="character" w:styleId="SubtleEmphasis">
    <w:name w:val="Subtle Emphasis"/>
    <w:basedOn w:val="DefaultParagraphFont"/>
    <w:uiPriority w:val="19"/>
    <w:qFormat/>
    <w:rsid w:val="00501E4B"/>
    <w:rPr>
      <w:i/>
      <w:iCs/>
      <w:color w:val="595959" w:themeColor="text1" w:themeTint="A6"/>
    </w:rPr>
  </w:style>
  <w:style w:type="character" w:styleId="SubtleReference">
    <w:name w:val="Subtle Reference"/>
    <w:basedOn w:val="DefaultParagraphFont"/>
    <w:uiPriority w:val="31"/>
    <w:qFormat/>
    <w:rsid w:val="00501E4B"/>
    <w:rPr>
      <w:caps w:val="0"/>
      <w:smallCaps/>
      <w:color w:val="404040" w:themeColor="text1" w:themeTint="BF"/>
      <w:spacing w:val="0"/>
      <w:u w:val="single" w:color="7F7F7F" w:themeColor="text1" w:themeTint="80"/>
    </w:rPr>
  </w:style>
  <w:style w:type="character" w:styleId="BookTitle0">
    <w:name w:val="Book Title"/>
    <w:basedOn w:val="DefaultParagraphFont"/>
    <w:uiPriority w:val="33"/>
    <w:qFormat/>
    <w:rsid w:val="00501E4B"/>
    <w:rPr>
      <w:b/>
      <w:bCs/>
      <w:caps w:val="0"/>
      <w:smallCaps/>
      <w:spacing w:val="0"/>
    </w:rPr>
  </w:style>
  <w:style w:type="paragraph" w:styleId="TOCHeading">
    <w:name w:val="TOC Heading"/>
    <w:basedOn w:val="Heading1"/>
    <w:next w:val="Normal"/>
    <w:uiPriority w:val="39"/>
    <w:semiHidden/>
    <w:unhideWhenUsed/>
    <w:qFormat/>
    <w:rsid w:val="00501E4B"/>
    <w:pPr>
      <w:outlineLvl w:val="9"/>
    </w:pPr>
  </w:style>
  <w:style w:type="paragraph" w:customStyle="1" w:styleId="acbfdd8b-e11b-4d36-88ff-6049b138f862">
    <w:name w:val="acbfdd8b-e11b-4d36-88ff-6049b138f862"/>
    <w:basedOn w:val="Normal"/>
    <w:link w:val="acbfdd8b-e11b-4d36-88ff-6049b138f8620"/>
    <w:rsid w:val="00307263"/>
    <w:pPr>
      <w:widowControl w:val="0"/>
      <w:adjustRightInd w:val="0"/>
      <w:spacing w:after="0" w:line="288" w:lineRule="auto"/>
    </w:pPr>
    <w:rPr>
      <w:rFonts w:ascii="Microsoft YaHei" w:eastAsia="Microsoft YaHei" w:hAnsi="Microsoft YaHei" w:cs="Times New Roman"/>
      <w:bCs/>
      <w:color w:val="000000"/>
      <w:kern w:val="2"/>
      <w:sz w:val="22"/>
      <w:szCs w:val="28"/>
      <w:lang w:eastAsia="zh-CN"/>
    </w:rPr>
  </w:style>
  <w:style w:type="character" w:customStyle="1" w:styleId="acbfdd8b-e11b-4d36-88ff-6049b138f8620">
    <w:name w:val="acbfdd8b-e11b-4d36-88ff-6049b138f862 字符"/>
    <w:basedOn w:val="DefaultParagraphFont"/>
    <w:link w:val="acbfdd8b-e11b-4d36-88ff-6049b138f862"/>
    <w:rsid w:val="00307263"/>
    <w:rPr>
      <w:rFonts w:ascii="Microsoft YaHei" w:eastAsia="Microsoft YaHei" w:hAnsi="Microsoft YaHei" w:cs="Times New Roman"/>
      <w:bCs/>
      <w:color w:val="000000"/>
      <w:kern w:val="2"/>
      <w:sz w:val="22"/>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787">
      <w:bodyDiv w:val="1"/>
      <w:marLeft w:val="0"/>
      <w:marRight w:val="0"/>
      <w:marTop w:val="0"/>
      <w:marBottom w:val="0"/>
      <w:divBdr>
        <w:top w:val="none" w:sz="0" w:space="0" w:color="auto"/>
        <w:left w:val="none" w:sz="0" w:space="0" w:color="auto"/>
        <w:bottom w:val="none" w:sz="0" w:space="0" w:color="auto"/>
        <w:right w:val="none" w:sz="0" w:space="0" w:color="auto"/>
      </w:divBdr>
    </w:div>
    <w:div w:id="28074592">
      <w:bodyDiv w:val="1"/>
      <w:marLeft w:val="0"/>
      <w:marRight w:val="0"/>
      <w:marTop w:val="0"/>
      <w:marBottom w:val="0"/>
      <w:divBdr>
        <w:top w:val="none" w:sz="0" w:space="0" w:color="auto"/>
        <w:left w:val="none" w:sz="0" w:space="0" w:color="auto"/>
        <w:bottom w:val="none" w:sz="0" w:space="0" w:color="auto"/>
        <w:right w:val="none" w:sz="0" w:space="0" w:color="auto"/>
      </w:divBdr>
    </w:div>
    <w:div w:id="40061358">
      <w:bodyDiv w:val="1"/>
      <w:marLeft w:val="0"/>
      <w:marRight w:val="0"/>
      <w:marTop w:val="0"/>
      <w:marBottom w:val="0"/>
      <w:divBdr>
        <w:top w:val="none" w:sz="0" w:space="0" w:color="auto"/>
        <w:left w:val="none" w:sz="0" w:space="0" w:color="auto"/>
        <w:bottom w:val="none" w:sz="0" w:space="0" w:color="auto"/>
        <w:right w:val="none" w:sz="0" w:space="0" w:color="auto"/>
      </w:divBdr>
    </w:div>
    <w:div w:id="44840684">
      <w:bodyDiv w:val="1"/>
      <w:marLeft w:val="0"/>
      <w:marRight w:val="0"/>
      <w:marTop w:val="0"/>
      <w:marBottom w:val="0"/>
      <w:divBdr>
        <w:top w:val="none" w:sz="0" w:space="0" w:color="auto"/>
        <w:left w:val="none" w:sz="0" w:space="0" w:color="auto"/>
        <w:bottom w:val="none" w:sz="0" w:space="0" w:color="auto"/>
        <w:right w:val="none" w:sz="0" w:space="0" w:color="auto"/>
      </w:divBdr>
    </w:div>
    <w:div w:id="52823785">
      <w:bodyDiv w:val="1"/>
      <w:marLeft w:val="0"/>
      <w:marRight w:val="0"/>
      <w:marTop w:val="0"/>
      <w:marBottom w:val="0"/>
      <w:divBdr>
        <w:top w:val="none" w:sz="0" w:space="0" w:color="auto"/>
        <w:left w:val="none" w:sz="0" w:space="0" w:color="auto"/>
        <w:bottom w:val="none" w:sz="0" w:space="0" w:color="auto"/>
        <w:right w:val="none" w:sz="0" w:space="0" w:color="auto"/>
      </w:divBdr>
    </w:div>
    <w:div w:id="56130654">
      <w:bodyDiv w:val="1"/>
      <w:marLeft w:val="0"/>
      <w:marRight w:val="0"/>
      <w:marTop w:val="0"/>
      <w:marBottom w:val="0"/>
      <w:divBdr>
        <w:top w:val="none" w:sz="0" w:space="0" w:color="auto"/>
        <w:left w:val="none" w:sz="0" w:space="0" w:color="auto"/>
        <w:bottom w:val="none" w:sz="0" w:space="0" w:color="auto"/>
        <w:right w:val="none" w:sz="0" w:space="0" w:color="auto"/>
      </w:divBdr>
    </w:div>
    <w:div w:id="63770584">
      <w:bodyDiv w:val="1"/>
      <w:marLeft w:val="0"/>
      <w:marRight w:val="0"/>
      <w:marTop w:val="0"/>
      <w:marBottom w:val="0"/>
      <w:divBdr>
        <w:top w:val="none" w:sz="0" w:space="0" w:color="auto"/>
        <w:left w:val="none" w:sz="0" w:space="0" w:color="auto"/>
        <w:bottom w:val="none" w:sz="0" w:space="0" w:color="auto"/>
        <w:right w:val="none" w:sz="0" w:space="0" w:color="auto"/>
      </w:divBdr>
    </w:div>
    <w:div w:id="66926969">
      <w:bodyDiv w:val="1"/>
      <w:marLeft w:val="0"/>
      <w:marRight w:val="0"/>
      <w:marTop w:val="0"/>
      <w:marBottom w:val="0"/>
      <w:divBdr>
        <w:top w:val="none" w:sz="0" w:space="0" w:color="auto"/>
        <w:left w:val="none" w:sz="0" w:space="0" w:color="auto"/>
        <w:bottom w:val="none" w:sz="0" w:space="0" w:color="auto"/>
        <w:right w:val="none" w:sz="0" w:space="0" w:color="auto"/>
      </w:divBdr>
    </w:div>
    <w:div w:id="105126180">
      <w:bodyDiv w:val="1"/>
      <w:marLeft w:val="0"/>
      <w:marRight w:val="0"/>
      <w:marTop w:val="0"/>
      <w:marBottom w:val="0"/>
      <w:divBdr>
        <w:top w:val="none" w:sz="0" w:space="0" w:color="auto"/>
        <w:left w:val="none" w:sz="0" w:space="0" w:color="auto"/>
        <w:bottom w:val="none" w:sz="0" w:space="0" w:color="auto"/>
        <w:right w:val="none" w:sz="0" w:space="0" w:color="auto"/>
      </w:divBdr>
    </w:div>
    <w:div w:id="138770860">
      <w:bodyDiv w:val="1"/>
      <w:marLeft w:val="0"/>
      <w:marRight w:val="0"/>
      <w:marTop w:val="0"/>
      <w:marBottom w:val="0"/>
      <w:divBdr>
        <w:top w:val="none" w:sz="0" w:space="0" w:color="auto"/>
        <w:left w:val="none" w:sz="0" w:space="0" w:color="auto"/>
        <w:bottom w:val="none" w:sz="0" w:space="0" w:color="auto"/>
        <w:right w:val="none" w:sz="0" w:space="0" w:color="auto"/>
      </w:divBdr>
    </w:div>
    <w:div w:id="139544650">
      <w:bodyDiv w:val="1"/>
      <w:marLeft w:val="0"/>
      <w:marRight w:val="0"/>
      <w:marTop w:val="0"/>
      <w:marBottom w:val="0"/>
      <w:divBdr>
        <w:top w:val="none" w:sz="0" w:space="0" w:color="auto"/>
        <w:left w:val="none" w:sz="0" w:space="0" w:color="auto"/>
        <w:bottom w:val="none" w:sz="0" w:space="0" w:color="auto"/>
        <w:right w:val="none" w:sz="0" w:space="0" w:color="auto"/>
      </w:divBdr>
    </w:div>
    <w:div w:id="154541513">
      <w:bodyDiv w:val="1"/>
      <w:marLeft w:val="0"/>
      <w:marRight w:val="0"/>
      <w:marTop w:val="0"/>
      <w:marBottom w:val="0"/>
      <w:divBdr>
        <w:top w:val="none" w:sz="0" w:space="0" w:color="auto"/>
        <w:left w:val="none" w:sz="0" w:space="0" w:color="auto"/>
        <w:bottom w:val="none" w:sz="0" w:space="0" w:color="auto"/>
        <w:right w:val="none" w:sz="0" w:space="0" w:color="auto"/>
      </w:divBdr>
    </w:div>
    <w:div w:id="160050187">
      <w:bodyDiv w:val="1"/>
      <w:marLeft w:val="0"/>
      <w:marRight w:val="0"/>
      <w:marTop w:val="0"/>
      <w:marBottom w:val="0"/>
      <w:divBdr>
        <w:top w:val="none" w:sz="0" w:space="0" w:color="auto"/>
        <w:left w:val="none" w:sz="0" w:space="0" w:color="auto"/>
        <w:bottom w:val="none" w:sz="0" w:space="0" w:color="auto"/>
        <w:right w:val="none" w:sz="0" w:space="0" w:color="auto"/>
      </w:divBdr>
    </w:div>
    <w:div w:id="164051204">
      <w:bodyDiv w:val="1"/>
      <w:marLeft w:val="0"/>
      <w:marRight w:val="0"/>
      <w:marTop w:val="0"/>
      <w:marBottom w:val="0"/>
      <w:divBdr>
        <w:top w:val="none" w:sz="0" w:space="0" w:color="auto"/>
        <w:left w:val="none" w:sz="0" w:space="0" w:color="auto"/>
        <w:bottom w:val="none" w:sz="0" w:space="0" w:color="auto"/>
        <w:right w:val="none" w:sz="0" w:space="0" w:color="auto"/>
      </w:divBdr>
    </w:div>
    <w:div w:id="176818895">
      <w:bodyDiv w:val="1"/>
      <w:marLeft w:val="0"/>
      <w:marRight w:val="0"/>
      <w:marTop w:val="0"/>
      <w:marBottom w:val="0"/>
      <w:divBdr>
        <w:top w:val="none" w:sz="0" w:space="0" w:color="auto"/>
        <w:left w:val="none" w:sz="0" w:space="0" w:color="auto"/>
        <w:bottom w:val="none" w:sz="0" w:space="0" w:color="auto"/>
        <w:right w:val="none" w:sz="0" w:space="0" w:color="auto"/>
      </w:divBdr>
    </w:div>
    <w:div w:id="178275479">
      <w:bodyDiv w:val="1"/>
      <w:marLeft w:val="0"/>
      <w:marRight w:val="0"/>
      <w:marTop w:val="0"/>
      <w:marBottom w:val="0"/>
      <w:divBdr>
        <w:top w:val="none" w:sz="0" w:space="0" w:color="auto"/>
        <w:left w:val="none" w:sz="0" w:space="0" w:color="auto"/>
        <w:bottom w:val="none" w:sz="0" w:space="0" w:color="auto"/>
        <w:right w:val="none" w:sz="0" w:space="0" w:color="auto"/>
      </w:divBdr>
    </w:div>
    <w:div w:id="184364701">
      <w:bodyDiv w:val="1"/>
      <w:marLeft w:val="0"/>
      <w:marRight w:val="0"/>
      <w:marTop w:val="0"/>
      <w:marBottom w:val="0"/>
      <w:divBdr>
        <w:top w:val="none" w:sz="0" w:space="0" w:color="auto"/>
        <w:left w:val="none" w:sz="0" w:space="0" w:color="auto"/>
        <w:bottom w:val="none" w:sz="0" w:space="0" w:color="auto"/>
        <w:right w:val="none" w:sz="0" w:space="0" w:color="auto"/>
      </w:divBdr>
    </w:div>
    <w:div w:id="200484694">
      <w:bodyDiv w:val="1"/>
      <w:marLeft w:val="0"/>
      <w:marRight w:val="0"/>
      <w:marTop w:val="0"/>
      <w:marBottom w:val="0"/>
      <w:divBdr>
        <w:top w:val="none" w:sz="0" w:space="0" w:color="auto"/>
        <w:left w:val="none" w:sz="0" w:space="0" w:color="auto"/>
        <w:bottom w:val="none" w:sz="0" w:space="0" w:color="auto"/>
        <w:right w:val="none" w:sz="0" w:space="0" w:color="auto"/>
      </w:divBdr>
    </w:div>
    <w:div w:id="217328812">
      <w:bodyDiv w:val="1"/>
      <w:marLeft w:val="0"/>
      <w:marRight w:val="0"/>
      <w:marTop w:val="0"/>
      <w:marBottom w:val="0"/>
      <w:divBdr>
        <w:top w:val="none" w:sz="0" w:space="0" w:color="auto"/>
        <w:left w:val="none" w:sz="0" w:space="0" w:color="auto"/>
        <w:bottom w:val="none" w:sz="0" w:space="0" w:color="auto"/>
        <w:right w:val="none" w:sz="0" w:space="0" w:color="auto"/>
      </w:divBdr>
    </w:div>
    <w:div w:id="227495646">
      <w:bodyDiv w:val="1"/>
      <w:marLeft w:val="0"/>
      <w:marRight w:val="0"/>
      <w:marTop w:val="0"/>
      <w:marBottom w:val="0"/>
      <w:divBdr>
        <w:top w:val="none" w:sz="0" w:space="0" w:color="auto"/>
        <w:left w:val="none" w:sz="0" w:space="0" w:color="auto"/>
        <w:bottom w:val="none" w:sz="0" w:space="0" w:color="auto"/>
        <w:right w:val="none" w:sz="0" w:space="0" w:color="auto"/>
      </w:divBdr>
    </w:div>
    <w:div w:id="227882963">
      <w:bodyDiv w:val="1"/>
      <w:marLeft w:val="0"/>
      <w:marRight w:val="0"/>
      <w:marTop w:val="0"/>
      <w:marBottom w:val="0"/>
      <w:divBdr>
        <w:top w:val="none" w:sz="0" w:space="0" w:color="auto"/>
        <w:left w:val="none" w:sz="0" w:space="0" w:color="auto"/>
        <w:bottom w:val="none" w:sz="0" w:space="0" w:color="auto"/>
        <w:right w:val="none" w:sz="0" w:space="0" w:color="auto"/>
      </w:divBdr>
    </w:div>
    <w:div w:id="232013588">
      <w:bodyDiv w:val="1"/>
      <w:marLeft w:val="0"/>
      <w:marRight w:val="0"/>
      <w:marTop w:val="0"/>
      <w:marBottom w:val="0"/>
      <w:divBdr>
        <w:top w:val="none" w:sz="0" w:space="0" w:color="auto"/>
        <w:left w:val="none" w:sz="0" w:space="0" w:color="auto"/>
        <w:bottom w:val="none" w:sz="0" w:space="0" w:color="auto"/>
        <w:right w:val="none" w:sz="0" w:space="0" w:color="auto"/>
      </w:divBdr>
    </w:div>
    <w:div w:id="273825507">
      <w:bodyDiv w:val="1"/>
      <w:marLeft w:val="0"/>
      <w:marRight w:val="0"/>
      <w:marTop w:val="0"/>
      <w:marBottom w:val="0"/>
      <w:divBdr>
        <w:top w:val="none" w:sz="0" w:space="0" w:color="auto"/>
        <w:left w:val="none" w:sz="0" w:space="0" w:color="auto"/>
        <w:bottom w:val="none" w:sz="0" w:space="0" w:color="auto"/>
        <w:right w:val="none" w:sz="0" w:space="0" w:color="auto"/>
      </w:divBdr>
    </w:div>
    <w:div w:id="273875197">
      <w:bodyDiv w:val="1"/>
      <w:marLeft w:val="0"/>
      <w:marRight w:val="0"/>
      <w:marTop w:val="0"/>
      <w:marBottom w:val="0"/>
      <w:divBdr>
        <w:top w:val="none" w:sz="0" w:space="0" w:color="auto"/>
        <w:left w:val="none" w:sz="0" w:space="0" w:color="auto"/>
        <w:bottom w:val="none" w:sz="0" w:space="0" w:color="auto"/>
        <w:right w:val="none" w:sz="0" w:space="0" w:color="auto"/>
      </w:divBdr>
    </w:div>
    <w:div w:id="280039775">
      <w:bodyDiv w:val="1"/>
      <w:marLeft w:val="0"/>
      <w:marRight w:val="0"/>
      <w:marTop w:val="0"/>
      <w:marBottom w:val="0"/>
      <w:divBdr>
        <w:top w:val="none" w:sz="0" w:space="0" w:color="auto"/>
        <w:left w:val="none" w:sz="0" w:space="0" w:color="auto"/>
        <w:bottom w:val="none" w:sz="0" w:space="0" w:color="auto"/>
        <w:right w:val="none" w:sz="0" w:space="0" w:color="auto"/>
      </w:divBdr>
    </w:div>
    <w:div w:id="281612875">
      <w:bodyDiv w:val="1"/>
      <w:marLeft w:val="0"/>
      <w:marRight w:val="0"/>
      <w:marTop w:val="0"/>
      <w:marBottom w:val="0"/>
      <w:divBdr>
        <w:top w:val="none" w:sz="0" w:space="0" w:color="auto"/>
        <w:left w:val="none" w:sz="0" w:space="0" w:color="auto"/>
        <w:bottom w:val="none" w:sz="0" w:space="0" w:color="auto"/>
        <w:right w:val="none" w:sz="0" w:space="0" w:color="auto"/>
      </w:divBdr>
    </w:div>
    <w:div w:id="301618548">
      <w:bodyDiv w:val="1"/>
      <w:marLeft w:val="0"/>
      <w:marRight w:val="0"/>
      <w:marTop w:val="0"/>
      <w:marBottom w:val="0"/>
      <w:divBdr>
        <w:top w:val="none" w:sz="0" w:space="0" w:color="auto"/>
        <w:left w:val="none" w:sz="0" w:space="0" w:color="auto"/>
        <w:bottom w:val="none" w:sz="0" w:space="0" w:color="auto"/>
        <w:right w:val="none" w:sz="0" w:space="0" w:color="auto"/>
      </w:divBdr>
    </w:div>
    <w:div w:id="324363995">
      <w:bodyDiv w:val="1"/>
      <w:marLeft w:val="0"/>
      <w:marRight w:val="0"/>
      <w:marTop w:val="0"/>
      <w:marBottom w:val="0"/>
      <w:divBdr>
        <w:top w:val="none" w:sz="0" w:space="0" w:color="auto"/>
        <w:left w:val="none" w:sz="0" w:space="0" w:color="auto"/>
        <w:bottom w:val="none" w:sz="0" w:space="0" w:color="auto"/>
        <w:right w:val="none" w:sz="0" w:space="0" w:color="auto"/>
      </w:divBdr>
    </w:div>
    <w:div w:id="339894269">
      <w:bodyDiv w:val="1"/>
      <w:marLeft w:val="0"/>
      <w:marRight w:val="0"/>
      <w:marTop w:val="0"/>
      <w:marBottom w:val="0"/>
      <w:divBdr>
        <w:top w:val="none" w:sz="0" w:space="0" w:color="auto"/>
        <w:left w:val="none" w:sz="0" w:space="0" w:color="auto"/>
        <w:bottom w:val="none" w:sz="0" w:space="0" w:color="auto"/>
        <w:right w:val="none" w:sz="0" w:space="0" w:color="auto"/>
      </w:divBdr>
    </w:div>
    <w:div w:id="341470505">
      <w:bodyDiv w:val="1"/>
      <w:marLeft w:val="0"/>
      <w:marRight w:val="0"/>
      <w:marTop w:val="0"/>
      <w:marBottom w:val="0"/>
      <w:divBdr>
        <w:top w:val="none" w:sz="0" w:space="0" w:color="auto"/>
        <w:left w:val="none" w:sz="0" w:space="0" w:color="auto"/>
        <w:bottom w:val="none" w:sz="0" w:space="0" w:color="auto"/>
        <w:right w:val="none" w:sz="0" w:space="0" w:color="auto"/>
      </w:divBdr>
    </w:div>
    <w:div w:id="357852058">
      <w:bodyDiv w:val="1"/>
      <w:marLeft w:val="0"/>
      <w:marRight w:val="0"/>
      <w:marTop w:val="0"/>
      <w:marBottom w:val="0"/>
      <w:divBdr>
        <w:top w:val="none" w:sz="0" w:space="0" w:color="auto"/>
        <w:left w:val="none" w:sz="0" w:space="0" w:color="auto"/>
        <w:bottom w:val="none" w:sz="0" w:space="0" w:color="auto"/>
        <w:right w:val="none" w:sz="0" w:space="0" w:color="auto"/>
      </w:divBdr>
    </w:div>
    <w:div w:id="397748401">
      <w:bodyDiv w:val="1"/>
      <w:marLeft w:val="0"/>
      <w:marRight w:val="0"/>
      <w:marTop w:val="0"/>
      <w:marBottom w:val="0"/>
      <w:divBdr>
        <w:top w:val="none" w:sz="0" w:space="0" w:color="auto"/>
        <w:left w:val="none" w:sz="0" w:space="0" w:color="auto"/>
        <w:bottom w:val="none" w:sz="0" w:space="0" w:color="auto"/>
        <w:right w:val="none" w:sz="0" w:space="0" w:color="auto"/>
      </w:divBdr>
    </w:div>
    <w:div w:id="403649064">
      <w:bodyDiv w:val="1"/>
      <w:marLeft w:val="0"/>
      <w:marRight w:val="0"/>
      <w:marTop w:val="0"/>
      <w:marBottom w:val="0"/>
      <w:divBdr>
        <w:top w:val="none" w:sz="0" w:space="0" w:color="auto"/>
        <w:left w:val="none" w:sz="0" w:space="0" w:color="auto"/>
        <w:bottom w:val="none" w:sz="0" w:space="0" w:color="auto"/>
        <w:right w:val="none" w:sz="0" w:space="0" w:color="auto"/>
      </w:divBdr>
    </w:div>
    <w:div w:id="405345850">
      <w:bodyDiv w:val="1"/>
      <w:marLeft w:val="0"/>
      <w:marRight w:val="0"/>
      <w:marTop w:val="0"/>
      <w:marBottom w:val="0"/>
      <w:divBdr>
        <w:top w:val="none" w:sz="0" w:space="0" w:color="auto"/>
        <w:left w:val="none" w:sz="0" w:space="0" w:color="auto"/>
        <w:bottom w:val="none" w:sz="0" w:space="0" w:color="auto"/>
        <w:right w:val="none" w:sz="0" w:space="0" w:color="auto"/>
      </w:divBdr>
    </w:div>
    <w:div w:id="405998680">
      <w:bodyDiv w:val="1"/>
      <w:marLeft w:val="0"/>
      <w:marRight w:val="0"/>
      <w:marTop w:val="0"/>
      <w:marBottom w:val="0"/>
      <w:divBdr>
        <w:top w:val="none" w:sz="0" w:space="0" w:color="auto"/>
        <w:left w:val="none" w:sz="0" w:space="0" w:color="auto"/>
        <w:bottom w:val="none" w:sz="0" w:space="0" w:color="auto"/>
        <w:right w:val="none" w:sz="0" w:space="0" w:color="auto"/>
      </w:divBdr>
    </w:div>
    <w:div w:id="422800275">
      <w:bodyDiv w:val="1"/>
      <w:marLeft w:val="0"/>
      <w:marRight w:val="0"/>
      <w:marTop w:val="0"/>
      <w:marBottom w:val="0"/>
      <w:divBdr>
        <w:top w:val="none" w:sz="0" w:space="0" w:color="auto"/>
        <w:left w:val="none" w:sz="0" w:space="0" w:color="auto"/>
        <w:bottom w:val="none" w:sz="0" w:space="0" w:color="auto"/>
        <w:right w:val="none" w:sz="0" w:space="0" w:color="auto"/>
      </w:divBdr>
    </w:div>
    <w:div w:id="425081683">
      <w:bodyDiv w:val="1"/>
      <w:marLeft w:val="0"/>
      <w:marRight w:val="0"/>
      <w:marTop w:val="0"/>
      <w:marBottom w:val="0"/>
      <w:divBdr>
        <w:top w:val="none" w:sz="0" w:space="0" w:color="auto"/>
        <w:left w:val="none" w:sz="0" w:space="0" w:color="auto"/>
        <w:bottom w:val="none" w:sz="0" w:space="0" w:color="auto"/>
        <w:right w:val="none" w:sz="0" w:space="0" w:color="auto"/>
      </w:divBdr>
    </w:div>
    <w:div w:id="457380846">
      <w:bodyDiv w:val="1"/>
      <w:marLeft w:val="0"/>
      <w:marRight w:val="0"/>
      <w:marTop w:val="0"/>
      <w:marBottom w:val="0"/>
      <w:divBdr>
        <w:top w:val="none" w:sz="0" w:space="0" w:color="auto"/>
        <w:left w:val="none" w:sz="0" w:space="0" w:color="auto"/>
        <w:bottom w:val="none" w:sz="0" w:space="0" w:color="auto"/>
        <w:right w:val="none" w:sz="0" w:space="0" w:color="auto"/>
      </w:divBdr>
    </w:div>
    <w:div w:id="460684521">
      <w:bodyDiv w:val="1"/>
      <w:marLeft w:val="0"/>
      <w:marRight w:val="0"/>
      <w:marTop w:val="0"/>
      <w:marBottom w:val="0"/>
      <w:divBdr>
        <w:top w:val="none" w:sz="0" w:space="0" w:color="auto"/>
        <w:left w:val="none" w:sz="0" w:space="0" w:color="auto"/>
        <w:bottom w:val="none" w:sz="0" w:space="0" w:color="auto"/>
        <w:right w:val="none" w:sz="0" w:space="0" w:color="auto"/>
      </w:divBdr>
    </w:div>
    <w:div w:id="461197297">
      <w:bodyDiv w:val="1"/>
      <w:marLeft w:val="0"/>
      <w:marRight w:val="0"/>
      <w:marTop w:val="0"/>
      <w:marBottom w:val="0"/>
      <w:divBdr>
        <w:top w:val="none" w:sz="0" w:space="0" w:color="auto"/>
        <w:left w:val="none" w:sz="0" w:space="0" w:color="auto"/>
        <w:bottom w:val="none" w:sz="0" w:space="0" w:color="auto"/>
        <w:right w:val="none" w:sz="0" w:space="0" w:color="auto"/>
      </w:divBdr>
    </w:div>
    <w:div w:id="483471151">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28835780">
      <w:bodyDiv w:val="1"/>
      <w:marLeft w:val="0"/>
      <w:marRight w:val="0"/>
      <w:marTop w:val="0"/>
      <w:marBottom w:val="0"/>
      <w:divBdr>
        <w:top w:val="none" w:sz="0" w:space="0" w:color="auto"/>
        <w:left w:val="none" w:sz="0" w:space="0" w:color="auto"/>
        <w:bottom w:val="none" w:sz="0" w:space="0" w:color="auto"/>
        <w:right w:val="none" w:sz="0" w:space="0" w:color="auto"/>
      </w:divBdr>
    </w:div>
    <w:div w:id="541674655">
      <w:bodyDiv w:val="1"/>
      <w:marLeft w:val="0"/>
      <w:marRight w:val="0"/>
      <w:marTop w:val="0"/>
      <w:marBottom w:val="0"/>
      <w:divBdr>
        <w:top w:val="none" w:sz="0" w:space="0" w:color="auto"/>
        <w:left w:val="none" w:sz="0" w:space="0" w:color="auto"/>
        <w:bottom w:val="none" w:sz="0" w:space="0" w:color="auto"/>
        <w:right w:val="none" w:sz="0" w:space="0" w:color="auto"/>
      </w:divBdr>
    </w:div>
    <w:div w:id="541937912">
      <w:bodyDiv w:val="1"/>
      <w:marLeft w:val="0"/>
      <w:marRight w:val="0"/>
      <w:marTop w:val="0"/>
      <w:marBottom w:val="0"/>
      <w:divBdr>
        <w:top w:val="none" w:sz="0" w:space="0" w:color="auto"/>
        <w:left w:val="none" w:sz="0" w:space="0" w:color="auto"/>
        <w:bottom w:val="none" w:sz="0" w:space="0" w:color="auto"/>
        <w:right w:val="none" w:sz="0" w:space="0" w:color="auto"/>
      </w:divBdr>
    </w:div>
    <w:div w:id="559442559">
      <w:bodyDiv w:val="1"/>
      <w:marLeft w:val="0"/>
      <w:marRight w:val="0"/>
      <w:marTop w:val="0"/>
      <w:marBottom w:val="0"/>
      <w:divBdr>
        <w:top w:val="none" w:sz="0" w:space="0" w:color="auto"/>
        <w:left w:val="none" w:sz="0" w:space="0" w:color="auto"/>
        <w:bottom w:val="none" w:sz="0" w:space="0" w:color="auto"/>
        <w:right w:val="none" w:sz="0" w:space="0" w:color="auto"/>
      </w:divBdr>
    </w:div>
    <w:div w:id="571617945">
      <w:bodyDiv w:val="1"/>
      <w:marLeft w:val="0"/>
      <w:marRight w:val="0"/>
      <w:marTop w:val="0"/>
      <w:marBottom w:val="0"/>
      <w:divBdr>
        <w:top w:val="none" w:sz="0" w:space="0" w:color="auto"/>
        <w:left w:val="none" w:sz="0" w:space="0" w:color="auto"/>
        <w:bottom w:val="none" w:sz="0" w:space="0" w:color="auto"/>
        <w:right w:val="none" w:sz="0" w:space="0" w:color="auto"/>
      </w:divBdr>
    </w:div>
    <w:div w:id="571938038">
      <w:bodyDiv w:val="1"/>
      <w:marLeft w:val="0"/>
      <w:marRight w:val="0"/>
      <w:marTop w:val="0"/>
      <w:marBottom w:val="0"/>
      <w:divBdr>
        <w:top w:val="none" w:sz="0" w:space="0" w:color="auto"/>
        <w:left w:val="none" w:sz="0" w:space="0" w:color="auto"/>
        <w:bottom w:val="none" w:sz="0" w:space="0" w:color="auto"/>
        <w:right w:val="none" w:sz="0" w:space="0" w:color="auto"/>
      </w:divBdr>
    </w:div>
    <w:div w:id="586773751">
      <w:bodyDiv w:val="1"/>
      <w:marLeft w:val="0"/>
      <w:marRight w:val="0"/>
      <w:marTop w:val="0"/>
      <w:marBottom w:val="0"/>
      <w:divBdr>
        <w:top w:val="none" w:sz="0" w:space="0" w:color="auto"/>
        <w:left w:val="none" w:sz="0" w:space="0" w:color="auto"/>
        <w:bottom w:val="none" w:sz="0" w:space="0" w:color="auto"/>
        <w:right w:val="none" w:sz="0" w:space="0" w:color="auto"/>
      </w:divBdr>
    </w:div>
    <w:div w:id="599990863">
      <w:bodyDiv w:val="1"/>
      <w:marLeft w:val="0"/>
      <w:marRight w:val="0"/>
      <w:marTop w:val="0"/>
      <w:marBottom w:val="0"/>
      <w:divBdr>
        <w:top w:val="none" w:sz="0" w:space="0" w:color="auto"/>
        <w:left w:val="none" w:sz="0" w:space="0" w:color="auto"/>
        <w:bottom w:val="none" w:sz="0" w:space="0" w:color="auto"/>
        <w:right w:val="none" w:sz="0" w:space="0" w:color="auto"/>
      </w:divBdr>
    </w:div>
    <w:div w:id="602543008">
      <w:bodyDiv w:val="1"/>
      <w:marLeft w:val="0"/>
      <w:marRight w:val="0"/>
      <w:marTop w:val="0"/>
      <w:marBottom w:val="0"/>
      <w:divBdr>
        <w:top w:val="none" w:sz="0" w:space="0" w:color="auto"/>
        <w:left w:val="none" w:sz="0" w:space="0" w:color="auto"/>
        <w:bottom w:val="none" w:sz="0" w:space="0" w:color="auto"/>
        <w:right w:val="none" w:sz="0" w:space="0" w:color="auto"/>
      </w:divBdr>
    </w:div>
    <w:div w:id="605967949">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12977391">
      <w:bodyDiv w:val="1"/>
      <w:marLeft w:val="0"/>
      <w:marRight w:val="0"/>
      <w:marTop w:val="0"/>
      <w:marBottom w:val="0"/>
      <w:divBdr>
        <w:top w:val="none" w:sz="0" w:space="0" w:color="auto"/>
        <w:left w:val="none" w:sz="0" w:space="0" w:color="auto"/>
        <w:bottom w:val="none" w:sz="0" w:space="0" w:color="auto"/>
        <w:right w:val="none" w:sz="0" w:space="0" w:color="auto"/>
      </w:divBdr>
    </w:div>
    <w:div w:id="631786282">
      <w:bodyDiv w:val="1"/>
      <w:marLeft w:val="0"/>
      <w:marRight w:val="0"/>
      <w:marTop w:val="0"/>
      <w:marBottom w:val="0"/>
      <w:divBdr>
        <w:top w:val="none" w:sz="0" w:space="0" w:color="auto"/>
        <w:left w:val="none" w:sz="0" w:space="0" w:color="auto"/>
        <w:bottom w:val="none" w:sz="0" w:space="0" w:color="auto"/>
        <w:right w:val="none" w:sz="0" w:space="0" w:color="auto"/>
      </w:divBdr>
    </w:div>
    <w:div w:id="640690533">
      <w:bodyDiv w:val="1"/>
      <w:marLeft w:val="0"/>
      <w:marRight w:val="0"/>
      <w:marTop w:val="0"/>
      <w:marBottom w:val="0"/>
      <w:divBdr>
        <w:top w:val="none" w:sz="0" w:space="0" w:color="auto"/>
        <w:left w:val="none" w:sz="0" w:space="0" w:color="auto"/>
        <w:bottom w:val="none" w:sz="0" w:space="0" w:color="auto"/>
        <w:right w:val="none" w:sz="0" w:space="0" w:color="auto"/>
      </w:divBdr>
    </w:div>
    <w:div w:id="649094416">
      <w:bodyDiv w:val="1"/>
      <w:marLeft w:val="0"/>
      <w:marRight w:val="0"/>
      <w:marTop w:val="0"/>
      <w:marBottom w:val="0"/>
      <w:divBdr>
        <w:top w:val="none" w:sz="0" w:space="0" w:color="auto"/>
        <w:left w:val="none" w:sz="0" w:space="0" w:color="auto"/>
        <w:bottom w:val="none" w:sz="0" w:space="0" w:color="auto"/>
        <w:right w:val="none" w:sz="0" w:space="0" w:color="auto"/>
      </w:divBdr>
    </w:div>
    <w:div w:id="653489128">
      <w:bodyDiv w:val="1"/>
      <w:marLeft w:val="0"/>
      <w:marRight w:val="0"/>
      <w:marTop w:val="0"/>
      <w:marBottom w:val="0"/>
      <w:divBdr>
        <w:top w:val="none" w:sz="0" w:space="0" w:color="auto"/>
        <w:left w:val="none" w:sz="0" w:space="0" w:color="auto"/>
        <w:bottom w:val="none" w:sz="0" w:space="0" w:color="auto"/>
        <w:right w:val="none" w:sz="0" w:space="0" w:color="auto"/>
      </w:divBdr>
    </w:div>
    <w:div w:id="656224327">
      <w:bodyDiv w:val="1"/>
      <w:marLeft w:val="0"/>
      <w:marRight w:val="0"/>
      <w:marTop w:val="0"/>
      <w:marBottom w:val="0"/>
      <w:divBdr>
        <w:top w:val="none" w:sz="0" w:space="0" w:color="auto"/>
        <w:left w:val="none" w:sz="0" w:space="0" w:color="auto"/>
        <w:bottom w:val="none" w:sz="0" w:space="0" w:color="auto"/>
        <w:right w:val="none" w:sz="0" w:space="0" w:color="auto"/>
      </w:divBdr>
    </w:div>
    <w:div w:id="661737305">
      <w:bodyDiv w:val="1"/>
      <w:marLeft w:val="0"/>
      <w:marRight w:val="0"/>
      <w:marTop w:val="0"/>
      <w:marBottom w:val="0"/>
      <w:divBdr>
        <w:top w:val="none" w:sz="0" w:space="0" w:color="auto"/>
        <w:left w:val="none" w:sz="0" w:space="0" w:color="auto"/>
        <w:bottom w:val="none" w:sz="0" w:space="0" w:color="auto"/>
        <w:right w:val="none" w:sz="0" w:space="0" w:color="auto"/>
      </w:divBdr>
    </w:div>
    <w:div w:id="667945648">
      <w:bodyDiv w:val="1"/>
      <w:marLeft w:val="0"/>
      <w:marRight w:val="0"/>
      <w:marTop w:val="0"/>
      <w:marBottom w:val="0"/>
      <w:divBdr>
        <w:top w:val="none" w:sz="0" w:space="0" w:color="auto"/>
        <w:left w:val="none" w:sz="0" w:space="0" w:color="auto"/>
        <w:bottom w:val="none" w:sz="0" w:space="0" w:color="auto"/>
        <w:right w:val="none" w:sz="0" w:space="0" w:color="auto"/>
      </w:divBdr>
    </w:div>
    <w:div w:id="676884528">
      <w:bodyDiv w:val="1"/>
      <w:marLeft w:val="0"/>
      <w:marRight w:val="0"/>
      <w:marTop w:val="0"/>
      <w:marBottom w:val="0"/>
      <w:divBdr>
        <w:top w:val="none" w:sz="0" w:space="0" w:color="auto"/>
        <w:left w:val="none" w:sz="0" w:space="0" w:color="auto"/>
        <w:bottom w:val="none" w:sz="0" w:space="0" w:color="auto"/>
        <w:right w:val="none" w:sz="0" w:space="0" w:color="auto"/>
      </w:divBdr>
    </w:div>
    <w:div w:id="687219126">
      <w:bodyDiv w:val="1"/>
      <w:marLeft w:val="0"/>
      <w:marRight w:val="0"/>
      <w:marTop w:val="0"/>
      <w:marBottom w:val="0"/>
      <w:divBdr>
        <w:top w:val="none" w:sz="0" w:space="0" w:color="auto"/>
        <w:left w:val="none" w:sz="0" w:space="0" w:color="auto"/>
        <w:bottom w:val="none" w:sz="0" w:space="0" w:color="auto"/>
        <w:right w:val="none" w:sz="0" w:space="0" w:color="auto"/>
      </w:divBdr>
    </w:div>
    <w:div w:id="689717949">
      <w:bodyDiv w:val="1"/>
      <w:marLeft w:val="0"/>
      <w:marRight w:val="0"/>
      <w:marTop w:val="0"/>
      <w:marBottom w:val="0"/>
      <w:divBdr>
        <w:top w:val="none" w:sz="0" w:space="0" w:color="auto"/>
        <w:left w:val="none" w:sz="0" w:space="0" w:color="auto"/>
        <w:bottom w:val="none" w:sz="0" w:space="0" w:color="auto"/>
        <w:right w:val="none" w:sz="0" w:space="0" w:color="auto"/>
      </w:divBdr>
    </w:div>
    <w:div w:id="725955011">
      <w:bodyDiv w:val="1"/>
      <w:marLeft w:val="0"/>
      <w:marRight w:val="0"/>
      <w:marTop w:val="0"/>
      <w:marBottom w:val="0"/>
      <w:divBdr>
        <w:top w:val="none" w:sz="0" w:space="0" w:color="auto"/>
        <w:left w:val="none" w:sz="0" w:space="0" w:color="auto"/>
        <w:bottom w:val="none" w:sz="0" w:space="0" w:color="auto"/>
        <w:right w:val="none" w:sz="0" w:space="0" w:color="auto"/>
      </w:divBdr>
    </w:div>
    <w:div w:id="733893238">
      <w:bodyDiv w:val="1"/>
      <w:marLeft w:val="0"/>
      <w:marRight w:val="0"/>
      <w:marTop w:val="0"/>
      <w:marBottom w:val="0"/>
      <w:divBdr>
        <w:top w:val="none" w:sz="0" w:space="0" w:color="auto"/>
        <w:left w:val="none" w:sz="0" w:space="0" w:color="auto"/>
        <w:bottom w:val="none" w:sz="0" w:space="0" w:color="auto"/>
        <w:right w:val="none" w:sz="0" w:space="0" w:color="auto"/>
      </w:divBdr>
    </w:div>
    <w:div w:id="754517712">
      <w:bodyDiv w:val="1"/>
      <w:marLeft w:val="0"/>
      <w:marRight w:val="0"/>
      <w:marTop w:val="0"/>
      <w:marBottom w:val="0"/>
      <w:divBdr>
        <w:top w:val="none" w:sz="0" w:space="0" w:color="auto"/>
        <w:left w:val="none" w:sz="0" w:space="0" w:color="auto"/>
        <w:bottom w:val="none" w:sz="0" w:space="0" w:color="auto"/>
        <w:right w:val="none" w:sz="0" w:space="0" w:color="auto"/>
      </w:divBdr>
    </w:div>
    <w:div w:id="768232994">
      <w:bodyDiv w:val="1"/>
      <w:marLeft w:val="0"/>
      <w:marRight w:val="0"/>
      <w:marTop w:val="0"/>
      <w:marBottom w:val="0"/>
      <w:divBdr>
        <w:top w:val="none" w:sz="0" w:space="0" w:color="auto"/>
        <w:left w:val="none" w:sz="0" w:space="0" w:color="auto"/>
        <w:bottom w:val="none" w:sz="0" w:space="0" w:color="auto"/>
        <w:right w:val="none" w:sz="0" w:space="0" w:color="auto"/>
      </w:divBdr>
      <w:divsChild>
        <w:div w:id="462427372">
          <w:marLeft w:val="0"/>
          <w:marRight w:val="0"/>
          <w:marTop w:val="0"/>
          <w:marBottom w:val="0"/>
          <w:divBdr>
            <w:top w:val="none" w:sz="0" w:space="0" w:color="auto"/>
            <w:left w:val="none" w:sz="0" w:space="0" w:color="auto"/>
            <w:bottom w:val="none" w:sz="0" w:space="0" w:color="auto"/>
            <w:right w:val="none" w:sz="0" w:space="0" w:color="auto"/>
          </w:divBdr>
        </w:div>
      </w:divsChild>
    </w:div>
    <w:div w:id="769281086">
      <w:bodyDiv w:val="1"/>
      <w:marLeft w:val="0"/>
      <w:marRight w:val="0"/>
      <w:marTop w:val="0"/>
      <w:marBottom w:val="0"/>
      <w:divBdr>
        <w:top w:val="none" w:sz="0" w:space="0" w:color="auto"/>
        <w:left w:val="none" w:sz="0" w:space="0" w:color="auto"/>
        <w:bottom w:val="none" w:sz="0" w:space="0" w:color="auto"/>
        <w:right w:val="none" w:sz="0" w:space="0" w:color="auto"/>
      </w:divBdr>
    </w:div>
    <w:div w:id="813643931">
      <w:bodyDiv w:val="1"/>
      <w:marLeft w:val="0"/>
      <w:marRight w:val="0"/>
      <w:marTop w:val="0"/>
      <w:marBottom w:val="0"/>
      <w:divBdr>
        <w:top w:val="none" w:sz="0" w:space="0" w:color="auto"/>
        <w:left w:val="none" w:sz="0" w:space="0" w:color="auto"/>
        <w:bottom w:val="none" w:sz="0" w:space="0" w:color="auto"/>
        <w:right w:val="none" w:sz="0" w:space="0" w:color="auto"/>
      </w:divBdr>
      <w:divsChild>
        <w:div w:id="73626278">
          <w:marLeft w:val="0"/>
          <w:marRight w:val="0"/>
          <w:marTop w:val="0"/>
          <w:marBottom w:val="0"/>
          <w:divBdr>
            <w:top w:val="none" w:sz="0" w:space="0" w:color="auto"/>
            <w:left w:val="none" w:sz="0" w:space="0" w:color="auto"/>
            <w:bottom w:val="none" w:sz="0" w:space="0" w:color="auto"/>
            <w:right w:val="none" w:sz="0" w:space="0" w:color="auto"/>
          </w:divBdr>
        </w:div>
        <w:div w:id="377165803">
          <w:marLeft w:val="0"/>
          <w:marRight w:val="0"/>
          <w:marTop w:val="0"/>
          <w:marBottom w:val="0"/>
          <w:divBdr>
            <w:top w:val="none" w:sz="0" w:space="0" w:color="auto"/>
            <w:left w:val="none" w:sz="0" w:space="0" w:color="auto"/>
            <w:bottom w:val="none" w:sz="0" w:space="0" w:color="auto"/>
            <w:right w:val="none" w:sz="0" w:space="0" w:color="auto"/>
          </w:divBdr>
        </w:div>
        <w:div w:id="395517458">
          <w:marLeft w:val="0"/>
          <w:marRight w:val="0"/>
          <w:marTop w:val="0"/>
          <w:marBottom w:val="0"/>
          <w:divBdr>
            <w:top w:val="none" w:sz="0" w:space="0" w:color="auto"/>
            <w:left w:val="none" w:sz="0" w:space="0" w:color="auto"/>
            <w:bottom w:val="none" w:sz="0" w:space="0" w:color="auto"/>
            <w:right w:val="none" w:sz="0" w:space="0" w:color="auto"/>
          </w:divBdr>
        </w:div>
        <w:div w:id="413432263">
          <w:marLeft w:val="0"/>
          <w:marRight w:val="0"/>
          <w:marTop w:val="0"/>
          <w:marBottom w:val="0"/>
          <w:divBdr>
            <w:top w:val="none" w:sz="0" w:space="0" w:color="auto"/>
            <w:left w:val="none" w:sz="0" w:space="0" w:color="auto"/>
            <w:bottom w:val="none" w:sz="0" w:space="0" w:color="auto"/>
            <w:right w:val="none" w:sz="0" w:space="0" w:color="auto"/>
          </w:divBdr>
        </w:div>
        <w:div w:id="518275894">
          <w:marLeft w:val="0"/>
          <w:marRight w:val="0"/>
          <w:marTop w:val="0"/>
          <w:marBottom w:val="0"/>
          <w:divBdr>
            <w:top w:val="none" w:sz="0" w:space="0" w:color="auto"/>
            <w:left w:val="none" w:sz="0" w:space="0" w:color="auto"/>
            <w:bottom w:val="none" w:sz="0" w:space="0" w:color="auto"/>
            <w:right w:val="none" w:sz="0" w:space="0" w:color="auto"/>
          </w:divBdr>
        </w:div>
        <w:div w:id="663552378">
          <w:marLeft w:val="0"/>
          <w:marRight w:val="0"/>
          <w:marTop w:val="0"/>
          <w:marBottom w:val="0"/>
          <w:divBdr>
            <w:top w:val="none" w:sz="0" w:space="0" w:color="auto"/>
            <w:left w:val="none" w:sz="0" w:space="0" w:color="auto"/>
            <w:bottom w:val="none" w:sz="0" w:space="0" w:color="auto"/>
            <w:right w:val="none" w:sz="0" w:space="0" w:color="auto"/>
          </w:divBdr>
        </w:div>
        <w:div w:id="1178615044">
          <w:marLeft w:val="0"/>
          <w:marRight w:val="0"/>
          <w:marTop w:val="0"/>
          <w:marBottom w:val="0"/>
          <w:divBdr>
            <w:top w:val="none" w:sz="0" w:space="0" w:color="auto"/>
            <w:left w:val="none" w:sz="0" w:space="0" w:color="auto"/>
            <w:bottom w:val="none" w:sz="0" w:space="0" w:color="auto"/>
            <w:right w:val="none" w:sz="0" w:space="0" w:color="auto"/>
          </w:divBdr>
        </w:div>
        <w:div w:id="1300650141">
          <w:marLeft w:val="0"/>
          <w:marRight w:val="0"/>
          <w:marTop w:val="0"/>
          <w:marBottom w:val="0"/>
          <w:divBdr>
            <w:top w:val="none" w:sz="0" w:space="0" w:color="auto"/>
            <w:left w:val="none" w:sz="0" w:space="0" w:color="auto"/>
            <w:bottom w:val="none" w:sz="0" w:space="0" w:color="auto"/>
            <w:right w:val="none" w:sz="0" w:space="0" w:color="auto"/>
          </w:divBdr>
        </w:div>
        <w:div w:id="1640308969">
          <w:marLeft w:val="0"/>
          <w:marRight w:val="0"/>
          <w:marTop w:val="0"/>
          <w:marBottom w:val="0"/>
          <w:divBdr>
            <w:top w:val="none" w:sz="0" w:space="0" w:color="auto"/>
            <w:left w:val="none" w:sz="0" w:space="0" w:color="auto"/>
            <w:bottom w:val="none" w:sz="0" w:space="0" w:color="auto"/>
            <w:right w:val="none" w:sz="0" w:space="0" w:color="auto"/>
          </w:divBdr>
        </w:div>
        <w:div w:id="1819034297">
          <w:marLeft w:val="0"/>
          <w:marRight w:val="0"/>
          <w:marTop w:val="0"/>
          <w:marBottom w:val="0"/>
          <w:divBdr>
            <w:top w:val="none" w:sz="0" w:space="0" w:color="auto"/>
            <w:left w:val="none" w:sz="0" w:space="0" w:color="auto"/>
            <w:bottom w:val="none" w:sz="0" w:space="0" w:color="auto"/>
            <w:right w:val="none" w:sz="0" w:space="0" w:color="auto"/>
          </w:divBdr>
        </w:div>
        <w:div w:id="1921062305">
          <w:marLeft w:val="0"/>
          <w:marRight w:val="0"/>
          <w:marTop w:val="0"/>
          <w:marBottom w:val="0"/>
          <w:divBdr>
            <w:top w:val="none" w:sz="0" w:space="0" w:color="auto"/>
            <w:left w:val="none" w:sz="0" w:space="0" w:color="auto"/>
            <w:bottom w:val="none" w:sz="0" w:space="0" w:color="auto"/>
            <w:right w:val="none" w:sz="0" w:space="0" w:color="auto"/>
          </w:divBdr>
        </w:div>
        <w:div w:id="2051224512">
          <w:marLeft w:val="0"/>
          <w:marRight w:val="0"/>
          <w:marTop w:val="0"/>
          <w:marBottom w:val="0"/>
          <w:divBdr>
            <w:top w:val="none" w:sz="0" w:space="0" w:color="auto"/>
            <w:left w:val="none" w:sz="0" w:space="0" w:color="auto"/>
            <w:bottom w:val="none" w:sz="0" w:space="0" w:color="auto"/>
            <w:right w:val="none" w:sz="0" w:space="0" w:color="auto"/>
          </w:divBdr>
        </w:div>
      </w:divsChild>
    </w:div>
    <w:div w:id="873036987">
      <w:bodyDiv w:val="1"/>
      <w:marLeft w:val="0"/>
      <w:marRight w:val="0"/>
      <w:marTop w:val="0"/>
      <w:marBottom w:val="0"/>
      <w:divBdr>
        <w:top w:val="none" w:sz="0" w:space="0" w:color="auto"/>
        <w:left w:val="none" w:sz="0" w:space="0" w:color="auto"/>
        <w:bottom w:val="none" w:sz="0" w:space="0" w:color="auto"/>
        <w:right w:val="none" w:sz="0" w:space="0" w:color="auto"/>
      </w:divBdr>
    </w:div>
    <w:div w:id="939600867">
      <w:bodyDiv w:val="1"/>
      <w:marLeft w:val="0"/>
      <w:marRight w:val="0"/>
      <w:marTop w:val="0"/>
      <w:marBottom w:val="0"/>
      <w:divBdr>
        <w:top w:val="none" w:sz="0" w:space="0" w:color="auto"/>
        <w:left w:val="none" w:sz="0" w:space="0" w:color="auto"/>
        <w:bottom w:val="none" w:sz="0" w:space="0" w:color="auto"/>
        <w:right w:val="none" w:sz="0" w:space="0" w:color="auto"/>
      </w:divBdr>
    </w:div>
    <w:div w:id="945695685">
      <w:bodyDiv w:val="1"/>
      <w:marLeft w:val="0"/>
      <w:marRight w:val="0"/>
      <w:marTop w:val="0"/>
      <w:marBottom w:val="0"/>
      <w:divBdr>
        <w:top w:val="none" w:sz="0" w:space="0" w:color="auto"/>
        <w:left w:val="none" w:sz="0" w:space="0" w:color="auto"/>
        <w:bottom w:val="none" w:sz="0" w:space="0" w:color="auto"/>
        <w:right w:val="none" w:sz="0" w:space="0" w:color="auto"/>
      </w:divBdr>
    </w:div>
    <w:div w:id="953754964">
      <w:bodyDiv w:val="1"/>
      <w:marLeft w:val="0"/>
      <w:marRight w:val="0"/>
      <w:marTop w:val="0"/>
      <w:marBottom w:val="0"/>
      <w:divBdr>
        <w:top w:val="none" w:sz="0" w:space="0" w:color="auto"/>
        <w:left w:val="none" w:sz="0" w:space="0" w:color="auto"/>
        <w:bottom w:val="none" w:sz="0" w:space="0" w:color="auto"/>
        <w:right w:val="none" w:sz="0" w:space="0" w:color="auto"/>
      </w:divBdr>
    </w:div>
    <w:div w:id="954293576">
      <w:bodyDiv w:val="1"/>
      <w:marLeft w:val="0"/>
      <w:marRight w:val="0"/>
      <w:marTop w:val="0"/>
      <w:marBottom w:val="0"/>
      <w:divBdr>
        <w:top w:val="none" w:sz="0" w:space="0" w:color="auto"/>
        <w:left w:val="none" w:sz="0" w:space="0" w:color="auto"/>
        <w:bottom w:val="none" w:sz="0" w:space="0" w:color="auto"/>
        <w:right w:val="none" w:sz="0" w:space="0" w:color="auto"/>
      </w:divBdr>
    </w:div>
    <w:div w:id="967707518">
      <w:bodyDiv w:val="1"/>
      <w:marLeft w:val="0"/>
      <w:marRight w:val="0"/>
      <w:marTop w:val="0"/>
      <w:marBottom w:val="0"/>
      <w:divBdr>
        <w:top w:val="none" w:sz="0" w:space="0" w:color="auto"/>
        <w:left w:val="none" w:sz="0" w:space="0" w:color="auto"/>
        <w:bottom w:val="none" w:sz="0" w:space="0" w:color="auto"/>
        <w:right w:val="none" w:sz="0" w:space="0" w:color="auto"/>
      </w:divBdr>
    </w:div>
    <w:div w:id="971515646">
      <w:bodyDiv w:val="1"/>
      <w:marLeft w:val="0"/>
      <w:marRight w:val="0"/>
      <w:marTop w:val="0"/>
      <w:marBottom w:val="0"/>
      <w:divBdr>
        <w:top w:val="none" w:sz="0" w:space="0" w:color="auto"/>
        <w:left w:val="none" w:sz="0" w:space="0" w:color="auto"/>
        <w:bottom w:val="none" w:sz="0" w:space="0" w:color="auto"/>
        <w:right w:val="none" w:sz="0" w:space="0" w:color="auto"/>
      </w:divBdr>
    </w:div>
    <w:div w:id="97355863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9162470">
      <w:bodyDiv w:val="1"/>
      <w:marLeft w:val="0"/>
      <w:marRight w:val="0"/>
      <w:marTop w:val="0"/>
      <w:marBottom w:val="0"/>
      <w:divBdr>
        <w:top w:val="none" w:sz="0" w:space="0" w:color="auto"/>
        <w:left w:val="none" w:sz="0" w:space="0" w:color="auto"/>
        <w:bottom w:val="none" w:sz="0" w:space="0" w:color="auto"/>
        <w:right w:val="none" w:sz="0" w:space="0" w:color="auto"/>
      </w:divBdr>
    </w:div>
    <w:div w:id="1014922414">
      <w:bodyDiv w:val="1"/>
      <w:marLeft w:val="0"/>
      <w:marRight w:val="0"/>
      <w:marTop w:val="0"/>
      <w:marBottom w:val="0"/>
      <w:divBdr>
        <w:top w:val="none" w:sz="0" w:space="0" w:color="auto"/>
        <w:left w:val="none" w:sz="0" w:space="0" w:color="auto"/>
        <w:bottom w:val="none" w:sz="0" w:space="0" w:color="auto"/>
        <w:right w:val="none" w:sz="0" w:space="0" w:color="auto"/>
      </w:divBdr>
      <w:divsChild>
        <w:div w:id="991519026">
          <w:marLeft w:val="0"/>
          <w:marRight w:val="0"/>
          <w:marTop w:val="0"/>
          <w:marBottom w:val="0"/>
          <w:divBdr>
            <w:top w:val="none" w:sz="0" w:space="0" w:color="auto"/>
            <w:left w:val="none" w:sz="0" w:space="0" w:color="auto"/>
            <w:bottom w:val="none" w:sz="0" w:space="0" w:color="auto"/>
            <w:right w:val="none" w:sz="0" w:space="0" w:color="auto"/>
          </w:divBdr>
        </w:div>
        <w:div w:id="1390687347">
          <w:marLeft w:val="0"/>
          <w:marRight w:val="0"/>
          <w:marTop w:val="0"/>
          <w:marBottom w:val="0"/>
          <w:divBdr>
            <w:top w:val="none" w:sz="0" w:space="0" w:color="auto"/>
            <w:left w:val="none" w:sz="0" w:space="0" w:color="auto"/>
            <w:bottom w:val="none" w:sz="0" w:space="0" w:color="auto"/>
            <w:right w:val="none" w:sz="0" w:space="0" w:color="auto"/>
          </w:divBdr>
        </w:div>
        <w:div w:id="1888252637">
          <w:marLeft w:val="0"/>
          <w:marRight w:val="0"/>
          <w:marTop w:val="0"/>
          <w:marBottom w:val="0"/>
          <w:divBdr>
            <w:top w:val="none" w:sz="0" w:space="0" w:color="auto"/>
            <w:left w:val="none" w:sz="0" w:space="0" w:color="auto"/>
            <w:bottom w:val="none" w:sz="0" w:space="0" w:color="auto"/>
            <w:right w:val="none" w:sz="0" w:space="0" w:color="auto"/>
          </w:divBdr>
        </w:div>
      </w:divsChild>
    </w:div>
    <w:div w:id="1045911486">
      <w:bodyDiv w:val="1"/>
      <w:marLeft w:val="0"/>
      <w:marRight w:val="0"/>
      <w:marTop w:val="0"/>
      <w:marBottom w:val="0"/>
      <w:divBdr>
        <w:top w:val="none" w:sz="0" w:space="0" w:color="auto"/>
        <w:left w:val="none" w:sz="0" w:space="0" w:color="auto"/>
        <w:bottom w:val="none" w:sz="0" w:space="0" w:color="auto"/>
        <w:right w:val="none" w:sz="0" w:space="0" w:color="auto"/>
      </w:divBdr>
    </w:div>
    <w:div w:id="1049844697">
      <w:bodyDiv w:val="1"/>
      <w:marLeft w:val="0"/>
      <w:marRight w:val="0"/>
      <w:marTop w:val="0"/>
      <w:marBottom w:val="0"/>
      <w:divBdr>
        <w:top w:val="none" w:sz="0" w:space="0" w:color="auto"/>
        <w:left w:val="none" w:sz="0" w:space="0" w:color="auto"/>
        <w:bottom w:val="none" w:sz="0" w:space="0" w:color="auto"/>
        <w:right w:val="none" w:sz="0" w:space="0" w:color="auto"/>
      </w:divBdr>
    </w:div>
    <w:div w:id="1052115390">
      <w:bodyDiv w:val="1"/>
      <w:marLeft w:val="0"/>
      <w:marRight w:val="0"/>
      <w:marTop w:val="0"/>
      <w:marBottom w:val="0"/>
      <w:divBdr>
        <w:top w:val="none" w:sz="0" w:space="0" w:color="auto"/>
        <w:left w:val="none" w:sz="0" w:space="0" w:color="auto"/>
        <w:bottom w:val="none" w:sz="0" w:space="0" w:color="auto"/>
        <w:right w:val="none" w:sz="0" w:space="0" w:color="auto"/>
      </w:divBdr>
    </w:div>
    <w:div w:id="1054113062">
      <w:bodyDiv w:val="1"/>
      <w:marLeft w:val="0"/>
      <w:marRight w:val="0"/>
      <w:marTop w:val="0"/>
      <w:marBottom w:val="0"/>
      <w:divBdr>
        <w:top w:val="none" w:sz="0" w:space="0" w:color="auto"/>
        <w:left w:val="none" w:sz="0" w:space="0" w:color="auto"/>
        <w:bottom w:val="none" w:sz="0" w:space="0" w:color="auto"/>
        <w:right w:val="none" w:sz="0" w:space="0" w:color="auto"/>
      </w:divBdr>
    </w:div>
    <w:div w:id="1059865423">
      <w:bodyDiv w:val="1"/>
      <w:marLeft w:val="0"/>
      <w:marRight w:val="0"/>
      <w:marTop w:val="0"/>
      <w:marBottom w:val="0"/>
      <w:divBdr>
        <w:top w:val="none" w:sz="0" w:space="0" w:color="auto"/>
        <w:left w:val="none" w:sz="0" w:space="0" w:color="auto"/>
        <w:bottom w:val="none" w:sz="0" w:space="0" w:color="auto"/>
        <w:right w:val="none" w:sz="0" w:space="0" w:color="auto"/>
      </w:divBdr>
    </w:div>
    <w:div w:id="1068068166">
      <w:bodyDiv w:val="1"/>
      <w:marLeft w:val="0"/>
      <w:marRight w:val="0"/>
      <w:marTop w:val="0"/>
      <w:marBottom w:val="0"/>
      <w:divBdr>
        <w:top w:val="none" w:sz="0" w:space="0" w:color="auto"/>
        <w:left w:val="none" w:sz="0" w:space="0" w:color="auto"/>
        <w:bottom w:val="none" w:sz="0" w:space="0" w:color="auto"/>
        <w:right w:val="none" w:sz="0" w:space="0" w:color="auto"/>
      </w:divBdr>
    </w:div>
    <w:div w:id="1070733889">
      <w:bodyDiv w:val="1"/>
      <w:marLeft w:val="0"/>
      <w:marRight w:val="0"/>
      <w:marTop w:val="0"/>
      <w:marBottom w:val="0"/>
      <w:divBdr>
        <w:top w:val="none" w:sz="0" w:space="0" w:color="auto"/>
        <w:left w:val="none" w:sz="0" w:space="0" w:color="auto"/>
        <w:bottom w:val="none" w:sz="0" w:space="0" w:color="auto"/>
        <w:right w:val="none" w:sz="0" w:space="0" w:color="auto"/>
      </w:divBdr>
    </w:div>
    <w:div w:id="1084447936">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0834805">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0397523">
      <w:bodyDiv w:val="1"/>
      <w:marLeft w:val="0"/>
      <w:marRight w:val="0"/>
      <w:marTop w:val="0"/>
      <w:marBottom w:val="0"/>
      <w:divBdr>
        <w:top w:val="none" w:sz="0" w:space="0" w:color="auto"/>
        <w:left w:val="none" w:sz="0" w:space="0" w:color="auto"/>
        <w:bottom w:val="none" w:sz="0" w:space="0" w:color="auto"/>
        <w:right w:val="none" w:sz="0" w:space="0" w:color="auto"/>
      </w:divBdr>
    </w:div>
    <w:div w:id="1115294399">
      <w:bodyDiv w:val="1"/>
      <w:marLeft w:val="0"/>
      <w:marRight w:val="0"/>
      <w:marTop w:val="0"/>
      <w:marBottom w:val="0"/>
      <w:divBdr>
        <w:top w:val="none" w:sz="0" w:space="0" w:color="auto"/>
        <w:left w:val="none" w:sz="0" w:space="0" w:color="auto"/>
        <w:bottom w:val="none" w:sz="0" w:space="0" w:color="auto"/>
        <w:right w:val="none" w:sz="0" w:space="0" w:color="auto"/>
      </w:divBdr>
    </w:div>
    <w:div w:id="1118527070">
      <w:bodyDiv w:val="1"/>
      <w:marLeft w:val="0"/>
      <w:marRight w:val="0"/>
      <w:marTop w:val="0"/>
      <w:marBottom w:val="0"/>
      <w:divBdr>
        <w:top w:val="none" w:sz="0" w:space="0" w:color="auto"/>
        <w:left w:val="none" w:sz="0" w:space="0" w:color="auto"/>
        <w:bottom w:val="none" w:sz="0" w:space="0" w:color="auto"/>
        <w:right w:val="none" w:sz="0" w:space="0" w:color="auto"/>
      </w:divBdr>
    </w:div>
    <w:div w:id="1120107725">
      <w:bodyDiv w:val="1"/>
      <w:marLeft w:val="0"/>
      <w:marRight w:val="0"/>
      <w:marTop w:val="0"/>
      <w:marBottom w:val="0"/>
      <w:divBdr>
        <w:top w:val="none" w:sz="0" w:space="0" w:color="auto"/>
        <w:left w:val="none" w:sz="0" w:space="0" w:color="auto"/>
        <w:bottom w:val="none" w:sz="0" w:space="0" w:color="auto"/>
        <w:right w:val="none" w:sz="0" w:space="0" w:color="auto"/>
      </w:divBdr>
    </w:div>
    <w:div w:id="1130394282">
      <w:bodyDiv w:val="1"/>
      <w:marLeft w:val="0"/>
      <w:marRight w:val="0"/>
      <w:marTop w:val="0"/>
      <w:marBottom w:val="0"/>
      <w:divBdr>
        <w:top w:val="none" w:sz="0" w:space="0" w:color="auto"/>
        <w:left w:val="none" w:sz="0" w:space="0" w:color="auto"/>
        <w:bottom w:val="none" w:sz="0" w:space="0" w:color="auto"/>
        <w:right w:val="none" w:sz="0" w:space="0" w:color="auto"/>
      </w:divBdr>
    </w:div>
    <w:div w:id="1166898571">
      <w:bodyDiv w:val="1"/>
      <w:marLeft w:val="0"/>
      <w:marRight w:val="0"/>
      <w:marTop w:val="0"/>
      <w:marBottom w:val="0"/>
      <w:divBdr>
        <w:top w:val="none" w:sz="0" w:space="0" w:color="auto"/>
        <w:left w:val="none" w:sz="0" w:space="0" w:color="auto"/>
        <w:bottom w:val="none" w:sz="0" w:space="0" w:color="auto"/>
        <w:right w:val="none" w:sz="0" w:space="0" w:color="auto"/>
      </w:divBdr>
    </w:div>
    <w:div w:id="1176730225">
      <w:bodyDiv w:val="1"/>
      <w:marLeft w:val="0"/>
      <w:marRight w:val="0"/>
      <w:marTop w:val="0"/>
      <w:marBottom w:val="0"/>
      <w:divBdr>
        <w:top w:val="none" w:sz="0" w:space="0" w:color="auto"/>
        <w:left w:val="none" w:sz="0" w:space="0" w:color="auto"/>
        <w:bottom w:val="none" w:sz="0" w:space="0" w:color="auto"/>
        <w:right w:val="none" w:sz="0" w:space="0" w:color="auto"/>
      </w:divBdr>
    </w:div>
    <w:div w:id="1202673052">
      <w:bodyDiv w:val="1"/>
      <w:marLeft w:val="0"/>
      <w:marRight w:val="0"/>
      <w:marTop w:val="0"/>
      <w:marBottom w:val="0"/>
      <w:divBdr>
        <w:top w:val="none" w:sz="0" w:space="0" w:color="auto"/>
        <w:left w:val="none" w:sz="0" w:space="0" w:color="auto"/>
        <w:bottom w:val="none" w:sz="0" w:space="0" w:color="auto"/>
        <w:right w:val="none" w:sz="0" w:space="0" w:color="auto"/>
      </w:divBdr>
      <w:divsChild>
        <w:div w:id="154689341">
          <w:marLeft w:val="0"/>
          <w:marRight w:val="0"/>
          <w:marTop w:val="0"/>
          <w:marBottom w:val="0"/>
          <w:divBdr>
            <w:top w:val="none" w:sz="0" w:space="0" w:color="auto"/>
            <w:left w:val="none" w:sz="0" w:space="0" w:color="auto"/>
            <w:bottom w:val="none" w:sz="0" w:space="0" w:color="auto"/>
            <w:right w:val="none" w:sz="0" w:space="0" w:color="auto"/>
          </w:divBdr>
        </w:div>
        <w:div w:id="561135376">
          <w:marLeft w:val="0"/>
          <w:marRight w:val="0"/>
          <w:marTop w:val="0"/>
          <w:marBottom w:val="0"/>
          <w:divBdr>
            <w:top w:val="none" w:sz="0" w:space="0" w:color="auto"/>
            <w:left w:val="none" w:sz="0" w:space="0" w:color="auto"/>
            <w:bottom w:val="none" w:sz="0" w:space="0" w:color="auto"/>
            <w:right w:val="none" w:sz="0" w:space="0" w:color="auto"/>
          </w:divBdr>
        </w:div>
        <w:div w:id="1464033789">
          <w:marLeft w:val="0"/>
          <w:marRight w:val="0"/>
          <w:marTop w:val="0"/>
          <w:marBottom w:val="0"/>
          <w:divBdr>
            <w:top w:val="none" w:sz="0" w:space="0" w:color="auto"/>
            <w:left w:val="none" w:sz="0" w:space="0" w:color="auto"/>
            <w:bottom w:val="none" w:sz="0" w:space="0" w:color="auto"/>
            <w:right w:val="none" w:sz="0" w:space="0" w:color="auto"/>
          </w:divBdr>
        </w:div>
        <w:div w:id="1484662581">
          <w:marLeft w:val="0"/>
          <w:marRight w:val="0"/>
          <w:marTop w:val="0"/>
          <w:marBottom w:val="0"/>
          <w:divBdr>
            <w:top w:val="none" w:sz="0" w:space="0" w:color="auto"/>
            <w:left w:val="none" w:sz="0" w:space="0" w:color="auto"/>
            <w:bottom w:val="none" w:sz="0" w:space="0" w:color="auto"/>
            <w:right w:val="none" w:sz="0" w:space="0" w:color="auto"/>
          </w:divBdr>
        </w:div>
        <w:div w:id="1589080090">
          <w:marLeft w:val="0"/>
          <w:marRight w:val="0"/>
          <w:marTop w:val="0"/>
          <w:marBottom w:val="0"/>
          <w:divBdr>
            <w:top w:val="none" w:sz="0" w:space="0" w:color="auto"/>
            <w:left w:val="none" w:sz="0" w:space="0" w:color="auto"/>
            <w:bottom w:val="none" w:sz="0" w:space="0" w:color="auto"/>
            <w:right w:val="none" w:sz="0" w:space="0" w:color="auto"/>
          </w:divBdr>
        </w:div>
        <w:div w:id="1595743084">
          <w:marLeft w:val="0"/>
          <w:marRight w:val="0"/>
          <w:marTop w:val="0"/>
          <w:marBottom w:val="0"/>
          <w:divBdr>
            <w:top w:val="none" w:sz="0" w:space="0" w:color="auto"/>
            <w:left w:val="none" w:sz="0" w:space="0" w:color="auto"/>
            <w:bottom w:val="none" w:sz="0" w:space="0" w:color="auto"/>
            <w:right w:val="none" w:sz="0" w:space="0" w:color="auto"/>
          </w:divBdr>
        </w:div>
      </w:divsChild>
    </w:div>
    <w:div w:id="1216429390">
      <w:bodyDiv w:val="1"/>
      <w:marLeft w:val="0"/>
      <w:marRight w:val="0"/>
      <w:marTop w:val="0"/>
      <w:marBottom w:val="0"/>
      <w:divBdr>
        <w:top w:val="none" w:sz="0" w:space="0" w:color="auto"/>
        <w:left w:val="none" w:sz="0" w:space="0" w:color="auto"/>
        <w:bottom w:val="none" w:sz="0" w:space="0" w:color="auto"/>
        <w:right w:val="none" w:sz="0" w:space="0" w:color="auto"/>
      </w:divBdr>
    </w:div>
    <w:div w:id="1223829515">
      <w:bodyDiv w:val="1"/>
      <w:marLeft w:val="0"/>
      <w:marRight w:val="0"/>
      <w:marTop w:val="0"/>
      <w:marBottom w:val="0"/>
      <w:divBdr>
        <w:top w:val="none" w:sz="0" w:space="0" w:color="auto"/>
        <w:left w:val="none" w:sz="0" w:space="0" w:color="auto"/>
        <w:bottom w:val="none" w:sz="0" w:space="0" w:color="auto"/>
        <w:right w:val="none" w:sz="0" w:space="0" w:color="auto"/>
      </w:divBdr>
    </w:div>
    <w:div w:id="1231765741">
      <w:bodyDiv w:val="1"/>
      <w:marLeft w:val="0"/>
      <w:marRight w:val="0"/>
      <w:marTop w:val="0"/>
      <w:marBottom w:val="0"/>
      <w:divBdr>
        <w:top w:val="none" w:sz="0" w:space="0" w:color="auto"/>
        <w:left w:val="none" w:sz="0" w:space="0" w:color="auto"/>
        <w:bottom w:val="none" w:sz="0" w:space="0" w:color="auto"/>
        <w:right w:val="none" w:sz="0" w:space="0" w:color="auto"/>
      </w:divBdr>
    </w:div>
    <w:div w:id="1281258983">
      <w:bodyDiv w:val="1"/>
      <w:marLeft w:val="0"/>
      <w:marRight w:val="0"/>
      <w:marTop w:val="0"/>
      <w:marBottom w:val="0"/>
      <w:divBdr>
        <w:top w:val="none" w:sz="0" w:space="0" w:color="auto"/>
        <w:left w:val="none" w:sz="0" w:space="0" w:color="auto"/>
        <w:bottom w:val="none" w:sz="0" w:space="0" w:color="auto"/>
        <w:right w:val="none" w:sz="0" w:space="0" w:color="auto"/>
      </w:divBdr>
    </w:div>
    <w:div w:id="1287159805">
      <w:bodyDiv w:val="1"/>
      <w:marLeft w:val="0"/>
      <w:marRight w:val="0"/>
      <w:marTop w:val="0"/>
      <w:marBottom w:val="0"/>
      <w:divBdr>
        <w:top w:val="none" w:sz="0" w:space="0" w:color="auto"/>
        <w:left w:val="none" w:sz="0" w:space="0" w:color="auto"/>
        <w:bottom w:val="none" w:sz="0" w:space="0" w:color="auto"/>
        <w:right w:val="none" w:sz="0" w:space="0" w:color="auto"/>
      </w:divBdr>
    </w:div>
    <w:div w:id="1298100789">
      <w:bodyDiv w:val="1"/>
      <w:marLeft w:val="0"/>
      <w:marRight w:val="0"/>
      <w:marTop w:val="0"/>
      <w:marBottom w:val="0"/>
      <w:divBdr>
        <w:top w:val="none" w:sz="0" w:space="0" w:color="auto"/>
        <w:left w:val="none" w:sz="0" w:space="0" w:color="auto"/>
        <w:bottom w:val="none" w:sz="0" w:space="0" w:color="auto"/>
        <w:right w:val="none" w:sz="0" w:space="0" w:color="auto"/>
      </w:divBdr>
    </w:div>
    <w:div w:id="1302730705">
      <w:bodyDiv w:val="1"/>
      <w:marLeft w:val="0"/>
      <w:marRight w:val="0"/>
      <w:marTop w:val="0"/>
      <w:marBottom w:val="0"/>
      <w:divBdr>
        <w:top w:val="none" w:sz="0" w:space="0" w:color="auto"/>
        <w:left w:val="none" w:sz="0" w:space="0" w:color="auto"/>
        <w:bottom w:val="none" w:sz="0" w:space="0" w:color="auto"/>
        <w:right w:val="none" w:sz="0" w:space="0" w:color="auto"/>
      </w:divBdr>
    </w:div>
    <w:div w:id="1325741425">
      <w:bodyDiv w:val="1"/>
      <w:marLeft w:val="0"/>
      <w:marRight w:val="0"/>
      <w:marTop w:val="0"/>
      <w:marBottom w:val="0"/>
      <w:divBdr>
        <w:top w:val="none" w:sz="0" w:space="0" w:color="auto"/>
        <w:left w:val="none" w:sz="0" w:space="0" w:color="auto"/>
        <w:bottom w:val="none" w:sz="0" w:space="0" w:color="auto"/>
        <w:right w:val="none" w:sz="0" w:space="0" w:color="auto"/>
      </w:divBdr>
    </w:div>
    <w:div w:id="1338925443">
      <w:bodyDiv w:val="1"/>
      <w:marLeft w:val="0"/>
      <w:marRight w:val="0"/>
      <w:marTop w:val="0"/>
      <w:marBottom w:val="0"/>
      <w:divBdr>
        <w:top w:val="none" w:sz="0" w:space="0" w:color="auto"/>
        <w:left w:val="none" w:sz="0" w:space="0" w:color="auto"/>
        <w:bottom w:val="none" w:sz="0" w:space="0" w:color="auto"/>
        <w:right w:val="none" w:sz="0" w:space="0" w:color="auto"/>
      </w:divBdr>
    </w:div>
    <w:div w:id="1344014166">
      <w:bodyDiv w:val="1"/>
      <w:marLeft w:val="0"/>
      <w:marRight w:val="0"/>
      <w:marTop w:val="0"/>
      <w:marBottom w:val="0"/>
      <w:divBdr>
        <w:top w:val="none" w:sz="0" w:space="0" w:color="auto"/>
        <w:left w:val="none" w:sz="0" w:space="0" w:color="auto"/>
        <w:bottom w:val="none" w:sz="0" w:space="0" w:color="auto"/>
        <w:right w:val="none" w:sz="0" w:space="0" w:color="auto"/>
      </w:divBdr>
    </w:div>
    <w:div w:id="1346205915">
      <w:bodyDiv w:val="1"/>
      <w:marLeft w:val="0"/>
      <w:marRight w:val="0"/>
      <w:marTop w:val="0"/>
      <w:marBottom w:val="0"/>
      <w:divBdr>
        <w:top w:val="none" w:sz="0" w:space="0" w:color="auto"/>
        <w:left w:val="none" w:sz="0" w:space="0" w:color="auto"/>
        <w:bottom w:val="none" w:sz="0" w:space="0" w:color="auto"/>
        <w:right w:val="none" w:sz="0" w:space="0" w:color="auto"/>
      </w:divBdr>
    </w:div>
    <w:div w:id="1392774055">
      <w:bodyDiv w:val="1"/>
      <w:marLeft w:val="0"/>
      <w:marRight w:val="0"/>
      <w:marTop w:val="0"/>
      <w:marBottom w:val="0"/>
      <w:divBdr>
        <w:top w:val="none" w:sz="0" w:space="0" w:color="auto"/>
        <w:left w:val="none" w:sz="0" w:space="0" w:color="auto"/>
        <w:bottom w:val="none" w:sz="0" w:space="0" w:color="auto"/>
        <w:right w:val="none" w:sz="0" w:space="0" w:color="auto"/>
      </w:divBdr>
    </w:div>
    <w:div w:id="1392967901">
      <w:bodyDiv w:val="1"/>
      <w:marLeft w:val="0"/>
      <w:marRight w:val="0"/>
      <w:marTop w:val="0"/>
      <w:marBottom w:val="0"/>
      <w:divBdr>
        <w:top w:val="none" w:sz="0" w:space="0" w:color="auto"/>
        <w:left w:val="none" w:sz="0" w:space="0" w:color="auto"/>
        <w:bottom w:val="none" w:sz="0" w:space="0" w:color="auto"/>
        <w:right w:val="none" w:sz="0" w:space="0" w:color="auto"/>
      </w:divBdr>
      <w:divsChild>
        <w:div w:id="1420523694">
          <w:marLeft w:val="0"/>
          <w:marRight w:val="0"/>
          <w:marTop w:val="0"/>
          <w:marBottom w:val="0"/>
          <w:divBdr>
            <w:top w:val="none" w:sz="0" w:space="0" w:color="auto"/>
            <w:left w:val="none" w:sz="0" w:space="0" w:color="auto"/>
            <w:bottom w:val="none" w:sz="0" w:space="0" w:color="auto"/>
            <w:right w:val="none" w:sz="0" w:space="0" w:color="auto"/>
          </w:divBdr>
        </w:div>
      </w:divsChild>
    </w:div>
    <w:div w:id="1402172549">
      <w:bodyDiv w:val="1"/>
      <w:marLeft w:val="0"/>
      <w:marRight w:val="0"/>
      <w:marTop w:val="0"/>
      <w:marBottom w:val="0"/>
      <w:divBdr>
        <w:top w:val="none" w:sz="0" w:space="0" w:color="auto"/>
        <w:left w:val="none" w:sz="0" w:space="0" w:color="auto"/>
        <w:bottom w:val="none" w:sz="0" w:space="0" w:color="auto"/>
        <w:right w:val="none" w:sz="0" w:space="0" w:color="auto"/>
      </w:divBdr>
    </w:div>
    <w:div w:id="1423993649">
      <w:bodyDiv w:val="1"/>
      <w:marLeft w:val="0"/>
      <w:marRight w:val="0"/>
      <w:marTop w:val="0"/>
      <w:marBottom w:val="0"/>
      <w:divBdr>
        <w:top w:val="none" w:sz="0" w:space="0" w:color="auto"/>
        <w:left w:val="none" w:sz="0" w:space="0" w:color="auto"/>
        <w:bottom w:val="none" w:sz="0" w:space="0" w:color="auto"/>
        <w:right w:val="none" w:sz="0" w:space="0" w:color="auto"/>
      </w:divBdr>
    </w:div>
    <w:div w:id="1435631952">
      <w:bodyDiv w:val="1"/>
      <w:marLeft w:val="0"/>
      <w:marRight w:val="0"/>
      <w:marTop w:val="0"/>
      <w:marBottom w:val="0"/>
      <w:divBdr>
        <w:top w:val="none" w:sz="0" w:space="0" w:color="auto"/>
        <w:left w:val="none" w:sz="0" w:space="0" w:color="auto"/>
        <w:bottom w:val="none" w:sz="0" w:space="0" w:color="auto"/>
        <w:right w:val="none" w:sz="0" w:space="0" w:color="auto"/>
      </w:divBdr>
      <w:divsChild>
        <w:div w:id="631447650">
          <w:marLeft w:val="0"/>
          <w:marRight w:val="0"/>
          <w:marTop w:val="0"/>
          <w:marBottom w:val="0"/>
          <w:divBdr>
            <w:top w:val="none" w:sz="0" w:space="0" w:color="auto"/>
            <w:left w:val="none" w:sz="0" w:space="0" w:color="auto"/>
            <w:bottom w:val="none" w:sz="0" w:space="0" w:color="auto"/>
            <w:right w:val="none" w:sz="0" w:space="0" w:color="auto"/>
          </w:divBdr>
        </w:div>
      </w:divsChild>
    </w:div>
    <w:div w:id="1445416223">
      <w:bodyDiv w:val="1"/>
      <w:marLeft w:val="0"/>
      <w:marRight w:val="0"/>
      <w:marTop w:val="0"/>
      <w:marBottom w:val="0"/>
      <w:divBdr>
        <w:top w:val="none" w:sz="0" w:space="0" w:color="auto"/>
        <w:left w:val="none" w:sz="0" w:space="0" w:color="auto"/>
        <w:bottom w:val="none" w:sz="0" w:space="0" w:color="auto"/>
        <w:right w:val="none" w:sz="0" w:space="0" w:color="auto"/>
      </w:divBdr>
    </w:div>
    <w:div w:id="1448743579">
      <w:bodyDiv w:val="1"/>
      <w:marLeft w:val="0"/>
      <w:marRight w:val="0"/>
      <w:marTop w:val="0"/>
      <w:marBottom w:val="0"/>
      <w:divBdr>
        <w:top w:val="none" w:sz="0" w:space="0" w:color="auto"/>
        <w:left w:val="none" w:sz="0" w:space="0" w:color="auto"/>
        <w:bottom w:val="none" w:sz="0" w:space="0" w:color="auto"/>
        <w:right w:val="none" w:sz="0" w:space="0" w:color="auto"/>
      </w:divBdr>
    </w:div>
    <w:div w:id="1450276423">
      <w:bodyDiv w:val="1"/>
      <w:marLeft w:val="0"/>
      <w:marRight w:val="0"/>
      <w:marTop w:val="0"/>
      <w:marBottom w:val="0"/>
      <w:divBdr>
        <w:top w:val="none" w:sz="0" w:space="0" w:color="auto"/>
        <w:left w:val="none" w:sz="0" w:space="0" w:color="auto"/>
        <w:bottom w:val="none" w:sz="0" w:space="0" w:color="auto"/>
        <w:right w:val="none" w:sz="0" w:space="0" w:color="auto"/>
      </w:divBdr>
    </w:div>
    <w:div w:id="1450395659">
      <w:bodyDiv w:val="1"/>
      <w:marLeft w:val="0"/>
      <w:marRight w:val="0"/>
      <w:marTop w:val="0"/>
      <w:marBottom w:val="0"/>
      <w:divBdr>
        <w:top w:val="none" w:sz="0" w:space="0" w:color="auto"/>
        <w:left w:val="none" w:sz="0" w:space="0" w:color="auto"/>
        <w:bottom w:val="none" w:sz="0" w:space="0" w:color="auto"/>
        <w:right w:val="none" w:sz="0" w:space="0" w:color="auto"/>
      </w:divBdr>
    </w:div>
    <w:div w:id="1460880100">
      <w:bodyDiv w:val="1"/>
      <w:marLeft w:val="0"/>
      <w:marRight w:val="0"/>
      <w:marTop w:val="0"/>
      <w:marBottom w:val="0"/>
      <w:divBdr>
        <w:top w:val="none" w:sz="0" w:space="0" w:color="auto"/>
        <w:left w:val="none" w:sz="0" w:space="0" w:color="auto"/>
        <w:bottom w:val="none" w:sz="0" w:space="0" w:color="auto"/>
        <w:right w:val="none" w:sz="0" w:space="0" w:color="auto"/>
      </w:divBdr>
    </w:div>
    <w:div w:id="1463695369">
      <w:bodyDiv w:val="1"/>
      <w:marLeft w:val="0"/>
      <w:marRight w:val="0"/>
      <w:marTop w:val="0"/>
      <w:marBottom w:val="0"/>
      <w:divBdr>
        <w:top w:val="none" w:sz="0" w:space="0" w:color="auto"/>
        <w:left w:val="none" w:sz="0" w:space="0" w:color="auto"/>
        <w:bottom w:val="none" w:sz="0" w:space="0" w:color="auto"/>
        <w:right w:val="none" w:sz="0" w:space="0" w:color="auto"/>
      </w:divBdr>
    </w:div>
    <w:div w:id="1492674985">
      <w:bodyDiv w:val="1"/>
      <w:marLeft w:val="0"/>
      <w:marRight w:val="0"/>
      <w:marTop w:val="0"/>
      <w:marBottom w:val="0"/>
      <w:divBdr>
        <w:top w:val="none" w:sz="0" w:space="0" w:color="auto"/>
        <w:left w:val="none" w:sz="0" w:space="0" w:color="auto"/>
        <w:bottom w:val="none" w:sz="0" w:space="0" w:color="auto"/>
        <w:right w:val="none" w:sz="0" w:space="0" w:color="auto"/>
      </w:divBdr>
      <w:divsChild>
        <w:div w:id="596060585">
          <w:marLeft w:val="0"/>
          <w:marRight w:val="0"/>
          <w:marTop w:val="0"/>
          <w:marBottom w:val="0"/>
          <w:divBdr>
            <w:top w:val="none" w:sz="0" w:space="0" w:color="auto"/>
            <w:left w:val="none" w:sz="0" w:space="0" w:color="auto"/>
            <w:bottom w:val="none" w:sz="0" w:space="0" w:color="auto"/>
            <w:right w:val="none" w:sz="0" w:space="0" w:color="auto"/>
          </w:divBdr>
        </w:div>
        <w:div w:id="1110854008">
          <w:marLeft w:val="0"/>
          <w:marRight w:val="0"/>
          <w:marTop w:val="0"/>
          <w:marBottom w:val="0"/>
          <w:divBdr>
            <w:top w:val="none" w:sz="0" w:space="0" w:color="auto"/>
            <w:left w:val="none" w:sz="0" w:space="0" w:color="auto"/>
            <w:bottom w:val="none" w:sz="0" w:space="0" w:color="auto"/>
            <w:right w:val="none" w:sz="0" w:space="0" w:color="auto"/>
          </w:divBdr>
        </w:div>
        <w:div w:id="1591742306">
          <w:marLeft w:val="0"/>
          <w:marRight w:val="0"/>
          <w:marTop w:val="0"/>
          <w:marBottom w:val="0"/>
          <w:divBdr>
            <w:top w:val="none" w:sz="0" w:space="0" w:color="auto"/>
            <w:left w:val="none" w:sz="0" w:space="0" w:color="auto"/>
            <w:bottom w:val="none" w:sz="0" w:space="0" w:color="auto"/>
            <w:right w:val="none" w:sz="0" w:space="0" w:color="auto"/>
          </w:divBdr>
        </w:div>
      </w:divsChild>
    </w:div>
    <w:div w:id="1501236553">
      <w:bodyDiv w:val="1"/>
      <w:marLeft w:val="0"/>
      <w:marRight w:val="0"/>
      <w:marTop w:val="0"/>
      <w:marBottom w:val="0"/>
      <w:divBdr>
        <w:top w:val="none" w:sz="0" w:space="0" w:color="auto"/>
        <w:left w:val="none" w:sz="0" w:space="0" w:color="auto"/>
        <w:bottom w:val="none" w:sz="0" w:space="0" w:color="auto"/>
        <w:right w:val="none" w:sz="0" w:space="0" w:color="auto"/>
      </w:divBdr>
    </w:div>
    <w:div w:id="1502426805">
      <w:bodyDiv w:val="1"/>
      <w:marLeft w:val="0"/>
      <w:marRight w:val="0"/>
      <w:marTop w:val="0"/>
      <w:marBottom w:val="0"/>
      <w:divBdr>
        <w:top w:val="none" w:sz="0" w:space="0" w:color="auto"/>
        <w:left w:val="none" w:sz="0" w:space="0" w:color="auto"/>
        <w:bottom w:val="none" w:sz="0" w:space="0" w:color="auto"/>
        <w:right w:val="none" w:sz="0" w:space="0" w:color="auto"/>
      </w:divBdr>
    </w:div>
    <w:div w:id="1507671430">
      <w:bodyDiv w:val="1"/>
      <w:marLeft w:val="0"/>
      <w:marRight w:val="0"/>
      <w:marTop w:val="0"/>
      <w:marBottom w:val="0"/>
      <w:divBdr>
        <w:top w:val="none" w:sz="0" w:space="0" w:color="auto"/>
        <w:left w:val="none" w:sz="0" w:space="0" w:color="auto"/>
        <w:bottom w:val="none" w:sz="0" w:space="0" w:color="auto"/>
        <w:right w:val="none" w:sz="0" w:space="0" w:color="auto"/>
      </w:divBdr>
    </w:div>
    <w:div w:id="1528177389">
      <w:bodyDiv w:val="1"/>
      <w:marLeft w:val="0"/>
      <w:marRight w:val="0"/>
      <w:marTop w:val="0"/>
      <w:marBottom w:val="0"/>
      <w:divBdr>
        <w:top w:val="none" w:sz="0" w:space="0" w:color="auto"/>
        <w:left w:val="none" w:sz="0" w:space="0" w:color="auto"/>
        <w:bottom w:val="none" w:sz="0" w:space="0" w:color="auto"/>
        <w:right w:val="none" w:sz="0" w:space="0" w:color="auto"/>
      </w:divBdr>
    </w:div>
    <w:div w:id="1552231804">
      <w:bodyDiv w:val="1"/>
      <w:marLeft w:val="0"/>
      <w:marRight w:val="0"/>
      <w:marTop w:val="0"/>
      <w:marBottom w:val="0"/>
      <w:divBdr>
        <w:top w:val="none" w:sz="0" w:space="0" w:color="auto"/>
        <w:left w:val="none" w:sz="0" w:space="0" w:color="auto"/>
        <w:bottom w:val="none" w:sz="0" w:space="0" w:color="auto"/>
        <w:right w:val="none" w:sz="0" w:space="0" w:color="auto"/>
      </w:divBdr>
    </w:div>
    <w:div w:id="1566721425">
      <w:bodyDiv w:val="1"/>
      <w:marLeft w:val="0"/>
      <w:marRight w:val="0"/>
      <w:marTop w:val="0"/>
      <w:marBottom w:val="0"/>
      <w:divBdr>
        <w:top w:val="none" w:sz="0" w:space="0" w:color="auto"/>
        <w:left w:val="none" w:sz="0" w:space="0" w:color="auto"/>
        <w:bottom w:val="none" w:sz="0" w:space="0" w:color="auto"/>
        <w:right w:val="none" w:sz="0" w:space="0" w:color="auto"/>
      </w:divBdr>
    </w:div>
    <w:div w:id="1577548205">
      <w:bodyDiv w:val="1"/>
      <w:marLeft w:val="0"/>
      <w:marRight w:val="0"/>
      <w:marTop w:val="0"/>
      <w:marBottom w:val="0"/>
      <w:divBdr>
        <w:top w:val="none" w:sz="0" w:space="0" w:color="auto"/>
        <w:left w:val="none" w:sz="0" w:space="0" w:color="auto"/>
        <w:bottom w:val="none" w:sz="0" w:space="0" w:color="auto"/>
        <w:right w:val="none" w:sz="0" w:space="0" w:color="auto"/>
      </w:divBdr>
    </w:div>
    <w:div w:id="1599020220">
      <w:bodyDiv w:val="1"/>
      <w:marLeft w:val="0"/>
      <w:marRight w:val="0"/>
      <w:marTop w:val="0"/>
      <w:marBottom w:val="0"/>
      <w:divBdr>
        <w:top w:val="none" w:sz="0" w:space="0" w:color="auto"/>
        <w:left w:val="none" w:sz="0" w:space="0" w:color="auto"/>
        <w:bottom w:val="none" w:sz="0" w:space="0" w:color="auto"/>
        <w:right w:val="none" w:sz="0" w:space="0" w:color="auto"/>
      </w:divBdr>
    </w:div>
    <w:div w:id="1614164248">
      <w:bodyDiv w:val="1"/>
      <w:marLeft w:val="0"/>
      <w:marRight w:val="0"/>
      <w:marTop w:val="0"/>
      <w:marBottom w:val="0"/>
      <w:divBdr>
        <w:top w:val="none" w:sz="0" w:space="0" w:color="auto"/>
        <w:left w:val="none" w:sz="0" w:space="0" w:color="auto"/>
        <w:bottom w:val="none" w:sz="0" w:space="0" w:color="auto"/>
        <w:right w:val="none" w:sz="0" w:space="0" w:color="auto"/>
      </w:divBdr>
    </w:div>
    <w:div w:id="1648237903">
      <w:bodyDiv w:val="1"/>
      <w:marLeft w:val="0"/>
      <w:marRight w:val="0"/>
      <w:marTop w:val="0"/>
      <w:marBottom w:val="0"/>
      <w:divBdr>
        <w:top w:val="none" w:sz="0" w:space="0" w:color="auto"/>
        <w:left w:val="none" w:sz="0" w:space="0" w:color="auto"/>
        <w:bottom w:val="none" w:sz="0" w:space="0" w:color="auto"/>
        <w:right w:val="none" w:sz="0" w:space="0" w:color="auto"/>
      </w:divBdr>
    </w:div>
    <w:div w:id="1677536034">
      <w:bodyDiv w:val="1"/>
      <w:marLeft w:val="0"/>
      <w:marRight w:val="0"/>
      <w:marTop w:val="0"/>
      <w:marBottom w:val="0"/>
      <w:divBdr>
        <w:top w:val="none" w:sz="0" w:space="0" w:color="auto"/>
        <w:left w:val="none" w:sz="0" w:space="0" w:color="auto"/>
        <w:bottom w:val="none" w:sz="0" w:space="0" w:color="auto"/>
        <w:right w:val="none" w:sz="0" w:space="0" w:color="auto"/>
      </w:divBdr>
    </w:div>
    <w:div w:id="1684167354">
      <w:bodyDiv w:val="1"/>
      <w:marLeft w:val="0"/>
      <w:marRight w:val="0"/>
      <w:marTop w:val="0"/>
      <w:marBottom w:val="0"/>
      <w:divBdr>
        <w:top w:val="none" w:sz="0" w:space="0" w:color="auto"/>
        <w:left w:val="none" w:sz="0" w:space="0" w:color="auto"/>
        <w:bottom w:val="none" w:sz="0" w:space="0" w:color="auto"/>
        <w:right w:val="none" w:sz="0" w:space="0" w:color="auto"/>
      </w:divBdr>
    </w:div>
    <w:div w:id="1689326994">
      <w:bodyDiv w:val="1"/>
      <w:marLeft w:val="0"/>
      <w:marRight w:val="0"/>
      <w:marTop w:val="0"/>
      <w:marBottom w:val="0"/>
      <w:divBdr>
        <w:top w:val="none" w:sz="0" w:space="0" w:color="auto"/>
        <w:left w:val="none" w:sz="0" w:space="0" w:color="auto"/>
        <w:bottom w:val="none" w:sz="0" w:space="0" w:color="auto"/>
        <w:right w:val="none" w:sz="0" w:space="0" w:color="auto"/>
      </w:divBdr>
    </w:div>
    <w:div w:id="1698505662">
      <w:bodyDiv w:val="1"/>
      <w:marLeft w:val="0"/>
      <w:marRight w:val="0"/>
      <w:marTop w:val="0"/>
      <w:marBottom w:val="0"/>
      <w:divBdr>
        <w:top w:val="none" w:sz="0" w:space="0" w:color="auto"/>
        <w:left w:val="none" w:sz="0" w:space="0" w:color="auto"/>
        <w:bottom w:val="none" w:sz="0" w:space="0" w:color="auto"/>
        <w:right w:val="none" w:sz="0" w:space="0" w:color="auto"/>
      </w:divBdr>
    </w:div>
    <w:div w:id="1710104080">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62876950">
      <w:bodyDiv w:val="1"/>
      <w:marLeft w:val="0"/>
      <w:marRight w:val="0"/>
      <w:marTop w:val="0"/>
      <w:marBottom w:val="0"/>
      <w:divBdr>
        <w:top w:val="none" w:sz="0" w:space="0" w:color="auto"/>
        <w:left w:val="none" w:sz="0" w:space="0" w:color="auto"/>
        <w:bottom w:val="none" w:sz="0" w:space="0" w:color="auto"/>
        <w:right w:val="none" w:sz="0" w:space="0" w:color="auto"/>
      </w:divBdr>
    </w:div>
    <w:div w:id="1787239550">
      <w:bodyDiv w:val="1"/>
      <w:marLeft w:val="0"/>
      <w:marRight w:val="0"/>
      <w:marTop w:val="0"/>
      <w:marBottom w:val="0"/>
      <w:divBdr>
        <w:top w:val="none" w:sz="0" w:space="0" w:color="auto"/>
        <w:left w:val="none" w:sz="0" w:space="0" w:color="auto"/>
        <w:bottom w:val="none" w:sz="0" w:space="0" w:color="auto"/>
        <w:right w:val="none" w:sz="0" w:space="0" w:color="auto"/>
      </w:divBdr>
    </w:div>
    <w:div w:id="1794908513">
      <w:bodyDiv w:val="1"/>
      <w:marLeft w:val="0"/>
      <w:marRight w:val="0"/>
      <w:marTop w:val="0"/>
      <w:marBottom w:val="0"/>
      <w:divBdr>
        <w:top w:val="none" w:sz="0" w:space="0" w:color="auto"/>
        <w:left w:val="none" w:sz="0" w:space="0" w:color="auto"/>
        <w:bottom w:val="none" w:sz="0" w:space="0" w:color="auto"/>
        <w:right w:val="none" w:sz="0" w:space="0" w:color="auto"/>
      </w:divBdr>
    </w:div>
    <w:div w:id="1796286963">
      <w:bodyDiv w:val="1"/>
      <w:marLeft w:val="0"/>
      <w:marRight w:val="0"/>
      <w:marTop w:val="0"/>
      <w:marBottom w:val="0"/>
      <w:divBdr>
        <w:top w:val="none" w:sz="0" w:space="0" w:color="auto"/>
        <w:left w:val="none" w:sz="0" w:space="0" w:color="auto"/>
        <w:bottom w:val="none" w:sz="0" w:space="0" w:color="auto"/>
        <w:right w:val="none" w:sz="0" w:space="0" w:color="auto"/>
      </w:divBdr>
    </w:div>
    <w:div w:id="1820460992">
      <w:bodyDiv w:val="1"/>
      <w:marLeft w:val="0"/>
      <w:marRight w:val="0"/>
      <w:marTop w:val="0"/>
      <w:marBottom w:val="0"/>
      <w:divBdr>
        <w:top w:val="none" w:sz="0" w:space="0" w:color="auto"/>
        <w:left w:val="none" w:sz="0" w:space="0" w:color="auto"/>
        <w:bottom w:val="none" w:sz="0" w:space="0" w:color="auto"/>
        <w:right w:val="none" w:sz="0" w:space="0" w:color="auto"/>
      </w:divBdr>
    </w:div>
    <w:div w:id="1825927158">
      <w:bodyDiv w:val="1"/>
      <w:marLeft w:val="0"/>
      <w:marRight w:val="0"/>
      <w:marTop w:val="0"/>
      <w:marBottom w:val="0"/>
      <w:divBdr>
        <w:top w:val="none" w:sz="0" w:space="0" w:color="auto"/>
        <w:left w:val="none" w:sz="0" w:space="0" w:color="auto"/>
        <w:bottom w:val="none" w:sz="0" w:space="0" w:color="auto"/>
        <w:right w:val="none" w:sz="0" w:space="0" w:color="auto"/>
      </w:divBdr>
    </w:div>
    <w:div w:id="1849558185">
      <w:bodyDiv w:val="1"/>
      <w:marLeft w:val="0"/>
      <w:marRight w:val="0"/>
      <w:marTop w:val="0"/>
      <w:marBottom w:val="0"/>
      <w:divBdr>
        <w:top w:val="none" w:sz="0" w:space="0" w:color="auto"/>
        <w:left w:val="none" w:sz="0" w:space="0" w:color="auto"/>
        <w:bottom w:val="none" w:sz="0" w:space="0" w:color="auto"/>
        <w:right w:val="none" w:sz="0" w:space="0" w:color="auto"/>
      </w:divBdr>
    </w:div>
    <w:div w:id="1866362986">
      <w:bodyDiv w:val="1"/>
      <w:marLeft w:val="0"/>
      <w:marRight w:val="0"/>
      <w:marTop w:val="0"/>
      <w:marBottom w:val="0"/>
      <w:divBdr>
        <w:top w:val="none" w:sz="0" w:space="0" w:color="auto"/>
        <w:left w:val="none" w:sz="0" w:space="0" w:color="auto"/>
        <w:bottom w:val="none" w:sz="0" w:space="0" w:color="auto"/>
        <w:right w:val="none" w:sz="0" w:space="0" w:color="auto"/>
      </w:divBdr>
    </w:div>
    <w:div w:id="1867910489">
      <w:bodyDiv w:val="1"/>
      <w:marLeft w:val="0"/>
      <w:marRight w:val="0"/>
      <w:marTop w:val="0"/>
      <w:marBottom w:val="0"/>
      <w:divBdr>
        <w:top w:val="none" w:sz="0" w:space="0" w:color="auto"/>
        <w:left w:val="none" w:sz="0" w:space="0" w:color="auto"/>
        <w:bottom w:val="none" w:sz="0" w:space="0" w:color="auto"/>
        <w:right w:val="none" w:sz="0" w:space="0" w:color="auto"/>
      </w:divBdr>
    </w:div>
    <w:div w:id="1867937166">
      <w:bodyDiv w:val="1"/>
      <w:marLeft w:val="0"/>
      <w:marRight w:val="0"/>
      <w:marTop w:val="0"/>
      <w:marBottom w:val="0"/>
      <w:divBdr>
        <w:top w:val="none" w:sz="0" w:space="0" w:color="auto"/>
        <w:left w:val="none" w:sz="0" w:space="0" w:color="auto"/>
        <w:bottom w:val="none" w:sz="0" w:space="0" w:color="auto"/>
        <w:right w:val="none" w:sz="0" w:space="0" w:color="auto"/>
      </w:divBdr>
    </w:div>
    <w:div w:id="1881700060">
      <w:bodyDiv w:val="1"/>
      <w:marLeft w:val="0"/>
      <w:marRight w:val="0"/>
      <w:marTop w:val="0"/>
      <w:marBottom w:val="0"/>
      <w:divBdr>
        <w:top w:val="none" w:sz="0" w:space="0" w:color="auto"/>
        <w:left w:val="none" w:sz="0" w:space="0" w:color="auto"/>
        <w:bottom w:val="none" w:sz="0" w:space="0" w:color="auto"/>
        <w:right w:val="none" w:sz="0" w:space="0" w:color="auto"/>
      </w:divBdr>
    </w:div>
    <w:div w:id="1888955684">
      <w:bodyDiv w:val="1"/>
      <w:marLeft w:val="0"/>
      <w:marRight w:val="0"/>
      <w:marTop w:val="0"/>
      <w:marBottom w:val="0"/>
      <w:divBdr>
        <w:top w:val="none" w:sz="0" w:space="0" w:color="auto"/>
        <w:left w:val="none" w:sz="0" w:space="0" w:color="auto"/>
        <w:bottom w:val="none" w:sz="0" w:space="0" w:color="auto"/>
        <w:right w:val="none" w:sz="0" w:space="0" w:color="auto"/>
      </w:divBdr>
    </w:div>
    <w:div w:id="1899592032">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5482422">
      <w:bodyDiv w:val="1"/>
      <w:marLeft w:val="0"/>
      <w:marRight w:val="0"/>
      <w:marTop w:val="0"/>
      <w:marBottom w:val="0"/>
      <w:divBdr>
        <w:top w:val="none" w:sz="0" w:space="0" w:color="auto"/>
        <w:left w:val="none" w:sz="0" w:space="0" w:color="auto"/>
        <w:bottom w:val="none" w:sz="0" w:space="0" w:color="auto"/>
        <w:right w:val="none" w:sz="0" w:space="0" w:color="auto"/>
      </w:divBdr>
    </w:div>
    <w:div w:id="1917979017">
      <w:bodyDiv w:val="1"/>
      <w:marLeft w:val="0"/>
      <w:marRight w:val="0"/>
      <w:marTop w:val="0"/>
      <w:marBottom w:val="0"/>
      <w:divBdr>
        <w:top w:val="none" w:sz="0" w:space="0" w:color="auto"/>
        <w:left w:val="none" w:sz="0" w:space="0" w:color="auto"/>
        <w:bottom w:val="none" w:sz="0" w:space="0" w:color="auto"/>
        <w:right w:val="none" w:sz="0" w:space="0" w:color="auto"/>
      </w:divBdr>
      <w:divsChild>
        <w:div w:id="151918957">
          <w:marLeft w:val="0"/>
          <w:marRight w:val="0"/>
          <w:marTop w:val="0"/>
          <w:marBottom w:val="0"/>
          <w:divBdr>
            <w:top w:val="none" w:sz="0" w:space="0" w:color="auto"/>
            <w:left w:val="none" w:sz="0" w:space="0" w:color="auto"/>
            <w:bottom w:val="none" w:sz="0" w:space="0" w:color="auto"/>
            <w:right w:val="none" w:sz="0" w:space="0" w:color="auto"/>
          </w:divBdr>
        </w:div>
        <w:div w:id="1319650135">
          <w:marLeft w:val="0"/>
          <w:marRight w:val="0"/>
          <w:marTop w:val="0"/>
          <w:marBottom w:val="0"/>
          <w:divBdr>
            <w:top w:val="none" w:sz="0" w:space="0" w:color="auto"/>
            <w:left w:val="none" w:sz="0" w:space="0" w:color="auto"/>
            <w:bottom w:val="none" w:sz="0" w:space="0" w:color="auto"/>
            <w:right w:val="none" w:sz="0" w:space="0" w:color="auto"/>
          </w:divBdr>
        </w:div>
        <w:div w:id="1920863198">
          <w:marLeft w:val="0"/>
          <w:marRight w:val="0"/>
          <w:marTop w:val="0"/>
          <w:marBottom w:val="0"/>
          <w:divBdr>
            <w:top w:val="none" w:sz="0" w:space="0" w:color="auto"/>
            <w:left w:val="none" w:sz="0" w:space="0" w:color="auto"/>
            <w:bottom w:val="none" w:sz="0" w:space="0" w:color="auto"/>
            <w:right w:val="none" w:sz="0" w:space="0" w:color="auto"/>
          </w:divBdr>
        </w:div>
      </w:divsChild>
    </w:div>
    <w:div w:id="1918401153">
      <w:bodyDiv w:val="1"/>
      <w:marLeft w:val="0"/>
      <w:marRight w:val="0"/>
      <w:marTop w:val="0"/>
      <w:marBottom w:val="0"/>
      <w:divBdr>
        <w:top w:val="none" w:sz="0" w:space="0" w:color="auto"/>
        <w:left w:val="none" w:sz="0" w:space="0" w:color="auto"/>
        <w:bottom w:val="none" w:sz="0" w:space="0" w:color="auto"/>
        <w:right w:val="none" w:sz="0" w:space="0" w:color="auto"/>
      </w:divBdr>
    </w:div>
    <w:div w:id="1919438553">
      <w:bodyDiv w:val="1"/>
      <w:marLeft w:val="0"/>
      <w:marRight w:val="0"/>
      <w:marTop w:val="0"/>
      <w:marBottom w:val="0"/>
      <w:divBdr>
        <w:top w:val="none" w:sz="0" w:space="0" w:color="auto"/>
        <w:left w:val="none" w:sz="0" w:space="0" w:color="auto"/>
        <w:bottom w:val="none" w:sz="0" w:space="0" w:color="auto"/>
        <w:right w:val="none" w:sz="0" w:space="0" w:color="auto"/>
      </w:divBdr>
    </w:div>
    <w:div w:id="1926256792">
      <w:bodyDiv w:val="1"/>
      <w:marLeft w:val="0"/>
      <w:marRight w:val="0"/>
      <w:marTop w:val="0"/>
      <w:marBottom w:val="0"/>
      <w:divBdr>
        <w:top w:val="none" w:sz="0" w:space="0" w:color="auto"/>
        <w:left w:val="none" w:sz="0" w:space="0" w:color="auto"/>
        <w:bottom w:val="none" w:sz="0" w:space="0" w:color="auto"/>
        <w:right w:val="none" w:sz="0" w:space="0" w:color="auto"/>
      </w:divBdr>
    </w:div>
    <w:div w:id="1953856751">
      <w:bodyDiv w:val="1"/>
      <w:marLeft w:val="0"/>
      <w:marRight w:val="0"/>
      <w:marTop w:val="0"/>
      <w:marBottom w:val="0"/>
      <w:divBdr>
        <w:top w:val="none" w:sz="0" w:space="0" w:color="auto"/>
        <w:left w:val="none" w:sz="0" w:space="0" w:color="auto"/>
        <w:bottom w:val="none" w:sz="0" w:space="0" w:color="auto"/>
        <w:right w:val="none" w:sz="0" w:space="0" w:color="auto"/>
      </w:divBdr>
    </w:div>
    <w:div w:id="1956473343">
      <w:bodyDiv w:val="1"/>
      <w:marLeft w:val="0"/>
      <w:marRight w:val="0"/>
      <w:marTop w:val="0"/>
      <w:marBottom w:val="0"/>
      <w:divBdr>
        <w:top w:val="none" w:sz="0" w:space="0" w:color="auto"/>
        <w:left w:val="none" w:sz="0" w:space="0" w:color="auto"/>
        <w:bottom w:val="none" w:sz="0" w:space="0" w:color="auto"/>
        <w:right w:val="none" w:sz="0" w:space="0" w:color="auto"/>
      </w:divBdr>
    </w:div>
    <w:div w:id="1988169556">
      <w:bodyDiv w:val="1"/>
      <w:marLeft w:val="0"/>
      <w:marRight w:val="0"/>
      <w:marTop w:val="0"/>
      <w:marBottom w:val="0"/>
      <w:divBdr>
        <w:top w:val="none" w:sz="0" w:space="0" w:color="auto"/>
        <w:left w:val="none" w:sz="0" w:space="0" w:color="auto"/>
        <w:bottom w:val="none" w:sz="0" w:space="0" w:color="auto"/>
        <w:right w:val="none" w:sz="0" w:space="0" w:color="auto"/>
      </w:divBdr>
      <w:divsChild>
        <w:div w:id="96411797">
          <w:marLeft w:val="-240"/>
          <w:marRight w:val="-240"/>
          <w:marTop w:val="0"/>
          <w:marBottom w:val="0"/>
          <w:divBdr>
            <w:top w:val="none" w:sz="0" w:space="0" w:color="auto"/>
            <w:left w:val="none" w:sz="0" w:space="0" w:color="auto"/>
            <w:bottom w:val="none" w:sz="0" w:space="0" w:color="auto"/>
            <w:right w:val="none" w:sz="0" w:space="0" w:color="auto"/>
          </w:divBdr>
          <w:divsChild>
            <w:div w:id="740491381">
              <w:marLeft w:val="0"/>
              <w:marRight w:val="0"/>
              <w:marTop w:val="0"/>
              <w:marBottom w:val="0"/>
              <w:divBdr>
                <w:top w:val="none" w:sz="0" w:space="0" w:color="auto"/>
                <w:left w:val="none" w:sz="0" w:space="0" w:color="auto"/>
                <w:bottom w:val="none" w:sz="0" w:space="0" w:color="auto"/>
                <w:right w:val="none" w:sz="0" w:space="0" w:color="auto"/>
              </w:divBdr>
              <w:divsChild>
                <w:div w:id="161390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303164">
      <w:bodyDiv w:val="1"/>
      <w:marLeft w:val="0"/>
      <w:marRight w:val="0"/>
      <w:marTop w:val="0"/>
      <w:marBottom w:val="0"/>
      <w:divBdr>
        <w:top w:val="none" w:sz="0" w:space="0" w:color="auto"/>
        <w:left w:val="none" w:sz="0" w:space="0" w:color="auto"/>
        <w:bottom w:val="none" w:sz="0" w:space="0" w:color="auto"/>
        <w:right w:val="none" w:sz="0" w:space="0" w:color="auto"/>
      </w:divBdr>
    </w:div>
    <w:div w:id="2010017997">
      <w:bodyDiv w:val="1"/>
      <w:marLeft w:val="0"/>
      <w:marRight w:val="0"/>
      <w:marTop w:val="0"/>
      <w:marBottom w:val="0"/>
      <w:divBdr>
        <w:top w:val="none" w:sz="0" w:space="0" w:color="auto"/>
        <w:left w:val="none" w:sz="0" w:space="0" w:color="auto"/>
        <w:bottom w:val="none" w:sz="0" w:space="0" w:color="auto"/>
        <w:right w:val="none" w:sz="0" w:space="0" w:color="auto"/>
      </w:divBdr>
    </w:div>
    <w:div w:id="2024087220">
      <w:bodyDiv w:val="1"/>
      <w:marLeft w:val="0"/>
      <w:marRight w:val="0"/>
      <w:marTop w:val="0"/>
      <w:marBottom w:val="0"/>
      <w:divBdr>
        <w:top w:val="none" w:sz="0" w:space="0" w:color="auto"/>
        <w:left w:val="none" w:sz="0" w:space="0" w:color="auto"/>
        <w:bottom w:val="none" w:sz="0" w:space="0" w:color="auto"/>
        <w:right w:val="none" w:sz="0" w:space="0" w:color="auto"/>
      </w:divBdr>
    </w:div>
    <w:div w:id="2025204694">
      <w:bodyDiv w:val="1"/>
      <w:marLeft w:val="0"/>
      <w:marRight w:val="0"/>
      <w:marTop w:val="0"/>
      <w:marBottom w:val="0"/>
      <w:divBdr>
        <w:top w:val="none" w:sz="0" w:space="0" w:color="auto"/>
        <w:left w:val="none" w:sz="0" w:space="0" w:color="auto"/>
        <w:bottom w:val="none" w:sz="0" w:space="0" w:color="auto"/>
        <w:right w:val="none" w:sz="0" w:space="0" w:color="auto"/>
      </w:divBdr>
    </w:div>
    <w:div w:id="2033022441">
      <w:bodyDiv w:val="1"/>
      <w:marLeft w:val="0"/>
      <w:marRight w:val="0"/>
      <w:marTop w:val="0"/>
      <w:marBottom w:val="0"/>
      <w:divBdr>
        <w:top w:val="none" w:sz="0" w:space="0" w:color="auto"/>
        <w:left w:val="none" w:sz="0" w:space="0" w:color="auto"/>
        <w:bottom w:val="none" w:sz="0" w:space="0" w:color="auto"/>
        <w:right w:val="none" w:sz="0" w:space="0" w:color="auto"/>
      </w:divBdr>
    </w:div>
    <w:div w:id="2038042285">
      <w:bodyDiv w:val="1"/>
      <w:marLeft w:val="0"/>
      <w:marRight w:val="0"/>
      <w:marTop w:val="0"/>
      <w:marBottom w:val="0"/>
      <w:divBdr>
        <w:top w:val="none" w:sz="0" w:space="0" w:color="auto"/>
        <w:left w:val="none" w:sz="0" w:space="0" w:color="auto"/>
        <w:bottom w:val="none" w:sz="0" w:space="0" w:color="auto"/>
        <w:right w:val="none" w:sz="0" w:space="0" w:color="auto"/>
      </w:divBdr>
    </w:div>
    <w:div w:id="2057662155">
      <w:bodyDiv w:val="1"/>
      <w:marLeft w:val="0"/>
      <w:marRight w:val="0"/>
      <w:marTop w:val="0"/>
      <w:marBottom w:val="0"/>
      <w:divBdr>
        <w:top w:val="none" w:sz="0" w:space="0" w:color="auto"/>
        <w:left w:val="none" w:sz="0" w:space="0" w:color="auto"/>
        <w:bottom w:val="none" w:sz="0" w:space="0" w:color="auto"/>
        <w:right w:val="none" w:sz="0" w:space="0" w:color="auto"/>
      </w:divBdr>
    </w:div>
    <w:div w:id="2062631460">
      <w:bodyDiv w:val="1"/>
      <w:marLeft w:val="0"/>
      <w:marRight w:val="0"/>
      <w:marTop w:val="0"/>
      <w:marBottom w:val="0"/>
      <w:divBdr>
        <w:top w:val="none" w:sz="0" w:space="0" w:color="auto"/>
        <w:left w:val="none" w:sz="0" w:space="0" w:color="auto"/>
        <w:bottom w:val="none" w:sz="0" w:space="0" w:color="auto"/>
        <w:right w:val="none" w:sz="0" w:space="0" w:color="auto"/>
      </w:divBdr>
    </w:div>
    <w:div w:id="2067872279">
      <w:bodyDiv w:val="1"/>
      <w:marLeft w:val="0"/>
      <w:marRight w:val="0"/>
      <w:marTop w:val="0"/>
      <w:marBottom w:val="0"/>
      <w:divBdr>
        <w:top w:val="none" w:sz="0" w:space="0" w:color="auto"/>
        <w:left w:val="none" w:sz="0" w:space="0" w:color="auto"/>
        <w:bottom w:val="none" w:sz="0" w:space="0" w:color="auto"/>
        <w:right w:val="none" w:sz="0" w:space="0" w:color="auto"/>
      </w:divBdr>
    </w:div>
    <w:div w:id="2080856364">
      <w:bodyDiv w:val="1"/>
      <w:marLeft w:val="0"/>
      <w:marRight w:val="0"/>
      <w:marTop w:val="0"/>
      <w:marBottom w:val="0"/>
      <w:divBdr>
        <w:top w:val="none" w:sz="0" w:space="0" w:color="auto"/>
        <w:left w:val="none" w:sz="0" w:space="0" w:color="auto"/>
        <w:bottom w:val="none" w:sz="0" w:space="0" w:color="auto"/>
        <w:right w:val="none" w:sz="0" w:space="0" w:color="auto"/>
      </w:divBdr>
    </w:div>
    <w:div w:id="2086606771">
      <w:bodyDiv w:val="1"/>
      <w:marLeft w:val="0"/>
      <w:marRight w:val="0"/>
      <w:marTop w:val="0"/>
      <w:marBottom w:val="0"/>
      <w:divBdr>
        <w:top w:val="none" w:sz="0" w:space="0" w:color="auto"/>
        <w:left w:val="none" w:sz="0" w:space="0" w:color="auto"/>
        <w:bottom w:val="none" w:sz="0" w:space="0" w:color="auto"/>
        <w:right w:val="none" w:sz="0" w:space="0" w:color="auto"/>
      </w:divBdr>
    </w:div>
    <w:div w:id="2102483471">
      <w:bodyDiv w:val="1"/>
      <w:marLeft w:val="0"/>
      <w:marRight w:val="0"/>
      <w:marTop w:val="0"/>
      <w:marBottom w:val="0"/>
      <w:divBdr>
        <w:top w:val="none" w:sz="0" w:space="0" w:color="auto"/>
        <w:left w:val="none" w:sz="0" w:space="0" w:color="auto"/>
        <w:bottom w:val="none" w:sz="0" w:space="0" w:color="auto"/>
        <w:right w:val="none" w:sz="0" w:space="0" w:color="auto"/>
      </w:divBdr>
    </w:div>
    <w:div w:id="211238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tunejournals.com/archives-of-clinical-and-biomedical-research-home-acbr.php" TargetMode="Externa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rtunejournals.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fortunejournals.com/archives-of-microbiology-immunology-home-ami.php" TargetMode="External"/><Relationship Id="rId14" Type="http://schemas.openxmlformats.org/officeDocument/2006/relationships/hyperlink" Target="http://creativecommons.org/licenses/by/4.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434A4-2EBA-4BB5-AEEF-499943B66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22</Pages>
  <Words>10258</Words>
  <Characters>58475</Characters>
  <Application>Microsoft Office Word</Application>
  <DocSecurity>0</DocSecurity>
  <Lines>487</Lines>
  <Paragraphs>137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Malnutrition in Patients with Atrial Fibrillation: A Systematic Review of Nutritional Scores as Predictors of Arrhythmia Recurrence, Clinical Outcomes, and Long-Term Mortality</vt:lpstr>
      <vt:lpstr/>
    </vt:vector>
  </TitlesOfParts>
  <Company>Microsoft</Company>
  <LinksUpToDate>false</LinksUpToDate>
  <CharactersWithSpaces>68596</CharactersWithSpaces>
  <SharedDoc>false</SharedDoc>
  <HLinks>
    <vt:vector size="36" baseType="variant">
      <vt:variant>
        <vt:i4>6488166</vt:i4>
      </vt:variant>
      <vt:variant>
        <vt:i4>177</vt:i4>
      </vt:variant>
      <vt:variant>
        <vt:i4>0</vt:i4>
      </vt:variant>
      <vt:variant>
        <vt:i4>5</vt:i4>
      </vt:variant>
      <vt:variant>
        <vt:lpwstr>http://creativecommons.org/licenses/by/4.0/</vt:lpwstr>
      </vt:variant>
      <vt:variant>
        <vt:lpwstr/>
      </vt:variant>
      <vt:variant>
        <vt:i4>4980805</vt:i4>
      </vt:variant>
      <vt:variant>
        <vt:i4>6</vt:i4>
      </vt:variant>
      <vt:variant>
        <vt:i4>0</vt:i4>
      </vt:variant>
      <vt:variant>
        <vt:i4>5</vt:i4>
      </vt:variant>
      <vt:variant>
        <vt:lpwstr>https://www.cdc.gov/stroke/index.htm</vt:lpwstr>
      </vt:variant>
      <vt:variant>
        <vt:lpwstr/>
      </vt:variant>
      <vt:variant>
        <vt:i4>3538989</vt:i4>
      </vt:variant>
      <vt:variant>
        <vt:i4>3</vt:i4>
      </vt:variant>
      <vt:variant>
        <vt:i4>0</vt:i4>
      </vt:variant>
      <vt:variant>
        <vt:i4>5</vt:i4>
      </vt:variant>
      <vt:variant>
        <vt:lpwstr>https://www.cdc.gov/heartdisease/index.htm</vt:lpwstr>
      </vt:variant>
      <vt:variant>
        <vt:lpwstr/>
      </vt:variant>
      <vt:variant>
        <vt:i4>4784181</vt:i4>
      </vt:variant>
      <vt:variant>
        <vt:i4>0</vt:i4>
      </vt:variant>
      <vt:variant>
        <vt:i4>0</vt:i4>
      </vt:variant>
      <vt:variant>
        <vt:i4>5</vt:i4>
      </vt:variant>
      <vt:variant>
        <vt:lpwstr>mailto:fawzy.elbarbry@pacificu.edu</vt:lpwstr>
      </vt:variant>
      <vt:variant>
        <vt:lpwstr/>
      </vt:variant>
      <vt:variant>
        <vt:i4>3014777</vt:i4>
      </vt:variant>
      <vt:variant>
        <vt:i4>-1</vt:i4>
      </vt:variant>
      <vt:variant>
        <vt:i4>1034</vt:i4>
      </vt:variant>
      <vt:variant>
        <vt:i4>4</vt:i4>
      </vt:variant>
      <vt:variant>
        <vt:lpwstr>http://www.fortunejournals.com/</vt:lpwstr>
      </vt:variant>
      <vt:variant>
        <vt:lpwstr/>
      </vt:variant>
      <vt:variant>
        <vt:i4>6815846</vt:i4>
      </vt:variant>
      <vt:variant>
        <vt:i4>-1</vt:i4>
      </vt:variant>
      <vt:variant>
        <vt:i4>1033</vt:i4>
      </vt:variant>
      <vt:variant>
        <vt:i4>4</vt:i4>
      </vt:variant>
      <vt:variant>
        <vt:lpwstr>http://www.fortunejournals.com/cardiology-and-cardiovascular-medicine-home-ccm.php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Malnutrition in Patients with Atrial Fibrillation: A Systematic Review of Nutritional Scores as Predictors of Arrhythmia Recurrence, Clinical Outcomes, and Long-Term Mortality</dc:title>
  <dc:subject/>
  <dc:creator>Amro Assayed</dc:creator>
  <cp:keywords>Atrial fibrillation; Malnutrition; Nutritional risk; Geriatric Nutritional Risk Index (GNRI); Controlling Nutritional Status (CONUT); Prognostic Nutritional Index (PNI); Arrhythmia recurrence; Catheter ablation; Mortality; Elderly patients</cp:keywords>
  <dc:description/>
  <cp:lastModifiedBy>t21617</cp:lastModifiedBy>
  <cp:revision>470</cp:revision>
  <cp:lastPrinted>2023-05-30T11:26:00Z</cp:lastPrinted>
  <dcterms:created xsi:type="dcterms:W3CDTF">2026-06-19T05:53:00Z</dcterms:created>
  <dcterms:modified xsi:type="dcterms:W3CDTF">2026-08-06T04:25:00Z</dcterms:modified>
  <cp:contentStatus/>
</cp:coreProperties>
</file>