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033DD9DA"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sidRPr="003C189C">
        <w:rPr>
          <w:noProof/>
          <w:sz w:val="22"/>
          <w:szCs w:val="22"/>
          <w:lang w:val="en-IN" w:eastAsia="en-IN"/>
        </w:rPr>
        <w:drawing>
          <wp:anchor distT="47771" distB="120621" distL="114300" distR="114300" simplePos="0" relativeHeight="251658752" behindDoc="0" locked="0" layoutInCell="1" allowOverlap="1" wp14:anchorId="58753222" wp14:editId="6D80E23B">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3C189C">
        <w:rPr>
          <w:noProof/>
          <w:sz w:val="22"/>
          <w:szCs w:val="22"/>
          <w:lang w:val="en-IN" w:eastAsia="en-IN"/>
        </w:rPr>
        <w:drawing>
          <wp:anchor distT="0" distB="91186" distL="114300" distR="137541" simplePos="0" relativeHeight="251656704"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5564A">
        <w:rPr>
          <w:rStyle w:val="Hyperlink"/>
          <w:rFonts w:ascii="Times New Roman" w:hAnsi="Times New Roman"/>
          <w:b/>
          <w:color w:val="FFFFFF"/>
          <w:sz w:val="28"/>
          <w:szCs w:val="48"/>
          <w:u w:val="none"/>
        </w:rPr>
        <w:t>Resea</w:t>
      </w:r>
      <w:r w:rsidR="005160C9">
        <w:rPr>
          <w:rStyle w:val="Hyperlink"/>
          <w:rFonts w:ascii="Times New Roman" w:hAnsi="Times New Roman"/>
          <w:b/>
          <w:color w:val="FFFFFF"/>
          <w:sz w:val="28"/>
          <w:szCs w:val="48"/>
          <w:u w:val="none"/>
        </w:rPr>
        <w:t>r</w:t>
      </w:r>
      <w:r w:rsidR="0085564A">
        <w:rPr>
          <w:rStyle w:val="Hyperlink"/>
          <w:rFonts w:ascii="Times New Roman" w:hAnsi="Times New Roman"/>
          <w:b/>
          <w:color w:val="FFFFFF"/>
          <w:sz w:val="28"/>
          <w:szCs w:val="48"/>
          <w:u w:val="none"/>
        </w:rPr>
        <w:t>ch</w:t>
      </w:r>
      <w:r w:rsidR="00CD592F" w:rsidRPr="003C189C">
        <w:rPr>
          <w:rStyle w:val="Hyperlink"/>
          <w:rFonts w:ascii="Times New Roman" w:hAnsi="Times New Roman"/>
          <w:b/>
          <w:color w:val="FFFFFF"/>
          <w:sz w:val="28"/>
          <w:szCs w:val="48"/>
          <w:u w:val="none"/>
        </w:rPr>
        <w:t xml:space="preserve"> </w:t>
      </w:r>
      <w:r w:rsidR="0085564A">
        <w:rPr>
          <w:rStyle w:val="Hyperlink"/>
          <w:rFonts w:ascii="Times New Roman" w:hAnsi="Times New Roman"/>
          <w:b/>
          <w:color w:val="FFFFFF"/>
          <w:sz w:val="28"/>
          <w:szCs w:val="48"/>
          <w:u w:val="none"/>
        </w:rPr>
        <w:t>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781F8BE8" w14:textId="683F726F" w:rsidR="001F46D0" w:rsidRDefault="00191EF8" w:rsidP="00815710">
      <w:pPr>
        <w:spacing w:after="0" w:line="360" w:lineRule="auto"/>
        <w:jc w:val="center"/>
        <w:rPr>
          <w:rFonts w:ascii="Times New Roman" w:eastAsia="DengXian" w:hAnsi="Times New Roman"/>
          <w:b/>
          <w:bCs/>
          <w:iCs/>
          <w:sz w:val="32"/>
          <w:szCs w:val="32"/>
          <w:lang w:val="en-CA"/>
        </w:rPr>
      </w:pPr>
      <w:r w:rsidRPr="00936D99">
        <w:rPr>
          <w:rFonts w:ascii="Times New Roman" w:eastAsia="DengXian" w:hAnsi="Times New Roman"/>
          <w:b/>
          <w:bCs/>
          <w:iCs/>
          <w:sz w:val="32"/>
          <w:szCs w:val="32"/>
          <w:lang w:val="en-CA"/>
        </w:rPr>
        <w:t xml:space="preserve">Development </w:t>
      </w:r>
      <w:r>
        <w:rPr>
          <w:rFonts w:ascii="Times New Roman" w:eastAsia="DengXian" w:hAnsi="Times New Roman"/>
          <w:b/>
          <w:bCs/>
          <w:iCs/>
          <w:sz w:val="32"/>
          <w:szCs w:val="32"/>
          <w:lang w:val="en-CA"/>
        </w:rPr>
        <w:t>o</w:t>
      </w:r>
      <w:r w:rsidRPr="00936D99">
        <w:rPr>
          <w:rFonts w:ascii="Times New Roman" w:eastAsia="DengXian" w:hAnsi="Times New Roman"/>
          <w:b/>
          <w:bCs/>
          <w:iCs/>
          <w:sz w:val="32"/>
          <w:szCs w:val="32"/>
          <w:lang w:val="en-CA"/>
        </w:rPr>
        <w:t xml:space="preserve">f </w:t>
      </w:r>
      <w:r>
        <w:rPr>
          <w:rFonts w:ascii="Times New Roman" w:eastAsia="DengXian" w:hAnsi="Times New Roman"/>
          <w:b/>
          <w:bCs/>
          <w:iCs/>
          <w:sz w:val="32"/>
          <w:szCs w:val="32"/>
          <w:lang w:val="en-CA"/>
        </w:rPr>
        <w:t>a</w:t>
      </w:r>
      <w:r w:rsidRPr="00936D99">
        <w:rPr>
          <w:rFonts w:ascii="Times New Roman" w:eastAsia="DengXian" w:hAnsi="Times New Roman"/>
          <w:b/>
          <w:bCs/>
          <w:iCs/>
          <w:sz w:val="32"/>
          <w:szCs w:val="32"/>
          <w:lang w:val="en-CA"/>
        </w:rPr>
        <w:t xml:space="preserve">n Eco-Friendly Microwave-Assisted Acid Digestion Method </w:t>
      </w:r>
      <w:r>
        <w:rPr>
          <w:rFonts w:ascii="Times New Roman" w:eastAsia="DengXian" w:hAnsi="Times New Roman"/>
          <w:b/>
          <w:bCs/>
          <w:iCs/>
          <w:sz w:val="32"/>
          <w:szCs w:val="32"/>
          <w:lang w:val="en-CA"/>
        </w:rPr>
        <w:t>f</w:t>
      </w:r>
      <w:r w:rsidRPr="00936D99">
        <w:rPr>
          <w:rFonts w:ascii="Times New Roman" w:eastAsia="DengXian" w:hAnsi="Times New Roman"/>
          <w:b/>
          <w:bCs/>
          <w:iCs/>
          <w:sz w:val="32"/>
          <w:szCs w:val="32"/>
          <w:lang w:val="en-CA"/>
        </w:rPr>
        <w:t xml:space="preserve">or </w:t>
      </w:r>
      <w:r>
        <w:rPr>
          <w:rFonts w:ascii="Times New Roman" w:eastAsia="DengXian" w:hAnsi="Times New Roman"/>
          <w:b/>
          <w:bCs/>
          <w:iCs/>
          <w:sz w:val="32"/>
          <w:szCs w:val="32"/>
          <w:lang w:val="en-CA"/>
        </w:rPr>
        <w:t>t</w:t>
      </w:r>
      <w:r w:rsidRPr="00936D99">
        <w:rPr>
          <w:rFonts w:ascii="Times New Roman" w:eastAsia="DengXian" w:hAnsi="Times New Roman"/>
          <w:b/>
          <w:bCs/>
          <w:iCs/>
          <w:sz w:val="32"/>
          <w:szCs w:val="32"/>
          <w:lang w:val="en-CA"/>
        </w:rPr>
        <w:t xml:space="preserve">he Determination </w:t>
      </w:r>
      <w:r>
        <w:rPr>
          <w:rFonts w:ascii="Times New Roman" w:eastAsia="DengXian" w:hAnsi="Times New Roman"/>
          <w:b/>
          <w:bCs/>
          <w:iCs/>
          <w:sz w:val="32"/>
          <w:szCs w:val="32"/>
          <w:lang w:val="en-CA"/>
        </w:rPr>
        <w:t>o</w:t>
      </w:r>
      <w:r w:rsidRPr="00936D99">
        <w:rPr>
          <w:rFonts w:ascii="Times New Roman" w:eastAsia="DengXian" w:hAnsi="Times New Roman"/>
          <w:b/>
          <w:bCs/>
          <w:iCs/>
          <w:sz w:val="32"/>
          <w:szCs w:val="32"/>
          <w:lang w:val="en-CA"/>
        </w:rPr>
        <w:t xml:space="preserve">f Elements </w:t>
      </w:r>
      <w:r>
        <w:rPr>
          <w:rFonts w:ascii="Times New Roman" w:eastAsia="DengXian" w:hAnsi="Times New Roman"/>
          <w:b/>
          <w:bCs/>
          <w:iCs/>
          <w:sz w:val="32"/>
          <w:szCs w:val="32"/>
          <w:lang w:val="en-CA"/>
        </w:rPr>
        <w:t>i</w:t>
      </w:r>
      <w:r w:rsidRPr="00936D99">
        <w:rPr>
          <w:rFonts w:ascii="Times New Roman" w:eastAsia="DengXian" w:hAnsi="Times New Roman"/>
          <w:b/>
          <w:bCs/>
          <w:iCs/>
          <w:sz w:val="32"/>
          <w:szCs w:val="32"/>
          <w:lang w:val="en-CA"/>
        </w:rPr>
        <w:t xml:space="preserve">n General Foodstuffs </w:t>
      </w:r>
      <w:r>
        <w:rPr>
          <w:rFonts w:ascii="Times New Roman" w:eastAsia="DengXian" w:hAnsi="Times New Roman"/>
          <w:b/>
          <w:bCs/>
          <w:iCs/>
          <w:sz w:val="32"/>
          <w:szCs w:val="32"/>
          <w:lang w:val="en-CA"/>
        </w:rPr>
        <w:t>b</w:t>
      </w:r>
      <w:r w:rsidRPr="00936D99">
        <w:rPr>
          <w:rFonts w:ascii="Times New Roman" w:eastAsia="DengXian" w:hAnsi="Times New Roman"/>
          <w:b/>
          <w:bCs/>
          <w:iCs/>
          <w:sz w:val="32"/>
          <w:szCs w:val="32"/>
          <w:lang w:val="en-CA"/>
        </w:rPr>
        <w:t xml:space="preserve">y </w:t>
      </w:r>
      <w:r w:rsidR="00936D99" w:rsidRPr="00936D99">
        <w:rPr>
          <w:rFonts w:ascii="Times New Roman" w:eastAsia="DengXian" w:hAnsi="Times New Roman"/>
          <w:b/>
          <w:bCs/>
          <w:iCs/>
          <w:sz w:val="32"/>
          <w:szCs w:val="32"/>
          <w:lang w:val="en-CA"/>
        </w:rPr>
        <w:t>ICP-MS and ICP-OES</w:t>
      </w:r>
    </w:p>
    <w:p w14:paraId="2C6EA164" w14:textId="77777777" w:rsidR="00936D99" w:rsidRDefault="00936D99" w:rsidP="00815710">
      <w:pPr>
        <w:spacing w:after="0" w:line="360" w:lineRule="auto"/>
        <w:jc w:val="center"/>
        <w:rPr>
          <w:rFonts w:ascii="Times New Roman" w:eastAsia="DengXian" w:hAnsi="Times New Roman"/>
          <w:b/>
          <w:bCs/>
          <w:iCs/>
          <w:sz w:val="32"/>
          <w:szCs w:val="32"/>
          <w:lang w:val="en-CA"/>
        </w:rPr>
      </w:pPr>
    </w:p>
    <w:p w14:paraId="4E0AF7BF" w14:textId="1D0A38E0" w:rsidR="008C0432" w:rsidRDefault="008C0432" w:rsidP="007F3653">
      <w:pPr>
        <w:spacing w:after="0" w:line="360" w:lineRule="auto"/>
        <w:jc w:val="both"/>
        <w:rPr>
          <w:rFonts w:ascii="Times New Roman" w:hAnsi="Times New Roman" w:cs="Times New Roman"/>
          <w:b/>
          <w:bCs/>
          <w:sz w:val="24"/>
        </w:rPr>
      </w:pPr>
      <w:r w:rsidRPr="008C0432">
        <w:rPr>
          <w:rFonts w:ascii="Times New Roman" w:hAnsi="Times New Roman" w:cs="Times New Roman"/>
          <w:b/>
          <w:bCs/>
          <w:sz w:val="24"/>
        </w:rPr>
        <w:t>Yuk-Tai Tsoi</w:t>
      </w:r>
      <w:r w:rsidRPr="00C55398">
        <w:rPr>
          <w:rFonts w:ascii="Times New Roman" w:hAnsi="Times New Roman" w:cs="Times New Roman"/>
          <w:b/>
          <w:bCs/>
          <w:sz w:val="24"/>
          <w:vertAlign w:val="superscript"/>
        </w:rPr>
        <w:t>*</w:t>
      </w:r>
      <w:r w:rsidRPr="008C0432">
        <w:rPr>
          <w:rFonts w:ascii="Times New Roman" w:hAnsi="Times New Roman" w:cs="Times New Roman"/>
          <w:b/>
          <w:bCs/>
          <w:sz w:val="24"/>
        </w:rPr>
        <w:t>, Kwok-Chu Chan, Chun-Kuen Cheung, Wai-Ling Cheung</w:t>
      </w:r>
      <w:r w:rsidR="00C675F1">
        <w:rPr>
          <w:rFonts w:ascii="Times New Roman" w:hAnsi="Times New Roman" w:cs="Times New Roman"/>
          <w:b/>
          <w:bCs/>
          <w:sz w:val="24"/>
        </w:rPr>
        <w:t>,</w:t>
      </w:r>
      <w:r w:rsidRPr="008C0432">
        <w:rPr>
          <w:rFonts w:ascii="Times New Roman" w:hAnsi="Times New Roman" w:cs="Times New Roman"/>
          <w:b/>
          <w:bCs/>
          <w:sz w:val="24"/>
        </w:rPr>
        <w:t xml:space="preserve"> Yiu-Chung Yip</w:t>
      </w:r>
    </w:p>
    <w:p w14:paraId="055D7C6D" w14:textId="643F61A1" w:rsidR="007F3653" w:rsidRPr="00C675F1" w:rsidRDefault="00C675F1" w:rsidP="007F3653">
      <w:pPr>
        <w:spacing w:after="0" w:line="360" w:lineRule="auto"/>
        <w:jc w:val="both"/>
        <w:rPr>
          <w:rFonts w:ascii="Times New Roman" w:hAnsi="Times New Roman" w:cs="Times New Roman"/>
          <w:sz w:val="20"/>
          <w:szCs w:val="20"/>
        </w:rPr>
      </w:pPr>
      <w:r w:rsidRPr="00C675F1">
        <w:rPr>
          <w:rFonts w:ascii="Times New Roman" w:hAnsi="Times New Roman" w:cs="Times New Roman"/>
          <w:sz w:val="20"/>
          <w:szCs w:val="20"/>
        </w:rPr>
        <w:t>Government Laboratory, Analytical and Advisory Services Division, 7/F, Ho Man Tin Government Offices, 88 Chung Hau Street, Ho Man Tin, Kowloon, Hong Kong Special Administrative Region, China</w:t>
      </w:r>
    </w:p>
    <w:p w14:paraId="5DE81A72" w14:textId="77777777" w:rsidR="00C675F1" w:rsidRPr="00085F0C" w:rsidRDefault="00C675F1" w:rsidP="007F3653">
      <w:pPr>
        <w:spacing w:after="0" w:line="360" w:lineRule="auto"/>
        <w:jc w:val="both"/>
        <w:rPr>
          <w:rFonts w:ascii="Times New Roman" w:hAnsi="Times New Roman"/>
          <w:sz w:val="20"/>
          <w:szCs w:val="20"/>
          <w:lang w:eastAsia="x-none" w:bidi="si-LK"/>
        </w:rPr>
      </w:pPr>
    </w:p>
    <w:p w14:paraId="2D3D9750" w14:textId="3E244C1B" w:rsidR="00892209" w:rsidRPr="007F3653" w:rsidRDefault="000B2B4E" w:rsidP="00892209">
      <w:pPr>
        <w:spacing w:after="0" w:line="360" w:lineRule="auto"/>
        <w:jc w:val="both"/>
        <w:rPr>
          <w:rFonts w:ascii="Times New Roman"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A55166" w:rsidRPr="00ED506B">
        <w:rPr>
          <w:rFonts w:ascii="Times New Roman" w:hAnsi="Times New Roman"/>
          <w:b/>
          <w:color w:val="0070C0"/>
          <w:sz w:val="22"/>
          <w:szCs w:val="22"/>
        </w:rPr>
        <w:t>:</w:t>
      </w:r>
      <w:r w:rsidR="00A55166" w:rsidRPr="00ED506B">
        <w:rPr>
          <w:rFonts w:ascii="Times New Roman" w:hAnsi="Times New Roman"/>
          <w:color w:val="0070C0"/>
          <w:sz w:val="22"/>
          <w:szCs w:val="22"/>
        </w:rPr>
        <w:t xml:space="preserve"> </w:t>
      </w:r>
      <w:r w:rsidR="00A97725" w:rsidRPr="00A97725">
        <w:rPr>
          <w:rFonts w:ascii="Times New Roman" w:hAnsi="Times New Roman"/>
          <w:bCs/>
          <w:sz w:val="20"/>
          <w:szCs w:val="20"/>
          <w:lang w:eastAsia="x-none" w:bidi="si-LK"/>
        </w:rPr>
        <w:t>Yuk-Tai Tsoi</w:t>
      </w:r>
      <w:r w:rsidR="00CC7AD6">
        <w:rPr>
          <w:rFonts w:ascii="Times New Roman" w:hAnsi="Times New Roman"/>
          <w:bCs/>
          <w:sz w:val="20"/>
          <w:szCs w:val="20"/>
          <w:lang w:eastAsia="x-none" w:bidi="si-LK"/>
        </w:rPr>
        <w:t xml:space="preserve">, </w:t>
      </w:r>
      <w:r w:rsidR="00A97725" w:rsidRPr="00A97725">
        <w:rPr>
          <w:rFonts w:ascii="Times New Roman" w:hAnsi="Times New Roman" w:cs="Times New Roman"/>
          <w:sz w:val="20"/>
          <w:szCs w:val="20"/>
        </w:rPr>
        <w:t>Government Laboratory, Analytical and Advisory Services Division, 7/F, Ho Man Tin Government Offices, 88 Chung Hau Street, Ho Man Tin, Kowloon, Hong Kong Special Administrative Region, China</w:t>
      </w:r>
    </w:p>
    <w:p w14:paraId="646EBDBB" w14:textId="2EE2AED5" w:rsidR="005A6B35" w:rsidRDefault="005A6B35" w:rsidP="004A0FC3">
      <w:pPr>
        <w:spacing w:after="0" w:line="360" w:lineRule="auto"/>
        <w:jc w:val="both"/>
      </w:pPr>
    </w:p>
    <w:p w14:paraId="0DB52272" w14:textId="788988AB" w:rsidR="000B2B4E" w:rsidRPr="00995891" w:rsidRDefault="00FA4FDF" w:rsidP="004A0FC3">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DF2BD9">
        <w:rPr>
          <w:rFonts w:ascii="Times New Roman" w:hAnsi="Times New Roman"/>
          <w:sz w:val="20"/>
          <w:szCs w:val="20"/>
        </w:rPr>
        <w:t>24</w:t>
      </w:r>
      <w:r w:rsidR="00051007">
        <w:rPr>
          <w:rFonts w:ascii="Times New Roman" w:hAnsi="Times New Roman"/>
          <w:sz w:val="20"/>
          <w:szCs w:val="20"/>
        </w:rPr>
        <w:t xml:space="preserve"> </w:t>
      </w:r>
      <w:r w:rsidR="00E40A68">
        <w:rPr>
          <w:rFonts w:ascii="Times New Roman" w:hAnsi="Times New Roman"/>
          <w:sz w:val="20"/>
          <w:szCs w:val="20"/>
        </w:rPr>
        <w:t xml:space="preserve">August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DF2BD9">
        <w:rPr>
          <w:rFonts w:ascii="Times New Roman" w:hAnsi="Times New Roman"/>
          <w:sz w:val="20"/>
          <w:szCs w:val="20"/>
        </w:rPr>
        <w:t>2</w:t>
      </w:r>
      <w:r w:rsidR="003B52FF">
        <w:rPr>
          <w:rFonts w:ascii="Times New Roman" w:hAnsi="Times New Roman"/>
          <w:sz w:val="20"/>
          <w:szCs w:val="20"/>
        </w:rPr>
        <w:t>9</w:t>
      </w:r>
      <w:r w:rsidR="0075430D" w:rsidRPr="00ED1CEC">
        <w:rPr>
          <w:rFonts w:ascii="Times New Roman" w:hAnsi="Times New Roman"/>
          <w:sz w:val="20"/>
          <w:szCs w:val="20"/>
        </w:rPr>
        <w:t xml:space="preserve"> </w:t>
      </w:r>
      <w:r w:rsidR="00223C10">
        <w:rPr>
          <w:rFonts w:ascii="Times New Roman" w:hAnsi="Times New Roman"/>
          <w:sz w:val="20"/>
          <w:szCs w:val="20"/>
        </w:rPr>
        <w:t>August</w:t>
      </w:r>
      <w:r w:rsidR="00051007">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8558C4">
        <w:rPr>
          <w:rFonts w:ascii="Times New Roman" w:hAnsi="Times New Roman"/>
          <w:sz w:val="20"/>
          <w:szCs w:val="20"/>
        </w:rPr>
        <w:t>16</w:t>
      </w:r>
      <w:r w:rsidR="00F648FE">
        <w:rPr>
          <w:rFonts w:ascii="Times New Roman" w:hAnsi="Times New Roman"/>
          <w:sz w:val="20"/>
          <w:szCs w:val="20"/>
        </w:rPr>
        <w:t xml:space="preserve"> </w:t>
      </w:r>
      <w:r w:rsidR="00DF2BD9">
        <w:rPr>
          <w:rFonts w:ascii="Times New Roman" w:hAnsi="Times New Roman"/>
          <w:sz w:val="20"/>
          <w:szCs w:val="20"/>
        </w:rPr>
        <w:t>September</w:t>
      </w:r>
      <w:r w:rsidR="00B26E67">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4A0FC3">
      <w:pPr>
        <w:spacing w:after="0" w:line="360" w:lineRule="auto"/>
        <w:jc w:val="both"/>
        <w:rPr>
          <w:rFonts w:ascii="Times New Roman" w:hAnsi="Times New Roman"/>
          <w:sz w:val="20"/>
          <w:szCs w:val="20"/>
        </w:rPr>
      </w:pPr>
    </w:p>
    <w:p w14:paraId="0632469C" w14:textId="572B8B00" w:rsidR="005A6B35" w:rsidRPr="005A6B35" w:rsidRDefault="000B2B4E" w:rsidP="004A0FC3">
      <w:pPr>
        <w:spacing w:after="0" w:line="360" w:lineRule="auto"/>
        <w:jc w:val="both"/>
        <w:rPr>
          <w:rFonts w:ascii="Times New Roman" w:hAnsi="Times New Roman"/>
          <w:color w:val="000000"/>
          <w:spacing w:val="-1"/>
          <w:sz w:val="20"/>
          <w:szCs w:val="20"/>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2C0257" w:rsidRPr="002C0257">
        <w:t xml:space="preserve"> </w:t>
      </w:r>
      <w:r w:rsidR="00191EF8" w:rsidRPr="00191EF8">
        <w:rPr>
          <w:rFonts w:ascii="Times New Roman" w:hAnsi="Times New Roman"/>
          <w:spacing w:val="-1"/>
          <w:sz w:val="20"/>
          <w:szCs w:val="20"/>
        </w:rPr>
        <w:t>Yuk-Tai Tsoi, Kwok-Chu Chan, Chun-Kuen Cheung, Wai-Ling Cheung, Yiu-Chung Yip</w:t>
      </w:r>
      <w:r w:rsidR="000200B0" w:rsidRPr="002C0257">
        <w:rPr>
          <w:rFonts w:ascii="Times New Roman" w:hAnsi="Times New Roman"/>
          <w:bCs/>
          <w:sz w:val="20"/>
          <w:szCs w:val="20"/>
          <w:lang w:eastAsia="x-none" w:bidi="si-LK"/>
        </w:rPr>
        <w:t>.</w:t>
      </w:r>
      <w:r w:rsidR="001233A6" w:rsidRPr="001233A6">
        <w:t xml:space="preserve"> </w:t>
      </w:r>
      <w:r w:rsidR="00B53E24" w:rsidRPr="00B53E24">
        <w:rPr>
          <w:rFonts w:ascii="Times New Roman" w:hAnsi="Times New Roman"/>
          <w:bCs/>
          <w:sz w:val="20"/>
          <w:szCs w:val="20"/>
          <w:lang w:eastAsia="x-none" w:bidi="si-LK"/>
        </w:rPr>
        <w:t>Development of an Eco-Friendly Microwave-Assisted Acid Digestion Method for the Determination of Elements in General Foodstuffs by ICP-MS and ICP-OES</w:t>
      </w:r>
      <w:r w:rsidR="001233A6">
        <w:rPr>
          <w:rFonts w:ascii="Times New Roman" w:hAnsi="Times New Roman"/>
          <w:bCs/>
          <w:sz w:val="20"/>
          <w:szCs w:val="20"/>
          <w:lang w:eastAsia="x-none" w:bidi="si-LK"/>
        </w:rPr>
        <w:t>.</w:t>
      </w:r>
      <w:r w:rsidR="007E78C5">
        <w:rPr>
          <w:rFonts w:ascii="Times New Roman" w:hAnsi="Times New Roman"/>
          <w:bCs/>
          <w:sz w:val="20"/>
          <w:szCs w:val="20"/>
          <w:lang w:eastAsia="x-none" w:bidi="si-LK"/>
        </w:rPr>
        <w:t xml:space="preserve"> Journal of Food Science and Nutrition Research 9 (2026): </w:t>
      </w:r>
      <w:r w:rsidR="008558C4">
        <w:rPr>
          <w:rFonts w:ascii="Times New Roman" w:hAnsi="Times New Roman"/>
          <w:bCs/>
          <w:sz w:val="20"/>
          <w:szCs w:val="20"/>
          <w:lang w:eastAsia="x-none" w:bidi="si-LK"/>
        </w:rPr>
        <w:t>114</w:t>
      </w:r>
      <w:r w:rsidR="0017473C">
        <w:rPr>
          <w:rFonts w:ascii="Times New Roman" w:hAnsi="Times New Roman"/>
          <w:bCs/>
          <w:sz w:val="20"/>
          <w:szCs w:val="20"/>
          <w:lang w:eastAsia="x-none" w:bidi="si-LK"/>
        </w:rPr>
        <w:t>-</w:t>
      </w:r>
      <w:r w:rsidR="00E10B96">
        <w:rPr>
          <w:rFonts w:ascii="Times New Roman" w:hAnsi="Times New Roman"/>
          <w:bCs/>
          <w:sz w:val="20"/>
          <w:szCs w:val="20"/>
          <w:lang w:eastAsia="x-none" w:bidi="si-LK"/>
        </w:rPr>
        <w:t>123</w:t>
      </w:r>
      <w:r w:rsidR="0017473C">
        <w:rPr>
          <w:rFonts w:ascii="Times New Roman" w:hAnsi="Times New Roman"/>
          <w:bCs/>
          <w:sz w:val="20"/>
          <w:szCs w:val="20"/>
          <w:lang w:eastAsia="x-none" w:bidi="si-LK"/>
        </w:rPr>
        <w:t>.</w:t>
      </w:r>
    </w:p>
    <w:p w14:paraId="73804956" w14:textId="77777777" w:rsidR="003B566A" w:rsidRDefault="003B566A" w:rsidP="004A0FC3">
      <w:pPr>
        <w:spacing w:after="0" w:line="360" w:lineRule="auto"/>
        <w:jc w:val="both"/>
        <w:rPr>
          <w:rFonts w:ascii="Times New Roman" w:hAnsi="Times New Roman"/>
          <w:color w:val="000000"/>
          <w:sz w:val="20"/>
          <w:szCs w:val="20"/>
        </w:rPr>
      </w:pPr>
    </w:p>
    <w:p w14:paraId="53096ACA" w14:textId="77777777" w:rsidR="007145EE" w:rsidRDefault="00E31E9A" w:rsidP="004A0FC3">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30ABBEF8" w14:textId="77777777" w:rsidR="00C13605" w:rsidRPr="00C13605" w:rsidRDefault="00C13605" w:rsidP="00C13605">
      <w:pPr>
        <w:spacing w:after="0" w:line="360" w:lineRule="auto"/>
        <w:jc w:val="both"/>
        <w:rPr>
          <w:rFonts w:ascii="Times New Roman" w:hAnsi="Times New Roman" w:cs="Times New Roman"/>
          <w:sz w:val="20"/>
          <w:szCs w:val="20"/>
        </w:rPr>
      </w:pPr>
      <w:bookmarkStart w:id="0" w:name="_Hlk218760581"/>
      <w:r w:rsidRPr="00C13605">
        <w:rPr>
          <w:rFonts w:ascii="Times New Roman" w:hAnsi="Times New Roman" w:cs="Times New Roman"/>
          <w:sz w:val="20"/>
          <w:szCs w:val="20"/>
        </w:rPr>
        <w:t xml:space="preserve">Determination of the elemental contents in food is crucial for ensuring compliance with government regulations regarding food safety and nutritional quality. </w:t>
      </w:r>
      <w:bookmarkEnd w:id="0"/>
      <w:r w:rsidRPr="00C13605">
        <w:rPr>
          <w:rFonts w:ascii="Times New Roman" w:hAnsi="Times New Roman" w:cs="Times New Roman"/>
          <w:sz w:val="20"/>
          <w:szCs w:val="20"/>
        </w:rPr>
        <w:t>This study presents an eco-friendly microwave-assisted digestion method for the determination of both toxic elements (arsenic, cadmium, chromium, lead and mercury) and nutritional elements (calcium, copper, iron, manganese, sodium and zinc) in diverse foodstuffs by inductively coupled plasma mass spectrometry and inductively coupled plasma optical emission spectrometry. The present method employed 2.5 mL of concentrated nitric acid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in combination with 2.5 mL of 30% hydrogen peroxide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under new microwave-assisted digestion conditions, significantly reducing acid waste production by half when compared to 5 mL of concentrated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xml:space="preserve"> typically used according to international standards. To demonstrate the method's quality assurance in measurements, validation was carried out by using various certified reference materials (e.g. NRC CRM DORM-5, NRC CRM SPIN-1, NIST SRM 1869 and NIST SRM 2387) as well </w:t>
      </w:r>
      <w:r w:rsidRPr="00C13605">
        <w:rPr>
          <w:rFonts w:ascii="Times New Roman" w:hAnsi="Times New Roman" w:cs="Times New Roman"/>
          <w:sz w:val="20"/>
          <w:szCs w:val="20"/>
        </w:rPr>
        <w:lastRenderedPageBreak/>
        <w:t>as quality control (QC) materials from proficiency testing providers (e.g. FAPAS QC materials such as avocado puree, offal (liver), powdered rice, soya flour, sunflower seeds and vegetable oil). The analytical method achieved satisfactory scores across multiple analytical metrics, including a Complex Modified Green Analytical Procedure Index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score of 66 points, a Blue Applicability Grade Index (BAGI) score of 77.5 points, and a Red Analytical Performance Index (RAPI) score of 82.5 points, indicating its eco-friendliness, wide applicability, and impressive analytical performance respectively, alongside recoveries ranging from 92% to 112% for the certified reference materials and QC materials, demonstrating its practicality for testing of a variety of food matrices.</w:t>
      </w:r>
    </w:p>
    <w:p w14:paraId="47C9FED8" w14:textId="77777777" w:rsidR="00C13605" w:rsidRPr="00C13605" w:rsidRDefault="00C13605" w:rsidP="00C13605">
      <w:pPr>
        <w:spacing w:after="0" w:line="360" w:lineRule="auto"/>
        <w:jc w:val="both"/>
        <w:rPr>
          <w:rFonts w:ascii="Times New Roman" w:hAnsi="Times New Roman" w:cs="Times New Roman"/>
          <w:sz w:val="20"/>
          <w:szCs w:val="20"/>
        </w:rPr>
      </w:pPr>
    </w:p>
    <w:p w14:paraId="2B427AA3" w14:textId="03356061"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b/>
          <w:color w:val="0070C0"/>
          <w:sz w:val="22"/>
          <w:szCs w:val="22"/>
        </w:rPr>
        <w:t xml:space="preserve">Keywords: </w:t>
      </w:r>
      <w:r w:rsidRPr="00C13605">
        <w:rPr>
          <w:rFonts w:ascii="Times New Roman" w:hAnsi="Times New Roman" w:cs="Times New Roman"/>
          <w:sz w:val="20"/>
          <w:szCs w:val="20"/>
        </w:rPr>
        <w:t xml:space="preserve">Eco-friendly microwave-assisted digestion; </w:t>
      </w:r>
      <w:proofErr w:type="gramStart"/>
      <w:r w:rsidRPr="00C13605">
        <w:rPr>
          <w:rFonts w:ascii="Times New Roman" w:hAnsi="Times New Roman" w:cs="Times New Roman"/>
          <w:sz w:val="20"/>
          <w:szCs w:val="20"/>
        </w:rPr>
        <w:t>Multi-element</w:t>
      </w:r>
      <w:proofErr w:type="gramEnd"/>
      <w:r w:rsidRPr="00C13605">
        <w:rPr>
          <w:rFonts w:ascii="Times New Roman" w:hAnsi="Times New Roman" w:cs="Times New Roman"/>
          <w:sz w:val="20"/>
          <w:szCs w:val="20"/>
        </w:rPr>
        <w:t xml:space="preserve"> detection; Food samples; ICP-MS and ICP-OES; Green analytical chemistry; White analytical chemistry</w:t>
      </w:r>
      <w:r>
        <w:rPr>
          <w:rFonts w:ascii="Times New Roman" w:hAnsi="Times New Roman" w:cs="Times New Roman"/>
          <w:sz w:val="20"/>
          <w:szCs w:val="20"/>
        </w:rPr>
        <w:t>.</w:t>
      </w:r>
    </w:p>
    <w:p w14:paraId="08E34B02" w14:textId="77777777" w:rsidR="00C13605" w:rsidRPr="00C13605" w:rsidRDefault="00C13605" w:rsidP="00C13605">
      <w:pPr>
        <w:spacing w:after="0" w:line="360" w:lineRule="auto"/>
        <w:jc w:val="both"/>
        <w:rPr>
          <w:rFonts w:ascii="Times New Roman" w:hAnsi="Times New Roman" w:cs="Times New Roman"/>
          <w:sz w:val="20"/>
          <w:szCs w:val="20"/>
        </w:rPr>
      </w:pPr>
    </w:p>
    <w:p w14:paraId="306794B6" w14:textId="77777777" w:rsidR="00C13605" w:rsidRPr="00C13605" w:rsidRDefault="00C13605" w:rsidP="00C13605">
      <w:pPr>
        <w:spacing w:after="0" w:line="360" w:lineRule="auto"/>
        <w:jc w:val="both"/>
        <w:rPr>
          <w:rFonts w:ascii="Times New Roman" w:hAnsi="Times New Roman" w:cs="Times New Roman"/>
          <w:b/>
          <w:sz w:val="20"/>
          <w:szCs w:val="20"/>
        </w:rPr>
      </w:pPr>
      <w:r w:rsidRPr="00C13605">
        <w:rPr>
          <w:rFonts w:ascii="Times New Roman" w:hAnsi="Times New Roman"/>
          <w:b/>
          <w:color w:val="0070C0"/>
          <w:sz w:val="22"/>
          <w:szCs w:val="22"/>
        </w:rPr>
        <w:t>Introduction</w:t>
      </w:r>
    </w:p>
    <w:p w14:paraId="10C0C743" w14:textId="1F0AFFAA"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Food safety is a critical concern for </w:t>
      </w:r>
      <w:proofErr w:type="gramStart"/>
      <w:r w:rsidRPr="00C13605">
        <w:rPr>
          <w:rFonts w:ascii="Times New Roman" w:hAnsi="Times New Roman" w:cs="Times New Roman"/>
          <w:sz w:val="20"/>
          <w:szCs w:val="20"/>
        </w:rPr>
        <w:t>the society</w:t>
      </w:r>
      <w:proofErr w:type="gramEnd"/>
      <w:r w:rsidRPr="00C13605">
        <w:rPr>
          <w:rFonts w:ascii="Times New Roman" w:hAnsi="Times New Roman" w:cs="Times New Roman"/>
          <w:sz w:val="20"/>
          <w:szCs w:val="20"/>
        </w:rPr>
        <w:t xml:space="preserve">, as it directly </w:t>
      </w:r>
      <w:proofErr w:type="gramStart"/>
      <w:r w:rsidRPr="00C13605">
        <w:rPr>
          <w:rFonts w:ascii="Times New Roman" w:hAnsi="Times New Roman" w:cs="Times New Roman"/>
          <w:sz w:val="20"/>
          <w:szCs w:val="20"/>
        </w:rPr>
        <w:t>impacts</w:t>
      </w:r>
      <w:proofErr w:type="gramEnd"/>
      <w:r w:rsidRPr="00C13605">
        <w:rPr>
          <w:rFonts w:ascii="Times New Roman" w:hAnsi="Times New Roman" w:cs="Times New Roman"/>
          <w:sz w:val="20"/>
          <w:szCs w:val="20"/>
        </w:rPr>
        <w:t xml:space="preserve"> the health and well-being of consumers. One major issue in food safety is the presence of heavy metals in food and its products [1]. Metallic contaminants, such as arsenic, cadmium, mercury and lead, are commonly found in various food sources, and their excessive presence poses serious health risks [2]. Conversely, ensuring an adequate supply of essential mineral nutrients, like iron, calcium and zinc, particularly in infant formulas, is vital for supporting human growth and development [3]. To safeguard food safety and nutritional quality, government agencies have established regulatory limits based on guidelines from international organisations, such as CODEX Alimentarius Commission [4,5]. Consequently, robust and reliable analytical methods with good quality assurance in measurements are essential for monitoring compliance and protecting consumer health. Currently, various official standard methods are available for determining metals in food, such as BS EN ISO 21424:2020 from International Organization for Standardization (ISO) [6] and Section 4.7 of the Elemental Analysis Manual published by United States Food &amp; Drug Administration (FDA) [7]. </w:t>
      </w:r>
    </w:p>
    <w:p w14:paraId="4EA91135" w14:textId="77777777" w:rsidR="00C13605" w:rsidRPr="00C13605" w:rsidRDefault="00C13605" w:rsidP="00C13605">
      <w:pPr>
        <w:spacing w:after="0" w:line="360" w:lineRule="auto"/>
        <w:jc w:val="both"/>
        <w:rPr>
          <w:rFonts w:ascii="Times New Roman" w:hAnsi="Times New Roman" w:cs="Times New Roman"/>
          <w:sz w:val="20"/>
          <w:szCs w:val="20"/>
        </w:rPr>
      </w:pPr>
    </w:p>
    <w:p w14:paraId="4705FD1D" w14:textId="77777777" w:rsidR="00C13605" w:rsidRPr="00C13605" w:rsidRDefault="00C13605" w:rsidP="00C13605">
      <w:pPr>
        <w:spacing w:after="0" w:line="360" w:lineRule="auto"/>
        <w:jc w:val="both"/>
        <w:rPr>
          <w:rFonts w:ascii="Times New Roman" w:hAnsi="Times New Roman" w:cs="Times New Roman"/>
          <w:sz w:val="20"/>
          <w:szCs w:val="20"/>
        </w:rPr>
      </w:pPr>
      <w:bookmarkStart w:id="1" w:name="_Hlk218760681"/>
      <w:r w:rsidRPr="00C13605">
        <w:rPr>
          <w:rFonts w:ascii="Times New Roman" w:hAnsi="Times New Roman" w:cs="Times New Roman"/>
          <w:sz w:val="20"/>
          <w:szCs w:val="20"/>
        </w:rPr>
        <w:t xml:space="preserve">Green Analytical Chemistry (GAC) is an emerging field that aims to incorporate green chemistry principles into analytical methodologies [8] to minimize the generation of hazardous substances and human health risks associated with chemical analyses [9]. </w:t>
      </w:r>
      <w:bookmarkEnd w:id="1"/>
      <w:r w:rsidRPr="00C13605">
        <w:rPr>
          <w:rFonts w:ascii="Times New Roman" w:hAnsi="Times New Roman" w:cs="Times New Roman"/>
          <w:sz w:val="20"/>
          <w:szCs w:val="20"/>
        </w:rPr>
        <w:t xml:space="preserve">The framework for developing environmentally sustainable analytical methods is guided by twelve defined GAC principles [10], which include minimizing reagent use, reducing waste generation, employing safer chemicals, enhancing energy efficiency, promoting method integration, automation, and miniaturization. </w:t>
      </w:r>
      <w:bookmarkStart w:id="2" w:name="_Hlk218760874"/>
      <w:r w:rsidRPr="00C13605">
        <w:rPr>
          <w:rFonts w:ascii="Times New Roman" w:hAnsi="Times New Roman" w:cs="Times New Roman"/>
          <w:sz w:val="20"/>
          <w:szCs w:val="20"/>
        </w:rPr>
        <w:t>In this context, IUPAC recently initiated a project to evaluate the greenness of the sample preparation methods in 174 official standard methods, including standard methods in CEN, ISO and pharmacopoeia</w:t>
      </w:r>
      <w:bookmarkEnd w:id="2"/>
      <w:r w:rsidRPr="00C13605">
        <w:rPr>
          <w:rFonts w:ascii="Times New Roman" w:hAnsi="Times New Roman" w:cs="Times New Roman"/>
          <w:sz w:val="20"/>
          <w:szCs w:val="20"/>
        </w:rPr>
        <w:t xml:space="preserve"> [11]. </w:t>
      </w:r>
      <w:bookmarkStart w:id="3" w:name="_Hlk218760902"/>
      <w:r w:rsidRPr="00C13605">
        <w:rPr>
          <w:rFonts w:ascii="Times New Roman" w:hAnsi="Times New Roman" w:cs="Times New Roman"/>
          <w:sz w:val="20"/>
          <w:szCs w:val="20"/>
        </w:rPr>
        <w:t>The project revealed that about two-thirds of the standard methods evaluated did not comply with the GAC principles. This underscores the urgent need to reduce environmental hazards in sample preparation processes while maintaining analytical performance and applicability.</w:t>
      </w:r>
      <w:bookmarkEnd w:id="3"/>
    </w:p>
    <w:p w14:paraId="4BCC19BA" w14:textId="77777777" w:rsidR="00C13605" w:rsidRPr="00C13605" w:rsidRDefault="00C13605" w:rsidP="00C13605">
      <w:pPr>
        <w:spacing w:after="0" w:line="360" w:lineRule="auto"/>
        <w:jc w:val="both"/>
        <w:rPr>
          <w:rFonts w:ascii="Times New Roman" w:hAnsi="Times New Roman" w:cs="Times New Roman"/>
          <w:sz w:val="20"/>
          <w:szCs w:val="20"/>
        </w:rPr>
      </w:pPr>
    </w:p>
    <w:p w14:paraId="7003C664" w14:textId="77777777" w:rsidR="00C13605" w:rsidRPr="00C13605" w:rsidRDefault="00C13605" w:rsidP="00C13605">
      <w:pPr>
        <w:spacing w:after="0" w:line="360" w:lineRule="auto"/>
        <w:jc w:val="both"/>
        <w:rPr>
          <w:rFonts w:ascii="Times New Roman" w:hAnsi="Times New Roman" w:cs="Times New Roman"/>
          <w:sz w:val="20"/>
          <w:szCs w:val="20"/>
        </w:rPr>
      </w:pPr>
      <w:bookmarkStart w:id="4" w:name="_Hlk218760924"/>
      <w:r w:rsidRPr="00C13605">
        <w:rPr>
          <w:rFonts w:ascii="Times New Roman" w:hAnsi="Times New Roman" w:cs="Times New Roman"/>
          <w:sz w:val="20"/>
          <w:szCs w:val="20"/>
        </w:rPr>
        <w:lastRenderedPageBreak/>
        <w:t>This study aims to develop and validate an eco-friendly method for determining metals in general foodstuffs. The analytical method developed follows GAC principles, demonstrates high applicability, and maintains good analytical performance with its quality assurance in measurements across various food matrices.</w:t>
      </w:r>
    </w:p>
    <w:bookmarkEnd w:id="4"/>
    <w:p w14:paraId="5BDED1A7" w14:textId="77777777" w:rsidR="00C13605" w:rsidRPr="00C13605" w:rsidRDefault="00C13605" w:rsidP="00C13605">
      <w:pPr>
        <w:spacing w:after="0" w:line="360" w:lineRule="auto"/>
        <w:jc w:val="both"/>
        <w:rPr>
          <w:rFonts w:ascii="Times New Roman" w:hAnsi="Times New Roman" w:cs="Times New Roman"/>
          <w:sz w:val="20"/>
          <w:szCs w:val="20"/>
        </w:rPr>
      </w:pPr>
    </w:p>
    <w:p w14:paraId="0E1DE018" w14:textId="65F93C40" w:rsidR="00C13605" w:rsidRPr="00BB78B0" w:rsidRDefault="00C13605" w:rsidP="00C13605">
      <w:pPr>
        <w:spacing w:after="0" w:line="360" w:lineRule="auto"/>
        <w:jc w:val="both"/>
        <w:rPr>
          <w:rFonts w:ascii="Times New Roman" w:hAnsi="Times New Roman"/>
          <w:b/>
          <w:color w:val="0070C0"/>
          <w:sz w:val="22"/>
          <w:szCs w:val="22"/>
        </w:rPr>
      </w:pPr>
      <w:r w:rsidRPr="00BB78B0">
        <w:rPr>
          <w:rFonts w:ascii="Times New Roman" w:hAnsi="Times New Roman"/>
          <w:b/>
          <w:color w:val="0070C0"/>
          <w:sz w:val="22"/>
          <w:szCs w:val="22"/>
        </w:rPr>
        <w:t xml:space="preserve">Materials and </w:t>
      </w:r>
      <w:r w:rsidR="00BB78B0">
        <w:rPr>
          <w:rFonts w:ascii="Times New Roman" w:hAnsi="Times New Roman"/>
          <w:b/>
          <w:color w:val="0070C0"/>
          <w:sz w:val="22"/>
          <w:szCs w:val="22"/>
        </w:rPr>
        <w:t>M</w:t>
      </w:r>
      <w:r w:rsidRPr="00BB78B0">
        <w:rPr>
          <w:rFonts w:ascii="Times New Roman" w:hAnsi="Times New Roman"/>
          <w:b/>
          <w:color w:val="0070C0"/>
          <w:sz w:val="22"/>
          <w:szCs w:val="22"/>
        </w:rPr>
        <w:t xml:space="preserve">ethods </w:t>
      </w:r>
    </w:p>
    <w:p w14:paraId="2B2AA5D4" w14:textId="77777777" w:rsidR="00C13605" w:rsidRPr="00BB78B0" w:rsidRDefault="00C13605" w:rsidP="00C13605">
      <w:pPr>
        <w:spacing w:after="0" w:line="360" w:lineRule="auto"/>
        <w:ind w:left="472" w:hangingChars="236" w:hanging="472"/>
        <w:jc w:val="both"/>
        <w:rPr>
          <w:rFonts w:ascii="Times New Roman" w:hAnsi="Times New Roman"/>
          <w:b/>
          <w:color w:val="0070C0"/>
          <w:sz w:val="20"/>
          <w:szCs w:val="20"/>
        </w:rPr>
      </w:pPr>
      <w:r w:rsidRPr="00BB78B0">
        <w:rPr>
          <w:rFonts w:ascii="Times New Roman" w:hAnsi="Times New Roman"/>
          <w:b/>
          <w:color w:val="0070C0"/>
          <w:sz w:val="20"/>
          <w:szCs w:val="20"/>
        </w:rPr>
        <w:t xml:space="preserve">Chemicals and solutions </w:t>
      </w:r>
    </w:p>
    <w:p w14:paraId="1E2876D5"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Concentrated nitric acid (</w:t>
      </w:r>
      <w:proofErr w:type="spellStart"/>
      <w:r w:rsidRPr="00C13605">
        <w:rPr>
          <w:rFonts w:ascii="Times New Roman" w:hAnsi="Times New Roman" w:cs="Times New Roman"/>
          <w:sz w:val="20"/>
          <w:szCs w:val="20"/>
        </w:rPr>
        <w:t>TraceMetal</w:t>
      </w:r>
      <w:r w:rsidRPr="00C13605">
        <w:rPr>
          <w:rFonts w:ascii="Times New Roman" w:hAnsi="Times New Roman" w:cs="Times New Roman"/>
          <w:sz w:val="20"/>
          <w:szCs w:val="20"/>
          <w:vertAlign w:val="superscript"/>
        </w:rPr>
        <w:t>TM</w:t>
      </w:r>
      <w:proofErr w:type="spellEnd"/>
      <w:r w:rsidRPr="00C13605">
        <w:rPr>
          <w:rFonts w:ascii="Times New Roman" w:hAnsi="Times New Roman" w:cs="Times New Roman"/>
          <w:sz w:val="20"/>
          <w:szCs w:val="20"/>
        </w:rPr>
        <w:t>,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and 30% hydrogen peroxide (</w:t>
      </w:r>
      <w:proofErr w:type="spellStart"/>
      <w:r w:rsidRPr="00C13605">
        <w:rPr>
          <w:rFonts w:ascii="Times New Roman" w:hAnsi="Times New Roman" w:cs="Times New Roman"/>
          <w:sz w:val="20"/>
          <w:szCs w:val="20"/>
        </w:rPr>
        <w:t>Optima</w:t>
      </w:r>
      <w:r w:rsidRPr="00C13605">
        <w:rPr>
          <w:rFonts w:ascii="Times New Roman" w:hAnsi="Times New Roman" w:cs="Times New Roman"/>
          <w:sz w:val="20"/>
          <w:szCs w:val="20"/>
          <w:vertAlign w:val="superscript"/>
        </w:rPr>
        <w:t>TM</w:t>
      </w:r>
      <w:proofErr w:type="spellEnd"/>
      <w:r w:rsidRPr="00C13605">
        <w:rPr>
          <w:rFonts w:ascii="Times New Roman" w:hAnsi="Times New Roman" w:cs="Times New Roman"/>
          <w:sz w:val="20"/>
          <w:szCs w:val="20"/>
        </w:rPr>
        <w:t>,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were purchased from Fisher Scientific (Loughborough, UK). Ultrapure water was obtained from a Milli-Q water generator (Millipore, Bedford, MA, USA). </w:t>
      </w:r>
    </w:p>
    <w:p w14:paraId="1163816E" w14:textId="77777777" w:rsidR="00C13605" w:rsidRPr="00C13605" w:rsidRDefault="00C13605" w:rsidP="00C13605">
      <w:pPr>
        <w:spacing w:after="0" w:line="360" w:lineRule="auto"/>
        <w:jc w:val="both"/>
        <w:rPr>
          <w:rFonts w:ascii="Times New Roman" w:hAnsi="Times New Roman" w:cs="Times New Roman"/>
          <w:sz w:val="20"/>
          <w:szCs w:val="20"/>
        </w:rPr>
      </w:pPr>
    </w:p>
    <w:p w14:paraId="31690758"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Individual stock standard solutions (1000 µg/mL) for analytes (arsenic (As), cadmium (Cd), calcium (Ca), chromium (Cr), copper (Cu), iron (Fe), lead (Pb), manganese (Mn), mercury (Hg), sodium (Na) and zinc (Zn)) as well as internal standards (bismuth (Bi), germanium (Ge), indium (In), iridium (</w:t>
      </w:r>
      <w:proofErr w:type="spellStart"/>
      <w:r w:rsidRPr="00C13605">
        <w:rPr>
          <w:rFonts w:ascii="Times New Roman" w:hAnsi="Times New Roman" w:cs="Times New Roman"/>
          <w:sz w:val="20"/>
          <w:szCs w:val="20"/>
        </w:rPr>
        <w:t>Ir</w:t>
      </w:r>
      <w:proofErr w:type="spellEnd"/>
      <w:r w:rsidRPr="00C13605">
        <w:rPr>
          <w:rFonts w:ascii="Times New Roman" w:hAnsi="Times New Roman" w:cs="Times New Roman"/>
          <w:sz w:val="20"/>
          <w:szCs w:val="20"/>
        </w:rPr>
        <w:t xml:space="preserve">) and lutetium (Lu)) and gold (Au, added for </w:t>
      </w:r>
      <w:proofErr w:type="spellStart"/>
      <w:r w:rsidRPr="00C13605">
        <w:rPr>
          <w:rFonts w:ascii="Times New Roman" w:hAnsi="Times New Roman" w:cs="Times New Roman"/>
          <w:sz w:val="20"/>
          <w:szCs w:val="20"/>
        </w:rPr>
        <w:t>stabilisation</w:t>
      </w:r>
      <w:proofErr w:type="spellEnd"/>
      <w:r w:rsidRPr="00C13605">
        <w:rPr>
          <w:rFonts w:ascii="Times New Roman" w:hAnsi="Times New Roman" w:cs="Times New Roman"/>
          <w:sz w:val="20"/>
          <w:szCs w:val="20"/>
        </w:rPr>
        <w:t xml:space="preserve"> of mercury) were purchased from High-Purity Standards (North Charleston, South Carolina, USA).</w:t>
      </w:r>
    </w:p>
    <w:p w14:paraId="254B7F28" w14:textId="77777777" w:rsidR="00C13605" w:rsidRPr="002B4D22" w:rsidRDefault="00C13605" w:rsidP="00C13605">
      <w:pPr>
        <w:spacing w:after="0" w:line="360" w:lineRule="auto"/>
        <w:ind w:left="472" w:hangingChars="236" w:hanging="472"/>
        <w:jc w:val="both"/>
        <w:rPr>
          <w:rFonts w:ascii="Times New Roman" w:hAnsi="Times New Roman"/>
          <w:b/>
          <w:color w:val="0070C0"/>
          <w:sz w:val="20"/>
          <w:szCs w:val="20"/>
        </w:rPr>
      </w:pPr>
    </w:p>
    <w:p w14:paraId="5C59E03F" w14:textId="77777777" w:rsidR="00C13605" w:rsidRPr="002B4D22" w:rsidRDefault="00C13605" w:rsidP="00C13605">
      <w:pPr>
        <w:spacing w:after="0" w:line="360" w:lineRule="auto"/>
        <w:ind w:left="472" w:hangingChars="236" w:hanging="472"/>
        <w:jc w:val="both"/>
        <w:rPr>
          <w:rFonts w:ascii="Times New Roman" w:hAnsi="Times New Roman"/>
          <w:b/>
          <w:color w:val="0070C0"/>
          <w:sz w:val="20"/>
          <w:szCs w:val="20"/>
        </w:rPr>
      </w:pPr>
      <w:r w:rsidRPr="002B4D22">
        <w:rPr>
          <w:rFonts w:ascii="Times New Roman" w:hAnsi="Times New Roman"/>
          <w:b/>
          <w:color w:val="0070C0"/>
          <w:sz w:val="20"/>
          <w:szCs w:val="20"/>
        </w:rPr>
        <w:t xml:space="preserve">Test samples and AOAC food triangle  </w:t>
      </w:r>
    </w:p>
    <w:p w14:paraId="7EFCABFF" w14:textId="140A3DD8"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In this study, a total of eleven samples, consisting of either certified reference materials (CRM) produced by National Metrology Institutes (NMI) or QC materials from proficiency testing providers, were selected based on the nine sectors of the AOAC food triangle [12]. This approach demonstrates method performance across diverse food matrices. Using CRMs and QC materials in method validation could ensure the validation results fulfilled the quality assurance in measurements. The details of materials used are shown in </w:t>
      </w:r>
      <w:r w:rsidR="002E58A1">
        <w:rPr>
          <w:rFonts w:ascii="Times New Roman" w:hAnsi="Times New Roman" w:cs="Times New Roman"/>
          <w:sz w:val="20"/>
          <w:szCs w:val="20"/>
        </w:rPr>
        <w:t>t</w:t>
      </w:r>
      <w:r w:rsidRPr="00C13605">
        <w:rPr>
          <w:rFonts w:ascii="Times New Roman" w:hAnsi="Times New Roman" w:cs="Times New Roman"/>
          <w:sz w:val="20"/>
          <w:szCs w:val="20"/>
        </w:rPr>
        <w:t xml:space="preserve">ables S1a to S1c. The AOAC food triangle </w:t>
      </w:r>
      <w:proofErr w:type="spellStart"/>
      <w:r w:rsidRPr="00C13605">
        <w:rPr>
          <w:rFonts w:ascii="Times New Roman" w:hAnsi="Times New Roman" w:cs="Times New Roman"/>
          <w:sz w:val="20"/>
          <w:szCs w:val="20"/>
        </w:rPr>
        <w:t>categorises</w:t>
      </w:r>
      <w:proofErr w:type="spellEnd"/>
      <w:r w:rsidRPr="00C13605">
        <w:rPr>
          <w:rFonts w:ascii="Times New Roman" w:hAnsi="Times New Roman" w:cs="Times New Roman"/>
          <w:sz w:val="20"/>
          <w:szCs w:val="20"/>
        </w:rPr>
        <w:t xml:space="preserve"> foods by major composition, with expectation that foods within a sector will behave similarly under consistent analytical conditions [13]. </w:t>
      </w:r>
    </w:p>
    <w:p w14:paraId="3F6FFC73" w14:textId="77777777" w:rsidR="00E27E5A" w:rsidRDefault="00E27E5A" w:rsidP="00C13605">
      <w:pPr>
        <w:spacing w:after="0" w:line="360" w:lineRule="auto"/>
        <w:jc w:val="both"/>
        <w:rPr>
          <w:rFonts w:ascii="Times New Roman" w:hAnsi="Times New Roman" w:cs="Times New Roman"/>
          <w:sz w:val="20"/>
          <w:szCs w:val="20"/>
        </w:rPr>
      </w:pPr>
    </w:p>
    <w:p w14:paraId="69B4F320" w14:textId="77777777" w:rsidR="00C13605" w:rsidRPr="002B4D22" w:rsidRDefault="00C13605" w:rsidP="00F6549E">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 xml:space="preserve">Microwave-assisted digestion </w:t>
      </w:r>
    </w:p>
    <w:p w14:paraId="5DE0148D"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microwave-assisted digestion procedures for food samples were as follows: 0.5 g of sample was weighed into the microwave vessel (CEM </w:t>
      </w:r>
      <w:proofErr w:type="spellStart"/>
      <w:r w:rsidRPr="00C13605">
        <w:rPr>
          <w:rFonts w:ascii="Times New Roman" w:hAnsi="Times New Roman" w:cs="Times New Roman"/>
          <w:sz w:val="20"/>
          <w:szCs w:val="20"/>
        </w:rPr>
        <w:t>iPrep</w:t>
      </w:r>
      <w:proofErr w:type="spellEnd"/>
      <w:r w:rsidRPr="00C13605">
        <w:rPr>
          <w:rFonts w:ascii="Times New Roman" w:hAnsi="Times New Roman" w:cs="Times New Roman"/>
          <w:sz w:val="20"/>
          <w:szCs w:val="20"/>
        </w:rPr>
        <w:t xml:space="preserve"> vessel, North Carolina, USA). Subsequently, 2.5 mL of conc.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xml:space="preserve"> and 2.5 mL of 30%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were added into the vessel. If foaming or a reaction occurred, the vessel would be temporarily placed in a fume hood until the reaction subsided. After sealing the vessel, a microwave-assisted digestion </w:t>
      </w:r>
      <w:proofErr w:type="spellStart"/>
      <w:r w:rsidRPr="00C13605">
        <w:rPr>
          <w:rFonts w:ascii="Times New Roman" w:hAnsi="Times New Roman" w:cs="Times New Roman"/>
          <w:sz w:val="20"/>
          <w:szCs w:val="20"/>
        </w:rPr>
        <w:t>programme</w:t>
      </w:r>
      <w:proofErr w:type="spellEnd"/>
      <w:r w:rsidRPr="00C13605">
        <w:rPr>
          <w:rFonts w:ascii="Times New Roman" w:hAnsi="Times New Roman" w:cs="Times New Roman"/>
          <w:sz w:val="20"/>
          <w:szCs w:val="20"/>
        </w:rPr>
        <w:t xml:space="preserve"> in the microwave system (CEM MARS 6, North Carolina, USA) was executed. There were two steps in the digestion </w:t>
      </w:r>
      <w:proofErr w:type="spellStart"/>
      <w:r w:rsidRPr="00C13605">
        <w:rPr>
          <w:rFonts w:ascii="Times New Roman" w:hAnsi="Times New Roman" w:cs="Times New Roman"/>
          <w:sz w:val="20"/>
          <w:szCs w:val="20"/>
        </w:rPr>
        <w:t>programme</w:t>
      </w:r>
      <w:proofErr w:type="spellEnd"/>
      <w:r w:rsidRPr="00C13605">
        <w:rPr>
          <w:rFonts w:ascii="Times New Roman" w:hAnsi="Times New Roman" w:cs="Times New Roman"/>
          <w:sz w:val="20"/>
          <w:szCs w:val="20"/>
        </w:rPr>
        <w:t xml:space="preserve">. Firstly, the power of the microwave system was set at 1200 W. The temperature was raised to 150 </w:t>
      </w:r>
      <w:r w:rsidRPr="00C13605">
        <w:rPr>
          <w:rFonts w:ascii="Times New Roman" w:hAnsi="Times New Roman" w:cs="Times New Roman"/>
          <w:sz w:val="20"/>
          <w:szCs w:val="20"/>
        </w:rPr>
        <w:sym w:font="Symbol" w:char="F0B0"/>
      </w:r>
      <w:r w:rsidRPr="00C13605">
        <w:rPr>
          <w:rFonts w:ascii="Times New Roman" w:hAnsi="Times New Roman" w:cs="Times New Roman"/>
          <w:sz w:val="20"/>
          <w:szCs w:val="20"/>
        </w:rPr>
        <w:t xml:space="preserve">C with a ramping time of 25 minutes and held for 4 minutes. Secondly, the power of the microwave system was set at 1800 W. The temperature was further raised to 210 </w:t>
      </w:r>
      <w:r w:rsidRPr="00C13605">
        <w:rPr>
          <w:rFonts w:ascii="Times New Roman" w:hAnsi="Times New Roman" w:cs="Times New Roman"/>
          <w:sz w:val="20"/>
          <w:szCs w:val="20"/>
        </w:rPr>
        <w:sym w:font="Symbol" w:char="F0B0"/>
      </w:r>
      <w:r w:rsidRPr="00C13605">
        <w:rPr>
          <w:rFonts w:ascii="Times New Roman" w:hAnsi="Times New Roman" w:cs="Times New Roman"/>
          <w:sz w:val="20"/>
          <w:szCs w:val="20"/>
        </w:rPr>
        <w:t xml:space="preserve">C with a ramping time of 5 minutes and held for 12 minutes. Following cooling to room temperature, a mixed internal standard solution (500 ug/L of Bi, Ge, In and </w:t>
      </w:r>
      <w:proofErr w:type="spellStart"/>
      <w:r w:rsidRPr="00C13605">
        <w:rPr>
          <w:rFonts w:ascii="Times New Roman" w:hAnsi="Times New Roman" w:cs="Times New Roman"/>
          <w:sz w:val="20"/>
          <w:szCs w:val="20"/>
        </w:rPr>
        <w:t>Ir</w:t>
      </w:r>
      <w:proofErr w:type="spellEnd"/>
      <w:r w:rsidRPr="00C13605">
        <w:rPr>
          <w:rFonts w:ascii="Times New Roman" w:hAnsi="Times New Roman" w:cs="Times New Roman"/>
          <w:sz w:val="20"/>
          <w:szCs w:val="20"/>
        </w:rPr>
        <w:t xml:space="preserve">, 10 mg/L of Lu, and 50 mg/L of Au for </w:t>
      </w:r>
      <w:proofErr w:type="spellStart"/>
      <w:r w:rsidRPr="00C13605">
        <w:rPr>
          <w:rFonts w:ascii="Times New Roman" w:hAnsi="Times New Roman" w:cs="Times New Roman"/>
          <w:sz w:val="20"/>
          <w:szCs w:val="20"/>
        </w:rPr>
        <w:t>stabilisation</w:t>
      </w:r>
      <w:proofErr w:type="spellEnd"/>
      <w:r w:rsidRPr="00C13605">
        <w:rPr>
          <w:rFonts w:ascii="Times New Roman" w:hAnsi="Times New Roman" w:cs="Times New Roman"/>
          <w:sz w:val="20"/>
          <w:szCs w:val="20"/>
        </w:rPr>
        <w:t xml:space="preserve"> of mercury) was introduced into each vessel. The sample solution was transferred to a 50 mL volumetric flask and made up to the mark with </w:t>
      </w:r>
      <w:proofErr w:type="spellStart"/>
      <w:r w:rsidRPr="00C13605">
        <w:rPr>
          <w:rFonts w:ascii="Times New Roman" w:hAnsi="Times New Roman" w:cs="Times New Roman"/>
          <w:sz w:val="20"/>
          <w:szCs w:val="20"/>
        </w:rPr>
        <w:t>deionised</w:t>
      </w:r>
      <w:proofErr w:type="spellEnd"/>
      <w:r w:rsidRPr="00C13605">
        <w:rPr>
          <w:rFonts w:ascii="Times New Roman" w:hAnsi="Times New Roman" w:cs="Times New Roman"/>
          <w:sz w:val="20"/>
          <w:szCs w:val="20"/>
        </w:rPr>
        <w:t xml:space="preserve"> water. For determination of </w:t>
      </w:r>
      <w:proofErr w:type="gramStart"/>
      <w:r w:rsidRPr="00C13605">
        <w:rPr>
          <w:rFonts w:ascii="Times New Roman" w:hAnsi="Times New Roman" w:cs="Times New Roman"/>
          <w:sz w:val="20"/>
          <w:szCs w:val="20"/>
        </w:rPr>
        <w:t>As</w:t>
      </w:r>
      <w:proofErr w:type="gramEnd"/>
      <w:r w:rsidRPr="00C13605">
        <w:rPr>
          <w:rFonts w:ascii="Times New Roman" w:hAnsi="Times New Roman" w:cs="Times New Roman"/>
          <w:sz w:val="20"/>
          <w:szCs w:val="20"/>
        </w:rPr>
        <w:t xml:space="preserve"> in </w:t>
      </w:r>
      <w:r w:rsidRPr="00C13605">
        <w:rPr>
          <w:rFonts w:ascii="Times New Roman" w:hAnsi="Times New Roman" w:cs="Times New Roman"/>
          <w:sz w:val="20"/>
          <w:szCs w:val="20"/>
        </w:rPr>
        <w:lastRenderedPageBreak/>
        <w:t xml:space="preserve">high fat samples (e.g. vegetable oil in Sector 1 of AOAC triangle), the sample solution should be further diluted five times prior to analysis. </w:t>
      </w:r>
    </w:p>
    <w:p w14:paraId="78813DB6" w14:textId="77777777" w:rsidR="00C13605" w:rsidRPr="00C13605" w:rsidRDefault="00C13605" w:rsidP="00C13605">
      <w:pPr>
        <w:spacing w:after="0" w:line="360" w:lineRule="auto"/>
        <w:ind w:left="472" w:hangingChars="236" w:hanging="472"/>
        <w:jc w:val="both"/>
        <w:rPr>
          <w:rFonts w:ascii="Times New Roman" w:hAnsi="Times New Roman" w:cs="Times New Roman"/>
          <w:sz w:val="20"/>
          <w:szCs w:val="20"/>
        </w:rPr>
      </w:pPr>
    </w:p>
    <w:p w14:paraId="11295CD1" w14:textId="1D83652C" w:rsidR="00C13605" w:rsidRPr="002B4D22" w:rsidRDefault="00C13605" w:rsidP="002B4D22">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Inductively coupled plasma mass spectrometry (ICP-MS) and inductively coupled plasma optical emission</w:t>
      </w:r>
      <w:r w:rsidR="002B4D22">
        <w:rPr>
          <w:rFonts w:ascii="Times New Roman" w:hAnsi="Times New Roman"/>
          <w:b/>
          <w:color w:val="0070C0"/>
          <w:sz w:val="20"/>
          <w:szCs w:val="20"/>
        </w:rPr>
        <w:t xml:space="preserve"> </w:t>
      </w:r>
      <w:r w:rsidRPr="002B4D22">
        <w:rPr>
          <w:rFonts w:ascii="Times New Roman" w:hAnsi="Times New Roman"/>
          <w:b/>
          <w:color w:val="0070C0"/>
          <w:sz w:val="20"/>
          <w:szCs w:val="20"/>
        </w:rPr>
        <w:t xml:space="preserve">spectrometry (ICP-OES) </w:t>
      </w:r>
    </w:p>
    <w:p w14:paraId="7ADA6E67" w14:textId="78BECC5E"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analyses of As, Cd, Cr, Cu, Fe, Hg, Mn, Pb and Zn in food samples were performed by ICP-MS (Perkin Elmer 300X, Connecticut, USA and Agilent 8900, California, USA). The isotopes (m/z) for monitoring and quantification were </w:t>
      </w:r>
      <w:r w:rsidRPr="00C13605">
        <w:rPr>
          <w:rFonts w:ascii="Times New Roman" w:hAnsi="Times New Roman" w:cs="Times New Roman"/>
          <w:sz w:val="20"/>
          <w:szCs w:val="20"/>
          <w:vertAlign w:val="superscript"/>
        </w:rPr>
        <w:t>53</w:t>
      </w:r>
      <w:r w:rsidRPr="00C13605">
        <w:rPr>
          <w:rFonts w:ascii="Times New Roman" w:hAnsi="Times New Roman" w:cs="Times New Roman"/>
          <w:sz w:val="20"/>
          <w:szCs w:val="20"/>
        </w:rPr>
        <w:t xml:space="preserve">Cr, </w:t>
      </w:r>
      <w:r w:rsidRPr="00C13605">
        <w:rPr>
          <w:rFonts w:ascii="Times New Roman" w:hAnsi="Times New Roman" w:cs="Times New Roman"/>
          <w:sz w:val="20"/>
          <w:szCs w:val="20"/>
          <w:vertAlign w:val="superscript"/>
        </w:rPr>
        <w:t>55</w:t>
      </w:r>
      <w:r w:rsidRPr="00C13605">
        <w:rPr>
          <w:rFonts w:ascii="Times New Roman" w:hAnsi="Times New Roman" w:cs="Times New Roman"/>
          <w:sz w:val="20"/>
          <w:szCs w:val="20"/>
        </w:rPr>
        <w:t xml:space="preserve">Mn, </w:t>
      </w:r>
      <w:r w:rsidRPr="00C13605">
        <w:rPr>
          <w:rFonts w:ascii="Times New Roman" w:hAnsi="Times New Roman" w:cs="Times New Roman"/>
          <w:sz w:val="20"/>
          <w:szCs w:val="20"/>
          <w:vertAlign w:val="superscript"/>
        </w:rPr>
        <w:t>57</w:t>
      </w:r>
      <w:r w:rsidRPr="00C13605">
        <w:rPr>
          <w:rFonts w:ascii="Times New Roman" w:hAnsi="Times New Roman" w:cs="Times New Roman"/>
          <w:sz w:val="20"/>
          <w:szCs w:val="20"/>
        </w:rPr>
        <w:t xml:space="preserve">Fe, </w:t>
      </w:r>
      <w:r w:rsidRPr="00C13605">
        <w:rPr>
          <w:rFonts w:ascii="Times New Roman" w:hAnsi="Times New Roman" w:cs="Times New Roman"/>
          <w:sz w:val="20"/>
          <w:szCs w:val="20"/>
          <w:vertAlign w:val="superscript"/>
        </w:rPr>
        <w:t>63</w:t>
      </w:r>
      <w:r w:rsidRPr="00C13605">
        <w:rPr>
          <w:rFonts w:ascii="Times New Roman" w:hAnsi="Times New Roman" w:cs="Times New Roman"/>
          <w:sz w:val="20"/>
          <w:szCs w:val="20"/>
        </w:rPr>
        <w:t xml:space="preserve">Cu, </w:t>
      </w:r>
      <w:r w:rsidRPr="00C13605">
        <w:rPr>
          <w:rFonts w:ascii="Times New Roman" w:hAnsi="Times New Roman" w:cs="Times New Roman"/>
          <w:sz w:val="20"/>
          <w:szCs w:val="20"/>
          <w:vertAlign w:val="superscript"/>
        </w:rPr>
        <w:t>66</w:t>
      </w:r>
      <w:r w:rsidRPr="00C13605">
        <w:rPr>
          <w:rFonts w:ascii="Times New Roman" w:hAnsi="Times New Roman" w:cs="Times New Roman"/>
          <w:sz w:val="20"/>
          <w:szCs w:val="20"/>
        </w:rPr>
        <w:t>Zn,</w:t>
      </w:r>
      <w:r w:rsidRPr="00C13605">
        <w:rPr>
          <w:rFonts w:ascii="Times New Roman" w:hAnsi="Times New Roman" w:cs="Times New Roman"/>
          <w:sz w:val="20"/>
          <w:szCs w:val="20"/>
          <w:vertAlign w:val="superscript"/>
        </w:rPr>
        <w:t xml:space="preserve"> 75</w:t>
      </w:r>
      <w:r w:rsidRPr="00C13605">
        <w:rPr>
          <w:rFonts w:ascii="Times New Roman" w:hAnsi="Times New Roman" w:cs="Times New Roman"/>
          <w:sz w:val="20"/>
          <w:szCs w:val="20"/>
        </w:rPr>
        <w:t xml:space="preserve">As, </w:t>
      </w:r>
      <w:r w:rsidRPr="00C13605">
        <w:rPr>
          <w:rFonts w:ascii="Times New Roman" w:hAnsi="Times New Roman" w:cs="Times New Roman"/>
          <w:sz w:val="20"/>
          <w:szCs w:val="20"/>
          <w:vertAlign w:val="superscript"/>
        </w:rPr>
        <w:t>111</w:t>
      </w:r>
      <w:r w:rsidRPr="00C13605">
        <w:rPr>
          <w:rFonts w:ascii="Times New Roman" w:hAnsi="Times New Roman" w:cs="Times New Roman"/>
          <w:sz w:val="20"/>
          <w:szCs w:val="20"/>
        </w:rPr>
        <w:t xml:space="preserve">Cd, </w:t>
      </w:r>
      <w:r w:rsidRPr="00C13605">
        <w:rPr>
          <w:rFonts w:ascii="Times New Roman" w:hAnsi="Times New Roman" w:cs="Times New Roman"/>
          <w:sz w:val="20"/>
          <w:szCs w:val="20"/>
          <w:vertAlign w:val="superscript"/>
        </w:rPr>
        <w:t>202</w:t>
      </w:r>
      <w:r w:rsidRPr="00C13605">
        <w:rPr>
          <w:rFonts w:ascii="Times New Roman" w:hAnsi="Times New Roman" w:cs="Times New Roman"/>
          <w:sz w:val="20"/>
          <w:szCs w:val="20"/>
        </w:rPr>
        <w:t xml:space="preserve">Hg and </w:t>
      </w:r>
      <w:r w:rsidRPr="00C13605">
        <w:rPr>
          <w:rFonts w:ascii="Times New Roman" w:hAnsi="Times New Roman" w:cs="Times New Roman"/>
          <w:sz w:val="20"/>
          <w:szCs w:val="20"/>
          <w:vertAlign w:val="superscript"/>
        </w:rPr>
        <w:t>208</w:t>
      </w:r>
      <w:r w:rsidRPr="00C13605">
        <w:rPr>
          <w:rFonts w:ascii="Times New Roman" w:hAnsi="Times New Roman" w:cs="Times New Roman"/>
          <w:sz w:val="20"/>
          <w:szCs w:val="20"/>
        </w:rPr>
        <w:t xml:space="preserve">Pb. The signal intensity of </w:t>
      </w:r>
      <w:r w:rsidRPr="00C13605">
        <w:rPr>
          <w:rFonts w:ascii="Times New Roman" w:hAnsi="Times New Roman" w:cs="Times New Roman"/>
          <w:sz w:val="20"/>
          <w:szCs w:val="20"/>
          <w:vertAlign w:val="superscript"/>
        </w:rPr>
        <w:t>208</w:t>
      </w:r>
      <w:r w:rsidRPr="00C13605">
        <w:rPr>
          <w:rFonts w:ascii="Times New Roman" w:hAnsi="Times New Roman" w:cs="Times New Roman"/>
          <w:sz w:val="20"/>
          <w:szCs w:val="20"/>
        </w:rPr>
        <w:t xml:space="preserve">Pb is represented as the sum of the intensities for the m/z values of 206, 207 and 208. The residual carbon content was monitored by measuring the </w:t>
      </w:r>
      <w:r w:rsidRPr="00C13605">
        <w:rPr>
          <w:rFonts w:ascii="Times New Roman" w:hAnsi="Times New Roman" w:cs="Times New Roman"/>
          <w:sz w:val="20"/>
          <w:szCs w:val="20"/>
          <w:vertAlign w:val="superscript"/>
        </w:rPr>
        <w:t>12</w:t>
      </w:r>
      <w:r w:rsidRPr="00C13605">
        <w:rPr>
          <w:rFonts w:ascii="Times New Roman" w:hAnsi="Times New Roman" w:cs="Times New Roman"/>
          <w:sz w:val="20"/>
          <w:szCs w:val="20"/>
        </w:rPr>
        <w:t xml:space="preserve">C counts in sample solutions. Typical ICP-MS conditions are shown in </w:t>
      </w:r>
      <w:r w:rsidR="002E58A1">
        <w:rPr>
          <w:rFonts w:ascii="Times New Roman" w:hAnsi="Times New Roman" w:cs="Times New Roman"/>
          <w:sz w:val="20"/>
          <w:szCs w:val="20"/>
        </w:rPr>
        <w:t>t</w:t>
      </w:r>
      <w:r w:rsidRPr="00C13605">
        <w:rPr>
          <w:rFonts w:ascii="Times New Roman" w:hAnsi="Times New Roman" w:cs="Times New Roman"/>
          <w:sz w:val="20"/>
          <w:szCs w:val="20"/>
        </w:rPr>
        <w:t>ables S2a and S2b.</w:t>
      </w:r>
    </w:p>
    <w:p w14:paraId="28CA5344" w14:textId="77777777" w:rsidR="00C13605" w:rsidRPr="00C13605" w:rsidRDefault="00C13605" w:rsidP="00C13605">
      <w:pPr>
        <w:spacing w:after="0" w:line="360" w:lineRule="auto"/>
        <w:jc w:val="both"/>
        <w:rPr>
          <w:rFonts w:ascii="Times New Roman" w:hAnsi="Times New Roman" w:cs="Times New Roman"/>
          <w:sz w:val="20"/>
          <w:szCs w:val="20"/>
        </w:rPr>
      </w:pPr>
    </w:p>
    <w:p w14:paraId="74E91644" w14:textId="5768DAD3"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analyses of Ca and Na in food samples were performed by ICP-OES (Spectro Arcos, Kleve, Germany). The wavelengths for monitoring and quantification were Ca (317.933 nm) and Na (589.592 nm). Typical ICP-OES settings are given in </w:t>
      </w:r>
      <w:r w:rsidR="002E58A1">
        <w:rPr>
          <w:rFonts w:ascii="Times New Roman" w:hAnsi="Times New Roman" w:cs="Times New Roman"/>
          <w:sz w:val="20"/>
          <w:szCs w:val="20"/>
        </w:rPr>
        <w:t>t</w:t>
      </w:r>
      <w:r w:rsidRPr="00C13605">
        <w:rPr>
          <w:rFonts w:ascii="Times New Roman" w:hAnsi="Times New Roman" w:cs="Times New Roman"/>
          <w:sz w:val="20"/>
          <w:szCs w:val="20"/>
        </w:rPr>
        <w:t>able S2c.</w:t>
      </w:r>
    </w:p>
    <w:p w14:paraId="2D08223E" w14:textId="77777777" w:rsidR="00C13605" w:rsidRPr="00C13605" w:rsidRDefault="00C13605" w:rsidP="00C13605">
      <w:pPr>
        <w:spacing w:after="0" w:line="360" w:lineRule="auto"/>
        <w:jc w:val="both"/>
        <w:rPr>
          <w:rFonts w:ascii="Times New Roman" w:hAnsi="Times New Roman" w:cs="Times New Roman"/>
          <w:sz w:val="20"/>
          <w:szCs w:val="20"/>
        </w:rPr>
      </w:pPr>
    </w:p>
    <w:p w14:paraId="2C1681F6" w14:textId="77777777"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Argon (99.9992%, Air Product, Hong Kong China) was served as plasma gas, auxiliary gas, and nebulizer gas in ICP-MS and ICP-OES, while helium gas (99.999%, Linde, Hong Kong China) was employed as collision gas for gas mode analysis in ICP-MS. Quantitative analysis mode was used for measurements by ICP-MS and ICP-OES. Digestion blanks were performed in each analysis to monitor any cross-contamination in food samples. Calibration standard checks were regularly </w:t>
      </w:r>
      <w:proofErr w:type="spellStart"/>
      <w:r w:rsidRPr="00C13605">
        <w:rPr>
          <w:rFonts w:ascii="Times New Roman" w:hAnsi="Times New Roman" w:cs="Times New Roman"/>
          <w:sz w:val="20"/>
          <w:szCs w:val="20"/>
        </w:rPr>
        <w:t>analysed</w:t>
      </w:r>
      <w:proofErr w:type="spellEnd"/>
      <w:r w:rsidRPr="00C13605">
        <w:rPr>
          <w:rFonts w:ascii="Times New Roman" w:hAnsi="Times New Roman" w:cs="Times New Roman"/>
          <w:sz w:val="20"/>
          <w:szCs w:val="20"/>
        </w:rPr>
        <w:t xml:space="preserve"> during the analytical sequence (one continuous calibration check per ten measurements) to monitor any drift in both ICP-MS and ICP-OES measurements. </w:t>
      </w:r>
    </w:p>
    <w:p w14:paraId="2651CF04" w14:textId="77777777" w:rsidR="007467ED" w:rsidRDefault="007467ED" w:rsidP="00940023">
      <w:pPr>
        <w:spacing w:after="0" w:line="360" w:lineRule="auto"/>
        <w:jc w:val="both"/>
        <w:rPr>
          <w:rFonts w:ascii="Times New Roman" w:hAnsi="Times New Roman" w:cs="Times New Roman"/>
          <w:sz w:val="20"/>
          <w:szCs w:val="20"/>
        </w:rPr>
      </w:pPr>
    </w:p>
    <w:p w14:paraId="2A351C2F" w14:textId="77777777" w:rsidR="007467ED" w:rsidRPr="007467ED" w:rsidRDefault="007467ED" w:rsidP="00940023">
      <w:pPr>
        <w:pStyle w:val="Heading2"/>
        <w:spacing w:before="0" w:line="360" w:lineRule="auto"/>
        <w:jc w:val="both"/>
        <w:rPr>
          <w:rFonts w:ascii="Times New Roman" w:hAnsi="Times New Roman" w:cs="Times New Roman"/>
          <w:b/>
          <w:bCs/>
          <w:sz w:val="20"/>
          <w:szCs w:val="20"/>
        </w:rPr>
      </w:pPr>
      <w:r w:rsidRPr="007467ED">
        <w:rPr>
          <w:rFonts w:ascii="Times New Roman" w:hAnsi="Times New Roman" w:cs="Times New Roman"/>
          <w:b/>
          <w:bCs/>
          <w:color w:val="006FC0"/>
          <w:sz w:val="20"/>
          <w:szCs w:val="20"/>
        </w:rPr>
        <w:t>Method validation</w:t>
      </w:r>
    </w:p>
    <w:p w14:paraId="5287006E"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 xml:space="preserve">Method validation was performed in respect of selectivity, linearity, trueness, precision and limit of quantification (LOQ), adhering to the </w:t>
      </w:r>
      <w:proofErr w:type="spellStart"/>
      <w:r w:rsidRPr="007467ED">
        <w:rPr>
          <w:rFonts w:cs="Times New Roman"/>
          <w:sz w:val="20"/>
          <w:szCs w:val="20"/>
        </w:rPr>
        <w:t>Eurachem</w:t>
      </w:r>
      <w:proofErr w:type="spellEnd"/>
      <w:r w:rsidRPr="007467ED">
        <w:rPr>
          <w:rFonts w:cs="Times New Roman"/>
          <w:sz w:val="20"/>
          <w:szCs w:val="20"/>
        </w:rPr>
        <w:t xml:space="preserve"> guidelines [14]. Various analytical metrics were </w:t>
      </w:r>
      <w:proofErr w:type="spellStart"/>
      <w:r w:rsidRPr="007467ED">
        <w:rPr>
          <w:rFonts w:cs="Times New Roman"/>
          <w:sz w:val="20"/>
          <w:szCs w:val="20"/>
        </w:rPr>
        <w:t>utilised</w:t>
      </w:r>
      <w:proofErr w:type="spellEnd"/>
      <w:r w:rsidRPr="007467ED">
        <w:rPr>
          <w:rFonts w:cs="Times New Roman"/>
          <w:sz w:val="20"/>
          <w:szCs w:val="20"/>
        </w:rPr>
        <w:t xml:space="preserve"> to evaluate the greenness, applicability and analytical performance of the analytical method developed.</w:t>
      </w:r>
    </w:p>
    <w:p w14:paraId="20284F22" w14:textId="77777777" w:rsidR="007467ED" w:rsidRPr="007467ED" w:rsidRDefault="007467ED" w:rsidP="00940023">
      <w:pPr>
        <w:pStyle w:val="BodyText"/>
        <w:spacing w:line="360" w:lineRule="auto"/>
        <w:ind w:left="0"/>
        <w:jc w:val="both"/>
        <w:rPr>
          <w:rFonts w:cs="Times New Roman"/>
          <w:sz w:val="20"/>
          <w:szCs w:val="20"/>
        </w:rPr>
      </w:pPr>
    </w:p>
    <w:p w14:paraId="457096A8" w14:textId="77777777" w:rsidR="007467ED" w:rsidRPr="007467ED" w:rsidRDefault="007467ED" w:rsidP="00940023">
      <w:pPr>
        <w:pStyle w:val="Heading2"/>
        <w:spacing w:before="0" w:line="360" w:lineRule="auto"/>
        <w:jc w:val="both"/>
        <w:rPr>
          <w:rFonts w:ascii="Times New Roman" w:hAnsi="Times New Roman" w:cs="Times New Roman"/>
          <w:b/>
          <w:bCs/>
          <w:sz w:val="20"/>
          <w:szCs w:val="20"/>
        </w:rPr>
      </w:pPr>
      <w:r w:rsidRPr="007467ED">
        <w:rPr>
          <w:rFonts w:ascii="Times New Roman" w:hAnsi="Times New Roman" w:cs="Times New Roman"/>
          <w:b/>
          <w:bCs/>
          <w:color w:val="006FC0"/>
          <w:sz w:val="20"/>
          <w:szCs w:val="20"/>
        </w:rPr>
        <w:t>Selectivity and identification</w:t>
      </w:r>
    </w:p>
    <w:p w14:paraId="0B507391"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 xml:space="preserve">The isotopes selected for monitoring and quantification in ICP-MS analysis were </w:t>
      </w:r>
      <w:r w:rsidRPr="007467ED">
        <w:rPr>
          <w:rFonts w:cs="Times New Roman"/>
          <w:position w:val="7"/>
          <w:sz w:val="20"/>
          <w:szCs w:val="20"/>
          <w:vertAlign w:val="superscript"/>
        </w:rPr>
        <w:t>53</w:t>
      </w:r>
      <w:r w:rsidRPr="007467ED">
        <w:rPr>
          <w:rFonts w:cs="Times New Roman"/>
          <w:sz w:val="20"/>
          <w:szCs w:val="20"/>
        </w:rPr>
        <w:t xml:space="preserve">Cr, </w:t>
      </w:r>
      <w:r w:rsidRPr="007467ED">
        <w:rPr>
          <w:rFonts w:cs="Times New Roman"/>
          <w:position w:val="7"/>
          <w:sz w:val="20"/>
          <w:szCs w:val="20"/>
          <w:vertAlign w:val="superscript"/>
        </w:rPr>
        <w:t>55</w:t>
      </w:r>
      <w:r w:rsidRPr="007467ED">
        <w:rPr>
          <w:rFonts w:cs="Times New Roman"/>
          <w:sz w:val="20"/>
          <w:szCs w:val="20"/>
        </w:rPr>
        <w:t xml:space="preserve">Mn, </w:t>
      </w:r>
      <w:r w:rsidRPr="007467ED">
        <w:rPr>
          <w:rFonts w:cs="Times New Roman"/>
          <w:position w:val="7"/>
          <w:sz w:val="20"/>
          <w:szCs w:val="20"/>
          <w:vertAlign w:val="superscript"/>
        </w:rPr>
        <w:t>57</w:t>
      </w:r>
      <w:r w:rsidRPr="007467ED">
        <w:rPr>
          <w:rFonts w:cs="Times New Roman"/>
          <w:sz w:val="20"/>
          <w:szCs w:val="20"/>
        </w:rPr>
        <w:t xml:space="preserve">Fe, </w:t>
      </w:r>
      <w:r w:rsidRPr="007467ED">
        <w:rPr>
          <w:rFonts w:cs="Times New Roman"/>
          <w:position w:val="7"/>
          <w:sz w:val="20"/>
          <w:szCs w:val="20"/>
          <w:vertAlign w:val="superscript"/>
        </w:rPr>
        <w:t>63</w:t>
      </w:r>
      <w:r w:rsidRPr="007467ED">
        <w:rPr>
          <w:rFonts w:cs="Times New Roman"/>
          <w:sz w:val="20"/>
          <w:szCs w:val="20"/>
        </w:rPr>
        <w:t xml:space="preserve">Cu, </w:t>
      </w:r>
      <w:r w:rsidRPr="007467ED">
        <w:rPr>
          <w:rFonts w:cs="Times New Roman"/>
          <w:position w:val="7"/>
          <w:sz w:val="20"/>
          <w:szCs w:val="20"/>
          <w:vertAlign w:val="superscript"/>
        </w:rPr>
        <w:t>66</w:t>
      </w:r>
      <w:r w:rsidRPr="007467ED">
        <w:rPr>
          <w:rFonts w:cs="Times New Roman"/>
          <w:sz w:val="20"/>
          <w:szCs w:val="20"/>
        </w:rPr>
        <w:t xml:space="preserve">Zn, </w:t>
      </w:r>
      <w:r w:rsidRPr="007467ED">
        <w:rPr>
          <w:rFonts w:cs="Times New Roman"/>
          <w:position w:val="7"/>
          <w:sz w:val="20"/>
          <w:szCs w:val="20"/>
          <w:vertAlign w:val="superscript"/>
        </w:rPr>
        <w:t>75</w:t>
      </w:r>
      <w:r w:rsidRPr="007467ED">
        <w:rPr>
          <w:rFonts w:cs="Times New Roman"/>
          <w:sz w:val="20"/>
          <w:szCs w:val="20"/>
        </w:rPr>
        <w:t xml:space="preserve">As, </w:t>
      </w:r>
      <w:r w:rsidRPr="007467ED">
        <w:rPr>
          <w:rFonts w:cs="Times New Roman"/>
          <w:position w:val="7"/>
          <w:sz w:val="20"/>
          <w:szCs w:val="20"/>
          <w:vertAlign w:val="superscript"/>
        </w:rPr>
        <w:t>111</w:t>
      </w:r>
      <w:r w:rsidRPr="007467ED">
        <w:rPr>
          <w:rFonts w:cs="Times New Roman"/>
          <w:sz w:val="20"/>
          <w:szCs w:val="20"/>
        </w:rPr>
        <w:t xml:space="preserve">Cd, </w:t>
      </w:r>
      <w:r w:rsidRPr="007467ED">
        <w:rPr>
          <w:rFonts w:cs="Times New Roman"/>
          <w:position w:val="7"/>
          <w:sz w:val="20"/>
          <w:szCs w:val="20"/>
          <w:vertAlign w:val="superscript"/>
        </w:rPr>
        <w:t>202</w:t>
      </w:r>
      <w:r w:rsidRPr="007467ED">
        <w:rPr>
          <w:rFonts w:cs="Times New Roman"/>
          <w:sz w:val="20"/>
          <w:szCs w:val="20"/>
        </w:rPr>
        <w:t xml:space="preserve">Hg and </w:t>
      </w:r>
      <w:r w:rsidRPr="007467ED">
        <w:rPr>
          <w:rFonts w:cs="Times New Roman"/>
          <w:position w:val="7"/>
          <w:sz w:val="20"/>
          <w:szCs w:val="20"/>
          <w:vertAlign w:val="superscript"/>
        </w:rPr>
        <w:t>208</w:t>
      </w:r>
      <w:r w:rsidRPr="007467ED">
        <w:rPr>
          <w:rFonts w:cs="Times New Roman"/>
          <w:sz w:val="20"/>
          <w:szCs w:val="20"/>
        </w:rPr>
        <w:t xml:space="preserve">Pb. The signal intensity of </w:t>
      </w:r>
      <w:r w:rsidRPr="007467ED">
        <w:rPr>
          <w:rFonts w:cs="Times New Roman"/>
          <w:position w:val="7"/>
          <w:sz w:val="20"/>
          <w:szCs w:val="20"/>
          <w:vertAlign w:val="superscript"/>
        </w:rPr>
        <w:t>208</w:t>
      </w:r>
      <w:r w:rsidRPr="007467ED">
        <w:rPr>
          <w:rFonts w:cs="Times New Roman"/>
          <w:sz w:val="20"/>
          <w:szCs w:val="20"/>
        </w:rPr>
        <w:t xml:space="preserve">Pb is represented as the sum of the intensities for the m/z values of 206, 207 and 208. Isotopes selected for ICP-MS analysis were chosen to avoid isobaric interferences, for example, avoiding </w:t>
      </w:r>
      <w:r w:rsidRPr="007467ED">
        <w:rPr>
          <w:rFonts w:cs="Times New Roman"/>
          <w:position w:val="7"/>
          <w:sz w:val="20"/>
          <w:szCs w:val="20"/>
          <w:vertAlign w:val="superscript"/>
        </w:rPr>
        <w:t>64</w:t>
      </w:r>
      <w:r w:rsidRPr="007467ED">
        <w:rPr>
          <w:rFonts w:cs="Times New Roman"/>
          <w:sz w:val="20"/>
          <w:szCs w:val="20"/>
        </w:rPr>
        <w:t xml:space="preserve">Zn interference from </w:t>
      </w:r>
      <w:r w:rsidRPr="007467ED">
        <w:rPr>
          <w:rFonts w:cs="Times New Roman"/>
          <w:position w:val="7"/>
          <w:sz w:val="20"/>
          <w:szCs w:val="20"/>
          <w:vertAlign w:val="superscript"/>
        </w:rPr>
        <w:t>64</w:t>
      </w:r>
      <w:r w:rsidRPr="007467ED">
        <w:rPr>
          <w:rFonts w:cs="Times New Roman"/>
          <w:sz w:val="20"/>
          <w:szCs w:val="20"/>
        </w:rPr>
        <w:t xml:space="preserve">Ni, and </w:t>
      </w:r>
      <w:r w:rsidRPr="007467ED">
        <w:rPr>
          <w:rFonts w:cs="Times New Roman"/>
          <w:position w:val="7"/>
          <w:sz w:val="20"/>
          <w:szCs w:val="20"/>
          <w:vertAlign w:val="superscript"/>
        </w:rPr>
        <w:t>114</w:t>
      </w:r>
      <w:r w:rsidRPr="007467ED">
        <w:rPr>
          <w:rFonts w:cs="Times New Roman"/>
          <w:sz w:val="20"/>
          <w:szCs w:val="20"/>
        </w:rPr>
        <w:t xml:space="preserve">Cd interference from </w:t>
      </w:r>
      <w:r w:rsidRPr="007467ED">
        <w:rPr>
          <w:rFonts w:cs="Times New Roman"/>
          <w:position w:val="7"/>
          <w:sz w:val="20"/>
          <w:szCs w:val="20"/>
          <w:vertAlign w:val="superscript"/>
        </w:rPr>
        <w:t>114</w:t>
      </w:r>
      <w:r w:rsidRPr="007467ED">
        <w:rPr>
          <w:rFonts w:cs="Times New Roman"/>
          <w:sz w:val="20"/>
          <w:szCs w:val="20"/>
        </w:rPr>
        <w:t xml:space="preserve">Sn. Besides, helium mode was employed to eliminate the effects of polyatomic interferences, particularly </w:t>
      </w:r>
      <w:r w:rsidRPr="007467ED">
        <w:rPr>
          <w:rFonts w:cs="Times New Roman"/>
          <w:position w:val="7"/>
          <w:sz w:val="20"/>
          <w:szCs w:val="20"/>
          <w:vertAlign w:val="superscript"/>
        </w:rPr>
        <w:t>40</w:t>
      </w:r>
      <w:proofErr w:type="spellStart"/>
      <w:r w:rsidRPr="007467ED">
        <w:rPr>
          <w:rFonts w:cs="Times New Roman"/>
          <w:sz w:val="20"/>
          <w:szCs w:val="20"/>
        </w:rPr>
        <w:t>Ar</w:t>
      </w:r>
      <w:proofErr w:type="spellEnd"/>
      <w:r w:rsidRPr="007467ED">
        <w:rPr>
          <w:rFonts w:cs="Times New Roman"/>
          <w:position w:val="7"/>
          <w:sz w:val="20"/>
          <w:szCs w:val="20"/>
          <w:vertAlign w:val="superscript"/>
        </w:rPr>
        <w:t>35</w:t>
      </w:r>
      <w:r w:rsidRPr="007467ED">
        <w:rPr>
          <w:rFonts w:cs="Times New Roman"/>
          <w:sz w:val="20"/>
          <w:szCs w:val="20"/>
        </w:rPr>
        <w:t xml:space="preserve">Cl to </w:t>
      </w:r>
      <w:r w:rsidRPr="007467ED">
        <w:rPr>
          <w:rFonts w:cs="Times New Roman"/>
          <w:position w:val="7"/>
          <w:sz w:val="20"/>
          <w:szCs w:val="20"/>
          <w:vertAlign w:val="superscript"/>
        </w:rPr>
        <w:t>75</w:t>
      </w:r>
      <w:r w:rsidRPr="007467ED">
        <w:rPr>
          <w:rFonts w:cs="Times New Roman"/>
          <w:sz w:val="20"/>
          <w:szCs w:val="20"/>
        </w:rPr>
        <w:t xml:space="preserve">As and </w:t>
      </w:r>
      <w:r w:rsidRPr="007467ED">
        <w:rPr>
          <w:rFonts w:cs="Times New Roman"/>
          <w:position w:val="7"/>
          <w:sz w:val="20"/>
          <w:szCs w:val="20"/>
          <w:vertAlign w:val="superscript"/>
        </w:rPr>
        <w:t>40</w:t>
      </w:r>
      <w:proofErr w:type="spellStart"/>
      <w:r w:rsidRPr="007467ED">
        <w:rPr>
          <w:rFonts w:cs="Times New Roman"/>
          <w:sz w:val="20"/>
          <w:szCs w:val="20"/>
        </w:rPr>
        <w:t>Ar</w:t>
      </w:r>
      <w:proofErr w:type="spellEnd"/>
      <w:r w:rsidRPr="007467ED">
        <w:rPr>
          <w:rFonts w:cs="Times New Roman"/>
          <w:position w:val="7"/>
          <w:sz w:val="20"/>
          <w:szCs w:val="20"/>
          <w:vertAlign w:val="superscript"/>
        </w:rPr>
        <w:t>23</w:t>
      </w:r>
      <w:r w:rsidRPr="007467ED">
        <w:rPr>
          <w:rFonts w:cs="Times New Roman"/>
          <w:sz w:val="20"/>
          <w:szCs w:val="20"/>
        </w:rPr>
        <w:t xml:space="preserve">Na to </w:t>
      </w:r>
      <w:r w:rsidRPr="007467ED">
        <w:rPr>
          <w:rFonts w:cs="Times New Roman"/>
          <w:position w:val="7"/>
          <w:sz w:val="20"/>
          <w:szCs w:val="20"/>
          <w:vertAlign w:val="superscript"/>
        </w:rPr>
        <w:t>63</w:t>
      </w:r>
      <w:r w:rsidRPr="007467ED">
        <w:rPr>
          <w:rFonts w:cs="Times New Roman"/>
          <w:sz w:val="20"/>
          <w:szCs w:val="20"/>
        </w:rPr>
        <w:t>Cu.</w:t>
      </w:r>
    </w:p>
    <w:p w14:paraId="286E2E8F" w14:textId="77777777" w:rsidR="007467ED" w:rsidRPr="007467ED" w:rsidRDefault="007467ED" w:rsidP="00940023">
      <w:pPr>
        <w:pStyle w:val="BodyText"/>
        <w:spacing w:line="360" w:lineRule="auto"/>
        <w:ind w:left="0"/>
        <w:jc w:val="both"/>
        <w:rPr>
          <w:rFonts w:cs="Times New Roman"/>
          <w:sz w:val="20"/>
          <w:szCs w:val="20"/>
        </w:rPr>
      </w:pPr>
    </w:p>
    <w:p w14:paraId="25FCF639"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 xml:space="preserve">For quantification of Ca and Na by ICP-OES, two wavelengths for each analyte, namely 317.933 nm and 315.887 nm for Ca, and 589.592 nm and 588.995 nm for Na were monitored. This was to ensure elimination of spectral </w:t>
      </w:r>
      <w:r w:rsidRPr="007467ED">
        <w:rPr>
          <w:rFonts w:cs="Times New Roman"/>
          <w:sz w:val="20"/>
          <w:szCs w:val="20"/>
        </w:rPr>
        <w:lastRenderedPageBreak/>
        <w:t>interferences.</w:t>
      </w:r>
    </w:p>
    <w:p w14:paraId="3AC42B85" w14:textId="0F82B700" w:rsidR="007467ED" w:rsidRPr="007467ED" w:rsidRDefault="00940023" w:rsidP="00940023">
      <w:pPr>
        <w:pStyle w:val="BodyText"/>
        <w:spacing w:line="360" w:lineRule="auto"/>
        <w:ind w:left="0"/>
        <w:jc w:val="both"/>
        <w:rPr>
          <w:rFonts w:cs="Times New Roman"/>
          <w:sz w:val="20"/>
          <w:szCs w:val="20"/>
        </w:rPr>
      </w:pPr>
      <w:r>
        <w:rPr>
          <w:rFonts w:cs="Times New Roman"/>
          <w:sz w:val="20"/>
          <w:szCs w:val="20"/>
        </w:rPr>
        <w:br/>
      </w:r>
      <w:proofErr w:type="gramStart"/>
      <w:r w:rsidR="007467ED" w:rsidRPr="007467ED">
        <w:rPr>
          <w:rFonts w:cs="Times New Roman"/>
          <w:sz w:val="20"/>
          <w:szCs w:val="20"/>
        </w:rPr>
        <w:t>In order to</w:t>
      </w:r>
      <w:proofErr w:type="gramEnd"/>
      <w:r w:rsidR="007467ED" w:rsidRPr="007467ED">
        <w:rPr>
          <w:rFonts w:cs="Times New Roman"/>
          <w:sz w:val="20"/>
          <w:szCs w:val="20"/>
        </w:rPr>
        <w:t xml:space="preserve"> correct for signal drifts during ICP-MS and ICP-OES measurements, internal standards were added to sample solutions. Bi, Ge, In and </w:t>
      </w:r>
      <w:proofErr w:type="spellStart"/>
      <w:r w:rsidR="007467ED" w:rsidRPr="007467ED">
        <w:rPr>
          <w:rFonts w:cs="Times New Roman"/>
          <w:sz w:val="20"/>
          <w:szCs w:val="20"/>
        </w:rPr>
        <w:t>Ir</w:t>
      </w:r>
      <w:proofErr w:type="spellEnd"/>
      <w:r w:rsidR="007467ED" w:rsidRPr="007467ED">
        <w:rPr>
          <w:rFonts w:cs="Times New Roman"/>
          <w:sz w:val="20"/>
          <w:szCs w:val="20"/>
        </w:rPr>
        <w:t xml:space="preserve"> were used for ICP-MS measurement, while Lu was used for ICP-OES measurement.</w:t>
      </w:r>
    </w:p>
    <w:p w14:paraId="12C65C12" w14:textId="77777777" w:rsidR="007467ED" w:rsidRPr="007467ED" w:rsidRDefault="007467ED" w:rsidP="00940023">
      <w:pPr>
        <w:pStyle w:val="BodyText"/>
        <w:spacing w:line="360" w:lineRule="auto"/>
        <w:ind w:left="0"/>
        <w:jc w:val="both"/>
        <w:rPr>
          <w:rFonts w:cs="Times New Roman"/>
          <w:sz w:val="20"/>
          <w:szCs w:val="20"/>
        </w:rPr>
      </w:pPr>
    </w:p>
    <w:p w14:paraId="5EC6CE57" w14:textId="77777777" w:rsidR="007467ED" w:rsidRPr="004F5230" w:rsidRDefault="007467ED" w:rsidP="00940023">
      <w:pPr>
        <w:pStyle w:val="Heading2"/>
        <w:spacing w:before="0" w:line="360" w:lineRule="auto"/>
        <w:jc w:val="both"/>
        <w:rPr>
          <w:rFonts w:ascii="Times New Roman" w:hAnsi="Times New Roman" w:cs="Times New Roman"/>
          <w:b/>
          <w:bCs/>
          <w:sz w:val="20"/>
          <w:szCs w:val="20"/>
        </w:rPr>
      </w:pPr>
      <w:r w:rsidRPr="004F5230">
        <w:rPr>
          <w:rFonts w:ascii="Times New Roman" w:hAnsi="Times New Roman" w:cs="Times New Roman"/>
          <w:b/>
          <w:bCs/>
          <w:color w:val="006FC0"/>
          <w:sz w:val="20"/>
          <w:szCs w:val="20"/>
        </w:rPr>
        <w:t>Trueness and precision</w:t>
      </w:r>
    </w:p>
    <w:p w14:paraId="0BE6DB77"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Trueness and precision were evaluated through replicate analyses of CRMs and QC materials, assessing recovery and relative percent difference (RPD)/relative standard deviation (RSD). The AOAC triangle guided the selection of test samples, ensuring comprehensive food matrices across the nine sectors and validating accuracy against certified values and acceptable</w:t>
      </w:r>
      <w:r w:rsidRPr="007467ED">
        <w:rPr>
          <w:rFonts w:cs="Times New Roman"/>
          <w:spacing w:val="-2"/>
          <w:sz w:val="20"/>
          <w:szCs w:val="20"/>
        </w:rPr>
        <w:t xml:space="preserve"> </w:t>
      </w:r>
      <w:r w:rsidRPr="007467ED">
        <w:rPr>
          <w:rFonts w:cs="Times New Roman"/>
          <w:sz w:val="20"/>
          <w:szCs w:val="20"/>
        </w:rPr>
        <w:t>ranges.</w:t>
      </w:r>
    </w:p>
    <w:p w14:paraId="327E2160" w14:textId="77777777" w:rsidR="007467ED" w:rsidRPr="007467ED" w:rsidRDefault="007467ED" w:rsidP="00940023">
      <w:pPr>
        <w:pStyle w:val="BodyText"/>
        <w:spacing w:line="360" w:lineRule="auto"/>
        <w:ind w:left="0"/>
        <w:jc w:val="both"/>
        <w:rPr>
          <w:rFonts w:cs="Times New Roman"/>
          <w:sz w:val="20"/>
          <w:szCs w:val="20"/>
        </w:rPr>
      </w:pPr>
    </w:p>
    <w:p w14:paraId="2BD31BBF" w14:textId="77777777" w:rsidR="007467ED" w:rsidRPr="004F5230" w:rsidRDefault="007467ED" w:rsidP="00940023">
      <w:pPr>
        <w:pStyle w:val="Heading2"/>
        <w:spacing w:before="0" w:line="360" w:lineRule="auto"/>
        <w:jc w:val="both"/>
        <w:rPr>
          <w:rFonts w:ascii="Times New Roman" w:hAnsi="Times New Roman" w:cs="Times New Roman"/>
          <w:b/>
          <w:bCs/>
          <w:sz w:val="20"/>
          <w:szCs w:val="20"/>
        </w:rPr>
      </w:pPr>
      <w:r w:rsidRPr="004F5230">
        <w:rPr>
          <w:rFonts w:ascii="Times New Roman" w:hAnsi="Times New Roman" w:cs="Times New Roman"/>
          <w:b/>
          <w:bCs/>
          <w:color w:val="006FC0"/>
          <w:sz w:val="20"/>
          <w:szCs w:val="20"/>
        </w:rPr>
        <w:t>Linearity</w:t>
      </w:r>
    </w:p>
    <w:p w14:paraId="5CDC26E2"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Calibration curves were constructed using varying concentrations of analytes (tables S3a and S3b), with relative intensity ratios of analytes to internal standards plotted against analyte concentrations. Calibration blanks containing appropriate amounts of internal standards in 5% HNO</w:t>
      </w:r>
      <w:r w:rsidRPr="007467ED">
        <w:rPr>
          <w:rFonts w:cs="Times New Roman"/>
          <w:sz w:val="20"/>
          <w:szCs w:val="20"/>
          <w:vertAlign w:val="subscript"/>
        </w:rPr>
        <w:t>3</w:t>
      </w:r>
      <w:r w:rsidRPr="007467ED">
        <w:rPr>
          <w:rFonts w:cs="Times New Roman"/>
          <w:sz w:val="20"/>
          <w:szCs w:val="20"/>
        </w:rPr>
        <w:t xml:space="preserve"> were prepared to establish calibration curves for ICP-MS and ICP-OES measurements. By linear regression analysis, a correlation coefficient (r) of 0.9975 or greater was considered acceptable.</w:t>
      </w:r>
    </w:p>
    <w:p w14:paraId="04CC844C" w14:textId="77777777" w:rsidR="007467ED" w:rsidRPr="007467ED" w:rsidRDefault="007467ED" w:rsidP="00940023">
      <w:pPr>
        <w:pStyle w:val="BodyText"/>
        <w:spacing w:line="360" w:lineRule="auto"/>
        <w:ind w:left="0"/>
        <w:jc w:val="both"/>
        <w:rPr>
          <w:rFonts w:cs="Times New Roman"/>
          <w:sz w:val="20"/>
          <w:szCs w:val="20"/>
        </w:rPr>
      </w:pPr>
    </w:p>
    <w:p w14:paraId="34FC0312" w14:textId="77777777" w:rsidR="007467ED" w:rsidRPr="007467ED" w:rsidRDefault="007467ED" w:rsidP="00940023">
      <w:pPr>
        <w:pStyle w:val="BodyText"/>
        <w:spacing w:line="360" w:lineRule="auto"/>
        <w:ind w:left="0"/>
        <w:jc w:val="both"/>
        <w:rPr>
          <w:rFonts w:cs="Times New Roman"/>
          <w:b/>
          <w:sz w:val="20"/>
          <w:szCs w:val="20"/>
        </w:rPr>
      </w:pPr>
      <w:r w:rsidRPr="007467ED">
        <w:rPr>
          <w:rFonts w:cs="Times New Roman"/>
          <w:b/>
          <w:color w:val="006FC0"/>
          <w:sz w:val="20"/>
          <w:szCs w:val="20"/>
        </w:rPr>
        <w:t>Limit of quantification</w:t>
      </w:r>
    </w:p>
    <w:p w14:paraId="430E8A81"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 xml:space="preserve">The limit of quantification (LOQ) was determined by </w:t>
      </w:r>
      <w:proofErr w:type="spellStart"/>
      <w:r w:rsidRPr="007467ED">
        <w:rPr>
          <w:rFonts w:cs="Times New Roman"/>
          <w:sz w:val="20"/>
          <w:szCs w:val="20"/>
        </w:rPr>
        <w:t>analysing</w:t>
      </w:r>
      <w:proofErr w:type="spellEnd"/>
      <w:r w:rsidRPr="007467ED">
        <w:rPr>
          <w:rFonts w:cs="Times New Roman"/>
          <w:sz w:val="20"/>
          <w:szCs w:val="20"/>
        </w:rPr>
        <w:t xml:space="preserve"> 10 blank matrix samples which were spiked at the levels given in table S4. Satisfactory recoveries of spikes at the LOQ levels were achieved (i.e. 100</w:t>
      </w:r>
      <w:proofErr w:type="gramStart"/>
      <w:r w:rsidRPr="007467ED">
        <w:rPr>
          <w:rFonts w:cs="Times New Roman"/>
          <w:sz w:val="20"/>
          <w:szCs w:val="20"/>
        </w:rPr>
        <w:t>% ± 10</w:t>
      </w:r>
      <w:proofErr w:type="gramEnd"/>
      <w:r w:rsidRPr="007467ED">
        <w:rPr>
          <w:rFonts w:cs="Times New Roman"/>
          <w:sz w:val="20"/>
          <w:szCs w:val="20"/>
        </w:rPr>
        <w:t>%).</w:t>
      </w:r>
    </w:p>
    <w:p w14:paraId="1FE43CD9" w14:textId="77777777" w:rsidR="007467ED" w:rsidRPr="007467ED" w:rsidRDefault="007467ED" w:rsidP="00940023">
      <w:pPr>
        <w:pStyle w:val="BodyText"/>
        <w:spacing w:line="360" w:lineRule="auto"/>
        <w:ind w:left="0"/>
        <w:jc w:val="both"/>
        <w:rPr>
          <w:rFonts w:cs="Times New Roman"/>
          <w:sz w:val="20"/>
          <w:szCs w:val="20"/>
        </w:rPr>
      </w:pPr>
    </w:p>
    <w:p w14:paraId="11FF1D56" w14:textId="77777777" w:rsidR="007467ED" w:rsidRPr="007467ED" w:rsidRDefault="007467ED" w:rsidP="00940023">
      <w:pPr>
        <w:pStyle w:val="Heading2"/>
        <w:spacing w:before="0" w:line="360" w:lineRule="auto"/>
        <w:jc w:val="both"/>
        <w:rPr>
          <w:rFonts w:ascii="Times New Roman" w:hAnsi="Times New Roman" w:cs="Times New Roman"/>
          <w:b/>
          <w:bCs/>
          <w:sz w:val="20"/>
          <w:szCs w:val="20"/>
        </w:rPr>
      </w:pPr>
      <w:r w:rsidRPr="007467ED">
        <w:rPr>
          <w:rFonts w:ascii="Times New Roman" w:hAnsi="Times New Roman" w:cs="Times New Roman"/>
          <w:b/>
          <w:bCs/>
          <w:color w:val="006FC0"/>
          <w:sz w:val="20"/>
          <w:szCs w:val="20"/>
        </w:rPr>
        <w:t>Evaluation of greenness, analytical performance and applicability of the method</w:t>
      </w:r>
    </w:p>
    <w:p w14:paraId="0315312E" w14:textId="77777777" w:rsidR="007467ED" w:rsidRPr="007467ED" w:rsidRDefault="007467ED" w:rsidP="00940023">
      <w:pPr>
        <w:pStyle w:val="BodyText"/>
        <w:spacing w:line="360" w:lineRule="auto"/>
        <w:ind w:left="0"/>
        <w:jc w:val="both"/>
        <w:rPr>
          <w:rFonts w:cs="Times New Roman"/>
          <w:sz w:val="20"/>
          <w:szCs w:val="20"/>
        </w:rPr>
      </w:pPr>
      <w:r w:rsidRPr="007467ED">
        <w:rPr>
          <w:rFonts w:cs="Times New Roman"/>
          <w:sz w:val="20"/>
          <w:szCs w:val="20"/>
        </w:rPr>
        <w:t xml:space="preserve">Analytical metrics including Analytical Eco-Scale [15], MoGAPI [16] and </w:t>
      </w:r>
      <w:proofErr w:type="spellStart"/>
      <w:r w:rsidRPr="007467ED">
        <w:rPr>
          <w:rFonts w:cs="Times New Roman"/>
          <w:sz w:val="20"/>
          <w:szCs w:val="20"/>
        </w:rPr>
        <w:t>ComplexMoGAPI</w:t>
      </w:r>
      <w:proofErr w:type="spellEnd"/>
      <w:r w:rsidRPr="007467ED">
        <w:rPr>
          <w:rFonts w:cs="Times New Roman"/>
          <w:sz w:val="20"/>
          <w:szCs w:val="20"/>
        </w:rPr>
        <w:t xml:space="preserve"> [17] were used to evaluate the greenness of the analytical method. Besides, BAGI [18] and RAPI [19] were applied to evaluate the applicability and analytical performance of the method respectively.</w:t>
      </w:r>
    </w:p>
    <w:p w14:paraId="5F0C6962" w14:textId="77777777" w:rsidR="007467ED" w:rsidRPr="007467ED" w:rsidRDefault="007467ED" w:rsidP="007467ED">
      <w:pPr>
        <w:pStyle w:val="BodyText"/>
        <w:spacing w:line="360" w:lineRule="auto"/>
        <w:ind w:left="0"/>
        <w:jc w:val="both"/>
        <w:rPr>
          <w:rFonts w:cs="Times New Roman"/>
          <w:sz w:val="20"/>
          <w:szCs w:val="20"/>
        </w:rPr>
      </w:pPr>
    </w:p>
    <w:p w14:paraId="224280A9" w14:textId="14737427" w:rsidR="00C13605" w:rsidRPr="002B4D22" w:rsidRDefault="00C13605" w:rsidP="005A2C93">
      <w:pPr>
        <w:spacing w:after="0" w:line="360" w:lineRule="auto"/>
        <w:jc w:val="both"/>
        <w:rPr>
          <w:rFonts w:ascii="Times New Roman" w:hAnsi="Times New Roman"/>
          <w:b/>
          <w:color w:val="0070C0"/>
          <w:sz w:val="22"/>
          <w:szCs w:val="22"/>
        </w:rPr>
      </w:pPr>
      <w:r w:rsidRPr="002B4D22">
        <w:rPr>
          <w:rFonts w:ascii="Times New Roman" w:hAnsi="Times New Roman"/>
          <w:b/>
          <w:color w:val="0070C0"/>
          <w:sz w:val="22"/>
          <w:szCs w:val="22"/>
        </w:rPr>
        <w:t xml:space="preserve">Results and </w:t>
      </w:r>
      <w:r w:rsidR="002B4D22">
        <w:rPr>
          <w:rFonts w:ascii="Times New Roman" w:hAnsi="Times New Roman"/>
          <w:b/>
          <w:color w:val="0070C0"/>
          <w:sz w:val="22"/>
          <w:szCs w:val="22"/>
        </w:rPr>
        <w:t>D</w:t>
      </w:r>
      <w:r w:rsidRPr="002B4D22">
        <w:rPr>
          <w:rFonts w:ascii="Times New Roman" w:hAnsi="Times New Roman"/>
          <w:b/>
          <w:color w:val="0070C0"/>
          <w:sz w:val="22"/>
          <w:szCs w:val="22"/>
        </w:rPr>
        <w:t xml:space="preserve">iscussion </w:t>
      </w:r>
    </w:p>
    <w:p w14:paraId="6C4EA151" w14:textId="77777777" w:rsidR="00C13605" w:rsidRPr="002B4D22" w:rsidRDefault="00C13605" w:rsidP="002B4D22">
      <w:pPr>
        <w:spacing w:after="0" w:line="360" w:lineRule="auto"/>
        <w:ind w:left="472" w:hangingChars="236" w:hanging="472"/>
        <w:jc w:val="both"/>
        <w:rPr>
          <w:rFonts w:ascii="Times New Roman" w:hAnsi="Times New Roman"/>
          <w:b/>
          <w:color w:val="0070C0"/>
          <w:sz w:val="20"/>
          <w:szCs w:val="20"/>
        </w:rPr>
      </w:pPr>
      <w:proofErr w:type="spellStart"/>
      <w:r w:rsidRPr="002B4D22">
        <w:rPr>
          <w:rFonts w:ascii="Times New Roman" w:hAnsi="Times New Roman"/>
          <w:b/>
          <w:color w:val="0070C0"/>
          <w:sz w:val="20"/>
          <w:szCs w:val="20"/>
        </w:rPr>
        <w:t>Optimisation</w:t>
      </w:r>
      <w:proofErr w:type="spellEnd"/>
      <w:r w:rsidRPr="002B4D22">
        <w:rPr>
          <w:rFonts w:ascii="Times New Roman" w:hAnsi="Times New Roman"/>
          <w:b/>
          <w:color w:val="0070C0"/>
          <w:sz w:val="20"/>
          <w:szCs w:val="20"/>
        </w:rPr>
        <w:t xml:space="preserve"> of microwave-assisted digestion conditions</w:t>
      </w:r>
    </w:p>
    <w:p w14:paraId="1F8F9D09" w14:textId="4F4F8F74"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In this study, we aimed to develop an environmentally friendly method that minimizes the use of acids during the digestion process while ensuring its applicability across a diverse range of food matrices. We used a novel microwave digestion system equipped with </w:t>
      </w:r>
      <w:proofErr w:type="gramStart"/>
      <w:r w:rsidRPr="00C13605">
        <w:rPr>
          <w:rFonts w:ascii="Times New Roman" w:hAnsi="Times New Roman" w:cs="Times New Roman"/>
          <w:sz w:val="20"/>
          <w:szCs w:val="20"/>
        </w:rPr>
        <w:t>high performance</w:t>
      </w:r>
      <w:proofErr w:type="gramEnd"/>
      <w:r w:rsidRPr="00C13605">
        <w:rPr>
          <w:rFonts w:ascii="Times New Roman" w:hAnsi="Times New Roman" w:cs="Times New Roman"/>
          <w:sz w:val="20"/>
          <w:szCs w:val="20"/>
        </w:rPr>
        <w:t xml:space="preserve"> digestion vessels and employed new microwave-assisted acid digestion conditions, </w:t>
      </w:r>
      <w:proofErr w:type="spellStart"/>
      <w:r w:rsidRPr="00C13605">
        <w:rPr>
          <w:rFonts w:ascii="Times New Roman" w:hAnsi="Times New Roman" w:cs="Times New Roman"/>
          <w:sz w:val="20"/>
          <w:szCs w:val="20"/>
        </w:rPr>
        <w:t>utilising</w:t>
      </w:r>
      <w:proofErr w:type="spellEnd"/>
      <w:r w:rsidRPr="00C13605">
        <w:rPr>
          <w:rFonts w:ascii="Times New Roman" w:hAnsi="Times New Roman" w:cs="Times New Roman"/>
          <w:sz w:val="20"/>
          <w:szCs w:val="20"/>
        </w:rPr>
        <w:t xml:space="preserve"> a minimal quantity of concentrated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xml:space="preserve"> and 30%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under a microwave digestion </w:t>
      </w:r>
      <w:proofErr w:type="spellStart"/>
      <w:r w:rsidRPr="00C13605">
        <w:rPr>
          <w:rFonts w:ascii="Times New Roman" w:hAnsi="Times New Roman" w:cs="Times New Roman"/>
          <w:sz w:val="20"/>
          <w:szCs w:val="20"/>
        </w:rPr>
        <w:t>programme</w:t>
      </w:r>
      <w:proofErr w:type="spellEnd"/>
      <w:r w:rsidRPr="00C13605">
        <w:rPr>
          <w:rFonts w:ascii="Times New Roman" w:hAnsi="Times New Roman" w:cs="Times New Roman"/>
          <w:sz w:val="20"/>
          <w:szCs w:val="20"/>
        </w:rPr>
        <w:t xml:space="preserve"> that was set to attain a temperature of 210 </w:t>
      </w:r>
      <w:proofErr w:type="spellStart"/>
      <w:r w:rsidRPr="00C13605">
        <w:rPr>
          <w:rFonts w:ascii="Times New Roman" w:hAnsi="Times New Roman" w:cs="Times New Roman"/>
          <w:sz w:val="20"/>
          <w:szCs w:val="20"/>
          <w:vertAlign w:val="superscript"/>
        </w:rPr>
        <w:t>o</w:t>
      </w:r>
      <w:r w:rsidRPr="00C13605">
        <w:rPr>
          <w:rFonts w:ascii="Times New Roman" w:hAnsi="Times New Roman" w:cs="Times New Roman"/>
          <w:sz w:val="20"/>
          <w:szCs w:val="20"/>
        </w:rPr>
        <w:t>C.</w:t>
      </w:r>
      <w:proofErr w:type="spellEnd"/>
      <w:r w:rsidRPr="00C13605">
        <w:rPr>
          <w:rFonts w:ascii="Times New Roman" w:hAnsi="Times New Roman" w:cs="Times New Roman"/>
          <w:sz w:val="20"/>
          <w:szCs w:val="20"/>
        </w:rPr>
        <w:t xml:space="preserve"> </w:t>
      </w:r>
      <w:bookmarkStart w:id="5" w:name="_Hlk215835389"/>
      <w:r w:rsidRPr="00C13605">
        <w:rPr>
          <w:rFonts w:ascii="Times New Roman" w:hAnsi="Times New Roman" w:cs="Times New Roman"/>
          <w:sz w:val="20"/>
          <w:szCs w:val="20"/>
        </w:rPr>
        <w:t xml:space="preserve">It was imperative to note that the maximum attainable temperature for conventional digestion vessels was restricted to 180 </w:t>
      </w:r>
      <w:proofErr w:type="spellStart"/>
      <w:r w:rsidRPr="00C13605">
        <w:rPr>
          <w:rFonts w:ascii="Times New Roman" w:hAnsi="Times New Roman" w:cs="Times New Roman"/>
          <w:sz w:val="20"/>
          <w:szCs w:val="20"/>
          <w:vertAlign w:val="superscript"/>
        </w:rPr>
        <w:t>o</w:t>
      </w:r>
      <w:r w:rsidRPr="00C13605">
        <w:rPr>
          <w:rFonts w:ascii="Times New Roman" w:hAnsi="Times New Roman" w:cs="Times New Roman"/>
          <w:sz w:val="20"/>
          <w:szCs w:val="20"/>
        </w:rPr>
        <w:t>C</w:t>
      </w:r>
      <w:proofErr w:type="spellEnd"/>
      <w:r w:rsidRPr="00C13605">
        <w:rPr>
          <w:rFonts w:ascii="Times New Roman" w:hAnsi="Times New Roman" w:cs="Times New Roman"/>
          <w:sz w:val="20"/>
          <w:szCs w:val="20"/>
        </w:rPr>
        <w:t xml:space="preserve">, exceeding this limit would result in damage to the vessels. </w:t>
      </w:r>
      <w:bookmarkEnd w:id="5"/>
      <w:r w:rsidRPr="00C13605">
        <w:rPr>
          <w:rFonts w:ascii="Times New Roman" w:hAnsi="Times New Roman" w:cs="Times New Roman"/>
          <w:sz w:val="20"/>
          <w:szCs w:val="20"/>
        </w:rPr>
        <w:t xml:space="preserve">Our findings indicated that satisfactory results could be achieved by reducing </w:t>
      </w:r>
      <w:r w:rsidRPr="00C13605">
        <w:rPr>
          <w:rFonts w:ascii="Times New Roman" w:hAnsi="Times New Roman" w:cs="Times New Roman"/>
          <w:sz w:val="20"/>
          <w:szCs w:val="20"/>
        </w:rPr>
        <w:lastRenderedPageBreak/>
        <w:t>the quantity of concentrated HNO₃ to half of the standard amount typically reported in literature and international guidelines (for instance, 5 mL of concentrated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xml:space="preserve"> is specified in BS EN ISO 21424:2020 [6]). To maintain digestion efficiency, the addition of a modest volume of 30%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(i.e. 2.5 mL) to the digestion solution </w:t>
      </w:r>
      <w:proofErr w:type="gramStart"/>
      <w:r w:rsidRPr="00C13605">
        <w:rPr>
          <w:rFonts w:ascii="Times New Roman" w:hAnsi="Times New Roman" w:cs="Times New Roman"/>
          <w:sz w:val="20"/>
          <w:szCs w:val="20"/>
        </w:rPr>
        <w:t>was proved</w:t>
      </w:r>
      <w:proofErr w:type="gramEnd"/>
      <w:r w:rsidRPr="00C13605">
        <w:rPr>
          <w:rFonts w:ascii="Times New Roman" w:hAnsi="Times New Roman" w:cs="Times New Roman"/>
          <w:sz w:val="20"/>
          <w:szCs w:val="20"/>
        </w:rPr>
        <w:t xml:space="preserve"> to be essential. To validate the efficiency of our method, we compared the results obtained under our digestion conditions (2.5 mL of concentrated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xml:space="preserve"> and 2.5 mL of 30%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with those derived from the conventional use of 5 mL of concentrated HNO₃. The results for three FAPAS QC materials are presented in </w:t>
      </w:r>
      <w:r w:rsidR="002E58A1">
        <w:rPr>
          <w:rFonts w:ascii="Times New Roman" w:hAnsi="Times New Roman" w:cs="Times New Roman"/>
          <w:sz w:val="20"/>
          <w:szCs w:val="20"/>
        </w:rPr>
        <w:t>t</w:t>
      </w:r>
      <w:r w:rsidRPr="00C13605">
        <w:rPr>
          <w:rFonts w:ascii="Times New Roman" w:hAnsi="Times New Roman" w:cs="Times New Roman"/>
          <w:sz w:val="20"/>
          <w:szCs w:val="20"/>
        </w:rPr>
        <w:t>able S5. Employing our modified digestion conditions, we achieved satisfactory recoveries for the three FAPAS QC materials, with recovery rates for various analytes ranging from 96% to 101%. Furthermore, the outcomes under the modified digestion conditions were comparable to those obtained using 5 mL of concentrated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demonstrating that the reduced acid volume was sufficient for effective sample digestion.</w:t>
      </w:r>
    </w:p>
    <w:p w14:paraId="63881871" w14:textId="77777777" w:rsidR="00C13605" w:rsidRPr="00C13605" w:rsidRDefault="00C13605" w:rsidP="00C13605">
      <w:pPr>
        <w:spacing w:after="0" w:line="360" w:lineRule="auto"/>
        <w:jc w:val="both"/>
        <w:rPr>
          <w:rFonts w:ascii="Times New Roman" w:hAnsi="Times New Roman" w:cs="Times New Roman"/>
          <w:sz w:val="20"/>
          <w:szCs w:val="20"/>
        </w:rPr>
      </w:pPr>
    </w:p>
    <w:p w14:paraId="771E8D66"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In addition to the acid volume, digestion temperature is a critical parameter for </w:t>
      </w:r>
      <w:proofErr w:type="spellStart"/>
      <w:r w:rsidRPr="00C13605">
        <w:rPr>
          <w:rFonts w:ascii="Times New Roman" w:hAnsi="Times New Roman" w:cs="Times New Roman"/>
          <w:sz w:val="20"/>
          <w:szCs w:val="20"/>
        </w:rPr>
        <w:t>optimising</w:t>
      </w:r>
      <w:proofErr w:type="spellEnd"/>
      <w:r w:rsidRPr="00C13605">
        <w:rPr>
          <w:rFonts w:ascii="Times New Roman" w:hAnsi="Times New Roman" w:cs="Times New Roman"/>
          <w:sz w:val="20"/>
          <w:szCs w:val="20"/>
        </w:rPr>
        <w:t xml:space="preserve"> the digestion conditions. Given that samples with high fat content are particularly prone to incomplete digestion, we selected a vegetable oil FAPAS QC material (T07533QC) for our investigation. We monitored the ¹²C signal counts of ICP-MS for the samples as well as the standard solutions at two different digestion temperatures, specifically 210 °C and 180 °C, to assess the residual carbon content in the solutions [21]. Our results indicated that a higher than typical digestion temperature, specifically 210 °C, was crucial for effective sample digestion under our </w:t>
      </w:r>
      <w:proofErr w:type="spellStart"/>
      <w:r w:rsidRPr="00C13605">
        <w:rPr>
          <w:rFonts w:ascii="Times New Roman" w:hAnsi="Times New Roman" w:cs="Times New Roman"/>
          <w:sz w:val="20"/>
          <w:szCs w:val="20"/>
        </w:rPr>
        <w:t>optimised</w:t>
      </w:r>
      <w:proofErr w:type="spellEnd"/>
      <w:r w:rsidRPr="00C13605">
        <w:rPr>
          <w:rFonts w:ascii="Times New Roman" w:hAnsi="Times New Roman" w:cs="Times New Roman"/>
          <w:sz w:val="20"/>
          <w:szCs w:val="20"/>
        </w:rPr>
        <w:t xml:space="preserve"> conditions. We observed that the </w:t>
      </w:r>
      <w:r w:rsidRPr="00C13605">
        <w:rPr>
          <w:rFonts w:ascii="Times New Roman" w:hAnsi="Times New Roman" w:cs="Times New Roman"/>
          <w:sz w:val="20"/>
          <w:szCs w:val="20"/>
          <w:vertAlign w:val="superscript"/>
        </w:rPr>
        <w:t>12</w:t>
      </w:r>
      <w:r w:rsidRPr="00C13605">
        <w:rPr>
          <w:rFonts w:ascii="Times New Roman" w:hAnsi="Times New Roman" w:cs="Times New Roman"/>
          <w:sz w:val="20"/>
          <w:szCs w:val="20"/>
        </w:rPr>
        <w:t>C signal counts at the 180 °C digestion temperature were approximately 1.8 times higher than those at the 210 °C digestion temperature (1.65 × 10</w:t>
      </w:r>
      <w:r w:rsidRPr="00C13605">
        <w:rPr>
          <w:rFonts w:ascii="Times New Roman" w:hAnsi="Times New Roman" w:cs="Times New Roman"/>
          <w:sz w:val="20"/>
          <w:szCs w:val="20"/>
          <w:vertAlign w:val="superscript"/>
        </w:rPr>
        <w:t>6</w:t>
      </w:r>
      <w:r w:rsidRPr="00C13605">
        <w:rPr>
          <w:rFonts w:ascii="Times New Roman" w:hAnsi="Times New Roman" w:cs="Times New Roman"/>
          <w:sz w:val="20"/>
          <w:szCs w:val="20"/>
        </w:rPr>
        <w:t xml:space="preserve"> counts versus 9.2 × 10</w:t>
      </w:r>
      <w:r w:rsidRPr="00C13605">
        <w:rPr>
          <w:rFonts w:ascii="Times New Roman" w:hAnsi="Times New Roman" w:cs="Times New Roman"/>
          <w:sz w:val="20"/>
          <w:szCs w:val="20"/>
          <w:vertAlign w:val="superscript"/>
        </w:rPr>
        <w:t>5</w:t>
      </w:r>
      <w:r w:rsidRPr="00C13605">
        <w:rPr>
          <w:rFonts w:ascii="Times New Roman" w:hAnsi="Times New Roman" w:cs="Times New Roman"/>
          <w:sz w:val="20"/>
          <w:szCs w:val="20"/>
        </w:rPr>
        <w:t xml:space="preserve"> counts), suggesting that digestion at 180 °C might not be complete. Table S6 compares the results of the FAPAS T07533QC material (vegetable oil) across different analytes using the two digestion temperatures. Good recovery rates were achieved for all analytes digested at 210 °C. Although satisfactory recoveries were noted for Cu, Fe, and Pb digested at 180 °C, an unexpectedly high recovery rate of 111% was recorded for </w:t>
      </w:r>
      <w:proofErr w:type="gramStart"/>
      <w:r w:rsidRPr="00C13605">
        <w:rPr>
          <w:rFonts w:ascii="Times New Roman" w:hAnsi="Times New Roman" w:cs="Times New Roman"/>
          <w:sz w:val="20"/>
          <w:szCs w:val="20"/>
        </w:rPr>
        <w:t>As</w:t>
      </w:r>
      <w:proofErr w:type="gramEnd"/>
      <w:r w:rsidRPr="00C13605">
        <w:rPr>
          <w:rFonts w:ascii="Times New Roman" w:hAnsi="Times New Roman" w:cs="Times New Roman"/>
          <w:sz w:val="20"/>
          <w:szCs w:val="20"/>
        </w:rPr>
        <w:t xml:space="preserve"> under the same digestion conditions. This phenomenon is attributed to the carbon-induced signal enhancement effect described in the literature [20]. The carbon-induced signal enhancement of hard-to-ionize elements whose first ionization energies (IEs) are between approximately 8 and 12 eV, such as </w:t>
      </w:r>
      <w:proofErr w:type="spellStart"/>
      <w:proofErr w:type="gramStart"/>
      <w:r w:rsidRPr="00C13605">
        <w:rPr>
          <w:rFonts w:ascii="Times New Roman" w:hAnsi="Times New Roman" w:cs="Times New Roman"/>
          <w:sz w:val="20"/>
          <w:szCs w:val="20"/>
        </w:rPr>
        <w:t>As</w:t>
      </w:r>
      <w:proofErr w:type="spellEnd"/>
      <w:proofErr w:type="gramEnd"/>
      <w:r w:rsidRPr="00C13605">
        <w:rPr>
          <w:rFonts w:ascii="Times New Roman" w:hAnsi="Times New Roman" w:cs="Times New Roman"/>
          <w:sz w:val="20"/>
          <w:szCs w:val="20"/>
        </w:rPr>
        <w:t xml:space="preserve"> (the IE of </w:t>
      </w:r>
      <w:proofErr w:type="gramStart"/>
      <w:r w:rsidRPr="00C13605">
        <w:rPr>
          <w:rFonts w:ascii="Times New Roman" w:hAnsi="Times New Roman" w:cs="Times New Roman"/>
          <w:sz w:val="20"/>
          <w:szCs w:val="20"/>
        </w:rPr>
        <w:t>As</w:t>
      </w:r>
      <w:proofErr w:type="gramEnd"/>
      <w:r w:rsidRPr="00C13605">
        <w:rPr>
          <w:rFonts w:ascii="Times New Roman" w:hAnsi="Times New Roman" w:cs="Times New Roman"/>
          <w:sz w:val="20"/>
          <w:szCs w:val="20"/>
        </w:rPr>
        <w:t xml:space="preserve"> is 9.79 eV), is a well-documented phenomenon. These findings collectively suggested that a digestion temperature of 210 °C was necessary to achieve complete sample digestion under our </w:t>
      </w:r>
      <w:proofErr w:type="spellStart"/>
      <w:r w:rsidRPr="00C13605">
        <w:rPr>
          <w:rFonts w:ascii="Times New Roman" w:hAnsi="Times New Roman" w:cs="Times New Roman"/>
          <w:sz w:val="20"/>
          <w:szCs w:val="20"/>
        </w:rPr>
        <w:t>optimised</w:t>
      </w:r>
      <w:proofErr w:type="spellEnd"/>
      <w:r w:rsidRPr="00C13605">
        <w:rPr>
          <w:rFonts w:ascii="Times New Roman" w:hAnsi="Times New Roman" w:cs="Times New Roman"/>
          <w:sz w:val="20"/>
          <w:szCs w:val="20"/>
        </w:rPr>
        <w:t xml:space="preserve"> digestion conditions.</w:t>
      </w:r>
    </w:p>
    <w:p w14:paraId="6A2386E6" w14:textId="77777777" w:rsidR="00C13605" w:rsidRPr="00C13605" w:rsidRDefault="00C13605" w:rsidP="00C13605">
      <w:pPr>
        <w:spacing w:after="0" w:line="360" w:lineRule="auto"/>
        <w:jc w:val="both"/>
        <w:rPr>
          <w:rFonts w:ascii="Times New Roman" w:hAnsi="Times New Roman" w:cs="Times New Roman"/>
          <w:sz w:val="20"/>
          <w:szCs w:val="20"/>
        </w:rPr>
      </w:pPr>
    </w:p>
    <w:p w14:paraId="6FFB27B4" w14:textId="77777777" w:rsidR="00C13605" w:rsidRPr="002B4D22" w:rsidRDefault="00C13605" w:rsidP="00C13605">
      <w:pPr>
        <w:spacing w:after="0" w:line="360" w:lineRule="auto"/>
        <w:jc w:val="both"/>
        <w:rPr>
          <w:rFonts w:ascii="Times New Roman" w:hAnsi="Times New Roman"/>
          <w:b/>
          <w:color w:val="0070C0"/>
          <w:sz w:val="20"/>
          <w:szCs w:val="20"/>
        </w:rPr>
      </w:pPr>
      <w:proofErr w:type="spellStart"/>
      <w:r w:rsidRPr="002B4D22">
        <w:rPr>
          <w:rFonts w:ascii="Times New Roman" w:hAnsi="Times New Roman"/>
          <w:b/>
          <w:color w:val="0070C0"/>
          <w:sz w:val="20"/>
          <w:szCs w:val="20"/>
        </w:rPr>
        <w:t>Optimisation</w:t>
      </w:r>
      <w:proofErr w:type="spellEnd"/>
      <w:r w:rsidRPr="002B4D22">
        <w:rPr>
          <w:rFonts w:ascii="Times New Roman" w:hAnsi="Times New Roman"/>
          <w:b/>
          <w:color w:val="0070C0"/>
          <w:sz w:val="20"/>
          <w:szCs w:val="20"/>
        </w:rPr>
        <w:t xml:space="preserve"> of ICP-MS and ICP-OES conditions</w:t>
      </w:r>
    </w:p>
    <w:p w14:paraId="112F11CA" w14:textId="77777777"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Daily performance checks were conducted for both ICP-MS and ICP-OES measurements to ensure compliance with the manufacturer's specifications, thereby </w:t>
      </w:r>
      <w:proofErr w:type="spellStart"/>
      <w:r w:rsidRPr="00C13605">
        <w:rPr>
          <w:rFonts w:ascii="Times New Roman" w:hAnsi="Times New Roman" w:cs="Times New Roman"/>
          <w:sz w:val="20"/>
          <w:szCs w:val="20"/>
        </w:rPr>
        <w:t>optimising</w:t>
      </w:r>
      <w:proofErr w:type="spellEnd"/>
      <w:r w:rsidRPr="00C13605">
        <w:rPr>
          <w:rFonts w:ascii="Times New Roman" w:hAnsi="Times New Roman" w:cs="Times New Roman"/>
          <w:sz w:val="20"/>
          <w:szCs w:val="20"/>
        </w:rPr>
        <w:t xml:space="preserve"> the instrumental conditions for each analysis. Additionally, the helium flow rate for ICP-MS was refined by monitoring the ratio of chlorinated oxygen (</w:t>
      </w:r>
      <w:proofErr w:type="spellStart"/>
      <w:r w:rsidRPr="00C13605">
        <w:rPr>
          <w:rFonts w:ascii="Times New Roman" w:hAnsi="Times New Roman" w:cs="Times New Roman"/>
          <w:sz w:val="20"/>
          <w:szCs w:val="20"/>
        </w:rPr>
        <w:t>ClO</w:t>
      </w:r>
      <w:proofErr w:type="spellEnd"/>
      <w:r w:rsidRPr="00C13605">
        <w:rPr>
          <w:rFonts w:ascii="Times New Roman" w:hAnsi="Times New Roman" w:cs="Times New Roman"/>
          <w:sz w:val="20"/>
          <w:szCs w:val="20"/>
        </w:rPr>
        <w:t>) to cobalt (Co) counts (mass-to-charge ratio 51 versus 59). Maintaining a ratio of 2% or less is essential to ensure the efficiency of the collision cell.</w:t>
      </w:r>
    </w:p>
    <w:p w14:paraId="77CA1A78" w14:textId="77777777" w:rsidR="0005339E" w:rsidRPr="00C13605" w:rsidRDefault="0005339E" w:rsidP="00C13605">
      <w:pPr>
        <w:spacing w:after="0" w:line="360" w:lineRule="auto"/>
        <w:jc w:val="both"/>
        <w:rPr>
          <w:rFonts w:ascii="Times New Roman" w:hAnsi="Times New Roman" w:cs="Times New Roman"/>
          <w:sz w:val="20"/>
          <w:szCs w:val="20"/>
        </w:rPr>
      </w:pPr>
    </w:p>
    <w:p w14:paraId="483AADA9" w14:textId="77777777" w:rsidR="00C13605" w:rsidRPr="002B4D22" w:rsidRDefault="00C13605" w:rsidP="00C13605">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 xml:space="preserve">Method validation </w:t>
      </w:r>
    </w:p>
    <w:p w14:paraId="0E250FAE" w14:textId="2CBBBF51"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lastRenderedPageBreak/>
        <w:t xml:space="preserve">Following the </w:t>
      </w:r>
      <w:proofErr w:type="spellStart"/>
      <w:r w:rsidRPr="00C13605">
        <w:rPr>
          <w:rFonts w:ascii="Times New Roman" w:hAnsi="Times New Roman" w:cs="Times New Roman"/>
          <w:sz w:val="20"/>
          <w:szCs w:val="20"/>
        </w:rPr>
        <w:t>optimisation</w:t>
      </w:r>
      <w:proofErr w:type="spellEnd"/>
      <w:r w:rsidRPr="00C13605">
        <w:rPr>
          <w:rFonts w:ascii="Times New Roman" w:hAnsi="Times New Roman" w:cs="Times New Roman"/>
          <w:sz w:val="20"/>
          <w:szCs w:val="20"/>
        </w:rPr>
        <w:t xml:space="preserve"> of microwave-assisted digestion conditions, we assessed the accuracy and precision of the method by </w:t>
      </w:r>
      <w:proofErr w:type="spellStart"/>
      <w:r w:rsidRPr="00C13605">
        <w:rPr>
          <w:rFonts w:ascii="Times New Roman" w:hAnsi="Times New Roman" w:cs="Times New Roman"/>
          <w:sz w:val="20"/>
          <w:szCs w:val="20"/>
        </w:rPr>
        <w:t>analysing</w:t>
      </w:r>
      <w:proofErr w:type="spellEnd"/>
      <w:r w:rsidRPr="00C13605">
        <w:rPr>
          <w:rFonts w:ascii="Times New Roman" w:hAnsi="Times New Roman" w:cs="Times New Roman"/>
          <w:sz w:val="20"/>
          <w:szCs w:val="20"/>
        </w:rPr>
        <w:t xml:space="preserve"> CRMs and QC materials as shown in </w:t>
      </w:r>
      <w:r w:rsidR="00BD2C2A">
        <w:rPr>
          <w:rFonts w:ascii="Times New Roman" w:hAnsi="Times New Roman" w:cs="Times New Roman"/>
          <w:sz w:val="20"/>
          <w:szCs w:val="20"/>
        </w:rPr>
        <w:t>t</w:t>
      </w:r>
      <w:r w:rsidRPr="00C13605">
        <w:rPr>
          <w:rFonts w:ascii="Times New Roman" w:hAnsi="Times New Roman" w:cs="Times New Roman"/>
          <w:sz w:val="20"/>
          <w:szCs w:val="20"/>
        </w:rPr>
        <w:t xml:space="preserve">able S1. The results for toxic and nutritional elements are </w:t>
      </w:r>
      <w:proofErr w:type="spellStart"/>
      <w:r w:rsidRPr="00C13605">
        <w:rPr>
          <w:rFonts w:ascii="Times New Roman" w:hAnsi="Times New Roman" w:cs="Times New Roman"/>
          <w:sz w:val="20"/>
          <w:szCs w:val="20"/>
        </w:rPr>
        <w:t>summarised</w:t>
      </w:r>
      <w:proofErr w:type="spellEnd"/>
      <w:r w:rsidRPr="00C13605">
        <w:rPr>
          <w:rFonts w:ascii="Times New Roman" w:hAnsi="Times New Roman" w:cs="Times New Roman"/>
          <w:sz w:val="20"/>
          <w:szCs w:val="20"/>
        </w:rPr>
        <w:t xml:space="preserve"> in </w:t>
      </w:r>
      <w:r w:rsidR="00BD2C2A">
        <w:rPr>
          <w:rFonts w:ascii="Times New Roman" w:hAnsi="Times New Roman" w:cs="Times New Roman"/>
          <w:sz w:val="20"/>
          <w:szCs w:val="20"/>
        </w:rPr>
        <w:t>t</w:t>
      </w:r>
      <w:r w:rsidRPr="00C13605">
        <w:rPr>
          <w:rFonts w:ascii="Times New Roman" w:hAnsi="Times New Roman" w:cs="Times New Roman"/>
          <w:sz w:val="20"/>
          <w:szCs w:val="20"/>
        </w:rPr>
        <w:t xml:space="preserve">ables 1 and 2 respectively. Our eco-friendly digestion method demonstrated satisfactory performance in terms of both accuracy and precision across all CRMs and QC materials. Notably, all results from the selected food matrices, spanning Sectors 1 to 9 of the AOAC triangle, fell within the acceptable ranges specified for their respective CRMs or QC materials. Recoveries ranged from 92% to 112%, with the RPD/RSD being not more than 5%. We used NIST SRM 2387 Peanut butter to demonstrate the intermediate precision study, the RSD for all six elements in between days’ results were not more than 4% as shown in </w:t>
      </w:r>
      <w:r w:rsidR="00BD2C2A">
        <w:rPr>
          <w:rFonts w:ascii="Times New Roman" w:hAnsi="Times New Roman" w:cs="Times New Roman"/>
          <w:sz w:val="20"/>
          <w:szCs w:val="20"/>
        </w:rPr>
        <w:t>t</w:t>
      </w:r>
      <w:r w:rsidRPr="00C13605">
        <w:rPr>
          <w:rFonts w:ascii="Times New Roman" w:hAnsi="Times New Roman" w:cs="Times New Roman"/>
          <w:sz w:val="20"/>
          <w:szCs w:val="20"/>
        </w:rPr>
        <w:t>able S7. These findings indicated that our method was well-suited for the analysis of elements in a diverse array of food matrices.</w:t>
      </w:r>
    </w:p>
    <w:p w14:paraId="56F401EA" w14:textId="77777777" w:rsidR="00ED4062" w:rsidRPr="00C13605" w:rsidRDefault="00ED4062" w:rsidP="00C13605">
      <w:pPr>
        <w:spacing w:after="0" w:line="360" w:lineRule="auto"/>
        <w:jc w:val="both"/>
        <w:rPr>
          <w:rFonts w:ascii="Times New Roman" w:hAnsi="Times New Roman" w:cs="Times New Roman"/>
          <w:sz w:val="20"/>
          <w:szCs w:val="20"/>
        </w:rPr>
      </w:pPr>
    </w:p>
    <w:tbl>
      <w:tblPr>
        <w:tblW w:w="9703"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1132"/>
        <w:gridCol w:w="1131"/>
        <w:gridCol w:w="1130"/>
        <w:gridCol w:w="1131"/>
        <w:gridCol w:w="1131"/>
        <w:gridCol w:w="925"/>
        <w:gridCol w:w="1131"/>
        <w:gridCol w:w="1141"/>
      </w:tblGrid>
      <w:tr w:rsidR="00E42357" w:rsidRPr="00AB1481" w14:paraId="72E3CC02" w14:textId="77777777" w:rsidTr="00D524BF">
        <w:trPr>
          <w:trHeight w:val="299"/>
        </w:trPr>
        <w:tc>
          <w:tcPr>
            <w:tcW w:w="851" w:type="dxa"/>
            <w:vMerge w:val="restart"/>
          </w:tcPr>
          <w:p w14:paraId="4BFBC052" w14:textId="77777777" w:rsidR="00E42357" w:rsidRPr="005261BE" w:rsidRDefault="00E42357" w:rsidP="00D524BF">
            <w:pPr>
              <w:pStyle w:val="TableParagraph"/>
              <w:rPr>
                <w:rFonts w:ascii="Times New Roman" w:hAnsi="Times New Roman" w:cs="Times New Roman"/>
                <w:sz w:val="20"/>
                <w:szCs w:val="20"/>
              </w:rPr>
            </w:pPr>
          </w:p>
          <w:p w14:paraId="140DE3A2" w14:textId="77777777" w:rsidR="00E42357" w:rsidRPr="005261BE" w:rsidRDefault="00E42357" w:rsidP="00D524BF">
            <w:pPr>
              <w:pStyle w:val="TableParagraph"/>
              <w:rPr>
                <w:rFonts w:ascii="Times New Roman" w:hAnsi="Times New Roman" w:cs="Times New Roman"/>
                <w:sz w:val="20"/>
                <w:szCs w:val="20"/>
              </w:rPr>
            </w:pPr>
          </w:p>
          <w:p w14:paraId="73E26928" w14:textId="77777777" w:rsidR="00E42357" w:rsidRPr="005261BE" w:rsidRDefault="00E42357" w:rsidP="00D524BF">
            <w:pPr>
              <w:pStyle w:val="TableParagraph"/>
              <w:rPr>
                <w:rFonts w:ascii="Times New Roman" w:hAnsi="Times New Roman" w:cs="Times New Roman"/>
                <w:sz w:val="20"/>
                <w:szCs w:val="20"/>
              </w:rPr>
            </w:pPr>
          </w:p>
          <w:p w14:paraId="4FE92349" w14:textId="77777777" w:rsidR="00E42357" w:rsidRPr="005261BE" w:rsidRDefault="00E42357" w:rsidP="00D524BF">
            <w:pPr>
              <w:pStyle w:val="TableParagraph"/>
              <w:spacing w:before="157"/>
              <w:ind w:left="107"/>
              <w:rPr>
                <w:rFonts w:ascii="Times New Roman" w:hAnsi="Times New Roman" w:cs="Times New Roman"/>
                <w:sz w:val="20"/>
                <w:szCs w:val="20"/>
              </w:rPr>
            </w:pPr>
            <w:r w:rsidRPr="005261BE">
              <w:rPr>
                <w:rFonts w:ascii="Times New Roman" w:hAnsi="Times New Roman" w:cs="Times New Roman"/>
                <w:sz w:val="20"/>
                <w:szCs w:val="20"/>
              </w:rPr>
              <w:t>Analyte</w:t>
            </w:r>
          </w:p>
        </w:tc>
        <w:tc>
          <w:tcPr>
            <w:tcW w:w="8852" w:type="dxa"/>
            <w:gridSpan w:val="8"/>
          </w:tcPr>
          <w:p w14:paraId="3DFB75D2" w14:textId="77777777" w:rsidR="00E42357" w:rsidRPr="005261BE" w:rsidRDefault="00E42357" w:rsidP="00D524BF">
            <w:pPr>
              <w:pStyle w:val="TableParagraph"/>
              <w:ind w:left="3204" w:right="3202"/>
              <w:rPr>
                <w:rFonts w:ascii="Times New Roman" w:hAnsi="Times New Roman" w:cs="Times New Roman"/>
                <w:b/>
                <w:sz w:val="20"/>
                <w:szCs w:val="20"/>
              </w:rPr>
            </w:pPr>
            <w:r w:rsidRPr="005261BE">
              <w:rPr>
                <w:rFonts w:ascii="Times New Roman" w:hAnsi="Times New Roman" w:cs="Times New Roman"/>
                <w:b/>
                <w:sz w:val="20"/>
                <w:szCs w:val="20"/>
              </w:rPr>
              <w:t>Mean value and recovery</w:t>
            </w:r>
          </w:p>
        </w:tc>
      </w:tr>
      <w:tr w:rsidR="00E42357" w:rsidRPr="00AB1481" w14:paraId="328D94E5" w14:textId="77777777" w:rsidTr="00D524BF">
        <w:trPr>
          <w:trHeight w:val="509"/>
        </w:trPr>
        <w:tc>
          <w:tcPr>
            <w:tcW w:w="851" w:type="dxa"/>
            <w:vMerge/>
            <w:tcBorders>
              <w:top w:val="nil"/>
            </w:tcBorders>
          </w:tcPr>
          <w:p w14:paraId="281656F3" w14:textId="77777777" w:rsidR="00E42357" w:rsidRPr="005261BE" w:rsidRDefault="00E42357" w:rsidP="00D524BF">
            <w:pPr>
              <w:rPr>
                <w:rFonts w:ascii="Times New Roman" w:hAnsi="Times New Roman" w:cs="Times New Roman"/>
                <w:sz w:val="20"/>
                <w:szCs w:val="20"/>
              </w:rPr>
            </w:pPr>
          </w:p>
        </w:tc>
        <w:tc>
          <w:tcPr>
            <w:tcW w:w="1132" w:type="dxa"/>
            <w:tcBorders>
              <w:bottom w:val="single" w:sz="4" w:space="0" w:color="auto"/>
            </w:tcBorders>
          </w:tcPr>
          <w:p w14:paraId="7C12633E" w14:textId="77777777" w:rsidR="00E42357" w:rsidRPr="005261BE" w:rsidRDefault="00E42357" w:rsidP="00D524BF">
            <w:pPr>
              <w:pStyle w:val="TableParagraph"/>
              <w:spacing w:before="25"/>
              <w:ind w:left="459" w:right="115" w:hanging="317"/>
              <w:rPr>
                <w:rFonts w:ascii="Times New Roman" w:hAnsi="Times New Roman" w:cs="Times New Roman"/>
                <w:b/>
                <w:sz w:val="20"/>
                <w:szCs w:val="20"/>
              </w:rPr>
            </w:pPr>
            <w:r w:rsidRPr="005261BE">
              <w:rPr>
                <w:rFonts w:ascii="Times New Roman" w:hAnsi="Times New Roman" w:cs="Times New Roman"/>
                <w:b/>
                <w:sz w:val="20"/>
                <w:szCs w:val="20"/>
              </w:rPr>
              <w:t>Vegetable oil</w:t>
            </w:r>
          </w:p>
        </w:tc>
        <w:tc>
          <w:tcPr>
            <w:tcW w:w="1131" w:type="dxa"/>
            <w:tcBorders>
              <w:bottom w:val="single" w:sz="4" w:space="0" w:color="auto"/>
            </w:tcBorders>
          </w:tcPr>
          <w:p w14:paraId="68763FDA" w14:textId="77777777" w:rsidR="00E42357" w:rsidRPr="005261BE" w:rsidRDefault="00E42357" w:rsidP="00D524BF">
            <w:pPr>
              <w:pStyle w:val="TableParagraph"/>
              <w:spacing w:before="25"/>
              <w:ind w:left="319" w:right="166" w:hanging="129"/>
              <w:rPr>
                <w:rFonts w:ascii="Times New Roman" w:hAnsi="Times New Roman" w:cs="Times New Roman"/>
                <w:b/>
                <w:sz w:val="20"/>
                <w:szCs w:val="20"/>
              </w:rPr>
            </w:pPr>
            <w:r w:rsidRPr="005261BE">
              <w:rPr>
                <w:rFonts w:ascii="Times New Roman" w:hAnsi="Times New Roman" w:cs="Times New Roman"/>
                <w:b/>
                <w:sz w:val="20"/>
                <w:szCs w:val="20"/>
              </w:rPr>
              <w:t>Avocado puree</w:t>
            </w:r>
          </w:p>
        </w:tc>
        <w:tc>
          <w:tcPr>
            <w:tcW w:w="1130" w:type="dxa"/>
            <w:tcBorders>
              <w:bottom w:val="single" w:sz="4" w:space="0" w:color="auto"/>
            </w:tcBorders>
          </w:tcPr>
          <w:p w14:paraId="1B7C71A1" w14:textId="77777777" w:rsidR="00E42357" w:rsidRPr="005261BE" w:rsidRDefault="00E42357" w:rsidP="00D524BF">
            <w:pPr>
              <w:pStyle w:val="TableParagraph"/>
              <w:spacing w:before="25"/>
              <w:ind w:left="340" w:right="98" w:hanging="216"/>
              <w:rPr>
                <w:rFonts w:ascii="Times New Roman" w:hAnsi="Times New Roman" w:cs="Times New Roman"/>
                <w:b/>
                <w:sz w:val="20"/>
                <w:szCs w:val="20"/>
              </w:rPr>
            </w:pPr>
            <w:r w:rsidRPr="005261BE">
              <w:rPr>
                <w:rFonts w:ascii="Times New Roman" w:hAnsi="Times New Roman" w:cs="Times New Roman"/>
                <w:b/>
                <w:sz w:val="20"/>
                <w:szCs w:val="20"/>
              </w:rPr>
              <w:t>Sunflower seeds</w:t>
            </w:r>
          </w:p>
        </w:tc>
        <w:tc>
          <w:tcPr>
            <w:tcW w:w="1131" w:type="dxa"/>
            <w:tcBorders>
              <w:bottom w:val="single" w:sz="4" w:space="0" w:color="auto"/>
            </w:tcBorders>
          </w:tcPr>
          <w:p w14:paraId="101FE264" w14:textId="77777777" w:rsidR="00E42357" w:rsidRPr="005261BE" w:rsidRDefault="00E42357" w:rsidP="00D524BF">
            <w:pPr>
              <w:pStyle w:val="TableParagraph"/>
              <w:spacing w:before="25"/>
              <w:ind w:left="301" w:right="278" w:firstLine="38"/>
              <w:rPr>
                <w:rFonts w:ascii="Times New Roman" w:hAnsi="Times New Roman" w:cs="Times New Roman"/>
                <w:b/>
                <w:sz w:val="20"/>
                <w:szCs w:val="20"/>
              </w:rPr>
            </w:pPr>
            <w:r w:rsidRPr="005261BE">
              <w:rPr>
                <w:rFonts w:ascii="Times New Roman" w:hAnsi="Times New Roman" w:cs="Times New Roman"/>
                <w:b/>
                <w:sz w:val="20"/>
                <w:szCs w:val="20"/>
              </w:rPr>
              <w:t>Offal (liver)</w:t>
            </w:r>
          </w:p>
        </w:tc>
        <w:tc>
          <w:tcPr>
            <w:tcW w:w="1131" w:type="dxa"/>
            <w:tcBorders>
              <w:bottom w:val="single" w:sz="4" w:space="0" w:color="auto"/>
            </w:tcBorders>
          </w:tcPr>
          <w:p w14:paraId="323CD2F2" w14:textId="77777777" w:rsidR="00E42357" w:rsidRPr="005261BE" w:rsidRDefault="00E42357" w:rsidP="00D524BF">
            <w:pPr>
              <w:pStyle w:val="TableParagraph"/>
              <w:spacing w:before="25"/>
              <w:ind w:left="401" w:right="112" w:hanging="268"/>
              <w:rPr>
                <w:rFonts w:ascii="Times New Roman" w:hAnsi="Times New Roman" w:cs="Times New Roman"/>
                <w:b/>
                <w:sz w:val="20"/>
                <w:szCs w:val="20"/>
              </w:rPr>
            </w:pPr>
            <w:r w:rsidRPr="005261BE">
              <w:rPr>
                <w:rFonts w:ascii="Times New Roman" w:hAnsi="Times New Roman" w:cs="Times New Roman"/>
                <w:b/>
                <w:sz w:val="20"/>
                <w:szCs w:val="20"/>
              </w:rPr>
              <w:t>Powdered rice</w:t>
            </w:r>
          </w:p>
        </w:tc>
        <w:tc>
          <w:tcPr>
            <w:tcW w:w="925" w:type="dxa"/>
            <w:tcBorders>
              <w:bottom w:val="single" w:sz="4" w:space="0" w:color="auto"/>
            </w:tcBorders>
          </w:tcPr>
          <w:p w14:paraId="627565BA" w14:textId="77777777" w:rsidR="00E42357" w:rsidRPr="005261BE" w:rsidRDefault="00E42357" w:rsidP="00D524BF">
            <w:pPr>
              <w:pStyle w:val="TableParagraph"/>
              <w:spacing w:before="25"/>
              <w:ind w:left="135" w:right="92" w:hanging="22"/>
              <w:rPr>
                <w:rFonts w:ascii="Times New Roman" w:hAnsi="Times New Roman" w:cs="Times New Roman"/>
                <w:b/>
                <w:sz w:val="20"/>
                <w:szCs w:val="20"/>
              </w:rPr>
            </w:pPr>
            <w:r w:rsidRPr="005261BE">
              <w:rPr>
                <w:rFonts w:ascii="Times New Roman" w:hAnsi="Times New Roman" w:cs="Times New Roman"/>
                <w:b/>
                <w:sz w:val="20"/>
                <w:szCs w:val="20"/>
              </w:rPr>
              <w:t>Spinach powder</w:t>
            </w:r>
          </w:p>
        </w:tc>
        <w:tc>
          <w:tcPr>
            <w:tcW w:w="1131" w:type="dxa"/>
            <w:tcBorders>
              <w:bottom w:val="single" w:sz="4" w:space="0" w:color="auto"/>
            </w:tcBorders>
          </w:tcPr>
          <w:p w14:paraId="4CCC8C47" w14:textId="77777777" w:rsidR="00E42357" w:rsidRPr="005261BE" w:rsidRDefault="00E42357" w:rsidP="00D524BF">
            <w:pPr>
              <w:pStyle w:val="TableParagraph"/>
              <w:spacing w:before="140"/>
              <w:ind w:left="98" w:right="98"/>
              <w:rPr>
                <w:rFonts w:ascii="Times New Roman" w:hAnsi="Times New Roman" w:cs="Times New Roman"/>
                <w:b/>
                <w:sz w:val="20"/>
                <w:szCs w:val="20"/>
              </w:rPr>
            </w:pPr>
            <w:r w:rsidRPr="005261BE">
              <w:rPr>
                <w:rFonts w:ascii="Times New Roman" w:hAnsi="Times New Roman" w:cs="Times New Roman"/>
                <w:b/>
                <w:sz w:val="20"/>
                <w:szCs w:val="20"/>
              </w:rPr>
              <w:t>Soya flour</w:t>
            </w:r>
          </w:p>
        </w:tc>
        <w:tc>
          <w:tcPr>
            <w:tcW w:w="1141" w:type="dxa"/>
            <w:tcBorders>
              <w:bottom w:val="single" w:sz="4" w:space="0" w:color="auto"/>
            </w:tcBorders>
          </w:tcPr>
          <w:p w14:paraId="5E2E555C" w14:textId="77777777" w:rsidR="00E42357" w:rsidRPr="005261BE" w:rsidRDefault="00E42357" w:rsidP="00D524BF">
            <w:pPr>
              <w:pStyle w:val="TableParagraph"/>
              <w:spacing w:before="25"/>
              <w:ind w:left="136" w:right="118"/>
              <w:rPr>
                <w:rFonts w:ascii="Times New Roman" w:hAnsi="Times New Roman" w:cs="Times New Roman"/>
                <w:b/>
                <w:sz w:val="20"/>
                <w:szCs w:val="20"/>
              </w:rPr>
            </w:pPr>
            <w:r w:rsidRPr="005261BE">
              <w:rPr>
                <w:rFonts w:ascii="Times New Roman" w:hAnsi="Times New Roman" w:cs="Times New Roman"/>
                <w:b/>
                <w:sz w:val="20"/>
                <w:szCs w:val="20"/>
              </w:rPr>
              <w:t>Fish protein</w:t>
            </w:r>
          </w:p>
        </w:tc>
      </w:tr>
      <w:tr w:rsidR="00E42357" w:rsidRPr="00AB1481" w14:paraId="42DEF478" w14:textId="77777777" w:rsidTr="00D524BF">
        <w:trPr>
          <w:trHeight w:val="920"/>
        </w:trPr>
        <w:tc>
          <w:tcPr>
            <w:tcW w:w="851" w:type="dxa"/>
            <w:vMerge/>
            <w:tcBorders>
              <w:top w:val="nil"/>
              <w:right w:val="single" w:sz="4" w:space="0" w:color="auto"/>
            </w:tcBorders>
          </w:tcPr>
          <w:p w14:paraId="7C95F34C" w14:textId="77777777" w:rsidR="00E42357" w:rsidRPr="005261BE" w:rsidRDefault="00E42357" w:rsidP="00D524BF">
            <w:pPr>
              <w:rPr>
                <w:rFonts w:ascii="Times New Roman" w:hAnsi="Times New Roman" w:cs="Times New Roman"/>
                <w:sz w:val="20"/>
                <w:szCs w:val="20"/>
              </w:rPr>
            </w:pPr>
          </w:p>
        </w:tc>
        <w:tc>
          <w:tcPr>
            <w:tcW w:w="1132" w:type="dxa"/>
            <w:tcBorders>
              <w:top w:val="single" w:sz="4" w:space="0" w:color="auto"/>
              <w:left w:val="single" w:sz="4" w:space="0" w:color="auto"/>
              <w:bottom w:val="nil"/>
              <w:right w:val="single" w:sz="4" w:space="0" w:color="auto"/>
            </w:tcBorders>
            <w:vAlign w:val="center"/>
          </w:tcPr>
          <w:p w14:paraId="1FA3B035" w14:textId="77777777" w:rsidR="00E42357" w:rsidRPr="005261BE" w:rsidRDefault="00E42357" w:rsidP="00D524BF">
            <w:pPr>
              <w:pStyle w:val="TableParagraph"/>
              <w:ind w:left="114" w:right="88" w:firstLine="139"/>
              <w:rPr>
                <w:rFonts w:ascii="Times New Roman" w:hAnsi="Times New Roman" w:cs="Times New Roman"/>
                <w:sz w:val="20"/>
                <w:szCs w:val="20"/>
              </w:rPr>
            </w:pPr>
            <w:r w:rsidRPr="005261BE">
              <w:rPr>
                <w:rFonts w:ascii="Times New Roman" w:hAnsi="Times New Roman" w:cs="Times New Roman"/>
                <w:sz w:val="20"/>
                <w:szCs w:val="20"/>
              </w:rPr>
              <w:t>FAPAS T07533QC</w:t>
            </w:r>
          </w:p>
        </w:tc>
        <w:tc>
          <w:tcPr>
            <w:tcW w:w="1131" w:type="dxa"/>
            <w:tcBorders>
              <w:top w:val="single" w:sz="4" w:space="0" w:color="auto"/>
              <w:left w:val="single" w:sz="4" w:space="0" w:color="auto"/>
              <w:bottom w:val="nil"/>
              <w:right w:val="single" w:sz="4" w:space="0" w:color="auto"/>
            </w:tcBorders>
            <w:vAlign w:val="center"/>
          </w:tcPr>
          <w:p w14:paraId="65ABB5FF" w14:textId="77777777" w:rsidR="00E42357" w:rsidRPr="005261BE" w:rsidRDefault="00E42357" w:rsidP="00D524BF">
            <w:pPr>
              <w:pStyle w:val="TableParagraph"/>
              <w:ind w:left="114" w:right="87" w:firstLine="138"/>
              <w:rPr>
                <w:rFonts w:ascii="Times New Roman" w:hAnsi="Times New Roman" w:cs="Times New Roman"/>
                <w:sz w:val="20"/>
                <w:szCs w:val="20"/>
              </w:rPr>
            </w:pPr>
            <w:r w:rsidRPr="005261BE">
              <w:rPr>
                <w:rFonts w:ascii="Times New Roman" w:hAnsi="Times New Roman" w:cs="Times New Roman"/>
                <w:sz w:val="20"/>
                <w:szCs w:val="20"/>
              </w:rPr>
              <w:t>FAPAS T07566QC</w:t>
            </w:r>
          </w:p>
        </w:tc>
        <w:tc>
          <w:tcPr>
            <w:tcW w:w="1130" w:type="dxa"/>
            <w:tcBorders>
              <w:top w:val="single" w:sz="4" w:space="0" w:color="auto"/>
              <w:left w:val="single" w:sz="4" w:space="0" w:color="auto"/>
              <w:bottom w:val="nil"/>
              <w:right w:val="single" w:sz="4" w:space="0" w:color="auto"/>
            </w:tcBorders>
            <w:vAlign w:val="center"/>
          </w:tcPr>
          <w:p w14:paraId="0771E230" w14:textId="77777777" w:rsidR="00E42357" w:rsidRPr="005261BE" w:rsidRDefault="00E42357" w:rsidP="00D524BF">
            <w:pPr>
              <w:pStyle w:val="TableParagraph"/>
              <w:ind w:left="113" w:right="87" w:firstLine="138"/>
              <w:rPr>
                <w:rFonts w:ascii="Times New Roman" w:hAnsi="Times New Roman" w:cs="Times New Roman"/>
                <w:sz w:val="20"/>
                <w:szCs w:val="20"/>
              </w:rPr>
            </w:pPr>
            <w:r w:rsidRPr="005261BE">
              <w:rPr>
                <w:rFonts w:ascii="Times New Roman" w:hAnsi="Times New Roman" w:cs="Times New Roman"/>
                <w:sz w:val="20"/>
                <w:szCs w:val="20"/>
              </w:rPr>
              <w:t>FAPAS T07567QC</w:t>
            </w:r>
          </w:p>
        </w:tc>
        <w:tc>
          <w:tcPr>
            <w:tcW w:w="1131" w:type="dxa"/>
            <w:tcBorders>
              <w:top w:val="single" w:sz="4" w:space="0" w:color="auto"/>
              <w:left w:val="single" w:sz="4" w:space="0" w:color="auto"/>
              <w:bottom w:val="nil"/>
              <w:right w:val="single" w:sz="4" w:space="0" w:color="auto"/>
            </w:tcBorders>
            <w:vAlign w:val="center"/>
          </w:tcPr>
          <w:p w14:paraId="36FF0A27" w14:textId="77777777" w:rsidR="00E42357" w:rsidRPr="005261BE" w:rsidRDefault="00E42357" w:rsidP="00D524BF">
            <w:pPr>
              <w:pStyle w:val="TableParagraph"/>
              <w:ind w:left="112" w:right="89" w:firstLine="138"/>
              <w:rPr>
                <w:rFonts w:ascii="Times New Roman" w:hAnsi="Times New Roman" w:cs="Times New Roman"/>
                <w:sz w:val="20"/>
                <w:szCs w:val="20"/>
              </w:rPr>
            </w:pPr>
            <w:r w:rsidRPr="005261BE">
              <w:rPr>
                <w:rFonts w:ascii="Times New Roman" w:hAnsi="Times New Roman" w:cs="Times New Roman"/>
                <w:sz w:val="20"/>
                <w:szCs w:val="20"/>
              </w:rPr>
              <w:t>FAPAS T07446QC</w:t>
            </w:r>
          </w:p>
        </w:tc>
        <w:tc>
          <w:tcPr>
            <w:tcW w:w="1131" w:type="dxa"/>
            <w:tcBorders>
              <w:top w:val="single" w:sz="4" w:space="0" w:color="auto"/>
              <w:left w:val="single" w:sz="4" w:space="0" w:color="auto"/>
              <w:bottom w:val="nil"/>
              <w:right w:val="single" w:sz="4" w:space="0" w:color="auto"/>
            </w:tcBorders>
            <w:vAlign w:val="center"/>
          </w:tcPr>
          <w:p w14:paraId="71355547" w14:textId="77777777" w:rsidR="00E42357" w:rsidRPr="005261BE" w:rsidRDefault="00E42357" w:rsidP="00D524BF">
            <w:pPr>
              <w:pStyle w:val="TableParagraph"/>
              <w:ind w:left="111" w:right="90" w:firstLine="138"/>
              <w:rPr>
                <w:rFonts w:ascii="Times New Roman" w:hAnsi="Times New Roman" w:cs="Times New Roman"/>
                <w:sz w:val="20"/>
                <w:szCs w:val="20"/>
              </w:rPr>
            </w:pPr>
            <w:r w:rsidRPr="005261BE">
              <w:rPr>
                <w:rFonts w:ascii="Times New Roman" w:hAnsi="Times New Roman" w:cs="Times New Roman"/>
                <w:sz w:val="20"/>
                <w:szCs w:val="20"/>
              </w:rPr>
              <w:t>FAPAS T07553QC</w:t>
            </w:r>
          </w:p>
        </w:tc>
        <w:tc>
          <w:tcPr>
            <w:tcW w:w="925" w:type="dxa"/>
            <w:tcBorders>
              <w:top w:val="single" w:sz="4" w:space="0" w:color="auto"/>
              <w:left w:val="single" w:sz="4" w:space="0" w:color="auto"/>
              <w:bottom w:val="nil"/>
              <w:right w:val="single" w:sz="4" w:space="0" w:color="auto"/>
            </w:tcBorders>
            <w:vAlign w:val="center"/>
          </w:tcPr>
          <w:p w14:paraId="26158034" w14:textId="77777777" w:rsidR="00E42357" w:rsidRPr="005261BE" w:rsidRDefault="00E42357" w:rsidP="00D524BF">
            <w:pPr>
              <w:pStyle w:val="TableParagraph"/>
              <w:spacing w:before="115"/>
              <w:ind w:left="157" w:right="154"/>
              <w:rPr>
                <w:rFonts w:ascii="Times New Roman" w:hAnsi="Times New Roman" w:cs="Times New Roman"/>
                <w:sz w:val="20"/>
                <w:szCs w:val="20"/>
              </w:rPr>
            </w:pPr>
            <w:r w:rsidRPr="005261BE">
              <w:rPr>
                <w:rFonts w:ascii="Times New Roman" w:hAnsi="Times New Roman" w:cs="Times New Roman"/>
                <w:sz w:val="20"/>
                <w:szCs w:val="20"/>
              </w:rPr>
              <w:t>NRC CRM SPIN-1</w:t>
            </w:r>
          </w:p>
        </w:tc>
        <w:tc>
          <w:tcPr>
            <w:tcW w:w="1131" w:type="dxa"/>
            <w:tcBorders>
              <w:top w:val="single" w:sz="4" w:space="0" w:color="auto"/>
              <w:left w:val="single" w:sz="4" w:space="0" w:color="auto"/>
              <w:bottom w:val="nil"/>
              <w:right w:val="single" w:sz="4" w:space="0" w:color="auto"/>
            </w:tcBorders>
            <w:vAlign w:val="center"/>
          </w:tcPr>
          <w:p w14:paraId="21E404AA" w14:textId="77777777" w:rsidR="00E42357" w:rsidRPr="005261BE" w:rsidRDefault="00E42357" w:rsidP="00D524BF">
            <w:pPr>
              <w:pStyle w:val="TableParagraph"/>
              <w:ind w:left="110" w:right="91" w:firstLine="138"/>
              <w:rPr>
                <w:rFonts w:ascii="Times New Roman" w:hAnsi="Times New Roman" w:cs="Times New Roman"/>
                <w:sz w:val="20"/>
                <w:szCs w:val="20"/>
              </w:rPr>
            </w:pPr>
            <w:r w:rsidRPr="005261BE">
              <w:rPr>
                <w:rFonts w:ascii="Times New Roman" w:hAnsi="Times New Roman" w:cs="Times New Roman"/>
                <w:sz w:val="20"/>
                <w:szCs w:val="20"/>
              </w:rPr>
              <w:t>FAPAS T07458QC</w:t>
            </w:r>
          </w:p>
        </w:tc>
        <w:tc>
          <w:tcPr>
            <w:tcW w:w="1141" w:type="dxa"/>
            <w:tcBorders>
              <w:top w:val="single" w:sz="4" w:space="0" w:color="auto"/>
              <w:left w:val="single" w:sz="4" w:space="0" w:color="auto"/>
              <w:bottom w:val="nil"/>
              <w:right w:val="single" w:sz="4" w:space="0" w:color="auto"/>
            </w:tcBorders>
            <w:vAlign w:val="center"/>
          </w:tcPr>
          <w:p w14:paraId="4393A2F5" w14:textId="77777777" w:rsidR="00E42357" w:rsidRPr="005261BE" w:rsidRDefault="00E42357" w:rsidP="00D524BF">
            <w:pPr>
              <w:pStyle w:val="TableParagraph"/>
              <w:ind w:left="113" w:right="113"/>
              <w:rPr>
                <w:rFonts w:ascii="Times New Roman" w:hAnsi="Times New Roman" w:cs="Times New Roman"/>
                <w:sz w:val="20"/>
                <w:szCs w:val="20"/>
              </w:rPr>
            </w:pPr>
            <w:r w:rsidRPr="005261BE">
              <w:rPr>
                <w:rFonts w:ascii="Times New Roman" w:hAnsi="Times New Roman" w:cs="Times New Roman"/>
                <w:sz w:val="20"/>
                <w:szCs w:val="20"/>
              </w:rPr>
              <w:t>NRC CRM</w:t>
            </w:r>
          </w:p>
          <w:p w14:paraId="11DF697F" w14:textId="77777777" w:rsidR="00E42357" w:rsidRPr="005261BE" w:rsidRDefault="00E42357" w:rsidP="00D524BF">
            <w:pPr>
              <w:pStyle w:val="TableParagraph"/>
              <w:spacing w:before="4" w:line="230" w:lineRule="exact"/>
              <w:ind w:left="113" w:right="113"/>
              <w:rPr>
                <w:rFonts w:ascii="Times New Roman" w:hAnsi="Times New Roman" w:cs="Times New Roman"/>
                <w:sz w:val="20"/>
                <w:szCs w:val="20"/>
              </w:rPr>
            </w:pPr>
            <w:r w:rsidRPr="005261BE">
              <w:rPr>
                <w:rFonts w:ascii="Times New Roman" w:hAnsi="Times New Roman" w:cs="Times New Roman"/>
                <w:sz w:val="20"/>
                <w:szCs w:val="20"/>
              </w:rPr>
              <w:t>DORM- 5</w:t>
            </w:r>
          </w:p>
        </w:tc>
      </w:tr>
      <w:tr w:rsidR="00E42357" w:rsidRPr="00AB1481" w14:paraId="1BC0EEC8" w14:textId="77777777" w:rsidTr="00D524BF">
        <w:trPr>
          <w:trHeight w:val="296"/>
        </w:trPr>
        <w:tc>
          <w:tcPr>
            <w:tcW w:w="851" w:type="dxa"/>
            <w:vMerge/>
            <w:tcBorders>
              <w:top w:val="nil"/>
              <w:right w:val="single" w:sz="4" w:space="0" w:color="auto"/>
            </w:tcBorders>
          </w:tcPr>
          <w:p w14:paraId="7E55766F" w14:textId="77777777" w:rsidR="00E42357" w:rsidRPr="005261BE" w:rsidRDefault="00E42357" w:rsidP="00D524BF">
            <w:pPr>
              <w:rPr>
                <w:rFonts w:ascii="Times New Roman" w:hAnsi="Times New Roman" w:cs="Times New Roman"/>
                <w:sz w:val="20"/>
                <w:szCs w:val="20"/>
              </w:rPr>
            </w:pPr>
          </w:p>
        </w:tc>
        <w:tc>
          <w:tcPr>
            <w:tcW w:w="1132" w:type="dxa"/>
            <w:tcBorders>
              <w:top w:val="nil"/>
              <w:left w:val="single" w:sz="4" w:space="0" w:color="auto"/>
              <w:bottom w:val="single" w:sz="4" w:space="0" w:color="auto"/>
              <w:right w:val="single" w:sz="4" w:space="0" w:color="auto"/>
            </w:tcBorders>
          </w:tcPr>
          <w:p w14:paraId="2FAD6E2C" w14:textId="77777777" w:rsidR="00E42357" w:rsidRPr="005261BE" w:rsidRDefault="00E42357" w:rsidP="00D524BF">
            <w:pPr>
              <w:pStyle w:val="TableParagraph"/>
              <w:spacing w:before="32"/>
              <w:ind w:left="106" w:right="97"/>
              <w:rPr>
                <w:rFonts w:ascii="Times New Roman" w:hAnsi="Times New Roman" w:cs="Times New Roman"/>
                <w:sz w:val="20"/>
                <w:szCs w:val="20"/>
              </w:rPr>
            </w:pPr>
            <w:r w:rsidRPr="005261BE">
              <w:rPr>
                <w:rFonts w:ascii="Times New Roman" w:hAnsi="Times New Roman" w:cs="Times New Roman"/>
                <w:sz w:val="20"/>
                <w:szCs w:val="20"/>
              </w:rPr>
              <w:t>(n = 3)</w:t>
            </w:r>
          </w:p>
        </w:tc>
        <w:tc>
          <w:tcPr>
            <w:tcW w:w="1131" w:type="dxa"/>
            <w:tcBorders>
              <w:top w:val="nil"/>
              <w:left w:val="single" w:sz="4" w:space="0" w:color="auto"/>
              <w:bottom w:val="single" w:sz="4" w:space="0" w:color="auto"/>
              <w:right w:val="single" w:sz="4" w:space="0" w:color="auto"/>
            </w:tcBorders>
          </w:tcPr>
          <w:p w14:paraId="2B684C8D" w14:textId="77777777" w:rsidR="00E42357" w:rsidRPr="005261BE" w:rsidRDefault="00E42357" w:rsidP="00D524BF">
            <w:pPr>
              <w:pStyle w:val="TableParagraph"/>
              <w:spacing w:before="32"/>
              <w:ind w:left="290"/>
              <w:rPr>
                <w:rFonts w:ascii="Times New Roman" w:hAnsi="Times New Roman" w:cs="Times New Roman"/>
                <w:sz w:val="20"/>
                <w:szCs w:val="20"/>
              </w:rPr>
            </w:pPr>
            <w:r w:rsidRPr="005261BE">
              <w:rPr>
                <w:rFonts w:ascii="Times New Roman" w:hAnsi="Times New Roman" w:cs="Times New Roman"/>
                <w:sz w:val="20"/>
                <w:szCs w:val="20"/>
              </w:rPr>
              <w:t>(n = 2)</w:t>
            </w:r>
          </w:p>
        </w:tc>
        <w:tc>
          <w:tcPr>
            <w:tcW w:w="1130" w:type="dxa"/>
            <w:tcBorders>
              <w:top w:val="nil"/>
              <w:left w:val="single" w:sz="4" w:space="0" w:color="auto"/>
              <w:bottom w:val="single" w:sz="4" w:space="0" w:color="auto"/>
              <w:right w:val="single" w:sz="4" w:space="0" w:color="auto"/>
            </w:tcBorders>
          </w:tcPr>
          <w:p w14:paraId="5B4D8A66" w14:textId="77777777" w:rsidR="00E42357" w:rsidRPr="005261BE" w:rsidRDefault="00E42357" w:rsidP="00D524BF">
            <w:pPr>
              <w:pStyle w:val="TableParagraph"/>
              <w:spacing w:before="32"/>
              <w:ind w:left="103" w:right="96"/>
              <w:rPr>
                <w:rFonts w:ascii="Times New Roman" w:hAnsi="Times New Roman" w:cs="Times New Roman"/>
                <w:sz w:val="20"/>
                <w:szCs w:val="20"/>
              </w:rPr>
            </w:pPr>
            <w:r w:rsidRPr="005261BE">
              <w:rPr>
                <w:rFonts w:ascii="Times New Roman" w:hAnsi="Times New Roman" w:cs="Times New Roman"/>
                <w:sz w:val="20"/>
                <w:szCs w:val="20"/>
              </w:rPr>
              <w:t>(n = 2)</w:t>
            </w:r>
          </w:p>
        </w:tc>
        <w:tc>
          <w:tcPr>
            <w:tcW w:w="1131" w:type="dxa"/>
            <w:tcBorders>
              <w:top w:val="nil"/>
              <w:left w:val="single" w:sz="4" w:space="0" w:color="auto"/>
              <w:bottom w:val="single" w:sz="4" w:space="0" w:color="auto"/>
              <w:right w:val="single" w:sz="4" w:space="0" w:color="auto"/>
            </w:tcBorders>
          </w:tcPr>
          <w:p w14:paraId="48C34857" w14:textId="77777777" w:rsidR="00E42357" w:rsidRPr="005261BE" w:rsidRDefault="00E42357" w:rsidP="00D524BF">
            <w:pPr>
              <w:pStyle w:val="TableParagraph"/>
              <w:spacing w:before="32"/>
              <w:ind w:left="98" w:right="94"/>
              <w:rPr>
                <w:rFonts w:ascii="Times New Roman" w:hAnsi="Times New Roman" w:cs="Times New Roman"/>
                <w:sz w:val="20"/>
                <w:szCs w:val="20"/>
              </w:rPr>
            </w:pPr>
            <w:r w:rsidRPr="005261BE">
              <w:rPr>
                <w:rFonts w:ascii="Times New Roman" w:hAnsi="Times New Roman" w:cs="Times New Roman"/>
                <w:sz w:val="20"/>
                <w:szCs w:val="20"/>
              </w:rPr>
              <w:t>(n = 2)</w:t>
            </w:r>
          </w:p>
        </w:tc>
        <w:tc>
          <w:tcPr>
            <w:tcW w:w="1131" w:type="dxa"/>
            <w:tcBorders>
              <w:top w:val="nil"/>
              <w:left w:val="single" w:sz="4" w:space="0" w:color="auto"/>
              <w:bottom w:val="single" w:sz="4" w:space="0" w:color="auto"/>
              <w:right w:val="single" w:sz="4" w:space="0" w:color="auto"/>
            </w:tcBorders>
          </w:tcPr>
          <w:p w14:paraId="06BB10EB" w14:textId="77777777" w:rsidR="00E42357" w:rsidRPr="005261BE" w:rsidRDefault="00E42357" w:rsidP="00D524BF">
            <w:pPr>
              <w:pStyle w:val="TableParagraph"/>
              <w:spacing w:before="32"/>
              <w:ind w:left="98" w:right="95"/>
              <w:rPr>
                <w:rFonts w:ascii="Times New Roman" w:hAnsi="Times New Roman" w:cs="Times New Roman"/>
                <w:sz w:val="20"/>
                <w:szCs w:val="20"/>
              </w:rPr>
            </w:pPr>
            <w:r w:rsidRPr="005261BE">
              <w:rPr>
                <w:rFonts w:ascii="Times New Roman" w:hAnsi="Times New Roman" w:cs="Times New Roman"/>
                <w:sz w:val="20"/>
                <w:szCs w:val="20"/>
              </w:rPr>
              <w:t>(n = 3)</w:t>
            </w:r>
          </w:p>
        </w:tc>
        <w:tc>
          <w:tcPr>
            <w:tcW w:w="925" w:type="dxa"/>
            <w:tcBorders>
              <w:top w:val="nil"/>
              <w:left w:val="single" w:sz="4" w:space="0" w:color="auto"/>
              <w:bottom w:val="single" w:sz="4" w:space="0" w:color="auto"/>
              <w:right w:val="single" w:sz="4" w:space="0" w:color="auto"/>
            </w:tcBorders>
          </w:tcPr>
          <w:p w14:paraId="5184BCA5" w14:textId="77777777" w:rsidR="00E42357" w:rsidRPr="005261BE" w:rsidRDefault="00E42357" w:rsidP="00D524BF">
            <w:pPr>
              <w:pStyle w:val="TableParagraph"/>
              <w:spacing w:before="32"/>
              <w:ind w:left="156" w:right="152"/>
              <w:rPr>
                <w:rFonts w:ascii="Times New Roman" w:hAnsi="Times New Roman" w:cs="Times New Roman"/>
                <w:sz w:val="20"/>
                <w:szCs w:val="20"/>
              </w:rPr>
            </w:pPr>
            <w:r w:rsidRPr="005261BE">
              <w:rPr>
                <w:rFonts w:ascii="Times New Roman" w:hAnsi="Times New Roman" w:cs="Times New Roman"/>
                <w:sz w:val="20"/>
                <w:szCs w:val="20"/>
              </w:rPr>
              <w:t>(n = 3)</w:t>
            </w:r>
          </w:p>
        </w:tc>
        <w:tc>
          <w:tcPr>
            <w:tcW w:w="1131" w:type="dxa"/>
            <w:tcBorders>
              <w:top w:val="nil"/>
              <w:left w:val="single" w:sz="4" w:space="0" w:color="auto"/>
              <w:bottom w:val="single" w:sz="4" w:space="0" w:color="auto"/>
              <w:right w:val="single" w:sz="4" w:space="0" w:color="auto"/>
            </w:tcBorders>
          </w:tcPr>
          <w:p w14:paraId="6C45E566" w14:textId="77777777" w:rsidR="00E42357" w:rsidRPr="005261BE" w:rsidRDefault="00E42357" w:rsidP="00D524BF">
            <w:pPr>
              <w:pStyle w:val="TableParagraph"/>
              <w:spacing w:before="32"/>
              <w:ind w:left="98" w:right="98"/>
              <w:rPr>
                <w:rFonts w:ascii="Times New Roman" w:hAnsi="Times New Roman" w:cs="Times New Roman"/>
                <w:sz w:val="20"/>
                <w:szCs w:val="20"/>
              </w:rPr>
            </w:pPr>
            <w:r w:rsidRPr="005261BE">
              <w:rPr>
                <w:rFonts w:ascii="Times New Roman" w:hAnsi="Times New Roman" w:cs="Times New Roman"/>
                <w:sz w:val="20"/>
                <w:szCs w:val="20"/>
              </w:rPr>
              <w:t>(n = 2)</w:t>
            </w:r>
          </w:p>
        </w:tc>
        <w:tc>
          <w:tcPr>
            <w:tcW w:w="1141" w:type="dxa"/>
            <w:tcBorders>
              <w:top w:val="nil"/>
              <w:left w:val="single" w:sz="4" w:space="0" w:color="auto"/>
              <w:bottom w:val="single" w:sz="4" w:space="0" w:color="auto"/>
              <w:right w:val="single" w:sz="4" w:space="0" w:color="auto"/>
            </w:tcBorders>
          </w:tcPr>
          <w:p w14:paraId="507E63A1" w14:textId="77777777" w:rsidR="00E42357" w:rsidRPr="005261BE" w:rsidRDefault="00E42357" w:rsidP="00D524BF">
            <w:pPr>
              <w:pStyle w:val="TableParagraph"/>
              <w:spacing w:before="32"/>
              <w:ind w:left="113" w:right="113"/>
              <w:rPr>
                <w:rFonts w:ascii="Times New Roman" w:hAnsi="Times New Roman" w:cs="Times New Roman"/>
                <w:sz w:val="20"/>
                <w:szCs w:val="20"/>
              </w:rPr>
            </w:pPr>
            <w:r w:rsidRPr="005261BE">
              <w:rPr>
                <w:rFonts w:ascii="Times New Roman" w:hAnsi="Times New Roman" w:cs="Times New Roman"/>
                <w:sz w:val="20"/>
                <w:szCs w:val="20"/>
              </w:rPr>
              <w:t>(n = 3)</w:t>
            </w:r>
          </w:p>
        </w:tc>
      </w:tr>
      <w:tr w:rsidR="00E42357" w:rsidRPr="00AB1481" w14:paraId="0C30487B" w14:textId="77777777" w:rsidTr="00D524BF">
        <w:trPr>
          <w:trHeight w:val="509"/>
        </w:trPr>
        <w:tc>
          <w:tcPr>
            <w:tcW w:w="851" w:type="dxa"/>
            <w:vMerge w:val="restart"/>
            <w:tcBorders>
              <w:right w:val="single" w:sz="4" w:space="0" w:color="auto"/>
            </w:tcBorders>
          </w:tcPr>
          <w:p w14:paraId="53953995" w14:textId="77777777" w:rsidR="00E42357" w:rsidRPr="005261BE" w:rsidRDefault="00E42357" w:rsidP="00D524BF">
            <w:pPr>
              <w:pStyle w:val="TableParagraph"/>
              <w:rPr>
                <w:rFonts w:ascii="Times New Roman" w:hAnsi="Times New Roman" w:cs="Times New Roman"/>
                <w:sz w:val="20"/>
                <w:szCs w:val="20"/>
              </w:rPr>
            </w:pPr>
          </w:p>
          <w:p w14:paraId="1ECEFB8C" w14:textId="77777777" w:rsidR="00E42357" w:rsidRPr="005261BE" w:rsidRDefault="00E42357" w:rsidP="00D524BF">
            <w:pPr>
              <w:pStyle w:val="TableParagraph"/>
              <w:spacing w:before="2"/>
              <w:rPr>
                <w:rFonts w:ascii="Times New Roman" w:hAnsi="Times New Roman" w:cs="Times New Roman"/>
                <w:sz w:val="20"/>
                <w:szCs w:val="20"/>
              </w:rPr>
            </w:pPr>
          </w:p>
          <w:p w14:paraId="0594EB5A" w14:textId="77777777" w:rsidR="00E42357" w:rsidRPr="005261BE" w:rsidRDefault="00E42357" w:rsidP="00D524BF">
            <w:pPr>
              <w:pStyle w:val="TableParagraph"/>
              <w:ind w:left="282" w:right="272"/>
              <w:rPr>
                <w:rFonts w:ascii="Times New Roman" w:hAnsi="Times New Roman" w:cs="Times New Roman"/>
                <w:sz w:val="20"/>
                <w:szCs w:val="20"/>
              </w:rPr>
            </w:pPr>
            <w:r w:rsidRPr="005261BE">
              <w:rPr>
                <w:rFonts w:ascii="Times New Roman" w:hAnsi="Times New Roman" w:cs="Times New Roman"/>
                <w:sz w:val="20"/>
                <w:szCs w:val="20"/>
              </w:rPr>
              <w:t>As</w:t>
            </w:r>
          </w:p>
        </w:tc>
        <w:tc>
          <w:tcPr>
            <w:tcW w:w="1132" w:type="dxa"/>
            <w:tcBorders>
              <w:top w:val="single" w:sz="4" w:space="0" w:color="auto"/>
              <w:left w:val="single" w:sz="4" w:space="0" w:color="auto"/>
              <w:bottom w:val="nil"/>
              <w:right w:val="single" w:sz="4" w:space="0" w:color="auto"/>
            </w:tcBorders>
          </w:tcPr>
          <w:p w14:paraId="3D1585BB" w14:textId="77777777" w:rsidR="00E42357" w:rsidRPr="005261BE" w:rsidRDefault="00E42357" w:rsidP="00D524BF">
            <w:pPr>
              <w:pStyle w:val="TableParagraph"/>
              <w:spacing w:before="139"/>
              <w:ind w:left="107" w:right="97"/>
              <w:rPr>
                <w:rFonts w:ascii="Times New Roman" w:hAnsi="Times New Roman" w:cs="Times New Roman"/>
                <w:sz w:val="20"/>
                <w:szCs w:val="20"/>
              </w:rPr>
            </w:pPr>
            <w:r w:rsidRPr="005261BE">
              <w:rPr>
                <w:rFonts w:ascii="Times New Roman" w:hAnsi="Times New Roman" w:cs="Times New Roman"/>
                <w:sz w:val="20"/>
                <w:szCs w:val="20"/>
              </w:rPr>
              <w:t>913 µg/kg;</w:t>
            </w:r>
          </w:p>
        </w:tc>
        <w:tc>
          <w:tcPr>
            <w:tcW w:w="1131" w:type="dxa"/>
            <w:vMerge w:val="restart"/>
            <w:tcBorders>
              <w:top w:val="single" w:sz="4" w:space="0" w:color="auto"/>
              <w:left w:val="single" w:sz="4" w:space="0" w:color="auto"/>
              <w:right w:val="single" w:sz="4" w:space="0" w:color="auto"/>
            </w:tcBorders>
          </w:tcPr>
          <w:p w14:paraId="7DB82CF3" w14:textId="77777777" w:rsidR="00E42357" w:rsidRPr="005261BE" w:rsidRDefault="00E42357" w:rsidP="00D524BF">
            <w:pPr>
              <w:pStyle w:val="TableParagraph"/>
              <w:rPr>
                <w:rFonts w:ascii="Times New Roman" w:hAnsi="Times New Roman" w:cs="Times New Roman"/>
                <w:sz w:val="20"/>
                <w:szCs w:val="20"/>
              </w:rPr>
            </w:pPr>
          </w:p>
          <w:p w14:paraId="1DA15433" w14:textId="77777777" w:rsidR="00E42357" w:rsidRPr="005261BE" w:rsidRDefault="00E42357" w:rsidP="00D524BF">
            <w:pPr>
              <w:pStyle w:val="TableParagraph"/>
              <w:spacing w:before="2"/>
              <w:rPr>
                <w:rFonts w:ascii="Times New Roman" w:hAnsi="Times New Roman" w:cs="Times New Roman"/>
                <w:sz w:val="20"/>
                <w:szCs w:val="20"/>
              </w:rPr>
            </w:pPr>
          </w:p>
          <w:p w14:paraId="5127EDFC" w14:textId="77777777" w:rsidR="00E42357" w:rsidRPr="005261BE" w:rsidRDefault="00E42357" w:rsidP="00D524BF">
            <w:pPr>
              <w:pStyle w:val="TableParagraph"/>
              <w:ind w:left="98" w:right="91"/>
              <w:rPr>
                <w:rFonts w:ascii="Times New Roman" w:hAnsi="Times New Roman" w:cs="Times New Roman"/>
                <w:sz w:val="20"/>
                <w:szCs w:val="20"/>
              </w:rPr>
            </w:pPr>
            <w:r w:rsidRPr="005261BE">
              <w:rPr>
                <w:rFonts w:ascii="Times New Roman" w:hAnsi="Times New Roman" w:cs="Times New Roman"/>
                <w:sz w:val="20"/>
                <w:szCs w:val="20"/>
              </w:rPr>
              <w:t>NA</w:t>
            </w:r>
          </w:p>
        </w:tc>
        <w:tc>
          <w:tcPr>
            <w:tcW w:w="1130" w:type="dxa"/>
            <w:tcBorders>
              <w:top w:val="single" w:sz="4" w:space="0" w:color="auto"/>
              <w:left w:val="single" w:sz="4" w:space="0" w:color="auto"/>
              <w:bottom w:val="nil"/>
              <w:right w:val="single" w:sz="4" w:space="0" w:color="auto"/>
            </w:tcBorders>
            <w:vAlign w:val="center"/>
          </w:tcPr>
          <w:p w14:paraId="03E1C500" w14:textId="77777777" w:rsidR="00E42357" w:rsidRPr="005261BE" w:rsidRDefault="00E42357" w:rsidP="00D524BF">
            <w:pPr>
              <w:pStyle w:val="TableParagraph"/>
              <w:spacing w:before="139"/>
              <w:ind w:left="106" w:right="96"/>
              <w:rPr>
                <w:rFonts w:ascii="Times New Roman" w:hAnsi="Times New Roman" w:cs="Times New Roman"/>
                <w:sz w:val="20"/>
                <w:szCs w:val="20"/>
              </w:rPr>
            </w:pPr>
            <w:r w:rsidRPr="005261BE">
              <w:rPr>
                <w:rFonts w:ascii="Times New Roman" w:hAnsi="Times New Roman" w:cs="Times New Roman"/>
                <w:sz w:val="20"/>
                <w:szCs w:val="20"/>
              </w:rPr>
              <w:t>132 µg/kg;</w:t>
            </w:r>
          </w:p>
        </w:tc>
        <w:tc>
          <w:tcPr>
            <w:tcW w:w="1131" w:type="dxa"/>
            <w:tcBorders>
              <w:top w:val="single" w:sz="4" w:space="0" w:color="auto"/>
              <w:left w:val="single" w:sz="4" w:space="0" w:color="auto"/>
              <w:bottom w:val="nil"/>
              <w:right w:val="single" w:sz="4" w:space="0" w:color="auto"/>
            </w:tcBorders>
            <w:vAlign w:val="center"/>
          </w:tcPr>
          <w:p w14:paraId="074F4C6C" w14:textId="77777777" w:rsidR="00E42357" w:rsidRPr="005261BE" w:rsidRDefault="00E42357" w:rsidP="00D524BF">
            <w:pPr>
              <w:pStyle w:val="TableParagraph"/>
              <w:spacing w:before="139"/>
              <w:ind w:left="98" w:right="91"/>
              <w:rPr>
                <w:rFonts w:ascii="Times New Roman" w:hAnsi="Times New Roman" w:cs="Times New Roman"/>
                <w:sz w:val="20"/>
                <w:szCs w:val="20"/>
              </w:rPr>
            </w:pPr>
            <w:r w:rsidRPr="005261BE">
              <w:rPr>
                <w:rFonts w:ascii="Times New Roman" w:hAnsi="Times New Roman" w:cs="Times New Roman"/>
                <w:sz w:val="20"/>
                <w:szCs w:val="20"/>
              </w:rPr>
              <w:t>846 µg/kg;</w:t>
            </w:r>
          </w:p>
        </w:tc>
        <w:tc>
          <w:tcPr>
            <w:tcW w:w="1131" w:type="dxa"/>
            <w:tcBorders>
              <w:top w:val="single" w:sz="4" w:space="0" w:color="auto"/>
              <w:left w:val="single" w:sz="4" w:space="0" w:color="auto"/>
              <w:bottom w:val="nil"/>
              <w:right w:val="single" w:sz="4" w:space="0" w:color="auto"/>
            </w:tcBorders>
            <w:vAlign w:val="center"/>
          </w:tcPr>
          <w:p w14:paraId="0833804A" w14:textId="77777777" w:rsidR="00E42357" w:rsidRPr="005261BE" w:rsidRDefault="00E42357" w:rsidP="00D524BF">
            <w:pPr>
              <w:pStyle w:val="TableParagraph"/>
              <w:spacing w:before="139"/>
              <w:ind w:left="98" w:right="93"/>
              <w:rPr>
                <w:rFonts w:ascii="Times New Roman" w:hAnsi="Times New Roman" w:cs="Times New Roman"/>
                <w:sz w:val="20"/>
                <w:szCs w:val="20"/>
              </w:rPr>
            </w:pPr>
            <w:r w:rsidRPr="005261BE">
              <w:rPr>
                <w:rFonts w:ascii="Times New Roman" w:hAnsi="Times New Roman" w:cs="Times New Roman"/>
                <w:sz w:val="20"/>
                <w:szCs w:val="20"/>
              </w:rPr>
              <w:t>227 µg/kg;</w:t>
            </w:r>
          </w:p>
        </w:tc>
        <w:tc>
          <w:tcPr>
            <w:tcW w:w="925" w:type="dxa"/>
            <w:tcBorders>
              <w:top w:val="single" w:sz="4" w:space="0" w:color="auto"/>
              <w:left w:val="single" w:sz="4" w:space="0" w:color="auto"/>
              <w:bottom w:val="nil"/>
              <w:right w:val="single" w:sz="4" w:space="0" w:color="auto"/>
            </w:tcBorders>
            <w:vAlign w:val="center"/>
          </w:tcPr>
          <w:p w14:paraId="3ACD3B13" w14:textId="77777777" w:rsidR="00E42357" w:rsidRPr="005261BE" w:rsidRDefault="00E42357" w:rsidP="00D524BF">
            <w:pPr>
              <w:pStyle w:val="TableParagraph"/>
              <w:spacing w:before="25" w:line="230" w:lineRule="exact"/>
              <w:ind w:left="232"/>
              <w:rPr>
                <w:rFonts w:ascii="Times New Roman" w:hAnsi="Times New Roman" w:cs="Times New Roman"/>
                <w:sz w:val="20"/>
                <w:szCs w:val="20"/>
              </w:rPr>
            </w:pPr>
            <w:r w:rsidRPr="005261BE">
              <w:rPr>
                <w:rFonts w:ascii="Times New Roman" w:hAnsi="Times New Roman" w:cs="Times New Roman"/>
                <w:sz w:val="20"/>
                <w:szCs w:val="20"/>
              </w:rPr>
              <w:t>0.781</w:t>
            </w:r>
          </w:p>
          <w:p w14:paraId="6E601779" w14:textId="77777777" w:rsidR="00E42357" w:rsidRPr="005261BE" w:rsidRDefault="00E42357" w:rsidP="00D524BF">
            <w:pPr>
              <w:pStyle w:val="TableParagraph"/>
              <w:spacing w:line="230" w:lineRule="exact"/>
              <w:ind w:left="175"/>
              <w:rPr>
                <w:rFonts w:ascii="Times New Roman" w:hAnsi="Times New Roman" w:cs="Times New Roman"/>
                <w:sz w:val="20"/>
                <w:szCs w:val="20"/>
              </w:rPr>
            </w:pPr>
            <w:r w:rsidRPr="005261BE">
              <w:rPr>
                <w:rFonts w:ascii="Times New Roman" w:hAnsi="Times New Roman" w:cs="Times New Roman"/>
                <w:sz w:val="20"/>
                <w:szCs w:val="20"/>
              </w:rPr>
              <w:t>mg/kg;</w:t>
            </w:r>
          </w:p>
        </w:tc>
        <w:tc>
          <w:tcPr>
            <w:tcW w:w="1131" w:type="dxa"/>
            <w:tcBorders>
              <w:top w:val="single" w:sz="4" w:space="0" w:color="auto"/>
              <w:left w:val="single" w:sz="4" w:space="0" w:color="auto"/>
              <w:bottom w:val="nil"/>
              <w:right w:val="single" w:sz="4" w:space="0" w:color="auto"/>
            </w:tcBorders>
            <w:vAlign w:val="center"/>
          </w:tcPr>
          <w:p w14:paraId="77717969" w14:textId="77777777" w:rsidR="00E42357" w:rsidRPr="005261BE" w:rsidRDefault="00E42357" w:rsidP="00D524BF">
            <w:pPr>
              <w:pStyle w:val="TableParagraph"/>
              <w:spacing w:before="139"/>
              <w:ind w:left="98" w:right="96"/>
              <w:rPr>
                <w:rFonts w:ascii="Times New Roman" w:hAnsi="Times New Roman" w:cs="Times New Roman"/>
                <w:sz w:val="20"/>
                <w:szCs w:val="20"/>
              </w:rPr>
            </w:pPr>
            <w:r w:rsidRPr="005261BE">
              <w:rPr>
                <w:rFonts w:ascii="Times New Roman" w:hAnsi="Times New Roman" w:cs="Times New Roman"/>
                <w:sz w:val="20"/>
                <w:szCs w:val="20"/>
              </w:rPr>
              <w:t>774 µg/kg;</w:t>
            </w:r>
          </w:p>
        </w:tc>
        <w:tc>
          <w:tcPr>
            <w:tcW w:w="1141" w:type="dxa"/>
            <w:tcBorders>
              <w:top w:val="single" w:sz="4" w:space="0" w:color="auto"/>
              <w:left w:val="single" w:sz="4" w:space="0" w:color="auto"/>
              <w:bottom w:val="nil"/>
              <w:right w:val="single" w:sz="4" w:space="0" w:color="auto"/>
            </w:tcBorders>
            <w:vAlign w:val="center"/>
          </w:tcPr>
          <w:p w14:paraId="574BA61B" w14:textId="77777777" w:rsidR="00E42357" w:rsidRPr="005261BE" w:rsidRDefault="00E42357" w:rsidP="00D524BF">
            <w:pPr>
              <w:pStyle w:val="TableParagraph"/>
              <w:spacing w:before="25" w:line="230" w:lineRule="exact"/>
              <w:ind w:left="112" w:right="113"/>
              <w:rPr>
                <w:rFonts w:ascii="Times New Roman" w:hAnsi="Times New Roman" w:cs="Times New Roman"/>
                <w:sz w:val="20"/>
                <w:szCs w:val="20"/>
              </w:rPr>
            </w:pPr>
            <w:r w:rsidRPr="005261BE">
              <w:rPr>
                <w:rFonts w:ascii="Times New Roman" w:hAnsi="Times New Roman" w:cs="Times New Roman"/>
                <w:sz w:val="20"/>
                <w:szCs w:val="20"/>
              </w:rPr>
              <w:t>13.6 mg/kg;</w:t>
            </w:r>
          </w:p>
        </w:tc>
      </w:tr>
      <w:tr w:rsidR="00E42357" w:rsidRPr="00AB1481" w14:paraId="7845E1E0" w14:textId="77777777" w:rsidTr="00D524BF">
        <w:trPr>
          <w:trHeight w:val="299"/>
        </w:trPr>
        <w:tc>
          <w:tcPr>
            <w:tcW w:w="851" w:type="dxa"/>
            <w:vMerge/>
            <w:tcBorders>
              <w:top w:val="nil"/>
              <w:right w:val="single" w:sz="4" w:space="0" w:color="auto"/>
            </w:tcBorders>
          </w:tcPr>
          <w:p w14:paraId="33595506" w14:textId="77777777" w:rsidR="00E42357" w:rsidRPr="005261BE" w:rsidRDefault="00E42357" w:rsidP="00D524BF">
            <w:pPr>
              <w:rPr>
                <w:rFonts w:ascii="Times New Roman" w:hAnsi="Times New Roman" w:cs="Times New Roman"/>
                <w:sz w:val="20"/>
                <w:szCs w:val="20"/>
              </w:rPr>
            </w:pPr>
          </w:p>
        </w:tc>
        <w:tc>
          <w:tcPr>
            <w:tcW w:w="1132" w:type="dxa"/>
            <w:tcBorders>
              <w:top w:val="nil"/>
              <w:left w:val="single" w:sz="4" w:space="0" w:color="auto"/>
              <w:bottom w:val="nil"/>
              <w:right w:val="single" w:sz="4" w:space="0" w:color="auto"/>
            </w:tcBorders>
          </w:tcPr>
          <w:p w14:paraId="051FA5D1" w14:textId="77777777" w:rsidR="00E42357" w:rsidRPr="005261BE" w:rsidRDefault="00E42357" w:rsidP="00D524BF">
            <w:pPr>
              <w:pStyle w:val="TableParagraph"/>
              <w:ind w:left="107" w:right="97"/>
              <w:rPr>
                <w:rFonts w:ascii="Times New Roman" w:hAnsi="Times New Roman" w:cs="Times New Roman"/>
                <w:sz w:val="20"/>
                <w:szCs w:val="20"/>
              </w:rPr>
            </w:pPr>
            <w:r w:rsidRPr="005261BE">
              <w:rPr>
                <w:rFonts w:ascii="Times New Roman" w:hAnsi="Times New Roman" w:cs="Times New Roman"/>
                <w:sz w:val="20"/>
                <w:szCs w:val="20"/>
              </w:rPr>
              <w:t>104%</w:t>
            </w:r>
          </w:p>
        </w:tc>
        <w:tc>
          <w:tcPr>
            <w:tcW w:w="1131" w:type="dxa"/>
            <w:vMerge/>
            <w:tcBorders>
              <w:top w:val="nil"/>
              <w:left w:val="single" w:sz="4" w:space="0" w:color="auto"/>
              <w:right w:val="single" w:sz="4" w:space="0" w:color="auto"/>
            </w:tcBorders>
          </w:tcPr>
          <w:p w14:paraId="2A290637" w14:textId="77777777" w:rsidR="00E42357" w:rsidRPr="005261BE" w:rsidRDefault="00E42357" w:rsidP="00D524BF">
            <w:pPr>
              <w:rPr>
                <w:rFonts w:ascii="Times New Roman" w:hAnsi="Times New Roman" w:cs="Times New Roman"/>
                <w:sz w:val="20"/>
                <w:szCs w:val="20"/>
              </w:rPr>
            </w:pPr>
          </w:p>
        </w:tc>
        <w:tc>
          <w:tcPr>
            <w:tcW w:w="1130" w:type="dxa"/>
            <w:tcBorders>
              <w:top w:val="nil"/>
              <w:left w:val="single" w:sz="4" w:space="0" w:color="auto"/>
              <w:bottom w:val="nil"/>
              <w:right w:val="single" w:sz="4" w:space="0" w:color="auto"/>
            </w:tcBorders>
            <w:vAlign w:val="center"/>
          </w:tcPr>
          <w:p w14:paraId="02E023CE" w14:textId="77777777" w:rsidR="00E42357" w:rsidRPr="005261BE" w:rsidRDefault="00E42357" w:rsidP="00D524BF">
            <w:pPr>
              <w:pStyle w:val="TableParagraph"/>
              <w:ind w:left="104" w:right="96"/>
              <w:rPr>
                <w:rFonts w:ascii="Times New Roman" w:hAnsi="Times New Roman" w:cs="Times New Roman"/>
                <w:sz w:val="20"/>
                <w:szCs w:val="20"/>
              </w:rPr>
            </w:pPr>
            <w:r w:rsidRPr="005261BE">
              <w:rPr>
                <w:rFonts w:ascii="Times New Roman" w:hAnsi="Times New Roman" w:cs="Times New Roman"/>
                <w:sz w:val="20"/>
                <w:szCs w:val="20"/>
              </w:rPr>
              <w:t>105%</w:t>
            </w:r>
          </w:p>
        </w:tc>
        <w:tc>
          <w:tcPr>
            <w:tcW w:w="1131" w:type="dxa"/>
            <w:tcBorders>
              <w:top w:val="nil"/>
              <w:left w:val="single" w:sz="4" w:space="0" w:color="auto"/>
              <w:bottom w:val="nil"/>
              <w:right w:val="single" w:sz="4" w:space="0" w:color="auto"/>
            </w:tcBorders>
            <w:vAlign w:val="center"/>
          </w:tcPr>
          <w:p w14:paraId="6BCA55AC" w14:textId="77777777" w:rsidR="00E42357" w:rsidRPr="005261BE" w:rsidRDefault="00E42357" w:rsidP="00D524BF">
            <w:pPr>
              <w:pStyle w:val="TableParagraph"/>
              <w:ind w:left="98" w:right="94"/>
              <w:rPr>
                <w:rFonts w:ascii="Times New Roman" w:hAnsi="Times New Roman" w:cs="Times New Roman"/>
                <w:sz w:val="20"/>
                <w:szCs w:val="20"/>
              </w:rPr>
            </w:pPr>
            <w:r w:rsidRPr="005261BE">
              <w:rPr>
                <w:rFonts w:ascii="Times New Roman" w:hAnsi="Times New Roman" w:cs="Times New Roman"/>
                <w:sz w:val="20"/>
                <w:szCs w:val="20"/>
              </w:rPr>
              <w:t>99%</w:t>
            </w:r>
          </w:p>
        </w:tc>
        <w:tc>
          <w:tcPr>
            <w:tcW w:w="1131" w:type="dxa"/>
            <w:tcBorders>
              <w:top w:val="nil"/>
              <w:left w:val="single" w:sz="4" w:space="0" w:color="auto"/>
              <w:bottom w:val="nil"/>
              <w:right w:val="single" w:sz="4" w:space="0" w:color="auto"/>
            </w:tcBorders>
            <w:vAlign w:val="center"/>
          </w:tcPr>
          <w:p w14:paraId="4C459E66" w14:textId="77777777" w:rsidR="00E42357" w:rsidRPr="005261BE" w:rsidRDefault="00E42357" w:rsidP="00D524BF">
            <w:pPr>
              <w:pStyle w:val="TableParagraph"/>
              <w:ind w:left="98" w:right="94"/>
              <w:rPr>
                <w:rFonts w:ascii="Times New Roman" w:hAnsi="Times New Roman" w:cs="Times New Roman"/>
                <w:sz w:val="20"/>
                <w:szCs w:val="20"/>
              </w:rPr>
            </w:pPr>
            <w:r w:rsidRPr="005261BE">
              <w:rPr>
                <w:rFonts w:ascii="Times New Roman" w:hAnsi="Times New Roman" w:cs="Times New Roman"/>
                <w:sz w:val="20"/>
                <w:szCs w:val="20"/>
              </w:rPr>
              <w:t>105%</w:t>
            </w:r>
          </w:p>
        </w:tc>
        <w:tc>
          <w:tcPr>
            <w:tcW w:w="925" w:type="dxa"/>
            <w:tcBorders>
              <w:top w:val="nil"/>
              <w:left w:val="single" w:sz="4" w:space="0" w:color="auto"/>
              <w:bottom w:val="nil"/>
              <w:right w:val="single" w:sz="4" w:space="0" w:color="auto"/>
            </w:tcBorders>
            <w:vAlign w:val="center"/>
          </w:tcPr>
          <w:p w14:paraId="25DA83A7" w14:textId="77777777" w:rsidR="00E42357" w:rsidRPr="005261BE" w:rsidRDefault="00E42357" w:rsidP="00D524BF">
            <w:pPr>
              <w:pStyle w:val="TableParagraph"/>
              <w:ind w:left="156" w:right="152"/>
              <w:rPr>
                <w:rFonts w:ascii="Times New Roman" w:hAnsi="Times New Roman" w:cs="Times New Roman"/>
                <w:sz w:val="20"/>
                <w:szCs w:val="20"/>
              </w:rPr>
            </w:pPr>
            <w:r w:rsidRPr="005261BE">
              <w:rPr>
                <w:rFonts w:ascii="Times New Roman" w:hAnsi="Times New Roman" w:cs="Times New Roman"/>
                <w:sz w:val="20"/>
                <w:szCs w:val="20"/>
              </w:rPr>
              <w:t>112%</w:t>
            </w:r>
          </w:p>
        </w:tc>
        <w:tc>
          <w:tcPr>
            <w:tcW w:w="1131" w:type="dxa"/>
            <w:tcBorders>
              <w:top w:val="nil"/>
              <w:left w:val="single" w:sz="4" w:space="0" w:color="auto"/>
              <w:bottom w:val="nil"/>
              <w:right w:val="single" w:sz="4" w:space="0" w:color="auto"/>
            </w:tcBorders>
            <w:vAlign w:val="center"/>
          </w:tcPr>
          <w:p w14:paraId="4AF953EA" w14:textId="77777777" w:rsidR="00E42357" w:rsidRPr="005261BE" w:rsidRDefault="00E42357" w:rsidP="00D524BF">
            <w:pPr>
              <w:pStyle w:val="TableParagraph"/>
              <w:ind w:left="98" w:right="98"/>
              <w:rPr>
                <w:rFonts w:ascii="Times New Roman" w:hAnsi="Times New Roman" w:cs="Times New Roman"/>
                <w:sz w:val="20"/>
                <w:szCs w:val="20"/>
              </w:rPr>
            </w:pPr>
            <w:r w:rsidRPr="005261BE">
              <w:rPr>
                <w:rFonts w:ascii="Times New Roman" w:hAnsi="Times New Roman" w:cs="Times New Roman"/>
                <w:sz w:val="20"/>
                <w:szCs w:val="20"/>
              </w:rPr>
              <w:t>101%</w:t>
            </w:r>
          </w:p>
        </w:tc>
        <w:tc>
          <w:tcPr>
            <w:tcW w:w="1141" w:type="dxa"/>
            <w:tcBorders>
              <w:top w:val="nil"/>
              <w:left w:val="single" w:sz="4" w:space="0" w:color="auto"/>
              <w:bottom w:val="nil"/>
              <w:right w:val="single" w:sz="4" w:space="0" w:color="auto"/>
            </w:tcBorders>
            <w:vAlign w:val="center"/>
          </w:tcPr>
          <w:p w14:paraId="5A152554" w14:textId="77777777" w:rsidR="00E42357" w:rsidRPr="005261BE" w:rsidRDefault="00E42357" w:rsidP="00D524BF">
            <w:pPr>
              <w:pStyle w:val="TableParagraph"/>
              <w:ind w:left="113" w:right="113"/>
              <w:rPr>
                <w:rFonts w:ascii="Times New Roman" w:hAnsi="Times New Roman" w:cs="Times New Roman"/>
                <w:sz w:val="20"/>
                <w:szCs w:val="20"/>
              </w:rPr>
            </w:pPr>
            <w:r w:rsidRPr="005261BE">
              <w:rPr>
                <w:rFonts w:ascii="Times New Roman" w:hAnsi="Times New Roman" w:cs="Times New Roman"/>
                <w:sz w:val="20"/>
                <w:szCs w:val="20"/>
              </w:rPr>
              <w:t>102%</w:t>
            </w:r>
          </w:p>
        </w:tc>
      </w:tr>
      <w:tr w:rsidR="00E42357" w:rsidRPr="00AB1481" w14:paraId="19441DBE" w14:textId="77777777" w:rsidTr="00D524BF">
        <w:trPr>
          <w:trHeight w:val="510"/>
        </w:trPr>
        <w:tc>
          <w:tcPr>
            <w:tcW w:w="851" w:type="dxa"/>
            <w:vMerge/>
            <w:tcBorders>
              <w:top w:val="nil"/>
              <w:right w:val="single" w:sz="4" w:space="0" w:color="auto"/>
            </w:tcBorders>
          </w:tcPr>
          <w:p w14:paraId="2BF750D4" w14:textId="77777777" w:rsidR="00E42357" w:rsidRPr="005261BE" w:rsidRDefault="00E42357" w:rsidP="00D524BF">
            <w:pPr>
              <w:rPr>
                <w:rFonts w:ascii="Times New Roman" w:hAnsi="Times New Roman" w:cs="Times New Roman"/>
                <w:sz w:val="20"/>
                <w:szCs w:val="20"/>
              </w:rPr>
            </w:pPr>
          </w:p>
        </w:tc>
        <w:tc>
          <w:tcPr>
            <w:tcW w:w="1132" w:type="dxa"/>
            <w:tcBorders>
              <w:top w:val="nil"/>
              <w:left w:val="single" w:sz="4" w:space="0" w:color="auto"/>
              <w:bottom w:val="single" w:sz="4" w:space="0" w:color="auto"/>
              <w:right w:val="single" w:sz="4" w:space="0" w:color="auto"/>
            </w:tcBorders>
          </w:tcPr>
          <w:p w14:paraId="49E491A2" w14:textId="77777777" w:rsidR="00E42357" w:rsidRPr="005261BE" w:rsidRDefault="00E42357" w:rsidP="00D524BF">
            <w:pPr>
              <w:pStyle w:val="TableParagraph"/>
              <w:spacing w:before="25"/>
              <w:ind w:left="298" w:right="229" w:hanging="44"/>
              <w:rPr>
                <w:rFonts w:ascii="Times New Roman" w:hAnsi="Times New Roman" w:cs="Times New Roman"/>
                <w:sz w:val="20"/>
                <w:szCs w:val="20"/>
              </w:rPr>
            </w:pPr>
            <w:r w:rsidRPr="005261BE">
              <w:rPr>
                <w:rFonts w:ascii="Times New Roman" w:hAnsi="Times New Roman" w:cs="Times New Roman"/>
                <w:sz w:val="20"/>
                <w:szCs w:val="20"/>
              </w:rPr>
              <w:t>(RPD = 3.2 %)</w:t>
            </w:r>
          </w:p>
        </w:tc>
        <w:tc>
          <w:tcPr>
            <w:tcW w:w="1131" w:type="dxa"/>
            <w:vMerge/>
            <w:tcBorders>
              <w:top w:val="nil"/>
              <w:left w:val="single" w:sz="4" w:space="0" w:color="auto"/>
              <w:bottom w:val="single" w:sz="4" w:space="0" w:color="auto"/>
              <w:right w:val="single" w:sz="4" w:space="0" w:color="auto"/>
            </w:tcBorders>
          </w:tcPr>
          <w:p w14:paraId="60B3CBAA" w14:textId="77777777" w:rsidR="00E42357" w:rsidRPr="005261BE" w:rsidRDefault="00E42357" w:rsidP="00D524BF">
            <w:pPr>
              <w:rPr>
                <w:rFonts w:ascii="Times New Roman" w:hAnsi="Times New Roman" w:cs="Times New Roman"/>
                <w:sz w:val="20"/>
                <w:szCs w:val="20"/>
              </w:rPr>
            </w:pPr>
          </w:p>
        </w:tc>
        <w:tc>
          <w:tcPr>
            <w:tcW w:w="1130" w:type="dxa"/>
            <w:tcBorders>
              <w:top w:val="nil"/>
              <w:left w:val="single" w:sz="4" w:space="0" w:color="auto"/>
              <w:bottom w:val="single" w:sz="4" w:space="0" w:color="auto"/>
              <w:right w:val="single" w:sz="4" w:space="0" w:color="auto"/>
            </w:tcBorders>
            <w:vAlign w:val="center"/>
          </w:tcPr>
          <w:p w14:paraId="6C993476" w14:textId="77777777" w:rsidR="00E42357" w:rsidRPr="005261BE" w:rsidRDefault="00E42357" w:rsidP="00D524BF">
            <w:pPr>
              <w:pStyle w:val="TableParagraph"/>
              <w:spacing w:before="25"/>
              <w:ind w:left="297" w:right="228" w:hanging="44"/>
              <w:rPr>
                <w:rFonts w:ascii="Times New Roman" w:hAnsi="Times New Roman" w:cs="Times New Roman"/>
                <w:sz w:val="20"/>
                <w:szCs w:val="20"/>
              </w:rPr>
            </w:pPr>
            <w:r w:rsidRPr="005261BE">
              <w:rPr>
                <w:rFonts w:ascii="Times New Roman" w:hAnsi="Times New Roman" w:cs="Times New Roman"/>
                <w:sz w:val="20"/>
                <w:szCs w:val="20"/>
              </w:rPr>
              <w:t>(RPD = 0.2 %)</w:t>
            </w:r>
          </w:p>
        </w:tc>
        <w:tc>
          <w:tcPr>
            <w:tcW w:w="1131" w:type="dxa"/>
            <w:tcBorders>
              <w:top w:val="nil"/>
              <w:left w:val="single" w:sz="4" w:space="0" w:color="auto"/>
              <w:bottom w:val="single" w:sz="4" w:space="0" w:color="auto"/>
              <w:right w:val="single" w:sz="4" w:space="0" w:color="auto"/>
            </w:tcBorders>
            <w:vAlign w:val="center"/>
          </w:tcPr>
          <w:p w14:paraId="4C7E8ECC"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(RPD = 0.3 %)</w:t>
            </w:r>
          </w:p>
        </w:tc>
        <w:tc>
          <w:tcPr>
            <w:tcW w:w="1131" w:type="dxa"/>
            <w:tcBorders>
              <w:top w:val="nil"/>
              <w:left w:val="single" w:sz="4" w:space="0" w:color="auto"/>
              <w:bottom w:val="single" w:sz="4" w:space="0" w:color="auto"/>
              <w:right w:val="single" w:sz="4" w:space="0" w:color="auto"/>
            </w:tcBorders>
            <w:vAlign w:val="center"/>
          </w:tcPr>
          <w:p w14:paraId="2E3912BC"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(RSD = 1.6 %)</w:t>
            </w:r>
          </w:p>
        </w:tc>
        <w:tc>
          <w:tcPr>
            <w:tcW w:w="925" w:type="dxa"/>
            <w:tcBorders>
              <w:top w:val="nil"/>
              <w:left w:val="single" w:sz="4" w:space="0" w:color="auto"/>
              <w:bottom w:val="single" w:sz="4" w:space="0" w:color="auto"/>
              <w:right w:val="single" w:sz="4" w:space="0" w:color="auto"/>
            </w:tcBorders>
            <w:vAlign w:val="center"/>
          </w:tcPr>
          <w:p w14:paraId="5E907BFB" w14:textId="77777777" w:rsidR="00E42357" w:rsidRPr="005261BE" w:rsidRDefault="00E42357" w:rsidP="00D524BF">
            <w:pPr>
              <w:pStyle w:val="TableParagraph"/>
              <w:spacing w:before="25"/>
              <w:ind w:left="192" w:right="128" w:hanging="44"/>
              <w:rPr>
                <w:rFonts w:ascii="Times New Roman" w:hAnsi="Times New Roman" w:cs="Times New Roman"/>
                <w:sz w:val="20"/>
                <w:szCs w:val="20"/>
              </w:rPr>
            </w:pPr>
            <w:r w:rsidRPr="005261BE">
              <w:rPr>
                <w:rFonts w:ascii="Times New Roman" w:hAnsi="Times New Roman" w:cs="Times New Roman"/>
                <w:sz w:val="20"/>
                <w:szCs w:val="20"/>
              </w:rPr>
              <w:t>(RSD = 2.0 %)</w:t>
            </w:r>
          </w:p>
        </w:tc>
        <w:tc>
          <w:tcPr>
            <w:tcW w:w="1131" w:type="dxa"/>
            <w:tcBorders>
              <w:top w:val="nil"/>
              <w:left w:val="single" w:sz="4" w:space="0" w:color="auto"/>
              <w:bottom w:val="single" w:sz="4" w:space="0" w:color="auto"/>
              <w:right w:val="single" w:sz="4" w:space="0" w:color="auto"/>
            </w:tcBorders>
            <w:vAlign w:val="center"/>
          </w:tcPr>
          <w:p w14:paraId="67F1232C" w14:textId="77777777" w:rsidR="00E42357" w:rsidRPr="005261BE" w:rsidRDefault="00E42357" w:rsidP="00D524BF">
            <w:pPr>
              <w:pStyle w:val="TableParagraph"/>
              <w:spacing w:before="25"/>
              <w:ind w:left="294" w:right="232" w:hanging="44"/>
              <w:rPr>
                <w:rFonts w:ascii="Times New Roman" w:hAnsi="Times New Roman" w:cs="Times New Roman"/>
                <w:sz w:val="20"/>
                <w:szCs w:val="20"/>
              </w:rPr>
            </w:pPr>
            <w:r w:rsidRPr="005261BE">
              <w:rPr>
                <w:rFonts w:ascii="Times New Roman" w:hAnsi="Times New Roman" w:cs="Times New Roman"/>
                <w:sz w:val="20"/>
                <w:szCs w:val="20"/>
              </w:rPr>
              <w:t>(RPD = 2.8 %)</w:t>
            </w:r>
          </w:p>
        </w:tc>
        <w:tc>
          <w:tcPr>
            <w:tcW w:w="1141" w:type="dxa"/>
            <w:tcBorders>
              <w:top w:val="nil"/>
              <w:left w:val="single" w:sz="4" w:space="0" w:color="auto"/>
              <w:bottom w:val="single" w:sz="4" w:space="0" w:color="auto"/>
              <w:right w:val="single" w:sz="4" w:space="0" w:color="auto"/>
            </w:tcBorders>
            <w:vAlign w:val="center"/>
          </w:tcPr>
          <w:p w14:paraId="28DF4AC5" w14:textId="77777777" w:rsidR="00E42357" w:rsidRPr="005261BE" w:rsidRDefault="00E42357" w:rsidP="00D524BF">
            <w:pPr>
              <w:pStyle w:val="TableParagraph"/>
              <w:spacing w:before="25"/>
              <w:ind w:left="180" w:right="122" w:hanging="44"/>
              <w:rPr>
                <w:rFonts w:ascii="Times New Roman" w:hAnsi="Times New Roman" w:cs="Times New Roman"/>
                <w:sz w:val="20"/>
                <w:szCs w:val="20"/>
              </w:rPr>
            </w:pPr>
            <w:r w:rsidRPr="005261BE">
              <w:rPr>
                <w:rFonts w:ascii="Times New Roman" w:hAnsi="Times New Roman" w:cs="Times New Roman"/>
                <w:sz w:val="20"/>
                <w:szCs w:val="20"/>
              </w:rPr>
              <w:t>(RSD = 2.0 %)</w:t>
            </w:r>
          </w:p>
        </w:tc>
      </w:tr>
      <w:tr w:rsidR="00E42357" w:rsidRPr="00AB1481" w14:paraId="1E44AA3A" w14:textId="77777777" w:rsidTr="00D524BF">
        <w:trPr>
          <w:trHeight w:val="509"/>
        </w:trPr>
        <w:tc>
          <w:tcPr>
            <w:tcW w:w="851" w:type="dxa"/>
            <w:vMerge w:val="restart"/>
            <w:tcBorders>
              <w:top w:val="nil"/>
            </w:tcBorders>
          </w:tcPr>
          <w:p w14:paraId="6535C203" w14:textId="77777777" w:rsidR="00E42357" w:rsidRPr="005261BE" w:rsidRDefault="00E42357" w:rsidP="00D524BF">
            <w:pPr>
              <w:pStyle w:val="TableParagraph"/>
              <w:rPr>
                <w:rFonts w:ascii="Times New Roman" w:hAnsi="Times New Roman" w:cs="Times New Roman"/>
                <w:sz w:val="20"/>
                <w:szCs w:val="20"/>
              </w:rPr>
            </w:pPr>
          </w:p>
          <w:p w14:paraId="5A60CB93" w14:textId="77777777" w:rsidR="00E42357" w:rsidRPr="005261BE" w:rsidRDefault="00E42357" w:rsidP="00D524BF">
            <w:pPr>
              <w:pStyle w:val="TableParagraph"/>
              <w:spacing w:before="2"/>
              <w:rPr>
                <w:rFonts w:ascii="Times New Roman" w:hAnsi="Times New Roman" w:cs="Times New Roman"/>
                <w:sz w:val="20"/>
                <w:szCs w:val="20"/>
              </w:rPr>
            </w:pPr>
          </w:p>
          <w:p w14:paraId="4E6EA21D" w14:textId="77777777" w:rsidR="00E42357" w:rsidRPr="005261BE" w:rsidRDefault="00E42357" w:rsidP="00D524BF">
            <w:pPr>
              <w:pStyle w:val="TableParagraph"/>
              <w:spacing w:before="1"/>
              <w:ind w:left="282" w:right="274"/>
              <w:rPr>
                <w:rFonts w:ascii="Times New Roman" w:hAnsi="Times New Roman" w:cs="Times New Roman"/>
                <w:sz w:val="20"/>
                <w:szCs w:val="20"/>
              </w:rPr>
            </w:pPr>
            <w:r w:rsidRPr="005261BE">
              <w:rPr>
                <w:rFonts w:ascii="Times New Roman" w:hAnsi="Times New Roman" w:cs="Times New Roman"/>
                <w:sz w:val="20"/>
                <w:szCs w:val="20"/>
              </w:rPr>
              <w:t>Cd</w:t>
            </w:r>
          </w:p>
        </w:tc>
        <w:tc>
          <w:tcPr>
            <w:tcW w:w="1132" w:type="dxa"/>
            <w:vMerge w:val="restart"/>
            <w:tcBorders>
              <w:top w:val="single" w:sz="4" w:space="0" w:color="auto"/>
              <w:right w:val="single" w:sz="4" w:space="0" w:color="auto"/>
            </w:tcBorders>
          </w:tcPr>
          <w:p w14:paraId="054E18F7" w14:textId="77777777" w:rsidR="00E42357" w:rsidRPr="005261BE" w:rsidRDefault="00E42357" w:rsidP="00D524BF">
            <w:pPr>
              <w:pStyle w:val="TableParagraph"/>
              <w:rPr>
                <w:rFonts w:ascii="Times New Roman" w:hAnsi="Times New Roman" w:cs="Times New Roman"/>
                <w:sz w:val="20"/>
                <w:szCs w:val="20"/>
              </w:rPr>
            </w:pPr>
          </w:p>
          <w:p w14:paraId="20207AD3" w14:textId="77777777" w:rsidR="00E42357" w:rsidRPr="005261BE" w:rsidRDefault="00E42357" w:rsidP="00D524BF">
            <w:pPr>
              <w:pStyle w:val="TableParagraph"/>
              <w:spacing w:before="2"/>
              <w:rPr>
                <w:rFonts w:ascii="Times New Roman" w:hAnsi="Times New Roman" w:cs="Times New Roman"/>
                <w:sz w:val="20"/>
                <w:szCs w:val="20"/>
              </w:rPr>
            </w:pPr>
          </w:p>
          <w:p w14:paraId="1914A1E2" w14:textId="77777777" w:rsidR="00E42357" w:rsidRPr="005261BE" w:rsidRDefault="00E42357" w:rsidP="00D524BF">
            <w:pPr>
              <w:pStyle w:val="TableParagraph"/>
              <w:spacing w:before="1"/>
              <w:ind w:left="106" w:right="97"/>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tcBorders>
              <w:top w:val="single" w:sz="4" w:space="0" w:color="auto"/>
              <w:left w:val="single" w:sz="4" w:space="0" w:color="auto"/>
              <w:bottom w:val="nil"/>
              <w:right w:val="single" w:sz="4" w:space="0" w:color="auto"/>
            </w:tcBorders>
          </w:tcPr>
          <w:p w14:paraId="47931B8A" w14:textId="77777777" w:rsidR="00E42357" w:rsidRPr="005261BE" w:rsidRDefault="00E42357" w:rsidP="00D524BF">
            <w:pPr>
              <w:pStyle w:val="TableParagraph"/>
              <w:spacing w:before="24"/>
              <w:ind w:left="98" w:right="90"/>
              <w:rPr>
                <w:rFonts w:ascii="Times New Roman" w:hAnsi="Times New Roman" w:cs="Times New Roman"/>
                <w:sz w:val="20"/>
                <w:szCs w:val="20"/>
              </w:rPr>
            </w:pPr>
            <w:r w:rsidRPr="005261BE">
              <w:rPr>
                <w:rFonts w:ascii="Times New Roman" w:hAnsi="Times New Roman" w:cs="Times New Roman"/>
                <w:sz w:val="20"/>
                <w:szCs w:val="20"/>
              </w:rPr>
              <w:t>59.2</w:t>
            </w:r>
          </w:p>
          <w:p w14:paraId="71945F10" w14:textId="77777777" w:rsidR="00E42357" w:rsidRPr="005261BE" w:rsidRDefault="00E42357" w:rsidP="00D524BF">
            <w:pPr>
              <w:pStyle w:val="TableParagraph"/>
              <w:spacing w:before="1"/>
              <w:ind w:left="98" w:right="91"/>
              <w:rPr>
                <w:rFonts w:ascii="Times New Roman" w:hAnsi="Times New Roman" w:cs="Times New Roman"/>
                <w:sz w:val="20"/>
                <w:szCs w:val="20"/>
              </w:rPr>
            </w:pPr>
            <w:proofErr w:type="gramStart"/>
            <w:r w:rsidRPr="005261BE">
              <w:rPr>
                <w:rFonts w:ascii="Times New Roman" w:hAnsi="Times New Roman" w:cs="Times New Roman"/>
                <w:sz w:val="20"/>
                <w:szCs w:val="20"/>
              </w:rPr>
              <w:t>µg/</w:t>
            </w:r>
            <w:proofErr w:type="gramEnd"/>
            <w:r w:rsidRPr="005261BE">
              <w:rPr>
                <w:rFonts w:ascii="Times New Roman" w:hAnsi="Times New Roman" w:cs="Times New Roman"/>
                <w:sz w:val="20"/>
                <w:szCs w:val="20"/>
              </w:rPr>
              <w:t>kg;</w:t>
            </w:r>
          </w:p>
        </w:tc>
        <w:tc>
          <w:tcPr>
            <w:tcW w:w="1130" w:type="dxa"/>
            <w:tcBorders>
              <w:top w:val="single" w:sz="4" w:space="0" w:color="auto"/>
              <w:left w:val="single" w:sz="4" w:space="0" w:color="auto"/>
              <w:bottom w:val="nil"/>
              <w:right w:val="single" w:sz="4" w:space="0" w:color="auto"/>
            </w:tcBorders>
          </w:tcPr>
          <w:p w14:paraId="640FD229" w14:textId="77777777" w:rsidR="00E42357" w:rsidRPr="005261BE" w:rsidRDefault="00E42357" w:rsidP="00D524BF">
            <w:pPr>
              <w:pStyle w:val="TableParagraph"/>
              <w:spacing w:before="139"/>
              <w:ind w:left="105" w:right="96"/>
              <w:rPr>
                <w:rFonts w:ascii="Times New Roman" w:hAnsi="Times New Roman" w:cs="Times New Roman"/>
                <w:sz w:val="20"/>
                <w:szCs w:val="20"/>
              </w:rPr>
            </w:pPr>
            <w:r w:rsidRPr="005261BE">
              <w:rPr>
                <w:rFonts w:ascii="Times New Roman" w:hAnsi="Times New Roman" w:cs="Times New Roman"/>
                <w:sz w:val="20"/>
                <w:szCs w:val="20"/>
              </w:rPr>
              <w:t>287 µg/kg;</w:t>
            </w:r>
          </w:p>
        </w:tc>
        <w:tc>
          <w:tcPr>
            <w:tcW w:w="1131" w:type="dxa"/>
            <w:tcBorders>
              <w:top w:val="single" w:sz="4" w:space="0" w:color="auto"/>
              <w:left w:val="single" w:sz="4" w:space="0" w:color="auto"/>
              <w:bottom w:val="nil"/>
              <w:right w:val="single" w:sz="4" w:space="0" w:color="auto"/>
            </w:tcBorders>
          </w:tcPr>
          <w:p w14:paraId="4DFE57B8" w14:textId="77777777" w:rsidR="00E42357" w:rsidRPr="005261BE" w:rsidRDefault="00E42357" w:rsidP="00D524BF">
            <w:pPr>
              <w:pStyle w:val="TableParagraph"/>
              <w:spacing w:before="139"/>
              <w:ind w:left="98" w:right="92"/>
              <w:rPr>
                <w:rFonts w:ascii="Times New Roman" w:hAnsi="Times New Roman" w:cs="Times New Roman"/>
                <w:sz w:val="20"/>
                <w:szCs w:val="20"/>
              </w:rPr>
            </w:pPr>
            <w:r w:rsidRPr="005261BE">
              <w:rPr>
                <w:rFonts w:ascii="Times New Roman" w:hAnsi="Times New Roman" w:cs="Times New Roman"/>
                <w:sz w:val="20"/>
                <w:szCs w:val="20"/>
              </w:rPr>
              <w:t>685 µg/kg;</w:t>
            </w:r>
          </w:p>
        </w:tc>
        <w:tc>
          <w:tcPr>
            <w:tcW w:w="1131" w:type="dxa"/>
            <w:tcBorders>
              <w:top w:val="single" w:sz="4" w:space="0" w:color="auto"/>
              <w:left w:val="single" w:sz="4" w:space="0" w:color="auto"/>
              <w:bottom w:val="nil"/>
              <w:right w:val="single" w:sz="4" w:space="0" w:color="auto"/>
            </w:tcBorders>
          </w:tcPr>
          <w:p w14:paraId="31780C1B" w14:textId="77777777" w:rsidR="00E42357" w:rsidRPr="005261BE" w:rsidRDefault="00E42357" w:rsidP="00D524BF">
            <w:pPr>
              <w:pStyle w:val="TableParagraph"/>
              <w:spacing w:before="24"/>
              <w:ind w:left="98" w:right="94"/>
              <w:rPr>
                <w:rFonts w:ascii="Times New Roman" w:hAnsi="Times New Roman" w:cs="Times New Roman"/>
                <w:sz w:val="20"/>
                <w:szCs w:val="20"/>
              </w:rPr>
            </w:pPr>
            <w:r w:rsidRPr="005261BE">
              <w:rPr>
                <w:rFonts w:ascii="Times New Roman" w:hAnsi="Times New Roman" w:cs="Times New Roman"/>
                <w:sz w:val="20"/>
                <w:szCs w:val="20"/>
              </w:rPr>
              <w:t>96.2</w:t>
            </w:r>
          </w:p>
          <w:p w14:paraId="65752E9D" w14:textId="77777777" w:rsidR="00E42357" w:rsidRPr="005261BE" w:rsidRDefault="00E42357" w:rsidP="00D524BF">
            <w:pPr>
              <w:pStyle w:val="TableParagraph"/>
              <w:spacing w:before="1"/>
              <w:ind w:left="98" w:right="95"/>
              <w:rPr>
                <w:rFonts w:ascii="Times New Roman" w:hAnsi="Times New Roman" w:cs="Times New Roman"/>
                <w:sz w:val="20"/>
                <w:szCs w:val="20"/>
              </w:rPr>
            </w:pPr>
            <w:proofErr w:type="gramStart"/>
            <w:r w:rsidRPr="005261BE">
              <w:rPr>
                <w:rFonts w:ascii="Times New Roman" w:hAnsi="Times New Roman" w:cs="Times New Roman"/>
                <w:sz w:val="20"/>
                <w:szCs w:val="20"/>
              </w:rPr>
              <w:t>µg/</w:t>
            </w:r>
            <w:proofErr w:type="gramEnd"/>
            <w:r w:rsidRPr="005261BE">
              <w:rPr>
                <w:rFonts w:ascii="Times New Roman" w:hAnsi="Times New Roman" w:cs="Times New Roman"/>
                <w:sz w:val="20"/>
                <w:szCs w:val="20"/>
              </w:rPr>
              <w:t>kg;</w:t>
            </w:r>
          </w:p>
        </w:tc>
        <w:tc>
          <w:tcPr>
            <w:tcW w:w="925" w:type="dxa"/>
            <w:tcBorders>
              <w:top w:val="single" w:sz="4" w:space="0" w:color="auto"/>
              <w:left w:val="single" w:sz="4" w:space="0" w:color="auto"/>
              <w:bottom w:val="nil"/>
              <w:right w:val="single" w:sz="4" w:space="0" w:color="auto"/>
            </w:tcBorders>
          </w:tcPr>
          <w:p w14:paraId="5B8A2FD3" w14:textId="77777777" w:rsidR="00E42357" w:rsidRPr="005261BE" w:rsidRDefault="00E42357" w:rsidP="00D524BF">
            <w:pPr>
              <w:pStyle w:val="TableParagraph"/>
              <w:spacing w:before="24"/>
              <w:ind w:left="232"/>
              <w:rPr>
                <w:rFonts w:ascii="Times New Roman" w:hAnsi="Times New Roman" w:cs="Times New Roman"/>
                <w:sz w:val="20"/>
                <w:szCs w:val="20"/>
              </w:rPr>
            </w:pPr>
            <w:r w:rsidRPr="005261BE">
              <w:rPr>
                <w:rFonts w:ascii="Times New Roman" w:hAnsi="Times New Roman" w:cs="Times New Roman"/>
                <w:sz w:val="20"/>
                <w:szCs w:val="20"/>
              </w:rPr>
              <w:t>0.243</w:t>
            </w:r>
          </w:p>
          <w:p w14:paraId="5F5995FB" w14:textId="77777777" w:rsidR="00E42357" w:rsidRPr="005261BE" w:rsidRDefault="00E42357" w:rsidP="00D524BF">
            <w:pPr>
              <w:pStyle w:val="TableParagraph"/>
              <w:spacing w:before="1"/>
              <w:ind w:left="175"/>
              <w:rPr>
                <w:rFonts w:ascii="Times New Roman" w:hAnsi="Times New Roman" w:cs="Times New Roman"/>
                <w:sz w:val="20"/>
                <w:szCs w:val="20"/>
              </w:rPr>
            </w:pPr>
            <w:r w:rsidRPr="005261BE">
              <w:rPr>
                <w:rFonts w:ascii="Times New Roman" w:hAnsi="Times New Roman" w:cs="Times New Roman"/>
                <w:sz w:val="20"/>
                <w:szCs w:val="20"/>
              </w:rPr>
              <w:t>mg/kg;</w:t>
            </w:r>
          </w:p>
        </w:tc>
        <w:tc>
          <w:tcPr>
            <w:tcW w:w="1131" w:type="dxa"/>
            <w:tcBorders>
              <w:top w:val="single" w:sz="4" w:space="0" w:color="auto"/>
              <w:left w:val="single" w:sz="4" w:space="0" w:color="auto"/>
              <w:bottom w:val="nil"/>
              <w:right w:val="single" w:sz="4" w:space="0" w:color="auto"/>
            </w:tcBorders>
          </w:tcPr>
          <w:p w14:paraId="0ADBA058" w14:textId="77777777" w:rsidR="00E42357" w:rsidRPr="005261BE" w:rsidRDefault="00E42357" w:rsidP="00D524BF">
            <w:pPr>
              <w:pStyle w:val="TableParagraph"/>
              <w:spacing w:before="139"/>
              <w:ind w:left="98" w:right="96"/>
              <w:rPr>
                <w:rFonts w:ascii="Times New Roman" w:hAnsi="Times New Roman" w:cs="Times New Roman"/>
                <w:sz w:val="20"/>
                <w:szCs w:val="20"/>
              </w:rPr>
            </w:pPr>
            <w:r w:rsidRPr="005261BE">
              <w:rPr>
                <w:rFonts w:ascii="Times New Roman" w:hAnsi="Times New Roman" w:cs="Times New Roman"/>
                <w:sz w:val="20"/>
                <w:szCs w:val="20"/>
              </w:rPr>
              <w:t>450 µg/kg;</w:t>
            </w:r>
          </w:p>
        </w:tc>
        <w:tc>
          <w:tcPr>
            <w:tcW w:w="1141" w:type="dxa"/>
            <w:tcBorders>
              <w:top w:val="single" w:sz="4" w:space="0" w:color="auto"/>
              <w:left w:val="single" w:sz="4" w:space="0" w:color="auto"/>
              <w:bottom w:val="nil"/>
              <w:right w:val="single" w:sz="4" w:space="0" w:color="auto"/>
            </w:tcBorders>
          </w:tcPr>
          <w:p w14:paraId="26A30180" w14:textId="77777777" w:rsidR="00E42357" w:rsidRPr="005261BE" w:rsidRDefault="00E42357" w:rsidP="00D524BF">
            <w:pPr>
              <w:pStyle w:val="TableParagraph"/>
              <w:spacing w:before="24"/>
              <w:rPr>
                <w:rFonts w:ascii="Times New Roman" w:hAnsi="Times New Roman" w:cs="Times New Roman"/>
                <w:sz w:val="20"/>
                <w:szCs w:val="20"/>
              </w:rPr>
            </w:pPr>
            <w:r w:rsidRPr="005261BE">
              <w:rPr>
                <w:rFonts w:ascii="Times New Roman" w:hAnsi="Times New Roman" w:cs="Times New Roman"/>
                <w:sz w:val="20"/>
                <w:szCs w:val="20"/>
              </w:rPr>
              <w:t>0.150</w:t>
            </w:r>
          </w:p>
          <w:p w14:paraId="567D4173" w14:textId="77777777" w:rsidR="00E42357" w:rsidRPr="005261BE" w:rsidRDefault="00E42357" w:rsidP="00D524BF">
            <w:pPr>
              <w:pStyle w:val="TableParagraph"/>
              <w:spacing w:before="1"/>
              <w:rPr>
                <w:rFonts w:ascii="Times New Roman" w:hAnsi="Times New Roman" w:cs="Times New Roman"/>
                <w:sz w:val="20"/>
                <w:szCs w:val="20"/>
              </w:rPr>
            </w:pPr>
            <w:r w:rsidRPr="005261BE">
              <w:rPr>
                <w:rFonts w:ascii="Times New Roman" w:hAnsi="Times New Roman" w:cs="Times New Roman"/>
                <w:sz w:val="20"/>
                <w:szCs w:val="20"/>
              </w:rPr>
              <w:t>mg/kg;</w:t>
            </w:r>
          </w:p>
        </w:tc>
      </w:tr>
      <w:tr w:rsidR="00E42357" w:rsidRPr="00AB1481" w14:paraId="55B596F4" w14:textId="77777777" w:rsidTr="00D524BF">
        <w:trPr>
          <w:trHeight w:val="299"/>
        </w:trPr>
        <w:tc>
          <w:tcPr>
            <w:tcW w:w="851" w:type="dxa"/>
            <w:vMerge/>
            <w:tcBorders>
              <w:top w:val="nil"/>
            </w:tcBorders>
          </w:tcPr>
          <w:p w14:paraId="4B43378E" w14:textId="77777777" w:rsidR="00E42357" w:rsidRPr="005261BE" w:rsidRDefault="00E42357" w:rsidP="00D524BF">
            <w:pPr>
              <w:rPr>
                <w:rFonts w:ascii="Times New Roman" w:hAnsi="Times New Roman" w:cs="Times New Roman"/>
                <w:sz w:val="20"/>
                <w:szCs w:val="20"/>
              </w:rPr>
            </w:pPr>
          </w:p>
        </w:tc>
        <w:tc>
          <w:tcPr>
            <w:tcW w:w="1132" w:type="dxa"/>
            <w:vMerge/>
            <w:tcBorders>
              <w:top w:val="nil"/>
              <w:right w:val="single" w:sz="4" w:space="0" w:color="auto"/>
            </w:tcBorders>
          </w:tcPr>
          <w:p w14:paraId="6CB71D2C" w14:textId="77777777" w:rsidR="00E42357" w:rsidRPr="005261BE" w:rsidRDefault="00E42357" w:rsidP="00D524BF">
            <w:pPr>
              <w:rPr>
                <w:rFonts w:ascii="Times New Roman" w:hAnsi="Times New Roman" w:cs="Times New Roman"/>
                <w:sz w:val="20"/>
                <w:szCs w:val="20"/>
              </w:rPr>
            </w:pPr>
          </w:p>
        </w:tc>
        <w:tc>
          <w:tcPr>
            <w:tcW w:w="1131" w:type="dxa"/>
            <w:tcBorders>
              <w:top w:val="nil"/>
              <w:left w:val="single" w:sz="4" w:space="0" w:color="auto"/>
              <w:bottom w:val="nil"/>
              <w:right w:val="single" w:sz="4" w:space="0" w:color="auto"/>
            </w:tcBorders>
          </w:tcPr>
          <w:p w14:paraId="47E711FA" w14:textId="77777777" w:rsidR="00E42357" w:rsidRPr="005261BE" w:rsidRDefault="00E42357" w:rsidP="00D524BF">
            <w:pPr>
              <w:pStyle w:val="TableParagraph"/>
              <w:ind w:right="319"/>
              <w:jc w:val="right"/>
              <w:rPr>
                <w:rFonts w:ascii="Times New Roman" w:hAnsi="Times New Roman" w:cs="Times New Roman"/>
                <w:sz w:val="20"/>
                <w:szCs w:val="20"/>
              </w:rPr>
            </w:pPr>
            <w:r w:rsidRPr="005261BE">
              <w:rPr>
                <w:rFonts w:ascii="Times New Roman" w:hAnsi="Times New Roman" w:cs="Times New Roman"/>
                <w:sz w:val="20"/>
                <w:szCs w:val="20"/>
              </w:rPr>
              <w:t>103%</w:t>
            </w:r>
          </w:p>
        </w:tc>
        <w:tc>
          <w:tcPr>
            <w:tcW w:w="1130" w:type="dxa"/>
            <w:tcBorders>
              <w:top w:val="nil"/>
              <w:left w:val="single" w:sz="4" w:space="0" w:color="auto"/>
              <w:bottom w:val="nil"/>
              <w:right w:val="single" w:sz="4" w:space="0" w:color="auto"/>
            </w:tcBorders>
          </w:tcPr>
          <w:p w14:paraId="06A97A5E" w14:textId="77777777" w:rsidR="00E42357" w:rsidRPr="005261BE" w:rsidRDefault="00E42357" w:rsidP="00D524BF">
            <w:pPr>
              <w:pStyle w:val="TableParagraph"/>
              <w:ind w:left="104" w:right="96"/>
              <w:rPr>
                <w:rFonts w:ascii="Times New Roman" w:hAnsi="Times New Roman" w:cs="Times New Roman"/>
                <w:sz w:val="20"/>
                <w:szCs w:val="20"/>
              </w:rPr>
            </w:pPr>
            <w:r w:rsidRPr="005261BE">
              <w:rPr>
                <w:rFonts w:ascii="Times New Roman" w:hAnsi="Times New Roman" w:cs="Times New Roman"/>
                <w:sz w:val="20"/>
                <w:szCs w:val="20"/>
              </w:rPr>
              <w:t>103%</w:t>
            </w:r>
          </w:p>
        </w:tc>
        <w:tc>
          <w:tcPr>
            <w:tcW w:w="1131" w:type="dxa"/>
            <w:tcBorders>
              <w:top w:val="nil"/>
              <w:left w:val="single" w:sz="4" w:space="0" w:color="auto"/>
              <w:bottom w:val="nil"/>
              <w:right w:val="single" w:sz="4" w:space="0" w:color="auto"/>
            </w:tcBorders>
          </w:tcPr>
          <w:p w14:paraId="2EC813C2" w14:textId="77777777" w:rsidR="00E42357" w:rsidRPr="005261BE" w:rsidRDefault="00E42357" w:rsidP="00D524BF">
            <w:pPr>
              <w:pStyle w:val="TableParagraph"/>
              <w:ind w:left="98" w:right="93"/>
              <w:rPr>
                <w:rFonts w:ascii="Times New Roman" w:hAnsi="Times New Roman" w:cs="Times New Roman"/>
                <w:sz w:val="20"/>
                <w:szCs w:val="20"/>
              </w:rPr>
            </w:pPr>
            <w:r w:rsidRPr="005261BE">
              <w:rPr>
                <w:rFonts w:ascii="Times New Roman" w:hAnsi="Times New Roman" w:cs="Times New Roman"/>
                <w:sz w:val="20"/>
                <w:szCs w:val="20"/>
              </w:rPr>
              <w:t>101%</w:t>
            </w:r>
          </w:p>
        </w:tc>
        <w:tc>
          <w:tcPr>
            <w:tcW w:w="1131" w:type="dxa"/>
            <w:tcBorders>
              <w:top w:val="nil"/>
              <w:left w:val="single" w:sz="4" w:space="0" w:color="auto"/>
              <w:bottom w:val="nil"/>
              <w:right w:val="single" w:sz="4" w:space="0" w:color="auto"/>
            </w:tcBorders>
          </w:tcPr>
          <w:p w14:paraId="4CAAC860" w14:textId="77777777" w:rsidR="00E42357" w:rsidRPr="005261BE" w:rsidRDefault="00E42357" w:rsidP="00D524BF">
            <w:pPr>
              <w:pStyle w:val="TableParagraph"/>
              <w:ind w:left="98" w:right="94"/>
              <w:rPr>
                <w:rFonts w:ascii="Times New Roman" w:hAnsi="Times New Roman" w:cs="Times New Roman"/>
                <w:sz w:val="20"/>
                <w:szCs w:val="20"/>
              </w:rPr>
            </w:pPr>
            <w:r w:rsidRPr="005261BE">
              <w:rPr>
                <w:rFonts w:ascii="Times New Roman" w:hAnsi="Times New Roman" w:cs="Times New Roman"/>
                <w:sz w:val="20"/>
                <w:szCs w:val="20"/>
              </w:rPr>
              <w:t>103%</w:t>
            </w:r>
          </w:p>
        </w:tc>
        <w:tc>
          <w:tcPr>
            <w:tcW w:w="925" w:type="dxa"/>
            <w:tcBorders>
              <w:top w:val="nil"/>
              <w:left w:val="single" w:sz="4" w:space="0" w:color="auto"/>
              <w:bottom w:val="nil"/>
              <w:right w:val="single" w:sz="4" w:space="0" w:color="auto"/>
            </w:tcBorders>
          </w:tcPr>
          <w:p w14:paraId="4ED5EEFB" w14:textId="77777777" w:rsidR="00E42357" w:rsidRPr="005261BE" w:rsidRDefault="00E42357" w:rsidP="00D524BF">
            <w:pPr>
              <w:pStyle w:val="TableParagraph"/>
              <w:ind w:left="156" w:right="152"/>
              <w:rPr>
                <w:rFonts w:ascii="Times New Roman" w:hAnsi="Times New Roman" w:cs="Times New Roman"/>
                <w:sz w:val="20"/>
                <w:szCs w:val="20"/>
              </w:rPr>
            </w:pPr>
            <w:r w:rsidRPr="005261BE">
              <w:rPr>
                <w:rFonts w:ascii="Times New Roman" w:hAnsi="Times New Roman" w:cs="Times New Roman"/>
                <w:sz w:val="20"/>
                <w:szCs w:val="20"/>
              </w:rPr>
              <w:t>92%</w:t>
            </w:r>
          </w:p>
        </w:tc>
        <w:tc>
          <w:tcPr>
            <w:tcW w:w="1131" w:type="dxa"/>
            <w:tcBorders>
              <w:top w:val="nil"/>
              <w:left w:val="single" w:sz="4" w:space="0" w:color="auto"/>
              <w:bottom w:val="nil"/>
              <w:right w:val="single" w:sz="4" w:space="0" w:color="auto"/>
            </w:tcBorders>
          </w:tcPr>
          <w:p w14:paraId="003DE070" w14:textId="77777777" w:rsidR="00E42357" w:rsidRPr="005261BE" w:rsidRDefault="00E42357" w:rsidP="00D524BF">
            <w:pPr>
              <w:pStyle w:val="TableParagraph"/>
              <w:ind w:left="98" w:right="97"/>
              <w:rPr>
                <w:rFonts w:ascii="Times New Roman" w:hAnsi="Times New Roman" w:cs="Times New Roman"/>
                <w:sz w:val="20"/>
                <w:szCs w:val="20"/>
              </w:rPr>
            </w:pPr>
            <w:r w:rsidRPr="005261BE">
              <w:rPr>
                <w:rFonts w:ascii="Times New Roman" w:hAnsi="Times New Roman" w:cs="Times New Roman"/>
                <w:sz w:val="20"/>
                <w:szCs w:val="20"/>
              </w:rPr>
              <w:t>101%</w:t>
            </w:r>
          </w:p>
        </w:tc>
        <w:tc>
          <w:tcPr>
            <w:tcW w:w="1141" w:type="dxa"/>
            <w:tcBorders>
              <w:top w:val="nil"/>
              <w:left w:val="single" w:sz="4" w:space="0" w:color="auto"/>
              <w:bottom w:val="nil"/>
              <w:right w:val="single" w:sz="4" w:space="0" w:color="auto"/>
            </w:tcBorders>
          </w:tcPr>
          <w:p w14:paraId="60D7E694" w14:textId="77777777" w:rsidR="00E42357" w:rsidRPr="005261BE" w:rsidRDefault="00E42357" w:rsidP="00D524BF">
            <w:pPr>
              <w:pStyle w:val="TableParagraph"/>
              <w:rPr>
                <w:rFonts w:ascii="Times New Roman" w:hAnsi="Times New Roman" w:cs="Times New Roman"/>
                <w:sz w:val="20"/>
                <w:szCs w:val="20"/>
              </w:rPr>
            </w:pPr>
            <w:r w:rsidRPr="005261BE">
              <w:rPr>
                <w:rFonts w:ascii="Times New Roman" w:hAnsi="Times New Roman" w:cs="Times New Roman"/>
                <w:sz w:val="20"/>
                <w:szCs w:val="20"/>
              </w:rPr>
              <w:t>101%</w:t>
            </w:r>
          </w:p>
        </w:tc>
      </w:tr>
      <w:tr w:rsidR="00E42357" w:rsidRPr="00AB1481" w14:paraId="289D65CD" w14:textId="77777777" w:rsidTr="00D524BF">
        <w:trPr>
          <w:trHeight w:val="509"/>
        </w:trPr>
        <w:tc>
          <w:tcPr>
            <w:tcW w:w="851" w:type="dxa"/>
            <w:vMerge/>
            <w:tcBorders>
              <w:top w:val="nil"/>
            </w:tcBorders>
          </w:tcPr>
          <w:p w14:paraId="326CF90A" w14:textId="77777777" w:rsidR="00E42357" w:rsidRPr="005261BE" w:rsidRDefault="00E42357" w:rsidP="00D524BF">
            <w:pPr>
              <w:rPr>
                <w:rFonts w:ascii="Times New Roman" w:hAnsi="Times New Roman" w:cs="Times New Roman"/>
                <w:sz w:val="20"/>
                <w:szCs w:val="20"/>
              </w:rPr>
            </w:pPr>
          </w:p>
        </w:tc>
        <w:tc>
          <w:tcPr>
            <w:tcW w:w="1132" w:type="dxa"/>
            <w:vMerge/>
            <w:tcBorders>
              <w:top w:val="nil"/>
              <w:right w:val="single" w:sz="4" w:space="0" w:color="auto"/>
            </w:tcBorders>
          </w:tcPr>
          <w:p w14:paraId="199ACBC7" w14:textId="77777777" w:rsidR="00E42357" w:rsidRPr="005261BE" w:rsidRDefault="00E42357" w:rsidP="00D524BF">
            <w:pPr>
              <w:rPr>
                <w:rFonts w:ascii="Times New Roman" w:hAnsi="Times New Roman" w:cs="Times New Roman"/>
                <w:sz w:val="20"/>
                <w:szCs w:val="20"/>
              </w:rPr>
            </w:pPr>
          </w:p>
        </w:tc>
        <w:tc>
          <w:tcPr>
            <w:tcW w:w="1131" w:type="dxa"/>
            <w:tcBorders>
              <w:top w:val="nil"/>
              <w:left w:val="single" w:sz="4" w:space="0" w:color="auto"/>
              <w:bottom w:val="single" w:sz="4" w:space="0" w:color="auto"/>
              <w:right w:val="single" w:sz="4" w:space="0" w:color="auto"/>
            </w:tcBorders>
          </w:tcPr>
          <w:p w14:paraId="62884E48" w14:textId="77777777" w:rsidR="00E42357" w:rsidRPr="005261BE" w:rsidRDefault="00E42357" w:rsidP="00D524BF">
            <w:pPr>
              <w:pStyle w:val="TableParagraph"/>
              <w:spacing w:before="25"/>
              <w:ind w:left="298" w:right="228" w:hanging="44"/>
              <w:rPr>
                <w:rFonts w:ascii="Times New Roman" w:hAnsi="Times New Roman" w:cs="Times New Roman"/>
                <w:sz w:val="20"/>
                <w:szCs w:val="20"/>
              </w:rPr>
            </w:pPr>
            <w:r w:rsidRPr="005261BE">
              <w:rPr>
                <w:rFonts w:ascii="Times New Roman" w:hAnsi="Times New Roman" w:cs="Times New Roman"/>
                <w:sz w:val="20"/>
                <w:szCs w:val="20"/>
              </w:rPr>
              <w:t>(RPD = 0.4 %)</w:t>
            </w:r>
          </w:p>
        </w:tc>
        <w:tc>
          <w:tcPr>
            <w:tcW w:w="1130" w:type="dxa"/>
            <w:tcBorders>
              <w:top w:val="nil"/>
              <w:left w:val="single" w:sz="4" w:space="0" w:color="auto"/>
              <w:bottom w:val="single" w:sz="4" w:space="0" w:color="auto"/>
              <w:right w:val="single" w:sz="4" w:space="0" w:color="auto"/>
            </w:tcBorders>
          </w:tcPr>
          <w:p w14:paraId="22301AD1" w14:textId="77777777" w:rsidR="00E42357" w:rsidRPr="005261BE" w:rsidRDefault="00E42357" w:rsidP="00D524BF">
            <w:pPr>
              <w:pStyle w:val="TableParagraph"/>
              <w:spacing w:before="25"/>
              <w:ind w:left="297" w:right="228" w:hanging="44"/>
              <w:rPr>
                <w:rFonts w:ascii="Times New Roman" w:hAnsi="Times New Roman" w:cs="Times New Roman"/>
                <w:sz w:val="20"/>
                <w:szCs w:val="20"/>
              </w:rPr>
            </w:pPr>
            <w:r w:rsidRPr="005261BE">
              <w:rPr>
                <w:rFonts w:ascii="Times New Roman" w:hAnsi="Times New Roman" w:cs="Times New Roman"/>
                <w:sz w:val="20"/>
                <w:szCs w:val="20"/>
              </w:rPr>
              <w:t>(RPD = 2.1 %)</w:t>
            </w:r>
          </w:p>
        </w:tc>
        <w:tc>
          <w:tcPr>
            <w:tcW w:w="1131" w:type="dxa"/>
            <w:tcBorders>
              <w:top w:val="nil"/>
              <w:left w:val="single" w:sz="4" w:space="0" w:color="auto"/>
              <w:bottom w:val="single" w:sz="4" w:space="0" w:color="auto"/>
              <w:right w:val="single" w:sz="4" w:space="0" w:color="auto"/>
            </w:tcBorders>
          </w:tcPr>
          <w:p w14:paraId="2A8184AA"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(RPD = 0.4 %)</w:t>
            </w:r>
          </w:p>
        </w:tc>
        <w:tc>
          <w:tcPr>
            <w:tcW w:w="1131" w:type="dxa"/>
            <w:tcBorders>
              <w:top w:val="nil"/>
              <w:left w:val="single" w:sz="4" w:space="0" w:color="auto"/>
              <w:bottom w:val="single" w:sz="4" w:space="0" w:color="auto"/>
              <w:right w:val="single" w:sz="4" w:space="0" w:color="auto"/>
            </w:tcBorders>
          </w:tcPr>
          <w:p w14:paraId="45CB4533"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(RSD = 3.4 %)</w:t>
            </w:r>
          </w:p>
        </w:tc>
        <w:tc>
          <w:tcPr>
            <w:tcW w:w="925" w:type="dxa"/>
            <w:tcBorders>
              <w:top w:val="nil"/>
              <w:left w:val="single" w:sz="4" w:space="0" w:color="auto"/>
              <w:bottom w:val="single" w:sz="4" w:space="0" w:color="auto"/>
              <w:right w:val="single" w:sz="4" w:space="0" w:color="auto"/>
            </w:tcBorders>
          </w:tcPr>
          <w:p w14:paraId="222A8E65" w14:textId="77777777" w:rsidR="00E42357" w:rsidRPr="005261BE" w:rsidRDefault="00E42357" w:rsidP="00D524BF">
            <w:pPr>
              <w:pStyle w:val="TableParagraph"/>
              <w:spacing w:before="25"/>
              <w:ind w:left="192" w:right="128" w:hanging="44"/>
              <w:rPr>
                <w:rFonts w:ascii="Times New Roman" w:hAnsi="Times New Roman" w:cs="Times New Roman"/>
                <w:sz w:val="20"/>
                <w:szCs w:val="20"/>
              </w:rPr>
            </w:pPr>
            <w:r w:rsidRPr="005261BE">
              <w:rPr>
                <w:rFonts w:ascii="Times New Roman" w:hAnsi="Times New Roman" w:cs="Times New Roman"/>
                <w:sz w:val="20"/>
                <w:szCs w:val="20"/>
              </w:rPr>
              <w:t>(RSD = 1.5 %)</w:t>
            </w:r>
          </w:p>
        </w:tc>
        <w:tc>
          <w:tcPr>
            <w:tcW w:w="1131" w:type="dxa"/>
            <w:tcBorders>
              <w:top w:val="nil"/>
              <w:left w:val="single" w:sz="4" w:space="0" w:color="auto"/>
              <w:bottom w:val="single" w:sz="4" w:space="0" w:color="auto"/>
              <w:right w:val="single" w:sz="4" w:space="0" w:color="auto"/>
            </w:tcBorders>
          </w:tcPr>
          <w:p w14:paraId="55A57C80" w14:textId="77777777" w:rsidR="00E42357" w:rsidRPr="005261BE" w:rsidRDefault="00E42357" w:rsidP="00D524BF">
            <w:pPr>
              <w:pStyle w:val="TableParagraph"/>
              <w:spacing w:before="25"/>
              <w:ind w:left="294" w:right="232" w:hanging="44"/>
              <w:rPr>
                <w:rFonts w:ascii="Times New Roman" w:hAnsi="Times New Roman" w:cs="Times New Roman"/>
                <w:sz w:val="20"/>
                <w:szCs w:val="20"/>
              </w:rPr>
            </w:pPr>
            <w:r w:rsidRPr="005261BE">
              <w:rPr>
                <w:rFonts w:ascii="Times New Roman" w:hAnsi="Times New Roman" w:cs="Times New Roman"/>
                <w:sz w:val="20"/>
                <w:szCs w:val="20"/>
              </w:rPr>
              <w:t>(RPD = 1.6 %)</w:t>
            </w:r>
          </w:p>
        </w:tc>
        <w:tc>
          <w:tcPr>
            <w:tcW w:w="1141" w:type="dxa"/>
            <w:tcBorders>
              <w:top w:val="nil"/>
              <w:left w:val="single" w:sz="4" w:space="0" w:color="auto"/>
              <w:bottom w:val="single" w:sz="4" w:space="0" w:color="auto"/>
              <w:right w:val="single" w:sz="4" w:space="0" w:color="auto"/>
            </w:tcBorders>
          </w:tcPr>
          <w:p w14:paraId="48A6231A" w14:textId="77777777" w:rsidR="00E42357" w:rsidRPr="005261BE" w:rsidRDefault="00E42357" w:rsidP="00D524BF">
            <w:pPr>
              <w:pStyle w:val="TableParagraph"/>
              <w:spacing w:before="25"/>
              <w:ind w:right="122"/>
              <w:rPr>
                <w:rFonts w:ascii="Times New Roman" w:hAnsi="Times New Roman" w:cs="Times New Roman"/>
                <w:sz w:val="20"/>
                <w:szCs w:val="20"/>
              </w:rPr>
            </w:pPr>
            <w:r w:rsidRPr="005261BE">
              <w:rPr>
                <w:rFonts w:ascii="Times New Roman" w:hAnsi="Times New Roman" w:cs="Times New Roman"/>
                <w:sz w:val="20"/>
                <w:szCs w:val="20"/>
              </w:rPr>
              <w:t xml:space="preserve">  (RSD = 1.7 %)</w:t>
            </w:r>
          </w:p>
        </w:tc>
      </w:tr>
      <w:tr w:rsidR="00E42357" w:rsidRPr="00AB1481" w14:paraId="750C2784" w14:textId="77777777" w:rsidTr="00D524BF">
        <w:trPr>
          <w:trHeight w:val="510"/>
        </w:trPr>
        <w:tc>
          <w:tcPr>
            <w:tcW w:w="851" w:type="dxa"/>
            <w:vMerge w:val="restart"/>
          </w:tcPr>
          <w:p w14:paraId="39573CA5" w14:textId="77777777" w:rsidR="00E42357" w:rsidRPr="005261BE" w:rsidRDefault="00E42357" w:rsidP="00D524BF">
            <w:pPr>
              <w:pStyle w:val="TableParagraph"/>
              <w:rPr>
                <w:rFonts w:ascii="Times New Roman" w:hAnsi="Times New Roman" w:cs="Times New Roman"/>
                <w:sz w:val="20"/>
                <w:szCs w:val="20"/>
              </w:rPr>
            </w:pPr>
          </w:p>
          <w:p w14:paraId="62BE513E" w14:textId="77777777" w:rsidR="00E42357" w:rsidRPr="005261BE" w:rsidRDefault="00E42357" w:rsidP="00D524BF">
            <w:pPr>
              <w:pStyle w:val="TableParagraph"/>
              <w:spacing w:before="3"/>
              <w:rPr>
                <w:rFonts w:ascii="Times New Roman" w:hAnsi="Times New Roman" w:cs="Times New Roman"/>
                <w:sz w:val="20"/>
                <w:szCs w:val="20"/>
              </w:rPr>
            </w:pPr>
          </w:p>
          <w:p w14:paraId="3A3FA66B" w14:textId="77777777" w:rsidR="00E42357" w:rsidRPr="005261BE" w:rsidRDefault="00E42357" w:rsidP="00D524BF">
            <w:pPr>
              <w:pStyle w:val="TableParagraph"/>
              <w:spacing w:before="1"/>
              <w:ind w:left="282" w:right="274"/>
              <w:rPr>
                <w:rFonts w:ascii="Times New Roman" w:hAnsi="Times New Roman" w:cs="Times New Roman"/>
                <w:sz w:val="20"/>
                <w:szCs w:val="20"/>
              </w:rPr>
            </w:pPr>
            <w:r w:rsidRPr="005261BE">
              <w:rPr>
                <w:rFonts w:ascii="Times New Roman" w:hAnsi="Times New Roman" w:cs="Times New Roman"/>
                <w:sz w:val="20"/>
                <w:szCs w:val="20"/>
              </w:rPr>
              <w:t>Cr</w:t>
            </w:r>
          </w:p>
        </w:tc>
        <w:tc>
          <w:tcPr>
            <w:tcW w:w="1132" w:type="dxa"/>
            <w:vMerge w:val="restart"/>
          </w:tcPr>
          <w:p w14:paraId="36E02A1E" w14:textId="77777777" w:rsidR="00E42357" w:rsidRPr="005261BE" w:rsidRDefault="00E42357" w:rsidP="00D524BF">
            <w:pPr>
              <w:pStyle w:val="TableParagraph"/>
              <w:rPr>
                <w:rFonts w:ascii="Times New Roman" w:hAnsi="Times New Roman" w:cs="Times New Roman"/>
                <w:sz w:val="20"/>
                <w:szCs w:val="20"/>
              </w:rPr>
            </w:pPr>
          </w:p>
          <w:p w14:paraId="50BC932B" w14:textId="77777777" w:rsidR="00E42357" w:rsidRPr="005261BE" w:rsidRDefault="00E42357" w:rsidP="00D524BF">
            <w:pPr>
              <w:pStyle w:val="TableParagraph"/>
              <w:spacing w:before="3"/>
              <w:rPr>
                <w:rFonts w:ascii="Times New Roman" w:hAnsi="Times New Roman" w:cs="Times New Roman"/>
                <w:sz w:val="20"/>
                <w:szCs w:val="20"/>
              </w:rPr>
            </w:pPr>
          </w:p>
          <w:p w14:paraId="6D66C364" w14:textId="77777777" w:rsidR="00E42357" w:rsidRPr="005261BE" w:rsidRDefault="00E42357" w:rsidP="00D524BF">
            <w:pPr>
              <w:pStyle w:val="TableParagraph"/>
              <w:spacing w:before="1"/>
              <w:ind w:left="106" w:right="97"/>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top w:val="single" w:sz="4" w:space="0" w:color="auto"/>
            </w:tcBorders>
          </w:tcPr>
          <w:p w14:paraId="1A62CD50" w14:textId="77777777" w:rsidR="00E42357" w:rsidRPr="005261BE" w:rsidRDefault="00E42357" w:rsidP="00D524BF">
            <w:pPr>
              <w:pStyle w:val="TableParagraph"/>
              <w:rPr>
                <w:rFonts w:ascii="Times New Roman" w:hAnsi="Times New Roman" w:cs="Times New Roman"/>
                <w:sz w:val="20"/>
                <w:szCs w:val="20"/>
              </w:rPr>
            </w:pPr>
          </w:p>
          <w:p w14:paraId="5B6B44D0" w14:textId="77777777" w:rsidR="00E42357" w:rsidRPr="005261BE" w:rsidRDefault="00E42357" w:rsidP="00D524BF">
            <w:pPr>
              <w:pStyle w:val="TableParagraph"/>
              <w:spacing w:before="3"/>
              <w:rPr>
                <w:rFonts w:ascii="Times New Roman" w:hAnsi="Times New Roman" w:cs="Times New Roman"/>
                <w:sz w:val="20"/>
                <w:szCs w:val="20"/>
              </w:rPr>
            </w:pPr>
          </w:p>
          <w:p w14:paraId="3D3BB5BB" w14:textId="77777777" w:rsidR="00E42357" w:rsidRPr="005261BE" w:rsidRDefault="00E42357" w:rsidP="00D524BF">
            <w:pPr>
              <w:pStyle w:val="TableParagraph"/>
              <w:spacing w:before="1"/>
              <w:ind w:left="98" w:right="91"/>
              <w:rPr>
                <w:rFonts w:ascii="Times New Roman" w:hAnsi="Times New Roman" w:cs="Times New Roman"/>
                <w:sz w:val="20"/>
                <w:szCs w:val="20"/>
              </w:rPr>
            </w:pPr>
            <w:r w:rsidRPr="005261BE">
              <w:rPr>
                <w:rFonts w:ascii="Times New Roman" w:hAnsi="Times New Roman" w:cs="Times New Roman"/>
                <w:sz w:val="20"/>
                <w:szCs w:val="20"/>
              </w:rPr>
              <w:t>NA</w:t>
            </w:r>
          </w:p>
        </w:tc>
        <w:tc>
          <w:tcPr>
            <w:tcW w:w="1130" w:type="dxa"/>
            <w:vMerge w:val="restart"/>
            <w:tcBorders>
              <w:top w:val="single" w:sz="4" w:space="0" w:color="auto"/>
            </w:tcBorders>
          </w:tcPr>
          <w:p w14:paraId="36B79C6D" w14:textId="77777777" w:rsidR="00E42357" w:rsidRPr="005261BE" w:rsidRDefault="00E42357" w:rsidP="00D524BF">
            <w:pPr>
              <w:pStyle w:val="TableParagraph"/>
              <w:rPr>
                <w:rFonts w:ascii="Times New Roman" w:hAnsi="Times New Roman" w:cs="Times New Roman"/>
                <w:sz w:val="20"/>
                <w:szCs w:val="20"/>
              </w:rPr>
            </w:pPr>
          </w:p>
          <w:p w14:paraId="3CF8E51A" w14:textId="77777777" w:rsidR="00E42357" w:rsidRPr="005261BE" w:rsidRDefault="00E42357" w:rsidP="00D524BF">
            <w:pPr>
              <w:pStyle w:val="TableParagraph"/>
              <w:spacing w:before="3"/>
              <w:rPr>
                <w:rFonts w:ascii="Times New Roman" w:hAnsi="Times New Roman" w:cs="Times New Roman"/>
                <w:sz w:val="20"/>
                <w:szCs w:val="20"/>
              </w:rPr>
            </w:pPr>
          </w:p>
          <w:p w14:paraId="3379F8AD" w14:textId="77777777" w:rsidR="00E42357" w:rsidRPr="005261BE" w:rsidRDefault="00E42357" w:rsidP="00D524BF">
            <w:pPr>
              <w:pStyle w:val="TableParagraph"/>
              <w:spacing w:before="1"/>
              <w:ind w:left="103" w:right="96"/>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top w:val="single" w:sz="4" w:space="0" w:color="auto"/>
            </w:tcBorders>
          </w:tcPr>
          <w:p w14:paraId="6945E3B4" w14:textId="77777777" w:rsidR="00E42357" w:rsidRPr="005261BE" w:rsidRDefault="00E42357" w:rsidP="00D524BF">
            <w:pPr>
              <w:pStyle w:val="TableParagraph"/>
              <w:rPr>
                <w:rFonts w:ascii="Times New Roman" w:hAnsi="Times New Roman" w:cs="Times New Roman"/>
                <w:sz w:val="20"/>
                <w:szCs w:val="20"/>
              </w:rPr>
            </w:pPr>
          </w:p>
          <w:p w14:paraId="393D6EF2" w14:textId="77777777" w:rsidR="00E42357" w:rsidRPr="005261BE" w:rsidRDefault="00E42357" w:rsidP="00D524BF">
            <w:pPr>
              <w:pStyle w:val="TableParagraph"/>
              <w:spacing w:before="3"/>
              <w:rPr>
                <w:rFonts w:ascii="Times New Roman" w:hAnsi="Times New Roman" w:cs="Times New Roman"/>
                <w:sz w:val="20"/>
                <w:szCs w:val="20"/>
              </w:rPr>
            </w:pPr>
          </w:p>
          <w:p w14:paraId="04D60BBD" w14:textId="77777777" w:rsidR="00E42357" w:rsidRPr="005261BE" w:rsidRDefault="00E42357" w:rsidP="00D524BF">
            <w:pPr>
              <w:pStyle w:val="TableParagraph"/>
              <w:spacing w:before="1"/>
              <w:ind w:left="98" w:right="93"/>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top w:val="single" w:sz="4" w:space="0" w:color="auto"/>
            </w:tcBorders>
          </w:tcPr>
          <w:p w14:paraId="228D12A0" w14:textId="77777777" w:rsidR="00E42357" w:rsidRPr="005261BE" w:rsidRDefault="00E42357" w:rsidP="00D524BF">
            <w:pPr>
              <w:pStyle w:val="TableParagraph"/>
              <w:rPr>
                <w:rFonts w:ascii="Times New Roman" w:hAnsi="Times New Roman" w:cs="Times New Roman"/>
                <w:sz w:val="20"/>
                <w:szCs w:val="20"/>
              </w:rPr>
            </w:pPr>
          </w:p>
          <w:p w14:paraId="19104A1C" w14:textId="77777777" w:rsidR="00E42357" w:rsidRPr="005261BE" w:rsidRDefault="00E42357" w:rsidP="00D524BF">
            <w:pPr>
              <w:pStyle w:val="TableParagraph"/>
              <w:spacing w:before="3"/>
              <w:rPr>
                <w:rFonts w:ascii="Times New Roman" w:hAnsi="Times New Roman" w:cs="Times New Roman"/>
                <w:sz w:val="20"/>
                <w:szCs w:val="20"/>
              </w:rPr>
            </w:pPr>
          </w:p>
          <w:p w14:paraId="20F7E0AD" w14:textId="77777777" w:rsidR="00E42357" w:rsidRPr="005261BE" w:rsidRDefault="00E42357" w:rsidP="00D524BF">
            <w:pPr>
              <w:pStyle w:val="TableParagraph"/>
              <w:spacing w:before="1"/>
              <w:ind w:left="98" w:right="95"/>
              <w:rPr>
                <w:rFonts w:ascii="Times New Roman" w:hAnsi="Times New Roman" w:cs="Times New Roman"/>
                <w:sz w:val="20"/>
                <w:szCs w:val="20"/>
              </w:rPr>
            </w:pPr>
            <w:r w:rsidRPr="005261BE">
              <w:rPr>
                <w:rFonts w:ascii="Times New Roman" w:hAnsi="Times New Roman" w:cs="Times New Roman"/>
                <w:sz w:val="20"/>
                <w:szCs w:val="20"/>
              </w:rPr>
              <w:t>NA</w:t>
            </w:r>
          </w:p>
        </w:tc>
        <w:tc>
          <w:tcPr>
            <w:tcW w:w="925" w:type="dxa"/>
            <w:vMerge w:val="restart"/>
            <w:tcBorders>
              <w:top w:val="single" w:sz="4" w:space="0" w:color="auto"/>
            </w:tcBorders>
          </w:tcPr>
          <w:p w14:paraId="607311C8" w14:textId="77777777" w:rsidR="00E42357" w:rsidRPr="005261BE" w:rsidRDefault="00E42357" w:rsidP="00D524BF">
            <w:pPr>
              <w:pStyle w:val="TableParagraph"/>
              <w:rPr>
                <w:rFonts w:ascii="Times New Roman" w:hAnsi="Times New Roman" w:cs="Times New Roman"/>
                <w:sz w:val="20"/>
                <w:szCs w:val="20"/>
              </w:rPr>
            </w:pPr>
          </w:p>
          <w:p w14:paraId="397E03B1" w14:textId="77777777" w:rsidR="00E42357" w:rsidRPr="005261BE" w:rsidRDefault="00E42357" w:rsidP="00D524BF">
            <w:pPr>
              <w:pStyle w:val="TableParagraph"/>
              <w:spacing w:before="3"/>
              <w:rPr>
                <w:rFonts w:ascii="Times New Roman" w:hAnsi="Times New Roman" w:cs="Times New Roman"/>
                <w:sz w:val="20"/>
                <w:szCs w:val="20"/>
              </w:rPr>
            </w:pPr>
          </w:p>
          <w:p w14:paraId="32607591" w14:textId="77777777" w:rsidR="00E42357" w:rsidRPr="005261BE" w:rsidRDefault="00E42357" w:rsidP="00D524BF">
            <w:pPr>
              <w:pStyle w:val="TableParagraph"/>
              <w:spacing w:before="1"/>
              <w:ind w:left="156" w:right="152"/>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top w:val="single" w:sz="4" w:space="0" w:color="auto"/>
              <w:right w:val="single" w:sz="4" w:space="0" w:color="auto"/>
            </w:tcBorders>
          </w:tcPr>
          <w:p w14:paraId="398B1477" w14:textId="77777777" w:rsidR="00E42357" w:rsidRPr="005261BE" w:rsidRDefault="00E42357" w:rsidP="00D524BF">
            <w:pPr>
              <w:pStyle w:val="TableParagraph"/>
              <w:rPr>
                <w:rFonts w:ascii="Times New Roman" w:hAnsi="Times New Roman" w:cs="Times New Roman"/>
                <w:sz w:val="20"/>
                <w:szCs w:val="20"/>
              </w:rPr>
            </w:pPr>
          </w:p>
          <w:p w14:paraId="279CFC70" w14:textId="77777777" w:rsidR="00E42357" w:rsidRPr="005261BE" w:rsidRDefault="00E42357" w:rsidP="00D524BF">
            <w:pPr>
              <w:pStyle w:val="TableParagraph"/>
              <w:spacing w:before="3"/>
              <w:rPr>
                <w:rFonts w:ascii="Times New Roman" w:hAnsi="Times New Roman" w:cs="Times New Roman"/>
                <w:sz w:val="20"/>
                <w:szCs w:val="20"/>
              </w:rPr>
            </w:pPr>
          </w:p>
          <w:p w14:paraId="4C8D1B0B" w14:textId="77777777" w:rsidR="00E42357" w:rsidRPr="005261BE" w:rsidRDefault="00E42357" w:rsidP="00D524BF">
            <w:pPr>
              <w:pStyle w:val="TableParagraph"/>
              <w:spacing w:before="1"/>
              <w:ind w:left="98" w:right="98"/>
              <w:rPr>
                <w:rFonts w:ascii="Times New Roman" w:hAnsi="Times New Roman" w:cs="Times New Roman"/>
                <w:sz w:val="20"/>
                <w:szCs w:val="20"/>
              </w:rPr>
            </w:pPr>
            <w:r w:rsidRPr="005261BE">
              <w:rPr>
                <w:rFonts w:ascii="Times New Roman" w:hAnsi="Times New Roman" w:cs="Times New Roman"/>
                <w:sz w:val="20"/>
                <w:szCs w:val="20"/>
              </w:rPr>
              <w:t>NA</w:t>
            </w:r>
          </w:p>
        </w:tc>
        <w:tc>
          <w:tcPr>
            <w:tcW w:w="1141" w:type="dxa"/>
            <w:tcBorders>
              <w:top w:val="single" w:sz="4" w:space="0" w:color="auto"/>
              <w:left w:val="single" w:sz="4" w:space="0" w:color="auto"/>
              <w:bottom w:val="nil"/>
              <w:right w:val="single" w:sz="4" w:space="0" w:color="auto"/>
            </w:tcBorders>
          </w:tcPr>
          <w:p w14:paraId="5C536457" w14:textId="77777777" w:rsidR="00E42357" w:rsidRPr="005261BE" w:rsidRDefault="00E42357" w:rsidP="00D524BF">
            <w:pPr>
              <w:pStyle w:val="TableParagraph"/>
              <w:spacing w:before="25"/>
              <w:rPr>
                <w:rFonts w:ascii="Times New Roman" w:hAnsi="Times New Roman" w:cs="Times New Roman"/>
                <w:sz w:val="20"/>
                <w:szCs w:val="20"/>
              </w:rPr>
            </w:pPr>
            <w:r w:rsidRPr="005261BE">
              <w:rPr>
                <w:rFonts w:ascii="Times New Roman" w:hAnsi="Times New Roman" w:cs="Times New Roman"/>
                <w:sz w:val="20"/>
                <w:szCs w:val="20"/>
              </w:rPr>
              <w:t>0.485</w:t>
            </w:r>
          </w:p>
          <w:p w14:paraId="063D344D" w14:textId="77777777" w:rsidR="00E42357" w:rsidRPr="005261BE" w:rsidRDefault="00E42357" w:rsidP="00D524BF">
            <w:pPr>
              <w:pStyle w:val="TableParagraph"/>
              <w:spacing w:before="1"/>
              <w:rPr>
                <w:rFonts w:ascii="Times New Roman" w:hAnsi="Times New Roman" w:cs="Times New Roman"/>
                <w:sz w:val="20"/>
                <w:szCs w:val="20"/>
              </w:rPr>
            </w:pPr>
            <w:r w:rsidRPr="005261BE">
              <w:rPr>
                <w:rFonts w:ascii="Times New Roman" w:hAnsi="Times New Roman" w:cs="Times New Roman"/>
                <w:sz w:val="20"/>
                <w:szCs w:val="20"/>
              </w:rPr>
              <w:t>mg/kg;</w:t>
            </w:r>
          </w:p>
        </w:tc>
      </w:tr>
      <w:tr w:rsidR="00E42357" w:rsidRPr="00AB1481" w14:paraId="2C97521D" w14:textId="77777777" w:rsidTr="00D524BF">
        <w:trPr>
          <w:trHeight w:val="299"/>
        </w:trPr>
        <w:tc>
          <w:tcPr>
            <w:tcW w:w="851" w:type="dxa"/>
            <w:vMerge/>
            <w:tcBorders>
              <w:top w:val="nil"/>
            </w:tcBorders>
          </w:tcPr>
          <w:p w14:paraId="6E54DFF9" w14:textId="77777777" w:rsidR="00E42357" w:rsidRPr="005261BE" w:rsidRDefault="00E42357" w:rsidP="00D524BF">
            <w:pPr>
              <w:rPr>
                <w:rFonts w:ascii="Times New Roman" w:hAnsi="Times New Roman" w:cs="Times New Roman"/>
                <w:sz w:val="20"/>
                <w:szCs w:val="20"/>
              </w:rPr>
            </w:pPr>
          </w:p>
        </w:tc>
        <w:tc>
          <w:tcPr>
            <w:tcW w:w="1132" w:type="dxa"/>
            <w:vMerge/>
            <w:tcBorders>
              <w:top w:val="nil"/>
            </w:tcBorders>
          </w:tcPr>
          <w:p w14:paraId="49213863" w14:textId="77777777" w:rsidR="00E42357" w:rsidRPr="005261BE" w:rsidRDefault="00E42357" w:rsidP="00D524BF">
            <w:pPr>
              <w:rPr>
                <w:rFonts w:ascii="Times New Roman" w:hAnsi="Times New Roman" w:cs="Times New Roman"/>
                <w:sz w:val="20"/>
                <w:szCs w:val="20"/>
              </w:rPr>
            </w:pPr>
          </w:p>
        </w:tc>
        <w:tc>
          <w:tcPr>
            <w:tcW w:w="1131" w:type="dxa"/>
            <w:vMerge/>
            <w:tcBorders>
              <w:top w:val="nil"/>
            </w:tcBorders>
          </w:tcPr>
          <w:p w14:paraId="1A7CFB38" w14:textId="77777777" w:rsidR="00E42357" w:rsidRPr="005261BE" w:rsidRDefault="00E42357" w:rsidP="00D524BF">
            <w:pPr>
              <w:rPr>
                <w:rFonts w:ascii="Times New Roman" w:hAnsi="Times New Roman" w:cs="Times New Roman"/>
                <w:sz w:val="20"/>
                <w:szCs w:val="20"/>
              </w:rPr>
            </w:pPr>
          </w:p>
        </w:tc>
        <w:tc>
          <w:tcPr>
            <w:tcW w:w="1130" w:type="dxa"/>
            <w:vMerge/>
            <w:tcBorders>
              <w:top w:val="nil"/>
            </w:tcBorders>
          </w:tcPr>
          <w:p w14:paraId="47BE513C" w14:textId="77777777" w:rsidR="00E42357" w:rsidRPr="005261BE" w:rsidRDefault="00E42357" w:rsidP="00D524BF">
            <w:pPr>
              <w:rPr>
                <w:rFonts w:ascii="Times New Roman" w:hAnsi="Times New Roman" w:cs="Times New Roman"/>
                <w:sz w:val="20"/>
                <w:szCs w:val="20"/>
              </w:rPr>
            </w:pPr>
          </w:p>
        </w:tc>
        <w:tc>
          <w:tcPr>
            <w:tcW w:w="1131" w:type="dxa"/>
            <w:vMerge/>
            <w:tcBorders>
              <w:top w:val="nil"/>
            </w:tcBorders>
          </w:tcPr>
          <w:p w14:paraId="6B3F45FB" w14:textId="77777777" w:rsidR="00E42357" w:rsidRPr="005261BE" w:rsidRDefault="00E42357" w:rsidP="00D524BF">
            <w:pPr>
              <w:rPr>
                <w:rFonts w:ascii="Times New Roman" w:hAnsi="Times New Roman" w:cs="Times New Roman"/>
                <w:sz w:val="20"/>
                <w:szCs w:val="20"/>
              </w:rPr>
            </w:pPr>
          </w:p>
        </w:tc>
        <w:tc>
          <w:tcPr>
            <w:tcW w:w="1131" w:type="dxa"/>
            <w:vMerge/>
            <w:tcBorders>
              <w:top w:val="nil"/>
            </w:tcBorders>
          </w:tcPr>
          <w:p w14:paraId="756CB08E" w14:textId="77777777" w:rsidR="00E42357" w:rsidRPr="005261BE" w:rsidRDefault="00E42357" w:rsidP="00D524BF">
            <w:pPr>
              <w:rPr>
                <w:rFonts w:ascii="Times New Roman" w:hAnsi="Times New Roman" w:cs="Times New Roman"/>
                <w:sz w:val="20"/>
                <w:szCs w:val="20"/>
              </w:rPr>
            </w:pPr>
          </w:p>
        </w:tc>
        <w:tc>
          <w:tcPr>
            <w:tcW w:w="925" w:type="dxa"/>
            <w:vMerge/>
            <w:tcBorders>
              <w:top w:val="nil"/>
            </w:tcBorders>
          </w:tcPr>
          <w:p w14:paraId="65BE39E2" w14:textId="77777777" w:rsidR="00E42357" w:rsidRPr="005261BE" w:rsidRDefault="00E42357" w:rsidP="00D524BF">
            <w:pPr>
              <w:rPr>
                <w:rFonts w:ascii="Times New Roman" w:hAnsi="Times New Roman" w:cs="Times New Roman"/>
                <w:sz w:val="20"/>
                <w:szCs w:val="20"/>
              </w:rPr>
            </w:pPr>
          </w:p>
        </w:tc>
        <w:tc>
          <w:tcPr>
            <w:tcW w:w="1131" w:type="dxa"/>
            <w:vMerge/>
            <w:tcBorders>
              <w:top w:val="nil"/>
              <w:right w:val="single" w:sz="4" w:space="0" w:color="auto"/>
            </w:tcBorders>
          </w:tcPr>
          <w:p w14:paraId="4DBF8E82" w14:textId="77777777" w:rsidR="00E42357" w:rsidRPr="005261BE" w:rsidRDefault="00E42357" w:rsidP="00D524BF">
            <w:pPr>
              <w:rPr>
                <w:rFonts w:ascii="Times New Roman" w:hAnsi="Times New Roman" w:cs="Times New Roman"/>
                <w:sz w:val="20"/>
                <w:szCs w:val="20"/>
              </w:rPr>
            </w:pPr>
          </w:p>
        </w:tc>
        <w:tc>
          <w:tcPr>
            <w:tcW w:w="1141" w:type="dxa"/>
            <w:tcBorders>
              <w:top w:val="nil"/>
              <w:left w:val="single" w:sz="4" w:space="0" w:color="auto"/>
              <w:bottom w:val="nil"/>
              <w:right w:val="single" w:sz="4" w:space="0" w:color="auto"/>
            </w:tcBorders>
          </w:tcPr>
          <w:p w14:paraId="48CAF149" w14:textId="77777777" w:rsidR="00E42357" w:rsidRPr="005261BE" w:rsidRDefault="00E42357" w:rsidP="00D524BF">
            <w:pPr>
              <w:pStyle w:val="TableParagraph"/>
              <w:rPr>
                <w:rFonts w:ascii="Times New Roman" w:hAnsi="Times New Roman" w:cs="Times New Roman"/>
                <w:sz w:val="20"/>
                <w:szCs w:val="20"/>
              </w:rPr>
            </w:pPr>
            <w:r w:rsidRPr="005261BE">
              <w:rPr>
                <w:rFonts w:ascii="Times New Roman" w:hAnsi="Times New Roman" w:cs="Times New Roman"/>
                <w:sz w:val="20"/>
                <w:szCs w:val="20"/>
              </w:rPr>
              <w:t>94%</w:t>
            </w:r>
          </w:p>
        </w:tc>
      </w:tr>
      <w:tr w:rsidR="00E42357" w:rsidRPr="00AB1481" w14:paraId="39381D24" w14:textId="77777777" w:rsidTr="00D524BF">
        <w:trPr>
          <w:trHeight w:val="509"/>
        </w:trPr>
        <w:tc>
          <w:tcPr>
            <w:tcW w:w="851" w:type="dxa"/>
            <w:vMerge/>
            <w:tcBorders>
              <w:top w:val="nil"/>
            </w:tcBorders>
          </w:tcPr>
          <w:p w14:paraId="4435FF26" w14:textId="77777777" w:rsidR="00E42357" w:rsidRPr="005261BE" w:rsidRDefault="00E42357" w:rsidP="00D524BF">
            <w:pPr>
              <w:rPr>
                <w:rFonts w:ascii="Times New Roman" w:hAnsi="Times New Roman" w:cs="Times New Roman"/>
                <w:sz w:val="20"/>
                <w:szCs w:val="20"/>
              </w:rPr>
            </w:pPr>
          </w:p>
        </w:tc>
        <w:tc>
          <w:tcPr>
            <w:tcW w:w="1132" w:type="dxa"/>
            <w:vMerge/>
            <w:tcBorders>
              <w:top w:val="nil"/>
            </w:tcBorders>
          </w:tcPr>
          <w:p w14:paraId="668A1BC2" w14:textId="77777777" w:rsidR="00E42357" w:rsidRPr="005261BE" w:rsidRDefault="00E42357" w:rsidP="00D524BF">
            <w:pPr>
              <w:rPr>
                <w:rFonts w:ascii="Times New Roman" w:hAnsi="Times New Roman" w:cs="Times New Roman"/>
                <w:sz w:val="20"/>
                <w:szCs w:val="20"/>
              </w:rPr>
            </w:pPr>
          </w:p>
        </w:tc>
        <w:tc>
          <w:tcPr>
            <w:tcW w:w="1131" w:type="dxa"/>
            <w:vMerge/>
            <w:tcBorders>
              <w:top w:val="nil"/>
            </w:tcBorders>
          </w:tcPr>
          <w:p w14:paraId="5B57E234" w14:textId="77777777" w:rsidR="00E42357" w:rsidRPr="005261BE" w:rsidRDefault="00E42357" w:rsidP="00D524BF">
            <w:pPr>
              <w:rPr>
                <w:rFonts w:ascii="Times New Roman" w:hAnsi="Times New Roman" w:cs="Times New Roman"/>
                <w:sz w:val="20"/>
                <w:szCs w:val="20"/>
              </w:rPr>
            </w:pPr>
          </w:p>
        </w:tc>
        <w:tc>
          <w:tcPr>
            <w:tcW w:w="1130" w:type="dxa"/>
            <w:vMerge/>
            <w:tcBorders>
              <w:top w:val="nil"/>
              <w:bottom w:val="single" w:sz="4" w:space="0" w:color="auto"/>
            </w:tcBorders>
          </w:tcPr>
          <w:p w14:paraId="558DC0FA" w14:textId="77777777" w:rsidR="00E42357" w:rsidRPr="005261BE" w:rsidRDefault="00E42357" w:rsidP="00D524BF">
            <w:pPr>
              <w:rPr>
                <w:rFonts w:ascii="Times New Roman" w:hAnsi="Times New Roman" w:cs="Times New Roman"/>
                <w:sz w:val="20"/>
                <w:szCs w:val="20"/>
              </w:rPr>
            </w:pPr>
          </w:p>
        </w:tc>
        <w:tc>
          <w:tcPr>
            <w:tcW w:w="1131" w:type="dxa"/>
            <w:vMerge/>
            <w:tcBorders>
              <w:top w:val="nil"/>
            </w:tcBorders>
          </w:tcPr>
          <w:p w14:paraId="3A3119BA" w14:textId="77777777" w:rsidR="00E42357" w:rsidRPr="005261BE" w:rsidRDefault="00E42357" w:rsidP="00D524BF">
            <w:pPr>
              <w:rPr>
                <w:rFonts w:ascii="Times New Roman" w:hAnsi="Times New Roman" w:cs="Times New Roman"/>
                <w:sz w:val="20"/>
                <w:szCs w:val="20"/>
              </w:rPr>
            </w:pPr>
          </w:p>
        </w:tc>
        <w:tc>
          <w:tcPr>
            <w:tcW w:w="1131" w:type="dxa"/>
            <w:vMerge/>
            <w:tcBorders>
              <w:top w:val="nil"/>
              <w:bottom w:val="single" w:sz="4" w:space="0" w:color="auto"/>
            </w:tcBorders>
          </w:tcPr>
          <w:p w14:paraId="08B4C56C" w14:textId="77777777" w:rsidR="00E42357" w:rsidRPr="005261BE" w:rsidRDefault="00E42357" w:rsidP="00D524BF">
            <w:pPr>
              <w:rPr>
                <w:rFonts w:ascii="Times New Roman" w:hAnsi="Times New Roman" w:cs="Times New Roman"/>
                <w:sz w:val="20"/>
                <w:szCs w:val="20"/>
              </w:rPr>
            </w:pPr>
          </w:p>
        </w:tc>
        <w:tc>
          <w:tcPr>
            <w:tcW w:w="925" w:type="dxa"/>
            <w:vMerge/>
            <w:tcBorders>
              <w:top w:val="nil"/>
            </w:tcBorders>
          </w:tcPr>
          <w:p w14:paraId="1A067357" w14:textId="77777777" w:rsidR="00E42357" w:rsidRPr="005261BE" w:rsidRDefault="00E42357" w:rsidP="00D524BF">
            <w:pPr>
              <w:rPr>
                <w:rFonts w:ascii="Times New Roman" w:hAnsi="Times New Roman" w:cs="Times New Roman"/>
                <w:sz w:val="20"/>
                <w:szCs w:val="20"/>
              </w:rPr>
            </w:pPr>
          </w:p>
        </w:tc>
        <w:tc>
          <w:tcPr>
            <w:tcW w:w="1131" w:type="dxa"/>
            <w:vMerge/>
            <w:tcBorders>
              <w:top w:val="nil"/>
              <w:right w:val="single" w:sz="4" w:space="0" w:color="auto"/>
            </w:tcBorders>
          </w:tcPr>
          <w:p w14:paraId="04837F71" w14:textId="77777777" w:rsidR="00E42357" w:rsidRPr="005261BE" w:rsidRDefault="00E42357" w:rsidP="00D524BF">
            <w:pPr>
              <w:rPr>
                <w:rFonts w:ascii="Times New Roman" w:hAnsi="Times New Roman" w:cs="Times New Roman"/>
                <w:sz w:val="20"/>
                <w:szCs w:val="20"/>
              </w:rPr>
            </w:pPr>
          </w:p>
        </w:tc>
        <w:tc>
          <w:tcPr>
            <w:tcW w:w="1141" w:type="dxa"/>
            <w:tcBorders>
              <w:top w:val="nil"/>
              <w:left w:val="single" w:sz="4" w:space="0" w:color="auto"/>
              <w:bottom w:val="single" w:sz="4" w:space="0" w:color="auto"/>
              <w:right w:val="single" w:sz="4" w:space="0" w:color="auto"/>
            </w:tcBorders>
          </w:tcPr>
          <w:p w14:paraId="43BCB352" w14:textId="77777777" w:rsidR="00E42357" w:rsidRPr="005261BE" w:rsidRDefault="00E42357" w:rsidP="00D524BF">
            <w:pPr>
              <w:pStyle w:val="TableParagraph"/>
              <w:spacing w:before="25"/>
              <w:ind w:right="122"/>
              <w:rPr>
                <w:rFonts w:ascii="Times New Roman" w:hAnsi="Times New Roman" w:cs="Times New Roman"/>
                <w:sz w:val="20"/>
                <w:szCs w:val="20"/>
              </w:rPr>
            </w:pPr>
            <w:r w:rsidRPr="005261BE">
              <w:rPr>
                <w:rFonts w:ascii="Times New Roman" w:hAnsi="Times New Roman" w:cs="Times New Roman"/>
                <w:sz w:val="20"/>
                <w:szCs w:val="20"/>
              </w:rPr>
              <w:t xml:space="preserve">  (RSD = 1.8 %)</w:t>
            </w:r>
          </w:p>
        </w:tc>
      </w:tr>
      <w:tr w:rsidR="00E42357" w:rsidRPr="00AB1481" w14:paraId="3FF8BC65" w14:textId="77777777" w:rsidTr="00D524BF">
        <w:trPr>
          <w:trHeight w:val="510"/>
        </w:trPr>
        <w:tc>
          <w:tcPr>
            <w:tcW w:w="851" w:type="dxa"/>
            <w:vMerge w:val="restart"/>
          </w:tcPr>
          <w:p w14:paraId="38C2CB71" w14:textId="77777777" w:rsidR="00E42357" w:rsidRPr="005261BE" w:rsidRDefault="00E42357" w:rsidP="00D524BF">
            <w:pPr>
              <w:pStyle w:val="TableParagraph"/>
              <w:rPr>
                <w:rFonts w:ascii="Times New Roman" w:hAnsi="Times New Roman" w:cs="Times New Roman"/>
                <w:sz w:val="20"/>
                <w:szCs w:val="20"/>
              </w:rPr>
            </w:pPr>
          </w:p>
          <w:p w14:paraId="24036DF7" w14:textId="77777777" w:rsidR="00E42357" w:rsidRPr="005261BE" w:rsidRDefault="00E42357" w:rsidP="00D524BF">
            <w:pPr>
              <w:pStyle w:val="TableParagraph"/>
              <w:spacing w:before="3"/>
              <w:rPr>
                <w:rFonts w:ascii="Times New Roman" w:hAnsi="Times New Roman" w:cs="Times New Roman"/>
                <w:sz w:val="20"/>
                <w:szCs w:val="20"/>
              </w:rPr>
            </w:pPr>
          </w:p>
          <w:p w14:paraId="329E743F" w14:textId="77777777" w:rsidR="00E42357" w:rsidRPr="005261BE" w:rsidRDefault="00E42357" w:rsidP="00D524BF">
            <w:pPr>
              <w:pStyle w:val="TableParagraph"/>
              <w:spacing w:before="1"/>
              <w:ind w:left="282" w:right="274"/>
              <w:rPr>
                <w:rFonts w:ascii="Times New Roman" w:hAnsi="Times New Roman" w:cs="Times New Roman"/>
                <w:sz w:val="20"/>
                <w:szCs w:val="20"/>
              </w:rPr>
            </w:pPr>
            <w:r w:rsidRPr="005261BE">
              <w:rPr>
                <w:rFonts w:ascii="Times New Roman" w:hAnsi="Times New Roman" w:cs="Times New Roman"/>
                <w:sz w:val="20"/>
                <w:szCs w:val="20"/>
              </w:rPr>
              <w:t>Hg</w:t>
            </w:r>
          </w:p>
        </w:tc>
        <w:tc>
          <w:tcPr>
            <w:tcW w:w="1132" w:type="dxa"/>
            <w:vMerge w:val="restart"/>
          </w:tcPr>
          <w:p w14:paraId="03DE74B9" w14:textId="77777777" w:rsidR="00E42357" w:rsidRPr="005261BE" w:rsidRDefault="00E42357" w:rsidP="00D524BF">
            <w:pPr>
              <w:pStyle w:val="TableParagraph"/>
              <w:rPr>
                <w:rFonts w:ascii="Times New Roman" w:hAnsi="Times New Roman" w:cs="Times New Roman"/>
                <w:sz w:val="20"/>
                <w:szCs w:val="20"/>
              </w:rPr>
            </w:pPr>
          </w:p>
          <w:p w14:paraId="08309CE6" w14:textId="77777777" w:rsidR="00E42357" w:rsidRPr="005261BE" w:rsidRDefault="00E42357" w:rsidP="00D524BF">
            <w:pPr>
              <w:pStyle w:val="TableParagraph"/>
              <w:spacing w:before="3"/>
              <w:rPr>
                <w:rFonts w:ascii="Times New Roman" w:hAnsi="Times New Roman" w:cs="Times New Roman"/>
                <w:sz w:val="20"/>
                <w:szCs w:val="20"/>
              </w:rPr>
            </w:pPr>
          </w:p>
          <w:p w14:paraId="4BFFE62A" w14:textId="77777777" w:rsidR="00E42357" w:rsidRPr="005261BE" w:rsidRDefault="00E42357" w:rsidP="00D524BF">
            <w:pPr>
              <w:pStyle w:val="TableParagraph"/>
              <w:spacing w:before="1"/>
              <w:ind w:left="106" w:right="97"/>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right w:val="single" w:sz="4" w:space="0" w:color="auto"/>
            </w:tcBorders>
          </w:tcPr>
          <w:p w14:paraId="332DC575" w14:textId="77777777" w:rsidR="00E42357" w:rsidRPr="005261BE" w:rsidRDefault="00E42357" w:rsidP="00D524BF">
            <w:pPr>
              <w:pStyle w:val="TableParagraph"/>
              <w:rPr>
                <w:rFonts w:ascii="Times New Roman" w:hAnsi="Times New Roman" w:cs="Times New Roman"/>
                <w:sz w:val="20"/>
                <w:szCs w:val="20"/>
              </w:rPr>
            </w:pPr>
          </w:p>
          <w:p w14:paraId="7DFCD811" w14:textId="77777777" w:rsidR="00E42357" w:rsidRPr="005261BE" w:rsidRDefault="00E42357" w:rsidP="00D524BF">
            <w:pPr>
              <w:pStyle w:val="TableParagraph"/>
              <w:spacing w:before="3"/>
              <w:rPr>
                <w:rFonts w:ascii="Times New Roman" w:hAnsi="Times New Roman" w:cs="Times New Roman"/>
                <w:sz w:val="20"/>
                <w:szCs w:val="20"/>
              </w:rPr>
            </w:pPr>
          </w:p>
          <w:p w14:paraId="67F9F7B7" w14:textId="77777777" w:rsidR="00E42357" w:rsidRPr="005261BE" w:rsidRDefault="00E42357" w:rsidP="00D524BF">
            <w:pPr>
              <w:pStyle w:val="TableParagraph"/>
              <w:spacing w:before="1"/>
              <w:ind w:left="98" w:right="91"/>
              <w:rPr>
                <w:rFonts w:ascii="Times New Roman" w:hAnsi="Times New Roman" w:cs="Times New Roman"/>
                <w:sz w:val="20"/>
                <w:szCs w:val="20"/>
              </w:rPr>
            </w:pPr>
            <w:r w:rsidRPr="005261BE">
              <w:rPr>
                <w:rFonts w:ascii="Times New Roman" w:hAnsi="Times New Roman" w:cs="Times New Roman"/>
                <w:sz w:val="20"/>
                <w:szCs w:val="20"/>
              </w:rPr>
              <w:t>NA</w:t>
            </w:r>
          </w:p>
        </w:tc>
        <w:tc>
          <w:tcPr>
            <w:tcW w:w="1130" w:type="dxa"/>
            <w:tcBorders>
              <w:top w:val="single" w:sz="4" w:space="0" w:color="auto"/>
              <w:left w:val="single" w:sz="4" w:space="0" w:color="auto"/>
              <w:bottom w:val="nil"/>
              <w:right w:val="single" w:sz="4" w:space="0" w:color="auto"/>
            </w:tcBorders>
          </w:tcPr>
          <w:p w14:paraId="7BA104EA" w14:textId="77777777" w:rsidR="00E42357" w:rsidRPr="005261BE" w:rsidRDefault="00E42357" w:rsidP="00D524BF">
            <w:pPr>
              <w:pStyle w:val="TableParagraph"/>
              <w:spacing w:before="25"/>
              <w:ind w:left="104" w:right="96"/>
              <w:rPr>
                <w:rFonts w:ascii="Times New Roman" w:hAnsi="Times New Roman" w:cs="Times New Roman"/>
                <w:sz w:val="20"/>
                <w:szCs w:val="20"/>
              </w:rPr>
            </w:pPr>
            <w:r w:rsidRPr="005261BE">
              <w:rPr>
                <w:rFonts w:ascii="Times New Roman" w:hAnsi="Times New Roman" w:cs="Times New Roman"/>
                <w:sz w:val="20"/>
                <w:szCs w:val="20"/>
              </w:rPr>
              <w:t>44.0 µg/kg;</w:t>
            </w:r>
          </w:p>
        </w:tc>
        <w:tc>
          <w:tcPr>
            <w:tcW w:w="1131" w:type="dxa"/>
            <w:vMerge w:val="restart"/>
            <w:tcBorders>
              <w:left w:val="single" w:sz="4" w:space="0" w:color="auto"/>
              <w:right w:val="single" w:sz="4" w:space="0" w:color="auto"/>
            </w:tcBorders>
          </w:tcPr>
          <w:p w14:paraId="6B467240" w14:textId="77777777" w:rsidR="00E42357" w:rsidRPr="005261BE" w:rsidRDefault="00E42357" w:rsidP="00D524BF">
            <w:pPr>
              <w:pStyle w:val="TableParagraph"/>
              <w:rPr>
                <w:rFonts w:ascii="Times New Roman" w:hAnsi="Times New Roman" w:cs="Times New Roman"/>
                <w:sz w:val="20"/>
                <w:szCs w:val="20"/>
              </w:rPr>
            </w:pPr>
          </w:p>
          <w:p w14:paraId="0899FB29" w14:textId="77777777" w:rsidR="00E42357" w:rsidRPr="005261BE" w:rsidRDefault="00E42357" w:rsidP="00D524BF">
            <w:pPr>
              <w:pStyle w:val="TableParagraph"/>
              <w:spacing w:before="3"/>
              <w:rPr>
                <w:rFonts w:ascii="Times New Roman" w:hAnsi="Times New Roman" w:cs="Times New Roman"/>
                <w:sz w:val="20"/>
                <w:szCs w:val="20"/>
              </w:rPr>
            </w:pPr>
          </w:p>
          <w:p w14:paraId="16451BC1" w14:textId="77777777" w:rsidR="00E42357" w:rsidRPr="005261BE" w:rsidRDefault="00E42357" w:rsidP="00D524BF">
            <w:pPr>
              <w:pStyle w:val="TableParagraph"/>
              <w:spacing w:before="1"/>
              <w:ind w:left="98" w:right="94"/>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tcBorders>
              <w:top w:val="single" w:sz="4" w:space="0" w:color="auto"/>
              <w:left w:val="single" w:sz="4" w:space="0" w:color="auto"/>
              <w:bottom w:val="nil"/>
              <w:right w:val="single" w:sz="4" w:space="0" w:color="auto"/>
            </w:tcBorders>
          </w:tcPr>
          <w:p w14:paraId="74467601" w14:textId="77777777" w:rsidR="00E42357" w:rsidRPr="005261BE" w:rsidRDefault="00E42357" w:rsidP="00D524BF">
            <w:pPr>
              <w:pStyle w:val="TableParagraph"/>
              <w:spacing w:before="140"/>
              <w:ind w:left="98" w:right="92"/>
              <w:rPr>
                <w:rFonts w:ascii="Times New Roman" w:hAnsi="Times New Roman" w:cs="Times New Roman"/>
                <w:sz w:val="20"/>
                <w:szCs w:val="20"/>
              </w:rPr>
            </w:pPr>
            <w:r w:rsidRPr="005261BE">
              <w:rPr>
                <w:rFonts w:ascii="Times New Roman" w:hAnsi="Times New Roman" w:cs="Times New Roman"/>
                <w:sz w:val="20"/>
                <w:szCs w:val="20"/>
              </w:rPr>
              <w:t>122 µg/kg;</w:t>
            </w:r>
          </w:p>
        </w:tc>
        <w:tc>
          <w:tcPr>
            <w:tcW w:w="925" w:type="dxa"/>
            <w:vMerge w:val="restart"/>
            <w:tcBorders>
              <w:left w:val="single" w:sz="4" w:space="0" w:color="auto"/>
            </w:tcBorders>
          </w:tcPr>
          <w:p w14:paraId="4E29FBB9" w14:textId="77777777" w:rsidR="00E42357" w:rsidRPr="005261BE" w:rsidRDefault="00E42357" w:rsidP="00D524BF">
            <w:pPr>
              <w:pStyle w:val="TableParagraph"/>
              <w:rPr>
                <w:rFonts w:ascii="Times New Roman" w:hAnsi="Times New Roman" w:cs="Times New Roman"/>
                <w:sz w:val="20"/>
                <w:szCs w:val="20"/>
              </w:rPr>
            </w:pPr>
          </w:p>
          <w:p w14:paraId="3BAACFAF" w14:textId="77777777" w:rsidR="00E42357" w:rsidRPr="005261BE" w:rsidRDefault="00E42357" w:rsidP="00D524BF">
            <w:pPr>
              <w:pStyle w:val="TableParagraph"/>
              <w:spacing w:before="3"/>
              <w:rPr>
                <w:rFonts w:ascii="Times New Roman" w:hAnsi="Times New Roman" w:cs="Times New Roman"/>
                <w:sz w:val="20"/>
                <w:szCs w:val="20"/>
              </w:rPr>
            </w:pPr>
          </w:p>
          <w:p w14:paraId="22EE407F" w14:textId="77777777" w:rsidR="00E42357" w:rsidRPr="005261BE" w:rsidRDefault="00E42357" w:rsidP="00D524BF">
            <w:pPr>
              <w:pStyle w:val="TableParagraph"/>
              <w:spacing w:before="1"/>
              <w:ind w:left="156" w:right="152"/>
              <w:rPr>
                <w:rFonts w:ascii="Times New Roman" w:hAnsi="Times New Roman" w:cs="Times New Roman"/>
                <w:sz w:val="20"/>
                <w:szCs w:val="20"/>
              </w:rPr>
            </w:pPr>
            <w:r w:rsidRPr="005261BE">
              <w:rPr>
                <w:rFonts w:ascii="Times New Roman" w:hAnsi="Times New Roman" w:cs="Times New Roman"/>
                <w:sz w:val="20"/>
                <w:szCs w:val="20"/>
              </w:rPr>
              <w:t>NA</w:t>
            </w:r>
          </w:p>
        </w:tc>
        <w:tc>
          <w:tcPr>
            <w:tcW w:w="1131" w:type="dxa"/>
            <w:vMerge w:val="restart"/>
            <w:tcBorders>
              <w:right w:val="single" w:sz="4" w:space="0" w:color="auto"/>
            </w:tcBorders>
          </w:tcPr>
          <w:p w14:paraId="292D0C66" w14:textId="77777777" w:rsidR="00E42357" w:rsidRPr="005261BE" w:rsidRDefault="00E42357" w:rsidP="00D524BF">
            <w:pPr>
              <w:pStyle w:val="TableParagraph"/>
              <w:rPr>
                <w:rFonts w:ascii="Times New Roman" w:hAnsi="Times New Roman" w:cs="Times New Roman"/>
                <w:sz w:val="20"/>
                <w:szCs w:val="20"/>
              </w:rPr>
            </w:pPr>
          </w:p>
          <w:p w14:paraId="40416ABD" w14:textId="77777777" w:rsidR="00E42357" w:rsidRPr="005261BE" w:rsidRDefault="00E42357" w:rsidP="00D524BF">
            <w:pPr>
              <w:pStyle w:val="TableParagraph"/>
              <w:spacing w:before="3"/>
              <w:rPr>
                <w:rFonts w:ascii="Times New Roman" w:hAnsi="Times New Roman" w:cs="Times New Roman"/>
                <w:sz w:val="20"/>
                <w:szCs w:val="20"/>
              </w:rPr>
            </w:pPr>
          </w:p>
          <w:p w14:paraId="28A8ABA7" w14:textId="77777777" w:rsidR="00E42357" w:rsidRPr="005261BE" w:rsidRDefault="00E42357" w:rsidP="00D524BF">
            <w:pPr>
              <w:pStyle w:val="TableParagraph"/>
              <w:spacing w:before="1"/>
              <w:ind w:left="98" w:right="98"/>
              <w:rPr>
                <w:rFonts w:ascii="Times New Roman" w:hAnsi="Times New Roman" w:cs="Times New Roman"/>
                <w:sz w:val="20"/>
                <w:szCs w:val="20"/>
              </w:rPr>
            </w:pPr>
            <w:r w:rsidRPr="005261BE">
              <w:rPr>
                <w:rFonts w:ascii="Times New Roman" w:hAnsi="Times New Roman" w:cs="Times New Roman"/>
                <w:sz w:val="20"/>
                <w:szCs w:val="20"/>
              </w:rPr>
              <w:t>NA</w:t>
            </w:r>
          </w:p>
        </w:tc>
        <w:tc>
          <w:tcPr>
            <w:tcW w:w="1141" w:type="dxa"/>
            <w:tcBorders>
              <w:top w:val="single" w:sz="4" w:space="0" w:color="auto"/>
              <w:left w:val="single" w:sz="4" w:space="0" w:color="auto"/>
              <w:bottom w:val="nil"/>
              <w:right w:val="single" w:sz="4" w:space="0" w:color="auto"/>
            </w:tcBorders>
          </w:tcPr>
          <w:p w14:paraId="69CDFB16" w14:textId="77777777" w:rsidR="00E42357" w:rsidRPr="005261BE" w:rsidRDefault="00E42357" w:rsidP="00D524BF">
            <w:pPr>
              <w:pStyle w:val="TableParagraph"/>
              <w:spacing w:before="25"/>
              <w:rPr>
                <w:rFonts w:ascii="Times New Roman" w:hAnsi="Times New Roman" w:cs="Times New Roman"/>
                <w:sz w:val="20"/>
                <w:szCs w:val="20"/>
              </w:rPr>
            </w:pPr>
            <w:r w:rsidRPr="005261BE">
              <w:rPr>
                <w:rFonts w:ascii="Times New Roman" w:hAnsi="Times New Roman" w:cs="Times New Roman"/>
                <w:sz w:val="20"/>
                <w:szCs w:val="20"/>
              </w:rPr>
              <w:t>0.307</w:t>
            </w:r>
          </w:p>
          <w:p w14:paraId="1E265788" w14:textId="77777777" w:rsidR="00E42357" w:rsidRPr="005261BE" w:rsidRDefault="00E42357" w:rsidP="00D524BF">
            <w:pPr>
              <w:pStyle w:val="TableParagraph"/>
              <w:spacing w:before="1"/>
              <w:rPr>
                <w:rFonts w:ascii="Times New Roman" w:hAnsi="Times New Roman" w:cs="Times New Roman"/>
                <w:sz w:val="20"/>
                <w:szCs w:val="20"/>
              </w:rPr>
            </w:pPr>
            <w:r w:rsidRPr="005261BE">
              <w:rPr>
                <w:rFonts w:ascii="Times New Roman" w:hAnsi="Times New Roman" w:cs="Times New Roman"/>
                <w:sz w:val="20"/>
                <w:szCs w:val="20"/>
              </w:rPr>
              <w:t>mg/kg;</w:t>
            </w:r>
          </w:p>
        </w:tc>
      </w:tr>
      <w:tr w:rsidR="00E42357" w:rsidRPr="00AB1481" w14:paraId="374BC44D" w14:textId="77777777" w:rsidTr="00D524BF">
        <w:trPr>
          <w:trHeight w:val="299"/>
        </w:trPr>
        <w:tc>
          <w:tcPr>
            <w:tcW w:w="851" w:type="dxa"/>
            <w:vMerge/>
            <w:tcBorders>
              <w:top w:val="nil"/>
            </w:tcBorders>
          </w:tcPr>
          <w:p w14:paraId="44604D2D" w14:textId="77777777" w:rsidR="00E42357" w:rsidRPr="005261BE" w:rsidRDefault="00E42357" w:rsidP="00D524BF">
            <w:pPr>
              <w:rPr>
                <w:rFonts w:ascii="Times New Roman" w:hAnsi="Times New Roman" w:cs="Times New Roman"/>
                <w:sz w:val="20"/>
                <w:szCs w:val="20"/>
              </w:rPr>
            </w:pPr>
          </w:p>
        </w:tc>
        <w:tc>
          <w:tcPr>
            <w:tcW w:w="1132" w:type="dxa"/>
            <w:vMerge/>
            <w:tcBorders>
              <w:top w:val="nil"/>
            </w:tcBorders>
          </w:tcPr>
          <w:p w14:paraId="3D7D930F" w14:textId="77777777" w:rsidR="00E42357" w:rsidRPr="005261BE" w:rsidRDefault="00E42357" w:rsidP="00D524BF">
            <w:pPr>
              <w:rPr>
                <w:rFonts w:ascii="Times New Roman" w:hAnsi="Times New Roman" w:cs="Times New Roman"/>
                <w:sz w:val="20"/>
                <w:szCs w:val="20"/>
              </w:rPr>
            </w:pPr>
          </w:p>
        </w:tc>
        <w:tc>
          <w:tcPr>
            <w:tcW w:w="1131" w:type="dxa"/>
            <w:vMerge/>
            <w:tcBorders>
              <w:top w:val="nil"/>
              <w:right w:val="single" w:sz="4" w:space="0" w:color="auto"/>
            </w:tcBorders>
          </w:tcPr>
          <w:p w14:paraId="157F8CE1" w14:textId="77777777" w:rsidR="00E42357" w:rsidRPr="005261BE" w:rsidRDefault="00E42357" w:rsidP="00D524BF">
            <w:pPr>
              <w:rPr>
                <w:rFonts w:ascii="Times New Roman" w:hAnsi="Times New Roman" w:cs="Times New Roman"/>
                <w:sz w:val="20"/>
                <w:szCs w:val="20"/>
              </w:rPr>
            </w:pPr>
          </w:p>
        </w:tc>
        <w:tc>
          <w:tcPr>
            <w:tcW w:w="1130" w:type="dxa"/>
            <w:tcBorders>
              <w:top w:val="nil"/>
              <w:left w:val="single" w:sz="4" w:space="0" w:color="auto"/>
              <w:bottom w:val="nil"/>
              <w:right w:val="single" w:sz="4" w:space="0" w:color="auto"/>
            </w:tcBorders>
          </w:tcPr>
          <w:p w14:paraId="594C52D4" w14:textId="77777777" w:rsidR="00E42357" w:rsidRPr="005261BE" w:rsidRDefault="00E42357" w:rsidP="00D524BF">
            <w:pPr>
              <w:pStyle w:val="TableParagraph"/>
              <w:ind w:left="104" w:right="96"/>
              <w:rPr>
                <w:rFonts w:ascii="Times New Roman" w:hAnsi="Times New Roman" w:cs="Times New Roman"/>
                <w:sz w:val="20"/>
                <w:szCs w:val="20"/>
              </w:rPr>
            </w:pPr>
            <w:r w:rsidRPr="005261BE">
              <w:rPr>
                <w:rFonts w:ascii="Times New Roman" w:hAnsi="Times New Roman" w:cs="Times New Roman"/>
                <w:sz w:val="20"/>
                <w:szCs w:val="20"/>
              </w:rPr>
              <w:t>105%</w:t>
            </w:r>
          </w:p>
        </w:tc>
        <w:tc>
          <w:tcPr>
            <w:tcW w:w="1131" w:type="dxa"/>
            <w:vMerge/>
            <w:tcBorders>
              <w:top w:val="nil"/>
              <w:left w:val="single" w:sz="4" w:space="0" w:color="auto"/>
              <w:right w:val="single" w:sz="4" w:space="0" w:color="auto"/>
            </w:tcBorders>
          </w:tcPr>
          <w:p w14:paraId="6012669B" w14:textId="77777777" w:rsidR="00E42357" w:rsidRPr="005261BE" w:rsidRDefault="00E42357" w:rsidP="00D524BF">
            <w:pPr>
              <w:rPr>
                <w:rFonts w:ascii="Times New Roman" w:hAnsi="Times New Roman" w:cs="Times New Roman"/>
                <w:sz w:val="20"/>
                <w:szCs w:val="20"/>
              </w:rPr>
            </w:pPr>
          </w:p>
        </w:tc>
        <w:tc>
          <w:tcPr>
            <w:tcW w:w="1131" w:type="dxa"/>
            <w:tcBorders>
              <w:top w:val="nil"/>
              <w:left w:val="single" w:sz="4" w:space="0" w:color="auto"/>
              <w:bottom w:val="nil"/>
              <w:right w:val="single" w:sz="4" w:space="0" w:color="auto"/>
            </w:tcBorders>
          </w:tcPr>
          <w:p w14:paraId="3CF72F1C" w14:textId="77777777" w:rsidR="00E42357" w:rsidRPr="005261BE" w:rsidRDefault="00E42357" w:rsidP="00D524BF">
            <w:pPr>
              <w:pStyle w:val="TableParagraph"/>
              <w:ind w:left="98" w:right="94"/>
              <w:rPr>
                <w:rFonts w:ascii="Times New Roman" w:hAnsi="Times New Roman" w:cs="Times New Roman"/>
                <w:sz w:val="20"/>
                <w:szCs w:val="20"/>
              </w:rPr>
            </w:pPr>
            <w:r w:rsidRPr="005261BE">
              <w:rPr>
                <w:rFonts w:ascii="Times New Roman" w:hAnsi="Times New Roman" w:cs="Times New Roman"/>
                <w:sz w:val="20"/>
                <w:szCs w:val="20"/>
              </w:rPr>
              <w:t>100%</w:t>
            </w:r>
          </w:p>
        </w:tc>
        <w:tc>
          <w:tcPr>
            <w:tcW w:w="925" w:type="dxa"/>
            <w:vMerge/>
            <w:tcBorders>
              <w:top w:val="nil"/>
              <w:left w:val="single" w:sz="4" w:space="0" w:color="auto"/>
            </w:tcBorders>
          </w:tcPr>
          <w:p w14:paraId="71D7271A" w14:textId="77777777" w:rsidR="00E42357" w:rsidRPr="005261BE" w:rsidRDefault="00E42357" w:rsidP="00D524BF">
            <w:pPr>
              <w:rPr>
                <w:rFonts w:ascii="Times New Roman" w:hAnsi="Times New Roman" w:cs="Times New Roman"/>
                <w:sz w:val="20"/>
                <w:szCs w:val="20"/>
              </w:rPr>
            </w:pPr>
          </w:p>
        </w:tc>
        <w:tc>
          <w:tcPr>
            <w:tcW w:w="1131" w:type="dxa"/>
            <w:vMerge/>
            <w:tcBorders>
              <w:top w:val="nil"/>
              <w:right w:val="single" w:sz="4" w:space="0" w:color="auto"/>
            </w:tcBorders>
          </w:tcPr>
          <w:p w14:paraId="6603F9CB" w14:textId="77777777" w:rsidR="00E42357" w:rsidRPr="005261BE" w:rsidRDefault="00E42357" w:rsidP="00D524BF">
            <w:pPr>
              <w:rPr>
                <w:rFonts w:ascii="Times New Roman" w:hAnsi="Times New Roman" w:cs="Times New Roman"/>
                <w:sz w:val="20"/>
                <w:szCs w:val="20"/>
              </w:rPr>
            </w:pPr>
          </w:p>
        </w:tc>
        <w:tc>
          <w:tcPr>
            <w:tcW w:w="1141" w:type="dxa"/>
            <w:tcBorders>
              <w:top w:val="nil"/>
              <w:left w:val="single" w:sz="4" w:space="0" w:color="auto"/>
              <w:bottom w:val="nil"/>
              <w:right w:val="single" w:sz="4" w:space="0" w:color="auto"/>
            </w:tcBorders>
          </w:tcPr>
          <w:p w14:paraId="4192C992" w14:textId="77777777" w:rsidR="00E42357" w:rsidRPr="005261BE" w:rsidRDefault="00E42357" w:rsidP="00D524BF">
            <w:pPr>
              <w:pStyle w:val="TableParagraph"/>
              <w:rPr>
                <w:rFonts w:ascii="Times New Roman" w:hAnsi="Times New Roman" w:cs="Times New Roman"/>
                <w:sz w:val="20"/>
                <w:szCs w:val="20"/>
              </w:rPr>
            </w:pPr>
            <w:r w:rsidRPr="005261BE">
              <w:rPr>
                <w:rFonts w:ascii="Times New Roman" w:hAnsi="Times New Roman" w:cs="Times New Roman"/>
                <w:sz w:val="20"/>
                <w:szCs w:val="20"/>
              </w:rPr>
              <w:t>97%</w:t>
            </w:r>
          </w:p>
        </w:tc>
      </w:tr>
      <w:tr w:rsidR="00E42357" w:rsidRPr="00AB1481" w14:paraId="2D8B7E60" w14:textId="77777777" w:rsidTr="00D524BF">
        <w:trPr>
          <w:trHeight w:val="509"/>
        </w:trPr>
        <w:tc>
          <w:tcPr>
            <w:tcW w:w="851" w:type="dxa"/>
            <w:vMerge/>
            <w:tcBorders>
              <w:top w:val="nil"/>
            </w:tcBorders>
          </w:tcPr>
          <w:p w14:paraId="70B684C7" w14:textId="77777777" w:rsidR="00E42357" w:rsidRPr="005261BE" w:rsidRDefault="00E42357" w:rsidP="00D524BF">
            <w:pPr>
              <w:rPr>
                <w:rFonts w:ascii="Times New Roman" w:hAnsi="Times New Roman" w:cs="Times New Roman"/>
                <w:sz w:val="20"/>
                <w:szCs w:val="20"/>
              </w:rPr>
            </w:pPr>
          </w:p>
        </w:tc>
        <w:tc>
          <w:tcPr>
            <w:tcW w:w="1132" w:type="dxa"/>
            <w:vMerge/>
            <w:tcBorders>
              <w:top w:val="nil"/>
              <w:bottom w:val="single" w:sz="4" w:space="0" w:color="auto"/>
            </w:tcBorders>
          </w:tcPr>
          <w:p w14:paraId="2510B916" w14:textId="77777777" w:rsidR="00E42357" w:rsidRPr="005261BE" w:rsidRDefault="00E42357" w:rsidP="00D524BF">
            <w:pPr>
              <w:rPr>
                <w:rFonts w:ascii="Times New Roman" w:hAnsi="Times New Roman" w:cs="Times New Roman"/>
                <w:sz w:val="20"/>
                <w:szCs w:val="20"/>
              </w:rPr>
            </w:pPr>
          </w:p>
        </w:tc>
        <w:tc>
          <w:tcPr>
            <w:tcW w:w="1131" w:type="dxa"/>
            <w:vMerge/>
            <w:tcBorders>
              <w:top w:val="nil"/>
              <w:bottom w:val="single" w:sz="4" w:space="0" w:color="auto"/>
              <w:right w:val="single" w:sz="4" w:space="0" w:color="auto"/>
            </w:tcBorders>
          </w:tcPr>
          <w:p w14:paraId="0D993EF6" w14:textId="77777777" w:rsidR="00E42357" w:rsidRPr="005261BE" w:rsidRDefault="00E42357" w:rsidP="00D524BF">
            <w:pPr>
              <w:rPr>
                <w:rFonts w:ascii="Times New Roman" w:hAnsi="Times New Roman" w:cs="Times New Roman"/>
                <w:sz w:val="20"/>
                <w:szCs w:val="20"/>
              </w:rPr>
            </w:pPr>
          </w:p>
        </w:tc>
        <w:tc>
          <w:tcPr>
            <w:tcW w:w="1130" w:type="dxa"/>
            <w:tcBorders>
              <w:top w:val="nil"/>
              <w:left w:val="single" w:sz="4" w:space="0" w:color="auto"/>
              <w:bottom w:val="single" w:sz="4" w:space="0" w:color="auto"/>
              <w:right w:val="single" w:sz="4" w:space="0" w:color="auto"/>
            </w:tcBorders>
          </w:tcPr>
          <w:p w14:paraId="4B111F29" w14:textId="77777777" w:rsidR="00E42357" w:rsidRPr="005261BE" w:rsidRDefault="00E42357" w:rsidP="00D524BF">
            <w:pPr>
              <w:pStyle w:val="TableParagraph"/>
              <w:spacing w:before="25"/>
              <w:ind w:left="297" w:right="228" w:hanging="44"/>
              <w:rPr>
                <w:rFonts w:ascii="Times New Roman" w:hAnsi="Times New Roman" w:cs="Times New Roman"/>
                <w:sz w:val="20"/>
                <w:szCs w:val="20"/>
              </w:rPr>
            </w:pPr>
            <w:r w:rsidRPr="005261BE">
              <w:rPr>
                <w:rFonts w:ascii="Times New Roman" w:hAnsi="Times New Roman" w:cs="Times New Roman"/>
                <w:sz w:val="20"/>
                <w:szCs w:val="20"/>
              </w:rPr>
              <w:t>(RPD = 5.0 %)</w:t>
            </w:r>
          </w:p>
        </w:tc>
        <w:tc>
          <w:tcPr>
            <w:tcW w:w="1131" w:type="dxa"/>
            <w:vMerge/>
            <w:tcBorders>
              <w:top w:val="nil"/>
              <w:left w:val="single" w:sz="4" w:space="0" w:color="auto"/>
              <w:bottom w:val="single" w:sz="4" w:space="0" w:color="auto"/>
              <w:right w:val="single" w:sz="4" w:space="0" w:color="auto"/>
            </w:tcBorders>
          </w:tcPr>
          <w:p w14:paraId="6AE53FC8" w14:textId="77777777" w:rsidR="00E42357" w:rsidRPr="005261BE" w:rsidRDefault="00E42357" w:rsidP="00D524BF">
            <w:pPr>
              <w:rPr>
                <w:rFonts w:ascii="Times New Roman" w:hAnsi="Times New Roman" w:cs="Times New Roman"/>
                <w:sz w:val="20"/>
                <w:szCs w:val="20"/>
              </w:rPr>
            </w:pPr>
          </w:p>
        </w:tc>
        <w:tc>
          <w:tcPr>
            <w:tcW w:w="1131" w:type="dxa"/>
            <w:tcBorders>
              <w:top w:val="nil"/>
              <w:left w:val="single" w:sz="4" w:space="0" w:color="auto"/>
              <w:bottom w:val="single" w:sz="4" w:space="0" w:color="auto"/>
              <w:right w:val="single" w:sz="4" w:space="0" w:color="auto"/>
            </w:tcBorders>
          </w:tcPr>
          <w:p w14:paraId="77CCDE54"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(RSD = 1.3 %)</w:t>
            </w:r>
          </w:p>
        </w:tc>
        <w:tc>
          <w:tcPr>
            <w:tcW w:w="925" w:type="dxa"/>
            <w:vMerge/>
            <w:tcBorders>
              <w:top w:val="nil"/>
              <w:left w:val="single" w:sz="4" w:space="0" w:color="auto"/>
              <w:bottom w:val="single" w:sz="4" w:space="0" w:color="auto"/>
            </w:tcBorders>
          </w:tcPr>
          <w:p w14:paraId="097A3454" w14:textId="77777777" w:rsidR="00E42357" w:rsidRPr="005261BE" w:rsidRDefault="00E42357" w:rsidP="00D524BF">
            <w:pPr>
              <w:rPr>
                <w:rFonts w:ascii="Times New Roman" w:hAnsi="Times New Roman" w:cs="Times New Roman"/>
                <w:sz w:val="20"/>
                <w:szCs w:val="20"/>
              </w:rPr>
            </w:pPr>
          </w:p>
        </w:tc>
        <w:tc>
          <w:tcPr>
            <w:tcW w:w="1131" w:type="dxa"/>
            <w:vMerge/>
            <w:tcBorders>
              <w:top w:val="nil"/>
              <w:bottom w:val="single" w:sz="4" w:space="0" w:color="auto"/>
              <w:right w:val="single" w:sz="4" w:space="0" w:color="auto"/>
            </w:tcBorders>
          </w:tcPr>
          <w:p w14:paraId="30363F14" w14:textId="77777777" w:rsidR="00E42357" w:rsidRPr="005261BE" w:rsidRDefault="00E42357" w:rsidP="00D524BF">
            <w:pPr>
              <w:rPr>
                <w:rFonts w:ascii="Times New Roman" w:hAnsi="Times New Roman" w:cs="Times New Roman"/>
                <w:sz w:val="20"/>
                <w:szCs w:val="20"/>
              </w:rPr>
            </w:pPr>
          </w:p>
        </w:tc>
        <w:tc>
          <w:tcPr>
            <w:tcW w:w="1141" w:type="dxa"/>
            <w:tcBorders>
              <w:top w:val="nil"/>
              <w:left w:val="single" w:sz="4" w:space="0" w:color="auto"/>
              <w:bottom w:val="single" w:sz="4" w:space="0" w:color="auto"/>
              <w:right w:val="single" w:sz="4" w:space="0" w:color="auto"/>
            </w:tcBorders>
          </w:tcPr>
          <w:p w14:paraId="2C1E9D76" w14:textId="77777777" w:rsidR="00E42357" w:rsidRPr="005261BE" w:rsidRDefault="00E42357" w:rsidP="00D524BF">
            <w:pPr>
              <w:pStyle w:val="TableParagraph"/>
              <w:spacing w:before="25"/>
              <w:ind w:right="122"/>
              <w:rPr>
                <w:rFonts w:ascii="Times New Roman" w:hAnsi="Times New Roman" w:cs="Times New Roman"/>
                <w:sz w:val="20"/>
                <w:szCs w:val="20"/>
              </w:rPr>
            </w:pPr>
            <w:r w:rsidRPr="005261BE">
              <w:rPr>
                <w:rFonts w:ascii="Times New Roman" w:hAnsi="Times New Roman" w:cs="Times New Roman"/>
                <w:sz w:val="20"/>
                <w:szCs w:val="20"/>
              </w:rPr>
              <w:t xml:space="preserve">  (RSD = 0.8 %)</w:t>
            </w:r>
          </w:p>
        </w:tc>
      </w:tr>
      <w:tr w:rsidR="00E42357" w:rsidRPr="00AB1481" w14:paraId="12C7E918" w14:textId="77777777" w:rsidTr="00D524BF">
        <w:trPr>
          <w:trHeight w:val="510"/>
        </w:trPr>
        <w:tc>
          <w:tcPr>
            <w:tcW w:w="851" w:type="dxa"/>
            <w:vMerge w:val="restart"/>
            <w:tcBorders>
              <w:right w:val="single" w:sz="4" w:space="0" w:color="auto"/>
            </w:tcBorders>
          </w:tcPr>
          <w:p w14:paraId="5B7BFFCA" w14:textId="77777777" w:rsidR="00E42357" w:rsidRPr="005261BE" w:rsidRDefault="00E42357" w:rsidP="00D524BF">
            <w:pPr>
              <w:pStyle w:val="TableParagraph"/>
              <w:rPr>
                <w:rFonts w:ascii="Times New Roman" w:hAnsi="Times New Roman" w:cs="Times New Roman"/>
                <w:sz w:val="20"/>
                <w:szCs w:val="20"/>
              </w:rPr>
            </w:pPr>
          </w:p>
          <w:p w14:paraId="3F10DD32" w14:textId="77777777" w:rsidR="00E42357" w:rsidRPr="005261BE" w:rsidRDefault="00E42357" w:rsidP="00D524BF">
            <w:pPr>
              <w:pStyle w:val="TableParagraph"/>
              <w:spacing w:before="3"/>
              <w:rPr>
                <w:rFonts w:ascii="Times New Roman" w:hAnsi="Times New Roman" w:cs="Times New Roman"/>
                <w:sz w:val="20"/>
                <w:szCs w:val="20"/>
              </w:rPr>
            </w:pPr>
          </w:p>
          <w:p w14:paraId="0502A7D3" w14:textId="77777777" w:rsidR="00E42357" w:rsidRPr="005261BE" w:rsidRDefault="00E42357" w:rsidP="00D524BF">
            <w:pPr>
              <w:pStyle w:val="TableParagraph"/>
              <w:spacing w:before="1"/>
              <w:ind w:left="282" w:right="274"/>
              <w:rPr>
                <w:rFonts w:ascii="Times New Roman" w:hAnsi="Times New Roman" w:cs="Times New Roman"/>
                <w:sz w:val="20"/>
                <w:szCs w:val="20"/>
              </w:rPr>
            </w:pPr>
            <w:r w:rsidRPr="005261BE">
              <w:rPr>
                <w:rFonts w:ascii="Times New Roman" w:hAnsi="Times New Roman" w:cs="Times New Roman"/>
                <w:sz w:val="20"/>
                <w:szCs w:val="20"/>
              </w:rPr>
              <w:t>Pb</w:t>
            </w:r>
          </w:p>
        </w:tc>
        <w:tc>
          <w:tcPr>
            <w:tcW w:w="1132" w:type="dxa"/>
            <w:tcBorders>
              <w:top w:val="single" w:sz="4" w:space="0" w:color="auto"/>
              <w:left w:val="single" w:sz="4" w:space="0" w:color="auto"/>
              <w:bottom w:val="nil"/>
              <w:right w:val="single" w:sz="4" w:space="0" w:color="auto"/>
            </w:tcBorders>
          </w:tcPr>
          <w:p w14:paraId="51ED0944" w14:textId="77777777" w:rsidR="00E42357" w:rsidRPr="005261BE" w:rsidRDefault="00E42357" w:rsidP="00D524BF">
            <w:pPr>
              <w:pStyle w:val="TableParagraph"/>
              <w:spacing w:before="140"/>
              <w:ind w:left="107" w:right="97"/>
              <w:rPr>
                <w:rFonts w:ascii="Times New Roman" w:hAnsi="Times New Roman" w:cs="Times New Roman"/>
                <w:sz w:val="20"/>
                <w:szCs w:val="20"/>
              </w:rPr>
            </w:pPr>
            <w:r w:rsidRPr="005261BE">
              <w:rPr>
                <w:rFonts w:ascii="Times New Roman" w:hAnsi="Times New Roman" w:cs="Times New Roman"/>
                <w:sz w:val="20"/>
                <w:szCs w:val="20"/>
              </w:rPr>
              <w:t>296 µg/kg;</w:t>
            </w:r>
          </w:p>
        </w:tc>
        <w:tc>
          <w:tcPr>
            <w:tcW w:w="1131" w:type="dxa"/>
            <w:tcBorders>
              <w:top w:val="single" w:sz="4" w:space="0" w:color="auto"/>
              <w:left w:val="single" w:sz="4" w:space="0" w:color="auto"/>
              <w:bottom w:val="nil"/>
              <w:right w:val="single" w:sz="4" w:space="0" w:color="auto"/>
            </w:tcBorders>
          </w:tcPr>
          <w:p w14:paraId="0D8957B6" w14:textId="77777777" w:rsidR="00E42357" w:rsidRPr="005261BE" w:rsidRDefault="00E42357" w:rsidP="00D524BF">
            <w:pPr>
              <w:pStyle w:val="TableParagraph"/>
              <w:spacing w:before="25"/>
              <w:ind w:left="98" w:right="90"/>
              <w:rPr>
                <w:rFonts w:ascii="Times New Roman" w:hAnsi="Times New Roman" w:cs="Times New Roman"/>
                <w:sz w:val="20"/>
                <w:szCs w:val="20"/>
              </w:rPr>
            </w:pPr>
            <w:r w:rsidRPr="005261BE">
              <w:rPr>
                <w:rFonts w:ascii="Times New Roman" w:hAnsi="Times New Roman" w:cs="Times New Roman"/>
                <w:sz w:val="20"/>
                <w:szCs w:val="20"/>
              </w:rPr>
              <w:t>60.7</w:t>
            </w:r>
          </w:p>
          <w:p w14:paraId="68F6AB12" w14:textId="77777777" w:rsidR="00E42357" w:rsidRPr="005261BE" w:rsidRDefault="00E42357" w:rsidP="00D524BF">
            <w:pPr>
              <w:pStyle w:val="TableParagraph"/>
              <w:spacing w:before="1"/>
              <w:ind w:left="98" w:right="91"/>
              <w:rPr>
                <w:rFonts w:ascii="Times New Roman" w:hAnsi="Times New Roman" w:cs="Times New Roman"/>
                <w:sz w:val="20"/>
                <w:szCs w:val="20"/>
              </w:rPr>
            </w:pPr>
            <w:proofErr w:type="gramStart"/>
            <w:r w:rsidRPr="005261BE">
              <w:rPr>
                <w:rFonts w:ascii="Times New Roman" w:hAnsi="Times New Roman" w:cs="Times New Roman"/>
                <w:sz w:val="20"/>
                <w:szCs w:val="20"/>
              </w:rPr>
              <w:t>µg/</w:t>
            </w:r>
            <w:proofErr w:type="gramEnd"/>
            <w:r w:rsidRPr="005261BE">
              <w:rPr>
                <w:rFonts w:ascii="Times New Roman" w:hAnsi="Times New Roman" w:cs="Times New Roman"/>
                <w:sz w:val="20"/>
                <w:szCs w:val="20"/>
              </w:rPr>
              <w:t>kg;</w:t>
            </w:r>
          </w:p>
        </w:tc>
        <w:tc>
          <w:tcPr>
            <w:tcW w:w="1130" w:type="dxa"/>
            <w:tcBorders>
              <w:top w:val="single" w:sz="4" w:space="0" w:color="auto"/>
              <w:left w:val="single" w:sz="4" w:space="0" w:color="auto"/>
              <w:bottom w:val="nil"/>
              <w:right w:val="single" w:sz="4" w:space="0" w:color="auto"/>
            </w:tcBorders>
          </w:tcPr>
          <w:p w14:paraId="5A0DB617" w14:textId="77777777" w:rsidR="00E42357" w:rsidRPr="005261BE" w:rsidRDefault="00E42357" w:rsidP="00D524BF">
            <w:pPr>
              <w:pStyle w:val="TableParagraph"/>
              <w:spacing w:before="140"/>
              <w:ind w:left="105" w:right="96"/>
              <w:rPr>
                <w:rFonts w:ascii="Times New Roman" w:hAnsi="Times New Roman" w:cs="Times New Roman"/>
                <w:sz w:val="20"/>
                <w:szCs w:val="20"/>
              </w:rPr>
            </w:pPr>
            <w:r w:rsidRPr="005261BE">
              <w:rPr>
                <w:rFonts w:ascii="Times New Roman" w:hAnsi="Times New Roman" w:cs="Times New Roman"/>
                <w:sz w:val="20"/>
                <w:szCs w:val="20"/>
              </w:rPr>
              <w:t>118 µg/kg;</w:t>
            </w:r>
          </w:p>
        </w:tc>
        <w:tc>
          <w:tcPr>
            <w:tcW w:w="1131" w:type="dxa"/>
            <w:tcBorders>
              <w:top w:val="single" w:sz="4" w:space="0" w:color="auto"/>
              <w:left w:val="single" w:sz="4" w:space="0" w:color="auto"/>
              <w:bottom w:val="nil"/>
              <w:right w:val="single" w:sz="4" w:space="0" w:color="auto"/>
            </w:tcBorders>
          </w:tcPr>
          <w:p w14:paraId="5B0F876A" w14:textId="77777777" w:rsidR="00E42357" w:rsidRPr="005261BE" w:rsidRDefault="00E42357" w:rsidP="00D524BF">
            <w:pPr>
              <w:pStyle w:val="TableParagraph"/>
              <w:spacing w:before="140"/>
              <w:ind w:left="98" w:right="91"/>
              <w:rPr>
                <w:rFonts w:ascii="Times New Roman" w:hAnsi="Times New Roman" w:cs="Times New Roman"/>
                <w:sz w:val="20"/>
                <w:szCs w:val="20"/>
              </w:rPr>
            </w:pPr>
            <w:r w:rsidRPr="005261BE">
              <w:rPr>
                <w:rFonts w:ascii="Times New Roman" w:hAnsi="Times New Roman" w:cs="Times New Roman"/>
                <w:sz w:val="20"/>
                <w:szCs w:val="20"/>
              </w:rPr>
              <w:t>442 µg/kg;</w:t>
            </w:r>
          </w:p>
        </w:tc>
        <w:tc>
          <w:tcPr>
            <w:tcW w:w="1131" w:type="dxa"/>
            <w:tcBorders>
              <w:top w:val="single" w:sz="4" w:space="0" w:color="auto"/>
              <w:left w:val="single" w:sz="4" w:space="0" w:color="auto"/>
              <w:bottom w:val="nil"/>
              <w:right w:val="single" w:sz="4" w:space="0" w:color="auto"/>
            </w:tcBorders>
          </w:tcPr>
          <w:p w14:paraId="7DCADF65" w14:textId="77777777" w:rsidR="00E42357" w:rsidRPr="005261BE" w:rsidRDefault="00E42357" w:rsidP="00D524BF">
            <w:pPr>
              <w:pStyle w:val="TableParagraph"/>
              <w:spacing w:before="140"/>
              <w:ind w:left="98" w:right="93"/>
              <w:rPr>
                <w:rFonts w:ascii="Times New Roman" w:hAnsi="Times New Roman" w:cs="Times New Roman"/>
                <w:sz w:val="20"/>
                <w:szCs w:val="20"/>
              </w:rPr>
            </w:pPr>
            <w:r w:rsidRPr="005261BE">
              <w:rPr>
                <w:rFonts w:ascii="Times New Roman" w:hAnsi="Times New Roman" w:cs="Times New Roman"/>
                <w:sz w:val="20"/>
                <w:szCs w:val="20"/>
              </w:rPr>
              <w:t>184 µg/kg;</w:t>
            </w:r>
          </w:p>
        </w:tc>
        <w:tc>
          <w:tcPr>
            <w:tcW w:w="925" w:type="dxa"/>
            <w:tcBorders>
              <w:top w:val="single" w:sz="4" w:space="0" w:color="auto"/>
              <w:left w:val="single" w:sz="4" w:space="0" w:color="auto"/>
              <w:bottom w:val="nil"/>
              <w:right w:val="single" w:sz="4" w:space="0" w:color="auto"/>
            </w:tcBorders>
          </w:tcPr>
          <w:p w14:paraId="6AE9297D" w14:textId="77777777" w:rsidR="00E42357" w:rsidRPr="005261BE" w:rsidRDefault="00E42357" w:rsidP="00D524BF">
            <w:pPr>
              <w:pStyle w:val="TableParagraph"/>
              <w:spacing w:before="25"/>
              <w:ind w:left="155" w:right="152"/>
              <w:rPr>
                <w:rFonts w:ascii="Times New Roman" w:hAnsi="Times New Roman" w:cs="Times New Roman"/>
                <w:sz w:val="20"/>
                <w:szCs w:val="20"/>
              </w:rPr>
            </w:pPr>
            <w:r w:rsidRPr="005261BE">
              <w:rPr>
                <w:rFonts w:ascii="Times New Roman" w:hAnsi="Times New Roman" w:cs="Times New Roman"/>
                <w:sz w:val="20"/>
                <w:szCs w:val="20"/>
              </w:rPr>
              <w:t>2.30</w:t>
            </w:r>
          </w:p>
          <w:p w14:paraId="0DE98DBC" w14:textId="77777777" w:rsidR="00E42357" w:rsidRPr="005261BE" w:rsidRDefault="00E42357" w:rsidP="00D524BF">
            <w:pPr>
              <w:pStyle w:val="TableParagraph"/>
              <w:spacing w:before="1"/>
              <w:ind w:left="156" w:right="152"/>
              <w:rPr>
                <w:rFonts w:ascii="Times New Roman" w:hAnsi="Times New Roman" w:cs="Times New Roman"/>
                <w:sz w:val="20"/>
                <w:szCs w:val="20"/>
              </w:rPr>
            </w:pPr>
            <w:r w:rsidRPr="005261BE">
              <w:rPr>
                <w:rFonts w:ascii="Times New Roman" w:hAnsi="Times New Roman" w:cs="Times New Roman"/>
                <w:sz w:val="20"/>
                <w:szCs w:val="20"/>
              </w:rPr>
              <w:t>mg/kg;</w:t>
            </w:r>
          </w:p>
        </w:tc>
        <w:tc>
          <w:tcPr>
            <w:tcW w:w="1131" w:type="dxa"/>
            <w:tcBorders>
              <w:top w:val="single" w:sz="4" w:space="0" w:color="auto"/>
              <w:left w:val="single" w:sz="4" w:space="0" w:color="auto"/>
              <w:bottom w:val="nil"/>
              <w:right w:val="single" w:sz="4" w:space="0" w:color="auto"/>
            </w:tcBorders>
          </w:tcPr>
          <w:p w14:paraId="53EF195F" w14:textId="77777777" w:rsidR="00E42357" w:rsidRPr="005261BE" w:rsidRDefault="00E42357" w:rsidP="00D524BF">
            <w:pPr>
              <w:pStyle w:val="TableParagraph"/>
              <w:spacing w:before="140"/>
              <w:ind w:left="98" w:right="96"/>
              <w:rPr>
                <w:rFonts w:ascii="Times New Roman" w:hAnsi="Times New Roman" w:cs="Times New Roman"/>
                <w:sz w:val="20"/>
                <w:szCs w:val="20"/>
              </w:rPr>
            </w:pPr>
            <w:r w:rsidRPr="005261BE">
              <w:rPr>
                <w:rFonts w:ascii="Times New Roman" w:hAnsi="Times New Roman" w:cs="Times New Roman"/>
                <w:sz w:val="20"/>
                <w:szCs w:val="20"/>
              </w:rPr>
              <w:t>555 µg/kg;</w:t>
            </w:r>
          </w:p>
        </w:tc>
        <w:tc>
          <w:tcPr>
            <w:tcW w:w="1141" w:type="dxa"/>
            <w:tcBorders>
              <w:top w:val="single" w:sz="4" w:space="0" w:color="auto"/>
              <w:left w:val="single" w:sz="4" w:space="0" w:color="auto"/>
              <w:bottom w:val="nil"/>
              <w:right w:val="single" w:sz="4" w:space="0" w:color="auto"/>
            </w:tcBorders>
          </w:tcPr>
          <w:p w14:paraId="16AD3492" w14:textId="77777777" w:rsidR="00E42357" w:rsidRPr="005261BE" w:rsidRDefault="00E42357" w:rsidP="00D524BF">
            <w:pPr>
              <w:pStyle w:val="TableParagraph"/>
              <w:spacing w:before="25"/>
              <w:rPr>
                <w:rFonts w:ascii="Times New Roman" w:hAnsi="Times New Roman" w:cs="Times New Roman"/>
                <w:sz w:val="20"/>
                <w:szCs w:val="20"/>
              </w:rPr>
            </w:pPr>
            <w:r w:rsidRPr="005261BE">
              <w:rPr>
                <w:rFonts w:ascii="Times New Roman" w:hAnsi="Times New Roman" w:cs="Times New Roman"/>
                <w:sz w:val="20"/>
                <w:szCs w:val="20"/>
              </w:rPr>
              <w:t>0.059</w:t>
            </w:r>
          </w:p>
          <w:p w14:paraId="0DC67D77" w14:textId="77777777" w:rsidR="00E42357" w:rsidRPr="005261BE" w:rsidRDefault="00E42357" w:rsidP="00D524BF">
            <w:pPr>
              <w:pStyle w:val="TableParagraph"/>
              <w:spacing w:before="1"/>
              <w:rPr>
                <w:rFonts w:ascii="Times New Roman" w:hAnsi="Times New Roman" w:cs="Times New Roman"/>
                <w:sz w:val="20"/>
                <w:szCs w:val="20"/>
              </w:rPr>
            </w:pPr>
            <w:r w:rsidRPr="005261BE">
              <w:rPr>
                <w:rFonts w:ascii="Times New Roman" w:hAnsi="Times New Roman" w:cs="Times New Roman"/>
                <w:sz w:val="20"/>
                <w:szCs w:val="20"/>
              </w:rPr>
              <w:t>mg/kg;</w:t>
            </w:r>
          </w:p>
        </w:tc>
      </w:tr>
      <w:tr w:rsidR="00E42357" w:rsidRPr="00AB1481" w14:paraId="08A8EC86" w14:textId="77777777" w:rsidTr="00D524BF">
        <w:trPr>
          <w:trHeight w:val="299"/>
        </w:trPr>
        <w:tc>
          <w:tcPr>
            <w:tcW w:w="851" w:type="dxa"/>
            <w:vMerge/>
            <w:tcBorders>
              <w:top w:val="nil"/>
              <w:right w:val="single" w:sz="4" w:space="0" w:color="auto"/>
            </w:tcBorders>
          </w:tcPr>
          <w:p w14:paraId="1A45ED4D" w14:textId="77777777" w:rsidR="00E42357" w:rsidRPr="005261BE" w:rsidRDefault="00E42357" w:rsidP="00D524BF">
            <w:pPr>
              <w:rPr>
                <w:rFonts w:ascii="Times New Roman" w:hAnsi="Times New Roman" w:cs="Times New Roman"/>
                <w:sz w:val="20"/>
                <w:szCs w:val="20"/>
              </w:rPr>
            </w:pPr>
          </w:p>
        </w:tc>
        <w:tc>
          <w:tcPr>
            <w:tcW w:w="1132" w:type="dxa"/>
            <w:tcBorders>
              <w:top w:val="nil"/>
              <w:left w:val="single" w:sz="4" w:space="0" w:color="auto"/>
              <w:bottom w:val="nil"/>
              <w:right w:val="single" w:sz="4" w:space="0" w:color="auto"/>
            </w:tcBorders>
          </w:tcPr>
          <w:p w14:paraId="07AD6391" w14:textId="77777777" w:rsidR="00E42357" w:rsidRPr="005261BE" w:rsidRDefault="00E42357" w:rsidP="00D524BF">
            <w:pPr>
              <w:pStyle w:val="TableParagraph"/>
              <w:ind w:left="106" w:right="97"/>
              <w:rPr>
                <w:rFonts w:ascii="Times New Roman" w:hAnsi="Times New Roman" w:cs="Times New Roman"/>
                <w:sz w:val="20"/>
                <w:szCs w:val="20"/>
              </w:rPr>
            </w:pPr>
            <w:r w:rsidRPr="005261BE">
              <w:rPr>
                <w:rFonts w:ascii="Times New Roman" w:hAnsi="Times New Roman" w:cs="Times New Roman"/>
                <w:sz w:val="20"/>
                <w:szCs w:val="20"/>
              </w:rPr>
              <w:t>96%</w:t>
            </w:r>
          </w:p>
        </w:tc>
        <w:tc>
          <w:tcPr>
            <w:tcW w:w="1131" w:type="dxa"/>
            <w:tcBorders>
              <w:top w:val="nil"/>
              <w:left w:val="single" w:sz="4" w:space="0" w:color="auto"/>
              <w:bottom w:val="nil"/>
              <w:right w:val="single" w:sz="4" w:space="0" w:color="auto"/>
            </w:tcBorders>
          </w:tcPr>
          <w:p w14:paraId="21D154D2" w14:textId="77777777" w:rsidR="00E42357" w:rsidRPr="005261BE" w:rsidRDefault="00E42357" w:rsidP="00D524BF">
            <w:pPr>
              <w:pStyle w:val="TableParagraph"/>
              <w:ind w:right="371"/>
              <w:jc w:val="right"/>
              <w:rPr>
                <w:rFonts w:ascii="Times New Roman" w:hAnsi="Times New Roman" w:cs="Times New Roman"/>
                <w:sz w:val="20"/>
                <w:szCs w:val="20"/>
              </w:rPr>
            </w:pPr>
            <w:r w:rsidRPr="005261BE">
              <w:rPr>
                <w:rFonts w:ascii="Times New Roman" w:hAnsi="Times New Roman" w:cs="Times New Roman"/>
                <w:sz w:val="20"/>
                <w:szCs w:val="20"/>
              </w:rPr>
              <w:t>99%</w:t>
            </w:r>
          </w:p>
        </w:tc>
        <w:tc>
          <w:tcPr>
            <w:tcW w:w="1130" w:type="dxa"/>
            <w:tcBorders>
              <w:top w:val="nil"/>
              <w:left w:val="single" w:sz="4" w:space="0" w:color="auto"/>
              <w:bottom w:val="nil"/>
              <w:right w:val="single" w:sz="4" w:space="0" w:color="auto"/>
            </w:tcBorders>
          </w:tcPr>
          <w:p w14:paraId="76AFB708" w14:textId="77777777" w:rsidR="00E42357" w:rsidRPr="005261BE" w:rsidRDefault="00E42357" w:rsidP="00D524BF">
            <w:pPr>
              <w:pStyle w:val="TableParagraph"/>
              <w:ind w:left="103" w:right="96"/>
              <w:rPr>
                <w:rFonts w:ascii="Times New Roman" w:hAnsi="Times New Roman" w:cs="Times New Roman"/>
                <w:sz w:val="20"/>
                <w:szCs w:val="20"/>
              </w:rPr>
            </w:pPr>
            <w:r w:rsidRPr="005261BE">
              <w:rPr>
                <w:rFonts w:ascii="Times New Roman" w:hAnsi="Times New Roman" w:cs="Times New Roman"/>
                <w:sz w:val="20"/>
                <w:szCs w:val="20"/>
              </w:rPr>
              <w:t>102%</w:t>
            </w:r>
          </w:p>
        </w:tc>
        <w:tc>
          <w:tcPr>
            <w:tcW w:w="1131" w:type="dxa"/>
            <w:tcBorders>
              <w:top w:val="nil"/>
              <w:left w:val="single" w:sz="4" w:space="0" w:color="auto"/>
              <w:bottom w:val="nil"/>
              <w:right w:val="single" w:sz="4" w:space="0" w:color="auto"/>
            </w:tcBorders>
          </w:tcPr>
          <w:p w14:paraId="4E0D9754" w14:textId="77777777" w:rsidR="00E42357" w:rsidRPr="005261BE" w:rsidRDefault="00E42357" w:rsidP="00D524BF">
            <w:pPr>
              <w:pStyle w:val="TableParagraph"/>
              <w:ind w:left="98" w:right="94"/>
              <w:rPr>
                <w:rFonts w:ascii="Times New Roman" w:hAnsi="Times New Roman" w:cs="Times New Roman"/>
                <w:sz w:val="20"/>
                <w:szCs w:val="20"/>
              </w:rPr>
            </w:pPr>
            <w:r w:rsidRPr="005261BE">
              <w:rPr>
                <w:rFonts w:ascii="Times New Roman" w:hAnsi="Times New Roman" w:cs="Times New Roman"/>
                <w:sz w:val="20"/>
                <w:szCs w:val="20"/>
              </w:rPr>
              <w:t>97%</w:t>
            </w:r>
          </w:p>
        </w:tc>
        <w:tc>
          <w:tcPr>
            <w:tcW w:w="1131" w:type="dxa"/>
            <w:tcBorders>
              <w:top w:val="nil"/>
              <w:left w:val="single" w:sz="4" w:space="0" w:color="auto"/>
              <w:bottom w:val="nil"/>
              <w:right w:val="single" w:sz="4" w:space="0" w:color="auto"/>
            </w:tcBorders>
          </w:tcPr>
          <w:p w14:paraId="7A73613B" w14:textId="77777777" w:rsidR="00E42357" w:rsidRPr="005261BE" w:rsidRDefault="00E42357" w:rsidP="00D524BF">
            <w:pPr>
              <w:pStyle w:val="TableParagraph"/>
              <w:ind w:left="98" w:right="96"/>
              <w:rPr>
                <w:rFonts w:ascii="Times New Roman" w:hAnsi="Times New Roman" w:cs="Times New Roman"/>
                <w:sz w:val="20"/>
                <w:szCs w:val="20"/>
              </w:rPr>
            </w:pPr>
            <w:r w:rsidRPr="005261BE">
              <w:rPr>
                <w:rFonts w:ascii="Times New Roman" w:hAnsi="Times New Roman" w:cs="Times New Roman"/>
                <w:sz w:val="20"/>
                <w:szCs w:val="20"/>
              </w:rPr>
              <w:t>98%</w:t>
            </w:r>
          </w:p>
        </w:tc>
        <w:tc>
          <w:tcPr>
            <w:tcW w:w="925" w:type="dxa"/>
            <w:tcBorders>
              <w:top w:val="nil"/>
              <w:left w:val="single" w:sz="4" w:space="0" w:color="auto"/>
              <w:bottom w:val="nil"/>
              <w:right w:val="single" w:sz="4" w:space="0" w:color="auto"/>
            </w:tcBorders>
          </w:tcPr>
          <w:p w14:paraId="37660DF8" w14:textId="77777777" w:rsidR="00E42357" w:rsidRPr="005261BE" w:rsidRDefault="00E42357" w:rsidP="00D524BF">
            <w:pPr>
              <w:pStyle w:val="TableParagraph"/>
              <w:ind w:left="155" w:right="152"/>
              <w:rPr>
                <w:rFonts w:ascii="Times New Roman" w:hAnsi="Times New Roman" w:cs="Times New Roman"/>
                <w:sz w:val="20"/>
                <w:szCs w:val="20"/>
              </w:rPr>
            </w:pPr>
            <w:r w:rsidRPr="005261BE">
              <w:rPr>
                <w:rFonts w:ascii="Times New Roman" w:hAnsi="Times New Roman" w:cs="Times New Roman"/>
                <w:sz w:val="20"/>
                <w:szCs w:val="20"/>
              </w:rPr>
              <w:t>99%</w:t>
            </w:r>
          </w:p>
        </w:tc>
        <w:tc>
          <w:tcPr>
            <w:tcW w:w="1131" w:type="dxa"/>
            <w:tcBorders>
              <w:top w:val="nil"/>
              <w:left w:val="single" w:sz="4" w:space="0" w:color="auto"/>
              <w:bottom w:val="nil"/>
              <w:right w:val="single" w:sz="4" w:space="0" w:color="auto"/>
            </w:tcBorders>
          </w:tcPr>
          <w:p w14:paraId="6132AE8B" w14:textId="77777777" w:rsidR="00E42357" w:rsidRPr="005261BE" w:rsidRDefault="00E42357" w:rsidP="00D524BF">
            <w:pPr>
              <w:pStyle w:val="TableParagraph"/>
              <w:ind w:left="98" w:right="98"/>
              <w:rPr>
                <w:rFonts w:ascii="Times New Roman" w:hAnsi="Times New Roman" w:cs="Times New Roman"/>
                <w:sz w:val="20"/>
                <w:szCs w:val="20"/>
              </w:rPr>
            </w:pPr>
            <w:r w:rsidRPr="005261BE">
              <w:rPr>
                <w:rFonts w:ascii="Times New Roman" w:hAnsi="Times New Roman" w:cs="Times New Roman"/>
                <w:sz w:val="20"/>
                <w:szCs w:val="20"/>
              </w:rPr>
              <w:t>101%</w:t>
            </w:r>
          </w:p>
        </w:tc>
        <w:tc>
          <w:tcPr>
            <w:tcW w:w="1141" w:type="dxa"/>
            <w:tcBorders>
              <w:top w:val="nil"/>
              <w:left w:val="single" w:sz="4" w:space="0" w:color="auto"/>
              <w:bottom w:val="nil"/>
              <w:right w:val="single" w:sz="4" w:space="0" w:color="auto"/>
            </w:tcBorders>
          </w:tcPr>
          <w:p w14:paraId="705F0753" w14:textId="77777777" w:rsidR="00E42357" w:rsidRPr="005261BE" w:rsidRDefault="00E42357" w:rsidP="00D524BF">
            <w:pPr>
              <w:pStyle w:val="TableParagraph"/>
              <w:rPr>
                <w:rFonts w:ascii="Times New Roman" w:hAnsi="Times New Roman" w:cs="Times New Roman"/>
                <w:sz w:val="20"/>
                <w:szCs w:val="20"/>
              </w:rPr>
            </w:pPr>
            <w:r w:rsidRPr="005261BE">
              <w:rPr>
                <w:rFonts w:ascii="Times New Roman" w:hAnsi="Times New Roman" w:cs="Times New Roman"/>
                <w:sz w:val="20"/>
                <w:szCs w:val="20"/>
              </w:rPr>
              <w:t>102%</w:t>
            </w:r>
          </w:p>
        </w:tc>
      </w:tr>
      <w:tr w:rsidR="00E42357" w:rsidRPr="00AB1481" w14:paraId="6F6E85A1" w14:textId="77777777" w:rsidTr="00D524BF">
        <w:trPr>
          <w:trHeight w:val="510"/>
        </w:trPr>
        <w:tc>
          <w:tcPr>
            <w:tcW w:w="851" w:type="dxa"/>
            <w:vMerge/>
            <w:tcBorders>
              <w:top w:val="nil"/>
              <w:right w:val="single" w:sz="4" w:space="0" w:color="auto"/>
            </w:tcBorders>
          </w:tcPr>
          <w:p w14:paraId="53867D69" w14:textId="77777777" w:rsidR="00E42357" w:rsidRPr="005261BE" w:rsidRDefault="00E42357" w:rsidP="00D524BF">
            <w:pPr>
              <w:rPr>
                <w:rFonts w:ascii="Times New Roman" w:hAnsi="Times New Roman" w:cs="Times New Roman"/>
                <w:sz w:val="20"/>
                <w:szCs w:val="20"/>
              </w:rPr>
            </w:pPr>
          </w:p>
        </w:tc>
        <w:tc>
          <w:tcPr>
            <w:tcW w:w="1132" w:type="dxa"/>
            <w:tcBorders>
              <w:top w:val="nil"/>
              <w:left w:val="single" w:sz="4" w:space="0" w:color="auto"/>
              <w:bottom w:val="single" w:sz="4" w:space="0" w:color="auto"/>
              <w:right w:val="single" w:sz="4" w:space="0" w:color="auto"/>
            </w:tcBorders>
          </w:tcPr>
          <w:p w14:paraId="69860FD7" w14:textId="77777777" w:rsidR="00E42357" w:rsidRPr="005261BE" w:rsidRDefault="00E42357" w:rsidP="00D524BF">
            <w:pPr>
              <w:pStyle w:val="TableParagraph"/>
              <w:spacing w:before="25"/>
              <w:ind w:left="298" w:right="229" w:hanging="44"/>
              <w:rPr>
                <w:rFonts w:ascii="Times New Roman" w:hAnsi="Times New Roman" w:cs="Times New Roman"/>
                <w:sz w:val="20"/>
                <w:szCs w:val="20"/>
              </w:rPr>
            </w:pPr>
            <w:r w:rsidRPr="005261BE">
              <w:rPr>
                <w:rFonts w:ascii="Times New Roman" w:hAnsi="Times New Roman" w:cs="Times New Roman"/>
                <w:sz w:val="20"/>
                <w:szCs w:val="20"/>
              </w:rPr>
              <w:t>(RPD = 1.2 %)</w:t>
            </w:r>
          </w:p>
        </w:tc>
        <w:tc>
          <w:tcPr>
            <w:tcW w:w="1131" w:type="dxa"/>
            <w:tcBorders>
              <w:top w:val="nil"/>
              <w:left w:val="single" w:sz="4" w:space="0" w:color="auto"/>
              <w:bottom w:val="single" w:sz="4" w:space="0" w:color="auto"/>
              <w:right w:val="single" w:sz="4" w:space="0" w:color="auto"/>
            </w:tcBorders>
          </w:tcPr>
          <w:p w14:paraId="571A9E1F" w14:textId="77777777" w:rsidR="00E42357" w:rsidRPr="005261BE" w:rsidRDefault="00E42357" w:rsidP="00D524BF">
            <w:pPr>
              <w:pStyle w:val="TableParagraph"/>
              <w:spacing w:before="25"/>
              <w:ind w:left="298" w:right="228" w:hanging="44"/>
              <w:rPr>
                <w:rFonts w:ascii="Times New Roman" w:hAnsi="Times New Roman" w:cs="Times New Roman"/>
                <w:sz w:val="20"/>
                <w:szCs w:val="20"/>
              </w:rPr>
            </w:pPr>
            <w:r w:rsidRPr="005261BE">
              <w:rPr>
                <w:rFonts w:ascii="Times New Roman" w:hAnsi="Times New Roman" w:cs="Times New Roman"/>
                <w:sz w:val="20"/>
                <w:szCs w:val="20"/>
              </w:rPr>
              <w:t>(RPD = 0.4 %)</w:t>
            </w:r>
          </w:p>
        </w:tc>
        <w:tc>
          <w:tcPr>
            <w:tcW w:w="1130" w:type="dxa"/>
            <w:tcBorders>
              <w:top w:val="nil"/>
              <w:left w:val="single" w:sz="4" w:space="0" w:color="auto"/>
              <w:bottom w:val="single" w:sz="4" w:space="0" w:color="auto"/>
              <w:right w:val="single" w:sz="4" w:space="0" w:color="auto"/>
            </w:tcBorders>
          </w:tcPr>
          <w:p w14:paraId="3330DE22" w14:textId="77777777" w:rsidR="00E42357" w:rsidRPr="005261BE" w:rsidRDefault="00E42357" w:rsidP="00D524BF">
            <w:pPr>
              <w:pStyle w:val="TableParagraph"/>
              <w:spacing w:before="25"/>
              <w:ind w:left="297" w:right="228" w:hanging="44"/>
              <w:rPr>
                <w:rFonts w:ascii="Times New Roman" w:hAnsi="Times New Roman" w:cs="Times New Roman"/>
                <w:sz w:val="20"/>
                <w:szCs w:val="20"/>
              </w:rPr>
            </w:pPr>
            <w:r w:rsidRPr="005261BE">
              <w:rPr>
                <w:rFonts w:ascii="Times New Roman" w:hAnsi="Times New Roman" w:cs="Times New Roman"/>
                <w:sz w:val="20"/>
                <w:szCs w:val="20"/>
              </w:rPr>
              <w:t>(RPD = 5.2 %)</w:t>
            </w:r>
          </w:p>
        </w:tc>
        <w:tc>
          <w:tcPr>
            <w:tcW w:w="1131" w:type="dxa"/>
            <w:tcBorders>
              <w:top w:val="nil"/>
              <w:left w:val="single" w:sz="4" w:space="0" w:color="auto"/>
              <w:bottom w:val="single" w:sz="4" w:space="0" w:color="auto"/>
              <w:right w:val="single" w:sz="4" w:space="0" w:color="auto"/>
            </w:tcBorders>
          </w:tcPr>
          <w:p w14:paraId="74C69424"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(RPD = 0.6 %)</w:t>
            </w:r>
          </w:p>
        </w:tc>
        <w:tc>
          <w:tcPr>
            <w:tcW w:w="1131" w:type="dxa"/>
            <w:tcBorders>
              <w:top w:val="nil"/>
              <w:left w:val="single" w:sz="4" w:space="0" w:color="auto"/>
              <w:bottom w:val="single" w:sz="4" w:space="0" w:color="auto"/>
              <w:right w:val="single" w:sz="4" w:space="0" w:color="auto"/>
            </w:tcBorders>
          </w:tcPr>
          <w:p w14:paraId="012E2876" w14:textId="77777777" w:rsidR="00E42357" w:rsidRPr="005261BE" w:rsidRDefault="00E42357" w:rsidP="00D524BF">
            <w:pPr>
              <w:pStyle w:val="TableParagraph"/>
              <w:spacing w:before="25"/>
              <w:ind w:left="296" w:right="230" w:hanging="44"/>
              <w:rPr>
                <w:rFonts w:ascii="Times New Roman" w:hAnsi="Times New Roman" w:cs="Times New Roman"/>
                <w:sz w:val="20"/>
                <w:szCs w:val="20"/>
              </w:rPr>
            </w:pPr>
            <w:r w:rsidRPr="005261BE">
              <w:rPr>
                <w:rFonts w:ascii="Times New Roman" w:hAnsi="Times New Roman" w:cs="Times New Roman"/>
                <w:sz w:val="20"/>
                <w:szCs w:val="20"/>
              </w:rPr>
              <w:t>(RSD = 1.5 %)</w:t>
            </w:r>
          </w:p>
        </w:tc>
        <w:tc>
          <w:tcPr>
            <w:tcW w:w="925" w:type="dxa"/>
            <w:tcBorders>
              <w:top w:val="nil"/>
              <w:left w:val="single" w:sz="4" w:space="0" w:color="auto"/>
              <w:bottom w:val="single" w:sz="4" w:space="0" w:color="auto"/>
              <w:right w:val="single" w:sz="4" w:space="0" w:color="auto"/>
            </w:tcBorders>
          </w:tcPr>
          <w:p w14:paraId="62D2E240" w14:textId="77777777" w:rsidR="00E42357" w:rsidRPr="005261BE" w:rsidRDefault="00E42357" w:rsidP="00D524BF">
            <w:pPr>
              <w:pStyle w:val="TableParagraph"/>
              <w:spacing w:before="25"/>
              <w:ind w:left="192" w:right="128" w:hanging="44"/>
              <w:rPr>
                <w:rFonts w:ascii="Times New Roman" w:hAnsi="Times New Roman" w:cs="Times New Roman"/>
                <w:sz w:val="20"/>
                <w:szCs w:val="20"/>
              </w:rPr>
            </w:pPr>
            <w:r w:rsidRPr="005261BE">
              <w:rPr>
                <w:rFonts w:ascii="Times New Roman" w:hAnsi="Times New Roman" w:cs="Times New Roman"/>
                <w:sz w:val="20"/>
                <w:szCs w:val="20"/>
              </w:rPr>
              <w:t>(RSD = 2.6 %)</w:t>
            </w:r>
          </w:p>
        </w:tc>
        <w:tc>
          <w:tcPr>
            <w:tcW w:w="1131" w:type="dxa"/>
            <w:tcBorders>
              <w:top w:val="nil"/>
              <w:left w:val="single" w:sz="4" w:space="0" w:color="auto"/>
              <w:bottom w:val="single" w:sz="4" w:space="0" w:color="auto"/>
              <w:right w:val="single" w:sz="4" w:space="0" w:color="auto"/>
            </w:tcBorders>
          </w:tcPr>
          <w:p w14:paraId="4F3E919C" w14:textId="77777777" w:rsidR="00E42357" w:rsidRPr="005261BE" w:rsidRDefault="00E42357" w:rsidP="00D524BF">
            <w:pPr>
              <w:pStyle w:val="TableParagraph"/>
              <w:spacing w:before="25"/>
              <w:ind w:left="294" w:right="232" w:hanging="44"/>
              <w:rPr>
                <w:rFonts w:ascii="Times New Roman" w:hAnsi="Times New Roman" w:cs="Times New Roman"/>
                <w:sz w:val="20"/>
                <w:szCs w:val="20"/>
              </w:rPr>
            </w:pPr>
            <w:r w:rsidRPr="005261BE">
              <w:rPr>
                <w:rFonts w:ascii="Times New Roman" w:hAnsi="Times New Roman" w:cs="Times New Roman"/>
                <w:sz w:val="20"/>
                <w:szCs w:val="20"/>
              </w:rPr>
              <w:t>(RPD = 0.2 %)</w:t>
            </w:r>
          </w:p>
        </w:tc>
        <w:tc>
          <w:tcPr>
            <w:tcW w:w="1141" w:type="dxa"/>
            <w:tcBorders>
              <w:top w:val="nil"/>
              <w:left w:val="single" w:sz="4" w:space="0" w:color="auto"/>
              <w:bottom w:val="single" w:sz="4" w:space="0" w:color="auto"/>
              <w:right w:val="single" w:sz="4" w:space="0" w:color="auto"/>
            </w:tcBorders>
          </w:tcPr>
          <w:p w14:paraId="2E64E33E" w14:textId="77777777" w:rsidR="00E42357" w:rsidRPr="005261BE" w:rsidRDefault="00E42357" w:rsidP="00D524BF">
            <w:pPr>
              <w:pStyle w:val="TableParagraph"/>
              <w:spacing w:before="25"/>
              <w:ind w:right="122"/>
              <w:rPr>
                <w:rFonts w:ascii="Times New Roman" w:hAnsi="Times New Roman" w:cs="Times New Roman"/>
                <w:sz w:val="20"/>
                <w:szCs w:val="20"/>
              </w:rPr>
            </w:pPr>
            <w:r w:rsidRPr="005261BE">
              <w:rPr>
                <w:rFonts w:ascii="Times New Roman" w:hAnsi="Times New Roman" w:cs="Times New Roman"/>
                <w:sz w:val="20"/>
                <w:szCs w:val="20"/>
              </w:rPr>
              <w:t xml:space="preserve">  (RSD = 1.3 %)</w:t>
            </w:r>
          </w:p>
        </w:tc>
      </w:tr>
    </w:tbl>
    <w:p w14:paraId="01BD17DB" w14:textId="77777777" w:rsidR="001316C6" w:rsidRDefault="001316C6" w:rsidP="001316C6">
      <w:pPr>
        <w:jc w:val="center"/>
        <w:rPr>
          <w:rFonts w:ascii="Times New Roman" w:hAnsi="Times New Roman"/>
          <w:sz w:val="18"/>
          <w:szCs w:val="18"/>
        </w:rPr>
      </w:pPr>
      <w:r w:rsidRPr="00F6549E">
        <w:rPr>
          <w:rFonts w:ascii="Times New Roman" w:hAnsi="Times New Roman"/>
          <w:b/>
          <w:color w:val="0070C0"/>
          <w:sz w:val="18"/>
          <w:szCs w:val="18"/>
        </w:rPr>
        <w:lastRenderedPageBreak/>
        <w:t>Table 1:</w:t>
      </w:r>
      <w:r w:rsidRPr="00F6549E">
        <w:rPr>
          <w:rFonts w:ascii="Times New Roman" w:hAnsi="Times New Roman"/>
          <w:b/>
          <w:sz w:val="18"/>
          <w:szCs w:val="18"/>
        </w:rPr>
        <w:t xml:space="preserve"> </w:t>
      </w:r>
      <w:r w:rsidRPr="00F6549E">
        <w:rPr>
          <w:rFonts w:ascii="Times New Roman" w:hAnsi="Times New Roman"/>
          <w:sz w:val="18"/>
          <w:szCs w:val="18"/>
        </w:rPr>
        <w:t>Results for toxic elements (As, Cd, Cr, Hg and Pb) in CRMs and QC materials.</w:t>
      </w:r>
    </w:p>
    <w:p w14:paraId="629661B3" w14:textId="77777777" w:rsidR="001316C6" w:rsidRDefault="001316C6" w:rsidP="001316C6">
      <w:pPr>
        <w:jc w:val="center"/>
        <w:rPr>
          <w:rFonts w:ascii="Times New Roman" w:hAnsi="Times New Roman"/>
          <w:sz w:val="18"/>
          <w:szCs w:val="18"/>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3106"/>
        <w:gridCol w:w="3176"/>
        <w:gridCol w:w="2331"/>
      </w:tblGrid>
      <w:tr w:rsidR="00A304A7" w:rsidRPr="00A304A7" w14:paraId="363A0BF3" w14:textId="77777777" w:rsidTr="00A304A7">
        <w:trPr>
          <w:trHeight w:val="299"/>
        </w:trPr>
        <w:tc>
          <w:tcPr>
            <w:tcW w:w="965" w:type="dxa"/>
            <w:vMerge w:val="restart"/>
          </w:tcPr>
          <w:p w14:paraId="22A9F9F2" w14:textId="77777777" w:rsidR="00A304A7" w:rsidRPr="00A304A7" w:rsidRDefault="00A304A7" w:rsidP="00A304A7">
            <w:pPr>
              <w:pStyle w:val="TableParagraph"/>
              <w:jc w:val="center"/>
              <w:rPr>
                <w:rFonts w:ascii="Times New Roman" w:hAnsi="Times New Roman" w:cs="Times New Roman"/>
                <w:sz w:val="20"/>
                <w:szCs w:val="20"/>
              </w:rPr>
            </w:pPr>
          </w:p>
          <w:p w14:paraId="6DE67348" w14:textId="77777777" w:rsidR="00A304A7" w:rsidRPr="00A304A7" w:rsidRDefault="00A304A7" w:rsidP="00A304A7">
            <w:pPr>
              <w:pStyle w:val="TableParagraph"/>
              <w:spacing w:before="5"/>
              <w:jc w:val="center"/>
              <w:rPr>
                <w:rFonts w:ascii="Times New Roman" w:hAnsi="Times New Roman" w:cs="Times New Roman"/>
                <w:sz w:val="20"/>
                <w:szCs w:val="20"/>
              </w:rPr>
            </w:pPr>
          </w:p>
          <w:p w14:paraId="3CE17E1A" w14:textId="77777777" w:rsidR="00A304A7" w:rsidRPr="00A304A7" w:rsidRDefault="00A304A7" w:rsidP="00A304A7">
            <w:pPr>
              <w:pStyle w:val="TableParagraph"/>
              <w:spacing w:before="1"/>
              <w:ind w:left="164"/>
              <w:jc w:val="center"/>
              <w:rPr>
                <w:rFonts w:ascii="Times New Roman" w:hAnsi="Times New Roman" w:cs="Times New Roman"/>
                <w:sz w:val="20"/>
                <w:szCs w:val="20"/>
              </w:rPr>
            </w:pPr>
            <w:r w:rsidRPr="00A304A7">
              <w:rPr>
                <w:rFonts w:ascii="Times New Roman" w:hAnsi="Times New Roman" w:cs="Times New Roman"/>
                <w:sz w:val="20"/>
                <w:szCs w:val="20"/>
              </w:rPr>
              <w:t>Analyte</w:t>
            </w:r>
          </w:p>
        </w:tc>
        <w:tc>
          <w:tcPr>
            <w:tcW w:w="8613" w:type="dxa"/>
            <w:gridSpan w:val="3"/>
          </w:tcPr>
          <w:p w14:paraId="31AF897B" w14:textId="77777777" w:rsidR="00A304A7" w:rsidRPr="00A304A7" w:rsidRDefault="00A304A7" w:rsidP="00A304A7">
            <w:pPr>
              <w:pStyle w:val="TableParagraph"/>
              <w:ind w:left="3204" w:right="3197"/>
              <w:jc w:val="center"/>
              <w:rPr>
                <w:rFonts w:ascii="Times New Roman" w:hAnsi="Times New Roman" w:cs="Times New Roman"/>
                <w:b/>
                <w:sz w:val="20"/>
                <w:szCs w:val="20"/>
              </w:rPr>
            </w:pPr>
            <w:r w:rsidRPr="00A304A7">
              <w:rPr>
                <w:rFonts w:ascii="Times New Roman" w:hAnsi="Times New Roman" w:cs="Times New Roman"/>
                <w:b/>
                <w:sz w:val="20"/>
                <w:szCs w:val="20"/>
              </w:rPr>
              <w:t>Mean value and recovery</w:t>
            </w:r>
          </w:p>
        </w:tc>
      </w:tr>
      <w:tr w:rsidR="00A304A7" w:rsidRPr="00A304A7" w14:paraId="79BC44E4" w14:textId="77777777" w:rsidTr="00A304A7">
        <w:trPr>
          <w:trHeight w:val="230"/>
        </w:trPr>
        <w:tc>
          <w:tcPr>
            <w:tcW w:w="965" w:type="dxa"/>
            <w:vMerge/>
            <w:tcBorders>
              <w:top w:val="nil"/>
            </w:tcBorders>
          </w:tcPr>
          <w:p w14:paraId="6BE94211" w14:textId="77777777" w:rsidR="00A304A7" w:rsidRPr="00A304A7" w:rsidRDefault="00A304A7" w:rsidP="00A304A7">
            <w:pPr>
              <w:jc w:val="center"/>
              <w:rPr>
                <w:rFonts w:ascii="Times New Roman" w:hAnsi="Times New Roman" w:cs="Times New Roman"/>
                <w:sz w:val="20"/>
                <w:szCs w:val="20"/>
              </w:rPr>
            </w:pPr>
          </w:p>
        </w:tc>
        <w:tc>
          <w:tcPr>
            <w:tcW w:w="3106" w:type="dxa"/>
            <w:tcBorders>
              <w:bottom w:val="single" w:sz="4" w:space="0" w:color="auto"/>
            </w:tcBorders>
          </w:tcPr>
          <w:p w14:paraId="6E986961" w14:textId="77777777" w:rsidR="00A304A7" w:rsidRPr="00A304A7" w:rsidRDefault="00A304A7" w:rsidP="00A304A7">
            <w:pPr>
              <w:pStyle w:val="TableParagraph"/>
              <w:spacing w:line="210" w:lineRule="exact"/>
              <w:ind w:left="723" w:right="716"/>
              <w:jc w:val="center"/>
              <w:rPr>
                <w:rFonts w:ascii="Times New Roman" w:hAnsi="Times New Roman" w:cs="Times New Roman"/>
                <w:b/>
                <w:sz w:val="20"/>
                <w:szCs w:val="20"/>
              </w:rPr>
            </w:pPr>
            <w:r w:rsidRPr="00A304A7">
              <w:rPr>
                <w:rFonts w:ascii="Times New Roman" w:hAnsi="Times New Roman" w:cs="Times New Roman"/>
                <w:b/>
                <w:sz w:val="20"/>
                <w:szCs w:val="20"/>
              </w:rPr>
              <w:t>Infant/adult formula</w:t>
            </w:r>
          </w:p>
        </w:tc>
        <w:tc>
          <w:tcPr>
            <w:tcW w:w="3176" w:type="dxa"/>
            <w:tcBorders>
              <w:bottom w:val="single" w:sz="4" w:space="0" w:color="auto"/>
            </w:tcBorders>
          </w:tcPr>
          <w:p w14:paraId="680F9AF5" w14:textId="77777777" w:rsidR="00A304A7" w:rsidRPr="00A304A7" w:rsidRDefault="00A304A7" w:rsidP="00A304A7">
            <w:pPr>
              <w:pStyle w:val="TableParagraph"/>
              <w:spacing w:line="210" w:lineRule="exact"/>
              <w:ind w:left="883" w:right="875"/>
              <w:jc w:val="center"/>
              <w:rPr>
                <w:rFonts w:ascii="Times New Roman" w:hAnsi="Times New Roman" w:cs="Times New Roman"/>
                <w:b/>
                <w:sz w:val="20"/>
                <w:szCs w:val="20"/>
              </w:rPr>
            </w:pPr>
            <w:r w:rsidRPr="00A304A7">
              <w:rPr>
                <w:rFonts w:ascii="Times New Roman" w:hAnsi="Times New Roman" w:cs="Times New Roman"/>
                <w:b/>
                <w:sz w:val="20"/>
                <w:szCs w:val="20"/>
              </w:rPr>
              <w:t>Peanut butter</w:t>
            </w:r>
          </w:p>
        </w:tc>
        <w:tc>
          <w:tcPr>
            <w:tcW w:w="2331" w:type="dxa"/>
            <w:tcBorders>
              <w:bottom w:val="single" w:sz="4" w:space="0" w:color="auto"/>
            </w:tcBorders>
          </w:tcPr>
          <w:p w14:paraId="39B8986C" w14:textId="77777777" w:rsidR="00A304A7" w:rsidRPr="00A304A7" w:rsidRDefault="00A304A7" w:rsidP="00A304A7">
            <w:pPr>
              <w:pStyle w:val="TableParagraph"/>
              <w:spacing w:line="210" w:lineRule="exact"/>
              <w:ind w:left="357" w:right="351"/>
              <w:jc w:val="center"/>
              <w:rPr>
                <w:rFonts w:ascii="Times New Roman" w:hAnsi="Times New Roman" w:cs="Times New Roman"/>
                <w:b/>
                <w:sz w:val="20"/>
                <w:szCs w:val="20"/>
              </w:rPr>
            </w:pPr>
            <w:r w:rsidRPr="00A304A7">
              <w:rPr>
                <w:rFonts w:ascii="Times New Roman" w:hAnsi="Times New Roman" w:cs="Times New Roman"/>
                <w:b/>
                <w:sz w:val="20"/>
                <w:szCs w:val="20"/>
              </w:rPr>
              <w:t>Vegetable oil</w:t>
            </w:r>
          </w:p>
        </w:tc>
      </w:tr>
      <w:tr w:rsidR="00A304A7" w:rsidRPr="00A304A7" w14:paraId="4E03CC1A" w14:textId="77777777" w:rsidTr="00A304A7">
        <w:trPr>
          <w:trHeight w:val="299"/>
        </w:trPr>
        <w:tc>
          <w:tcPr>
            <w:tcW w:w="965" w:type="dxa"/>
            <w:vMerge/>
            <w:tcBorders>
              <w:top w:val="nil"/>
              <w:right w:val="single" w:sz="4" w:space="0" w:color="auto"/>
            </w:tcBorders>
          </w:tcPr>
          <w:p w14:paraId="46ABE0FA" w14:textId="77777777" w:rsidR="00A304A7" w:rsidRPr="00A304A7" w:rsidRDefault="00A304A7" w:rsidP="00A304A7">
            <w:pPr>
              <w:jc w:val="center"/>
              <w:rPr>
                <w:rFonts w:ascii="Times New Roman" w:hAnsi="Times New Roman" w:cs="Times New Roman"/>
                <w:sz w:val="20"/>
                <w:szCs w:val="20"/>
              </w:rPr>
            </w:pPr>
          </w:p>
        </w:tc>
        <w:tc>
          <w:tcPr>
            <w:tcW w:w="3106" w:type="dxa"/>
            <w:tcBorders>
              <w:top w:val="single" w:sz="4" w:space="0" w:color="auto"/>
              <w:left w:val="single" w:sz="4" w:space="0" w:color="auto"/>
              <w:bottom w:val="nil"/>
              <w:right w:val="single" w:sz="4" w:space="0" w:color="auto"/>
            </w:tcBorders>
          </w:tcPr>
          <w:p w14:paraId="4AE2C44A"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NIST SRM 1869</w:t>
            </w:r>
          </w:p>
        </w:tc>
        <w:tc>
          <w:tcPr>
            <w:tcW w:w="3176" w:type="dxa"/>
            <w:tcBorders>
              <w:top w:val="single" w:sz="4" w:space="0" w:color="auto"/>
              <w:left w:val="single" w:sz="4" w:space="0" w:color="auto"/>
              <w:bottom w:val="nil"/>
              <w:right w:val="single" w:sz="4" w:space="0" w:color="auto"/>
            </w:tcBorders>
          </w:tcPr>
          <w:p w14:paraId="7891332E" w14:textId="77777777" w:rsidR="00A304A7" w:rsidRPr="00A304A7" w:rsidRDefault="00A304A7" w:rsidP="00A304A7">
            <w:pPr>
              <w:pStyle w:val="TableParagraph"/>
              <w:ind w:left="884" w:right="875"/>
              <w:jc w:val="center"/>
              <w:rPr>
                <w:rFonts w:ascii="Times New Roman" w:hAnsi="Times New Roman" w:cs="Times New Roman"/>
                <w:sz w:val="20"/>
                <w:szCs w:val="20"/>
              </w:rPr>
            </w:pPr>
            <w:r w:rsidRPr="00A304A7">
              <w:rPr>
                <w:rFonts w:ascii="Times New Roman" w:hAnsi="Times New Roman" w:cs="Times New Roman"/>
                <w:sz w:val="20"/>
                <w:szCs w:val="20"/>
              </w:rPr>
              <w:t>NIST SRM 2387</w:t>
            </w:r>
          </w:p>
        </w:tc>
        <w:tc>
          <w:tcPr>
            <w:tcW w:w="2331" w:type="dxa"/>
            <w:tcBorders>
              <w:top w:val="single" w:sz="4" w:space="0" w:color="auto"/>
              <w:left w:val="single" w:sz="4" w:space="0" w:color="auto"/>
              <w:bottom w:val="nil"/>
              <w:right w:val="single" w:sz="4" w:space="0" w:color="auto"/>
            </w:tcBorders>
          </w:tcPr>
          <w:p w14:paraId="756565EB" w14:textId="77777777" w:rsidR="00A304A7" w:rsidRPr="00A304A7" w:rsidRDefault="00A304A7" w:rsidP="00A304A7">
            <w:pPr>
              <w:pStyle w:val="TableParagraph"/>
              <w:ind w:left="357" w:right="351"/>
              <w:jc w:val="center"/>
              <w:rPr>
                <w:rFonts w:ascii="Times New Roman" w:hAnsi="Times New Roman" w:cs="Times New Roman"/>
                <w:sz w:val="20"/>
                <w:szCs w:val="20"/>
              </w:rPr>
            </w:pPr>
            <w:r w:rsidRPr="00A304A7">
              <w:rPr>
                <w:rFonts w:ascii="Times New Roman" w:hAnsi="Times New Roman" w:cs="Times New Roman"/>
                <w:sz w:val="20"/>
                <w:szCs w:val="20"/>
              </w:rPr>
              <w:t>FAPAS T07533QC</w:t>
            </w:r>
          </w:p>
        </w:tc>
      </w:tr>
      <w:tr w:rsidR="00A304A7" w:rsidRPr="00A304A7" w14:paraId="6EF8384F" w14:textId="77777777" w:rsidTr="00A304A7">
        <w:trPr>
          <w:trHeight w:val="300"/>
        </w:trPr>
        <w:tc>
          <w:tcPr>
            <w:tcW w:w="965" w:type="dxa"/>
            <w:vMerge/>
            <w:tcBorders>
              <w:top w:val="nil"/>
              <w:right w:val="single" w:sz="4" w:space="0" w:color="auto"/>
            </w:tcBorders>
          </w:tcPr>
          <w:p w14:paraId="02B9D24C"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2DC560B6"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(n = 3)</w:t>
            </w:r>
          </w:p>
        </w:tc>
        <w:tc>
          <w:tcPr>
            <w:tcW w:w="3176" w:type="dxa"/>
            <w:tcBorders>
              <w:top w:val="nil"/>
              <w:left w:val="single" w:sz="4" w:space="0" w:color="auto"/>
              <w:bottom w:val="single" w:sz="4" w:space="0" w:color="auto"/>
              <w:right w:val="single" w:sz="4" w:space="0" w:color="auto"/>
            </w:tcBorders>
          </w:tcPr>
          <w:p w14:paraId="081BFB51"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(n = 3)</w:t>
            </w:r>
          </w:p>
        </w:tc>
        <w:tc>
          <w:tcPr>
            <w:tcW w:w="2331" w:type="dxa"/>
            <w:tcBorders>
              <w:top w:val="nil"/>
              <w:left w:val="single" w:sz="4" w:space="0" w:color="auto"/>
              <w:bottom w:val="single" w:sz="4" w:space="0" w:color="auto"/>
              <w:right w:val="single" w:sz="4" w:space="0" w:color="auto"/>
            </w:tcBorders>
          </w:tcPr>
          <w:p w14:paraId="34850AB3" w14:textId="77777777" w:rsidR="00A304A7" w:rsidRPr="00A304A7" w:rsidRDefault="00A304A7" w:rsidP="00A304A7">
            <w:pPr>
              <w:pStyle w:val="TableParagraph"/>
              <w:spacing w:before="36"/>
              <w:ind w:left="356" w:right="351"/>
              <w:jc w:val="center"/>
              <w:rPr>
                <w:rFonts w:ascii="Times New Roman" w:hAnsi="Times New Roman" w:cs="Times New Roman"/>
                <w:sz w:val="20"/>
                <w:szCs w:val="20"/>
              </w:rPr>
            </w:pPr>
            <w:r w:rsidRPr="00A304A7">
              <w:rPr>
                <w:rFonts w:ascii="Times New Roman" w:hAnsi="Times New Roman" w:cs="Times New Roman"/>
                <w:sz w:val="20"/>
                <w:szCs w:val="20"/>
              </w:rPr>
              <w:t>(n = 3)</w:t>
            </w:r>
          </w:p>
        </w:tc>
      </w:tr>
      <w:tr w:rsidR="00A304A7" w:rsidRPr="00A304A7" w14:paraId="189D18AC" w14:textId="77777777" w:rsidTr="00A304A7">
        <w:trPr>
          <w:trHeight w:val="299"/>
        </w:trPr>
        <w:tc>
          <w:tcPr>
            <w:tcW w:w="965" w:type="dxa"/>
            <w:vMerge w:val="restart"/>
            <w:tcBorders>
              <w:right w:val="single" w:sz="4" w:space="0" w:color="auto"/>
            </w:tcBorders>
          </w:tcPr>
          <w:p w14:paraId="4395333F" w14:textId="77777777" w:rsidR="00A304A7" w:rsidRPr="00A304A7" w:rsidRDefault="00A304A7" w:rsidP="00A304A7">
            <w:pPr>
              <w:pStyle w:val="TableParagraph"/>
              <w:spacing w:before="11"/>
              <w:jc w:val="center"/>
              <w:rPr>
                <w:rFonts w:ascii="Times New Roman" w:hAnsi="Times New Roman" w:cs="Times New Roman"/>
                <w:sz w:val="20"/>
                <w:szCs w:val="20"/>
              </w:rPr>
            </w:pPr>
          </w:p>
          <w:p w14:paraId="4DDBDE2A" w14:textId="77777777" w:rsidR="00A304A7" w:rsidRPr="00A304A7" w:rsidRDefault="00A304A7" w:rsidP="00A304A7">
            <w:pPr>
              <w:pStyle w:val="TableParagraph"/>
              <w:ind w:left="321" w:right="313"/>
              <w:jc w:val="center"/>
              <w:rPr>
                <w:rFonts w:ascii="Times New Roman" w:hAnsi="Times New Roman" w:cs="Times New Roman"/>
                <w:sz w:val="20"/>
                <w:szCs w:val="20"/>
              </w:rPr>
            </w:pPr>
            <w:r w:rsidRPr="00A304A7">
              <w:rPr>
                <w:rFonts w:ascii="Times New Roman" w:hAnsi="Times New Roman" w:cs="Times New Roman"/>
                <w:sz w:val="20"/>
                <w:szCs w:val="20"/>
              </w:rPr>
              <w:t>Ca</w:t>
            </w:r>
          </w:p>
        </w:tc>
        <w:tc>
          <w:tcPr>
            <w:tcW w:w="3106" w:type="dxa"/>
            <w:tcBorders>
              <w:top w:val="single" w:sz="4" w:space="0" w:color="auto"/>
              <w:left w:val="single" w:sz="4" w:space="0" w:color="auto"/>
              <w:bottom w:val="nil"/>
              <w:right w:val="single" w:sz="4" w:space="0" w:color="auto"/>
            </w:tcBorders>
          </w:tcPr>
          <w:p w14:paraId="06E6C8C7" w14:textId="77777777" w:rsidR="00A304A7" w:rsidRPr="00A304A7" w:rsidRDefault="00A304A7" w:rsidP="00A304A7">
            <w:pPr>
              <w:pStyle w:val="TableParagraph"/>
              <w:ind w:left="723" w:right="714"/>
              <w:jc w:val="center"/>
              <w:rPr>
                <w:rFonts w:ascii="Times New Roman" w:hAnsi="Times New Roman" w:cs="Times New Roman"/>
                <w:sz w:val="20"/>
                <w:szCs w:val="20"/>
              </w:rPr>
            </w:pPr>
            <w:r w:rsidRPr="00A304A7">
              <w:rPr>
                <w:rFonts w:ascii="Times New Roman" w:hAnsi="Times New Roman" w:cs="Times New Roman"/>
                <w:sz w:val="20"/>
                <w:szCs w:val="20"/>
              </w:rPr>
              <w:t>4564 mg/kg;</w:t>
            </w:r>
          </w:p>
        </w:tc>
        <w:tc>
          <w:tcPr>
            <w:tcW w:w="3176" w:type="dxa"/>
            <w:tcBorders>
              <w:top w:val="single" w:sz="4" w:space="0" w:color="auto"/>
              <w:left w:val="single" w:sz="4" w:space="0" w:color="auto"/>
              <w:bottom w:val="nil"/>
              <w:right w:val="single" w:sz="4" w:space="0" w:color="auto"/>
            </w:tcBorders>
          </w:tcPr>
          <w:p w14:paraId="5EB133C3" w14:textId="77777777" w:rsidR="00A304A7" w:rsidRPr="00A304A7" w:rsidRDefault="00A304A7" w:rsidP="00A304A7">
            <w:pPr>
              <w:pStyle w:val="TableParagraph"/>
              <w:ind w:left="884" w:right="875"/>
              <w:jc w:val="center"/>
              <w:rPr>
                <w:rFonts w:ascii="Times New Roman" w:hAnsi="Times New Roman" w:cs="Times New Roman"/>
                <w:sz w:val="20"/>
                <w:szCs w:val="20"/>
              </w:rPr>
            </w:pPr>
            <w:r w:rsidRPr="00A304A7">
              <w:rPr>
                <w:rFonts w:ascii="Times New Roman" w:hAnsi="Times New Roman" w:cs="Times New Roman"/>
                <w:sz w:val="20"/>
                <w:szCs w:val="20"/>
              </w:rPr>
              <w:t>410 mg/kg;</w:t>
            </w:r>
          </w:p>
        </w:tc>
        <w:tc>
          <w:tcPr>
            <w:tcW w:w="2331" w:type="dxa"/>
            <w:vMerge w:val="restart"/>
            <w:tcBorders>
              <w:top w:val="single" w:sz="4" w:space="0" w:color="auto"/>
              <w:left w:val="single" w:sz="4" w:space="0" w:color="auto"/>
            </w:tcBorders>
          </w:tcPr>
          <w:p w14:paraId="4F1BA5E4" w14:textId="77777777" w:rsidR="00A304A7" w:rsidRPr="00A304A7" w:rsidRDefault="00A304A7" w:rsidP="00A304A7">
            <w:pPr>
              <w:pStyle w:val="TableParagraph"/>
              <w:spacing w:before="11"/>
              <w:jc w:val="center"/>
              <w:rPr>
                <w:rFonts w:ascii="Times New Roman" w:hAnsi="Times New Roman" w:cs="Times New Roman"/>
                <w:sz w:val="20"/>
                <w:szCs w:val="20"/>
              </w:rPr>
            </w:pPr>
          </w:p>
          <w:p w14:paraId="72B804CD" w14:textId="77777777" w:rsidR="00A304A7" w:rsidRPr="00A304A7" w:rsidRDefault="00A304A7" w:rsidP="00A304A7">
            <w:pPr>
              <w:pStyle w:val="TableParagraph"/>
              <w:ind w:left="357" w:right="351"/>
              <w:jc w:val="center"/>
              <w:rPr>
                <w:rFonts w:ascii="Times New Roman" w:hAnsi="Times New Roman" w:cs="Times New Roman"/>
                <w:sz w:val="20"/>
                <w:szCs w:val="20"/>
              </w:rPr>
            </w:pPr>
            <w:r w:rsidRPr="00A304A7">
              <w:rPr>
                <w:rFonts w:ascii="Times New Roman" w:hAnsi="Times New Roman" w:cs="Times New Roman"/>
                <w:sz w:val="20"/>
                <w:szCs w:val="20"/>
              </w:rPr>
              <w:t>NA</w:t>
            </w:r>
          </w:p>
        </w:tc>
      </w:tr>
      <w:tr w:rsidR="00A304A7" w:rsidRPr="00A304A7" w14:paraId="5B9B9525" w14:textId="77777777" w:rsidTr="00A304A7">
        <w:trPr>
          <w:trHeight w:val="299"/>
        </w:trPr>
        <w:tc>
          <w:tcPr>
            <w:tcW w:w="965" w:type="dxa"/>
            <w:vMerge/>
            <w:tcBorders>
              <w:top w:val="nil"/>
              <w:right w:val="single" w:sz="4" w:space="0" w:color="auto"/>
            </w:tcBorders>
          </w:tcPr>
          <w:p w14:paraId="5DC83D0C"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65DAE8E6" w14:textId="77777777" w:rsidR="00A304A7" w:rsidRPr="00A304A7" w:rsidRDefault="00A304A7" w:rsidP="00A304A7">
            <w:pPr>
              <w:pStyle w:val="TableParagraph"/>
              <w:ind w:left="723" w:right="714"/>
              <w:jc w:val="center"/>
              <w:rPr>
                <w:rFonts w:ascii="Times New Roman" w:hAnsi="Times New Roman" w:cs="Times New Roman"/>
                <w:sz w:val="20"/>
                <w:szCs w:val="20"/>
              </w:rPr>
            </w:pPr>
            <w:r w:rsidRPr="00A304A7">
              <w:rPr>
                <w:rFonts w:ascii="Times New Roman" w:hAnsi="Times New Roman" w:cs="Times New Roman"/>
                <w:sz w:val="20"/>
                <w:szCs w:val="20"/>
              </w:rPr>
              <w:t>100%</w:t>
            </w:r>
          </w:p>
        </w:tc>
        <w:tc>
          <w:tcPr>
            <w:tcW w:w="3176" w:type="dxa"/>
            <w:tcBorders>
              <w:top w:val="nil"/>
              <w:left w:val="single" w:sz="4" w:space="0" w:color="auto"/>
              <w:bottom w:val="nil"/>
              <w:right w:val="single" w:sz="4" w:space="0" w:color="auto"/>
            </w:tcBorders>
          </w:tcPr>
          <w:p w14:paraId="1A259CD8" w14:textId="77777777" w:rsidR="00A304A7" w:rsidRPr="00A304A7" w:rsidRDefault="00A304A7" w:rsidP="00A304A7">
            <w:pPr>
              <w:pStyle w:val="TableParagraph"/>
              <w:ind w:left="884" w:right="874"/>
              <w:jc w:val="center"/>
              <w:rPr>
                <w:rFonts w:ascii="Times New Roman" w:hAnsi="Times New Roman" w:cs="Times New Roman"/>
                <w:sz w:val="20"/>
                <w:szCs w:val="20"/>
              </w:rPr>
            </w:pPr>
            <w:r w:rsidRPr="00A304A7">
              <w:rPr>
                <w:rFonts w:ascii="Times New Roman" w:hAnsi="Times New Roman" w:cs="Times New Roman"/>
                <w:sz w:val="20"/>
                <w:szCs w:val="20"/>
              </w:rPr>
              <w:t>100%</w:t>
            </w:r>
          </w:p>
        </w:tc>
        <w:tc>
          <w:tcPr>
            <w:tcW w:w="2331" w:type="dxa"/>
            <w:vMerge/>
            <w:tcBorders>
              <w:top w:val="nil"/>
              <w:left w:val="single" w:sz="4" w:space="0" w:color="auto"/>
            </w:tcBorders>
          </w:tcPr>
          <w:p w14:paraId="2FFEC36A" w14:textId="77777777" w:rsidR="00A304A7" w:rsidRPr="00A304A7" w:rsidRDefault="00A304A7" w:rsidP="00A304A7">
            <w:pPr>
              <w:jc w:val="center"/>
              <w:rPr>
                <w:rFonts w:ascii="Times New Roman" w:hAnsi="Times New Roman" w:cs="Times New Roman"/>
                <w:sz w:val="20"/>
                <w:szCs w:val="20"/>
              </w:rPr>
            </w:pPr>
          </w:p>
        </w:tc>
      </w:tr>
      <w:tr w:rsidR="00A304A7" w:rsidRPr="00A304A7" w14:paraId="63F36A0B" w14:textId="77777777" w:rsidTr="00A304A7">
        <w:trPr>
          <w:trHeight w:val="300"/>
        </w:trPr>
        <w:tc>
          <w:tcPr>
            <w:tcW w:w="965" w:type="dxa"/>
            <w:vMerge/>
            <w:tcBorders>
              <w:top w:val="nil"/>
              <w:right w:val="single" w:sz="4" w:space="0" w:color="auto"/>
            </w:tcBorders>
          </w:tcPr>
          <w:p w14:paraId="7AB58BE6"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21C4E021"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1.2 %)</w:t>
            </w:r>
          </w:p>
        </w:tc>
        <w:tc>
          <w:tcPr>
            <w:tcW w:w="3176" w:type="dxa"/>
            <w:tcBorders>
              <w:top w:val="nil"/>
              <w:left w:val="single" w:sz="4" w:space="0" w:color="auto"/>
              <w:bottom w:val="single" w:sz="4" w:space="0" w:color="auto"/>
              <w:right w:val="single" w:sz="4" w:space="0" w:color="auto"/>
            </w:tcBorders>
          </w:tcPr>
          <w:p w14:paraId="18D72948"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0.4 %)</w:t>
            </w:r>
          </w:p>
        </w:tc>
        <w:tc>
          <w:tcPr>
            <w:tcW w:w="2331" w:type="dxa"/>
            <w:vMerge/>
            <w:tcBorders>
              <w:top w:val="nil"/>
              <w:left w:val="single" w:sz="4" w:space="0" w:color="auto"/>
              <w:bottom w:val="single" w:sz="4" w:space="0" w:color="auto"/>
            </w:tcBorders>
          </w:tcPr>
          <w:p w14:paraId="11577A16" w14:textId="77777777" w:rsidR="00A304A7" w:rsidRPr="00A304A7" w:rsidRDefault="00A304A7" w:rsidP="00A304A7">
            <w:pPr>
              <w:jc w:val="center"/>
              <w:rPr>
                <w:rFonts w:ascii="Times New Roman" w:hAnsi="Times New Roman" w:cs="Times New Roman"/>
                <w:sz w:val="20"/>
                <w:szCs w:val="20"/>
              </w:rPr>
            </w:pPr>
          </w:p>
        </w:tc>
      </w:tr>
      <w:tr w:rsidR="00A304A7" w:rsidRPr="00A304A7" w14:paraId="46B5AFA0" w14:textId="77777777" w:rsidTr="00A304A7">
        <w:trPr>
          <w:trHeight w:val="299"/>
        </w:trPr>
        <w:tc>
          <w:tcPr>
            <w:tcW w:w="965" w:type="dxa"/>
            <w:vMerge w:val="restart"/>
            <w:tcBorders>
              <w:right w:val="single" w:sz="4" w:space="0" w:color="auto"/>
            </w:tcBorders>
          </w:tcPr>
          <w:p w14:paraId="0C380FDA" w14:textId="77777777" w:rsidR="00A304A7" w:rsidRPr="00A304A7" w:rsidRDefault="00A304A7" w:rsidP="00A304A7">
            <w:pPr>
              <w:pStyle w:val="TableParagraph"/>
              <w:spacing w:before="11"/>
              <w:jc w:val="center"/>
              <w:rPr>
                <w:rFonts w:ascii="Times New Roman" w:hAnsi="Times New Roman" w:cs="Times New Roman"/>
                <w:sz w:val="20"/>
                <w:szCs w:val="20"/>
              </w:rPr>
            </w:pPr>
          </w:p>
          <w:p w14:paraId="5DC4C83B" w14:textId="77777777" w:rsidR="00A304A7" w:rsidRPr="00A304A7" w:rsidRDefault="00A304A7" w:rsidP="00A304A7">
            <w:pPr>
              <w:pStyle w:val="TableParagraph"/>
              <w:ind w:left="322" w:right="313"/>
              <w:jc w:val="center"/>
              <w:rPr>
                <w:rFonts w:ascii="Times New Roman" w:hAnsi="Times New Roman" w:cs="Times New Roman"/>
                <w:sz w:val="20"/>
                <w:szCs w:val="20"/>
              </w:rPr>
            </w:pPr>
            <w:r w:rsidRPr="00A304A7">
              <w:rPr>
                <w:rFonts w:ascii="Times New Roman" w:hAnsi="Times New Roman" w:cs="Times New Roman"/>
                <w:sz w:val="20"/>
                <w:szCs w:val="20"/>
              </w:rPr>
              <w:t>Cu</w:t>
            </w:r>
          </w:p>
        </w:tc>
        <w:tc>
          <w:tcPr>
            <w:tcW w:w="3106" w:type="dxa"/>
            <w:tcBorders>
              <w:top w:val="single" w:sz="4" w:space="0" w:color="auto"/>
              <w:left w:val="single" w:sz="4" w:space="0" w:color="auto"/>
              <w:bottom w:val="nil"/>
              <w:right w:val="single" w:sz="4" w:space="0" w:color="auto"/>
            </w:tcBorders>
          </w:tcPr>
          <w:p w14:paraId="61425573" w14:textId="77777777" w:rsidR="00A304A7" w:rsidRPr="00A304A7" w:rsidRDefault="00A304A7" w:rsidP="008F2F73">
            <w:pPr>
              <w:pStyle w:val="TableParagraph"/>
              <w:ind w:left="1067"/>
              <w:rPr>
                <w:rFonts w:ascii="Times New Roman" w:hAnsi="Times New Roman" w:cs="Times New Roman"/>
                <w:sz w:val="20"/>
                <w:szCs w:val="20"/>
              </w:rPr>
            </w:pPr>
            <w:r w:rsidRPr="00A304A7">
              <w:rPr>
                <w:rFonts w:ascii="Times New Roman" w:hAnsi="Times New Roman" w:cs="Times New Roman"/>
                <w:sz w:val="20"/>
                <w:szCs w:val="20"/>
              </w:rPr>
              <w:t>18.0 mg/kg;</w:t>
            </w:r>
          </w:p>
        </w:tc>
        <w:tc>
          <w:tcPr>
            <w:tcW w:w="3176" w:type="dxa"/>
            <w:tcBorders>
              <w:top w:val="single" w:sz="4" w:space="0" w:color="auto"/>
              <w:left w:val="single" w:sz="4" w:space="0" w:color="auto"/>
              <w:bottom w:val="nil"/>
              <w:right w:val="single" w:sz="4" w:space="0" w:color="auto"/>
            </w:tcBorders>
          </w:tcPr>
          <w:p w14:paraId="48D50AB2" w14:textId="77777777" w:rsidR="00A304A7" w:rsidRPr="00A304A7" w:rsidRDefault="00A304A7" w:rsidP="008F2F73">
            <w:pPr>
              <w:pStyle w:val="TableParagraph"/>
              <w:ind w:left="1103"/>
              <w:rPr>
                <w:rFonts w:ascii="Times New Roman" w:hAnsi="Times New Roman" w:cs="Times New Roman"/>
                <w:sz w:val="20"/>
                <w:szCs w:val="20"/>
              </w:rPr>
            </w:pPr>
            <w:r w:rsidRPr="00A304A7">
              <w:rPr>
                <w:rFonts w:ascii="Times New Roman" w:hAnsi="Times New Roman" w:cs="Times New Roman"/>
                <w:sz w:val="20"/>
                <w:szCs w:val="20"/>
              </w:rPr>
              <w:t>4.62 mg/kg;</w:t>
            </w:r>
          </w:p>
        </w:tc>
        <w:tc>
          <w:tcPr>
            <w:tcW w:w="2331" w:type="dxa"/>
            <w:tcBorders>
              <w:top w:val="single" w:sz="4" w:space="0" w:color="auto"/>
              <w:left w:val="single" w:sz="4" w:space="0" w:color="auto"/>
              <w:bottom w:val="nil"/>
              <w:right w:val="single" w:sz="4" w:space="0" w:color="auto"/>
            </w:tcBorders>
          </w:tcPr>
          <w:p w14:paraId="30083A6A" w14:textId="77777777" w:rsidR="00A304A7" w:rsidRPr="00A304A7" w:rsidRDefault="00A304A7" w:rsidP="00A304A7">
            <w:pPr>
              <w:pStyle w:val="TableParagraph"/>
              <w:ind w:left="357" w:right="349"/>
              <w:jc w:val="center"/>
              <w:rPr>
                <w:rFonts w:ascii="Times New Roman" w:hAnsi="Times New Roman" w:cs="Times New Roman"/>
                <w:sz w:val="20"/>
                <w:szCs w:val="20"/>
              </w:rPr>
            </w:pPr>
            <w:r w:rsidRPr="00A304A7">
              <w:rPr>
                <w:rFonts w:ascii="Times New Roman" w:hAnsi="Times New Roman" w:cs="Times New Roman"/>
                <w:sz w:val="20"/>
                <w:szCs w:val="20"/>
              </w:rPr>
              <w:t>526 µg/kg;</w:t>
            </w:r>
          </w:p>
        </w:tc>
      </w:tr>
      <w:tr w:rsidR="00A304A7" w:rsidRPr="00A304A7" w14:paraId="3CEC31C2" w14:textId="77777777" w:rsidTr="00A304A7">
        <w:trPr>
          <w:trHeight w:val="299"/>
        </w:trPr>
        <w:tc>
          <w:tcPr>
            <w:tcW w:w="965" w:type="dxa"/>
            <w:vMerge/>
            <w:tcBorders>
              <w:top w:val="nil"/>
              <w:right w:val="single" w:sz="4" w:space="0" w:color="auto"/>
            </w:tcBorders>
          </w:tcPr>
          <w:p w14:paraId="431F7307"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288CAE95"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95%</w:t>
            </w:r>
          </w:p>
        </w:tc>
        <w:tc>
          <w:tcPr>
            <w:tcW w:w="3176" w:type="dxa"/>
            <w:tcBorders>
              <w:top w:val="nil"/>
              <w:left w:val="single" w:sz="4" w:space="0" w:color="auto"/>
              <w:bottom w:val="nil"/>
              <w:right w:val="single" w:sz="4" w:space="0" w:color="auto"/>
            </w:tcBorders>
          </w:tcPr>
          <w:p w14:paraId="38125834" w14:textId="77777777" w:rsidR="00A304A7" w:rsidRPr="00A304A7" w:rsidRDefault="00A304A7" w:rsidP="00A304A7">
            <w:pPr>
              <w:pStyle w:val="TableParagraph"/>
              <w:ind w:left="884" w:right="875"/>
              <w:jc w:val="center"/>
              <w:rPr>
                <w:rFonts w:ascii="Times New Roman" w:hAnsi="Times New Roman" w:cs="Times New Roman"/>
                <w:sz w:val="20"/>
                <w:szCs w:val="20"/>
              </w:rPr>
            </w:pPr>
            <w:r w:rsidRPr="00A304A7">
              <w:rPr>
                <w:rFonts w:ascii="Times New Roman" w:hAnsi="Times New Roman" w:cs="Times New Roman"/>
                <w:sz w:val="20"/>
                <w:szCs w:val="20"/>
              </w:rPr>
              <w:t>94%</w:t>
            </w:r>
          </w:p>
        </w:tc>
        <w:tc>
          <w:tcPr>
            <w:tcW w:w="2331" w:type="dxa"/>
            <w:tcBorders>
              <w:top w:val="nil"/>
              <w:left w:val="single" w:sz="4" w:space="0" w:color="auto"/>
              <w:bottom w:val="nil"/>
              <w:right w:val="single" w:sz="4" w:space="0" w:color="auto"/>
            </w:tcBorders>
          </w:tcPr>
          <w:p w14:paraId="32CEA712" w14:textId="77777777" w:rsidR="00A304A7" w:rsidRPr="00A304A7" w:rsidRDefault="00A304A7" w:rsidP="00A304A7">
            <w:pPr>
              <w:pStyle w:val="TableParagraph"/>
              <w:ind w:left="356" w:right="351"/>
              <w:jc w:val="center"/>
              <w:rPr>
                <w:rFonts w:ascii="Times New Roman" w:hAnsi="Times New Roman" w:cs="Times New Roman"/>
                <w:sz w:val="20"/>
                <w:szCs w:val="20"/>
              </w:rPr>
            </w:pPr>
            <w:r w:rsidRPr="00A304A7">
              <w:rPr>
                <w:rFonts w:ascii="Times New Roman" w:hAnsi="Times New Roman" w:cs="Times New Roman"/>
                <w:sz w:val="20"/>
                <w:szCs w:val="20"/>
              </w:rPr>
              <w:t>96%</w:t>
            </w:r>
          </w:p>
        </w:tc>
      </w:tr>
      <w:tr w:rsidR="00A304A7" w:rsidRPr="00A304A7" w14:paraId="4BB1BBB1" w14:textId="77777777" w:rsidTr="00A304A7">
        <w:trPr>
          <w:trHeight w:val="300"/>
        </w:trPr>
        <w:tc>
          <w:tcPr>
            <w:tcW w:w="965" w:type="dxa"/>
            <w:vMerge/>
            <w:tcBorders>
              <w:top w:val="nil"/>
              <w:right w:val="single" w:sz="4" w:space="0" w:color="auto"/>
            </w:tcBorders>
          </w:tcPr>
          <w:p w14:paraId="4C3DBF9C"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77EC9F3B"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0.6 %)</w:t>
            </w:r>
          </w:p>
        </w:tc>
        <w:tc>
          <w:tcPr>
            <w:tcW w:w="3176" w:type="dxa"/>
            <w:tcBorders>
              <w:top w:val="nil"/>
              <w:left w:val="single" w:sz="4" w:space="0" w:color="auto"/>
              <w:bottom w:val="single" w:sz="4" w:space="0" w:color="auto"/>
              <w:right w:val="single" w:sz="4" w:space="0" w:color="auto"/>
            </w:tcBorders>
          </w:tcPr>
          <w:p w14:paraId="4BA59949"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0.7 %)</w:t>
            </w:r>
          </w:p>
        </w:tc>
        <w:tc>
          <w:tcPr>
            <w:tcW w:w="2331" w:type="dxa"/>
            <w:tcBorders>
              <w:top w:val="nil"/>
              <w:left w:val="single" w:sz="4" w:space="0" w:color="auto"/>
              <w:bottom w:val="single" w:sz="4" w:space="0" w:color="auto"/>
              <w:right w:val="single" w:sz="4" w:space="0" w:color="auto"/>
            </w:tcBorders>
          </w:tcPr>
          <w:p w14:paraId="2AF6734B" w14:textId="77777777" w:rsidR="00A304A7" w:rsidRPr="00A304A7" w:rsidRDefault="00A304A7" w:rsidP="00A304A7">
            <w:pPr>
              <w:pStyle w:val="TableParagraph"/>
              <w:spacing w:before="36"/>
              <w:ind w:left="356" w:right="351"/>
              <w:jc w:val="center"/>
              <w:rPr>
                <w:rFonts w:ascii="Times New Roman" w:hAnsi="Times New Roman" w:cs="Times New Roman"/>
                <w:sz w:val="20"/>
                <w:szCs w:val="20"/>
              </w:rPr>
            </w:pPr>
            <w:r w:rsidRPr="00A304A7">
              <w:rPr>
                <w:rFonts w:ascii="Times New Roman" w:hAnsi="Times New Roman" w:cs="Times New Roman"/>
                <w:sz w:val="20"/>
                <w:szCs w:val="20"/>
              </w:rPr>
              <w:t>(RSD = 0.7 %)</w:t>
            </w:r>
          </w:p>
        </w:tc>
      </w:tr>
      <w:tr w:rsidR="00A304A7" w:rsidRPr="00A304A7" w14:paraId="44BEFBBD" w14:textId="77777777" w:rsidTr="00A304A7">
        <w:trPr>
          <w:trHeight w:val="299"/>
        </w:trPr>
        <w:tc>
          <w:tcPr>
            <w:tcW w:w="965" w:type="dxa"/>
            <w:vMerge w:val="restart"/>
            <w:tcBorders>
              <w:right w:val="single" w:sz="4" w:space="0" w:color="auto"/>
            </w:tcBorders>
          </w:tcPr>
          <w:p w14:paraId="7C7A5F05" w14:textId="77777777" w:rsidR="00A304A7" w:rsidRPr="00A304A7" w:rsidRDefault="00A304A7" w:rsidP="00A304A7">
            <w:pPr>
              <w:pStyle w:val="TableParagraph"/>
              <w:spacing w:before="11"/>
              <w:jc w:val="center"/>
              <w:rPr>
                <w:rFonts w:ascii="Times New Roman" w:hAnsi="Times New Roman" w:cs="Times New Roman"/>
                <w:sz w:val="20"/>
                <w:szCs w:val="20"/>
              </w:rPr>
            </w:pPr>
          </w:p>
          <w:p w14:paraId="7D9C4E54" w14:textId="77777777" w:rsidR="00A304A7" w:rsidRPr="00A304A7" w:rsidRDefault="00A304A7" w:rsidP="00A304A7">
            <w:pPr>
              <w:pStyle w:val="TableParagraph"/>
              <w:ind w:left="321" w:right="313"/>
              <w:jc w:val="center"/>
              <w:rPr>
                <w:rFonts w:ascii="Times New Roman" w:hAnsi="Times New Roman" w:cs="Times New Roman"/>
                <w:sz w:val="20"/>
                <w:szCs w:val="20"/>
              </w:rPr>
            </w:pPr>
            <w:r w:rsidRPr="00A304A7">
              <w:rPr>
                <w:rFonts w:ascii="Times New Roman" w:hAnsi="Times New Roman" w:cs="Times New Roman"/>
                <w:sz w:val="20"/>
                <w:szCs w:val="20"/>
              </w:rPr>
              <w:t>Fe</w:t>
            </w:r>
          </w:p>
        </w:tc>
        <w:tc>
          <w:tcPr>
            <w:tcW w:w="3106" w:type="dxa"/>
            <w:tcBorders>
              <w:top w:val="single" w:sz="4" w:space="0" w:color="auto"/>
              <w:left w:val="single" w:sz="4" w:space="0" w:color="auto"/>
              <w:bottom w:val="nil"/>
              <w:right w:val="single" w:sz="4" w:space="0" w:color="auto"/>
            </w:tcBorders>
          </w:tcPr>
          <w:p w14:paraId="7075F51B"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161 mg/kg;</w:t>
            </w:r>
          </w:p>
        </w:tc>
        <w:tc>
          <w:tcPr>
            <w:tcW w:w="3176" w:type="dxa"/>
            <w:tcBorders>
              <w:top w:val="single" w:sz="4" w:space="0" w:color="auto"/>
              <w:left w:val="single" w:sz="4" w:space="0" w:color="auto"/>
              <w:bottom w:val="nil"/>
              <w:right w:val="single" w:sz="4" w:space="0" w:color="auto"/>
            </w:tcBorders>
          </w:tcPr>
          <w:p w14:paraId="7849121A" w14:textId="77777777" w:rsidR="00A304A7" w:rsidRPr="00A304A7" w:rsidRDefault="00A304A7" w:rsidP="008F2F73">
            <w:pPr>
              <w:pStyle w:val="TableParagraph"/>
              <w:ind w:left="1103"/>
              <w:rPr>
                <w:rFonts w:ascii="Times New Roman" w:hAnsi="Times New Roman" w:cs="Times New Roman"/>
                <w:sz w:val="20"/>
                <w:szCs w:val="20"/>
              </w:rPr>
            </w:pPr>
            <w:r w:rsidRPr="00A304A7">
              <w:rPr>
                <w:rFonts w:ascii="Times New Roman" w:hAnsi="Times New Roman" w:cs="Times New Roman"/>
                <w:sz w:val="20"/>
                <w:szCs w:val="20"/>
              </w:rPr>
              <w:t>15.6 mg/kg;</w:t>
            </w:r>
          </w:p>
        </w:tc>
        <w:tc>
          <w:tcPr>
            <w:tcW w:w="2331" w:type="dxa"/>
            <w:tcBorders>
              <w:top w:val="single" w:sz="4" w:space="0" w:color="auto"/>
              <w:left w:val="single" w:sz="4" w:space="0" w:color="auto"/>
              <w:bottom w:val="nil"/>
              <w:right w:val="single" w:sz="4" w:space="0" w:color="auto"/>
            </w:tcBorders>
          </w:tcPr>
          <w:p w14:paraId="2648750B" w14:textId="77777777" w:rsidR="00A304A7" w:rsidRPr="00A304A7" w:rsidRDefault="00A304A7" w:rsidP="00A304A7">
            <w:pPr>
              <w:pStyle w:val="TableParagraph"/>
              <w:ind w:left="357" w:right="349"/>
              <w:jc w:val="center"/>
              <w:rPr>
                <w:rFonts w:ascii="Times New Roman" w:hAnsi="Times New Roman" w:cs="Times New Roman"/>
                <w:sz w:val="20"/>
                <w:szCs w:val="20"/>
              </w:rPr>
            </w:pPr>
            <w:r w:rsidRPr="00A304A7">
              <w:rPr>
                <w:rFonts w:ascii="Times New Roman" w:hAnsi="Times New Roman" w:cs="Times New Roman"/>
                <w:sz w:val="20"/>
                <w:szCs w:val="20"/>
              </w:rPr>
              <w:t>792 µg/kg;</w:t>
            </w:r>
          </w:p>
        </w:tc>
      </w:tr>
      <w:tr w:rsidR="00A304A7" w:rsidRPr="00A304A7" w14:paraId="615D875F" w14:textId="77777777" w:rsidTr="00A304A7">
        <w:trPr>
          <w:trHeight w:val="299"/>
        </w:trPr>
        <w:tc>
          <w:tcPr>
            <w:tcW w:w="965" w:type="dxa"/>
            <w:vMerge/>
            <w:tcBorders>
              <w:top w:val="nil"/>
              <w:right w:val="single" w:sz="4" w:space="0" w:color="auto"/>
            </w:tcBorders>
          </w:tcPr>
          <w:p w14:paraId="6DCC6C35"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56601255"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98%</w:t>
            </w:r>
          </w:p>
        </w:tc>
        <w:tc>
          <w:tcPr>
            <w:tcW w:w="3176" w:type="dxa"/>
            <w:tcBorders>
              <w:top w:val="nil"/>
              <w:left w:val="single" w:sz="4" w:space="0" w:color="auto"/>
              <w:bottom w:val="nil"/>
              <w:right w:val="single" w:sz="4" w:space="0" w:color="auto"/>
            </w:tcBorders>
          </w:tcPr>
          <w:p w14:paraId="3EAC2211" w14:textId="77777777" w:rsidR="00A304A7" w:rsidRPr="00A304A7" w:rsidRDefault="00A304A7" w:rsidP="00A304A7">
            <w:pPr>
              <w:pStyle w:val="TableParagraph"/>
              <w:ind w:left="884" w:right="875"/>
              <w:jc w:val="center"/>
              <w:rPr>
                <w:rFonts w:ascii="Times New Roman" w:hAnsi="Times New Roman" w:cs="Times New Roman"/>
                <w:sz w:val="20"/>
                <w:szCs w:val="20"/>
              </w:rPr>
            </w:pPr>
            <w:r w:rsidRPr="00A304A7">
              <w:rPr>
                <w:rFonts w:ascii="Times New Roman" w:hAnsi="Times New Roman" w:cs="Times New Roman"/>
                <w:sz w:val="20"/>
                <w:szCs w:val="20"/>
              </w:rPr>
              <w:t>95%</w:t>
            </w:r>
          </w:p>
        </w:tc>
        <w:tc>
          <w:tcPr>
            <w:tcW w:w="2331" w:type="dxa"/>
            <w:tcBorders>
              <w:top w:val="nil"/>
              <w:left w:val="single" w:sz="4" w:space="0" w:color="auto"/>
              <w:bottom w:val="nil"/>
              <w:right w:val="single" w:sz="4" w:space="0" w:color="auto"/>
            </w:tcBorders>
          </w:tcPr>
          <w:p w14:paraId="6CA3C22F" w14:textId="77777777" w:rsidR="00A304A7" w:rsidRPr="00A304A7" w:rsidRDefault="00A304A7" w:rsidP="00A304A7">
            <w:pPr>
              <w:pStyle w:val="TableParagraph"/>
              <w:ind w:left="356" w:right="351"/>
              <w:jc w:val="center"/>
              <w:rPr>
                <w:rFonts w:ascii="Times New Roman" w:hAnsi="Times New Roman" w:cs="Times New Roman"/>
                <w:sz w:val="20"/>
                <w:szCs w:val="20"/>
              </w:rPr>
            </w:pPr>
            <w:r w:rsidRPr="00A304A7">
              <w:rPr>
                <w:rFonts w:ascii="Times New Roman" w:hAnsi="Times New Roman" w:cs="Times New Roman"/>
                <w:sz w:val="20"/>
                <w:szCs w:val="20"/>
              </w:rPr>
              <w:t>99%</w:t>
            </w:r>
          </w:p>
        </w:tc>
      </w:tr>
      <w:tr w:rsidR="00A304A7" w:rsidRPr="00A304A7" w14:paraId="3DE2A47C" w14:textId="77777777" w:rsidTr="00A304A7">
        <w:trPr>
          <w:trHeight w:val="300"/>
        </w:trPr>
        <w:tc>
          <w:tcPr>
            <w:tcW w:w="965" w:type="dxa"/>
            <w:vMerge/>
            <w:tcBorders>
              <w:top w:val="nil"/>
              <w:right w:val="single" w:sz="4" w:space="0" w:color="auto"/>
            </w:tcBorders>
          </w:tcPr>
          <w:p w14:paraId="5C1F42EB"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3657116E"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1.1 %)</w:t>
            </w:r>
          </w:p>
        </w:tc>
        <w:tc>
          <w:tcPr>
            <w:tcW w:w="3176" w:type="dxa"/>
            <w:tcBorders>
              <w:top w:val="nil"/>
              <w:left w:val="single" w:sz="4" w:space="0" w:color="auto"/>
              <w:bottom w:val="single" w:sz="4" w:space="0" w:color="auto"/>
              <w:right w:val="single" w:sz="4" w:space="0" w:color="auto"/>
            </w:tcBorders>
          </w:tcPr>
          <w:p w14:paraId="45447D8E"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1.1 %)</w:t>
            </w:r>
          </w:p>
        </w:tc>
        <w:tc>
          <w:tcPr>
            <w:tcW w:w="2331" w:type="dxa"/>
            <w:tcBorders>
              <w:top w:val="nil"/>
              <w:left w:val="single" w:sz="4" w:space="0" w:color="auto"/>
              <w:bottom w:val="single" w:sz="4" w:space="0" w:color="auto"/>
              <w:right w:val="single" w:sz="4" w:space="0" w:color="auto"/>
            </w:tcBorders>
          </w:tcPr>
          <w:p w14:paraId="6F918D32" w14:textId="77777777" w:rsidR="00A304A7" w:rsidRPr="00A304A7" w:rsidRDefault="00A304A7" w:rsidP="00A304A7">
            <w:pPr>
              <w:pStyle w:val="TableParagraph"/>
              <w:spacing w:before="36"/>
              <w:ind w:left="356" w:right="351"/>
              <w:jc w:val="center"/>
              <w:rPr>
                <w:rFonts w:ascii="Times New Roman" w:hAnsi="Times New Roman" w:cs="Times New Roman"/>
                <w:sz w:val="20"/>
                <w:szCs w:val="20"/>
              </w:rPr>
            </w:pPr>
            <w:r w:rsidRPr="00A304A7">
              <w:rPr>
                <w:rFonts w:ascii="Times New Roman" w:hAnsi="Times New Roman" w:cs="Times New Roman"/>
                <w:sz w:val="20"/>
                <w:szCs w:val="20"/>
              </w:rPr>
              <w:t>(RSD = 2.6 %)</w:t>
            </w:r>
          </w:p>
        </w:tc>
      </w:tr>
      <w:tr w:rsidR="00A304A7" w:rsidRPr="00A304A7" w14:paraId="38C5C1A6" w14:textId="77777777" w:rsidTr="00A304A7">
        <w:trPr>
          <w:trHeight w:val="299"/>
        </w:trPr>
        <w:tc>
          <w:tcPr>
            <w:tcW w:w="965" w:type="dxa"/>
            <w:vMerge w:val="restart"/>
            <w:tcBorders>
              <w:right w:val="single" w:sz="4" w:space="0" w:color="auto"/>
            </w:tcBorders>
          </w:tcPr>
          <w:p w14:paraId="3ACD037C" w14:textId="77777777" w:rsidR="00A304A7" w:rsidRPr="00A304A7" w:rsidRDefault="00A304A7" w:rsidP="00A304A7">
            <w:pPr>
              <w:pStyle w:val="TableParagraph"/>
              <w:spacing w:before="11"/>
              <w:jc w:val="center"/>
              <w:rPr>
                <w:rFonts w:ascii="Times New Roman" w:hAnsi="Times New Roman" w:cs="Times New Roman"/>
                <w:sz w:val="20"/>
                <w:szCs w:val="20"/>
              </w:rPr>
            </w:pPr>
          </w:p>
          <w:p w14:paraId="660B8F1A" w14:textId="77777777" w:rsidR="00A304A7" w:rsidRPr="00A304A7" w:rsidRDefault="00A304A7" w:rsidP="00A304A7">
            <w:pPr>
              <w:pStyle w:val="TableParagraph"/>
              <w:ind w:left="323" w:right="313"/>
              <w:jc w:val="center"/>
              <w:rPr>
                <w:rFonts w:ascii="Times New Roman" w:hAnsi="Times New Roman" w:cs="Times New Roman"/>
                <w:sz w:val="20"/>
                <w:szCs w:val="20"/>
              </w:rPr>
            </w:pPr>
            <w:r w:rsidRPr="00A304A7">
              <w:rPr>
                <w:rFonts w:ascii="Times New Roman" w:hAnsi="Times New Roman" w:cs="Times New Roman"/>
                <w:sz w:val="20"/>
                <w:szCs w:val="20"/>
              </w:rPr>
              <w:t>Mn</w:t>
            </w:r>
          </w:p>
        </w:tc>
        <w:tc>
          <w:tcPr>
            <w:tcW w:w="3106" w:type="dxa"/>
            <w:tcBorders>
              <w:top w:val="single" w:sz="4" w:space="0" w:color="auto"/>
              <w:left w:val="single" w:sz="4" w:space="0" w:color="auto"/>
              <w:bottom w:val="nil"/>
              <w:right w:val="single" w:sz="4" w:space="0" w:color="auto"/>
            </w:tcBorders>
          </w:tcPr>
          <w:p w14:paraId="647DB73A" w14:textId="77777777" w:rsidR="00A304A7" w:rsidRPr="00A304A7" w:rsidRDefault="00A304A7" w:rsidP="008F2F73">
            <w:pPr>
              <w:pStyle w:val="TableParagraph"/>
              <w:ind w:left="1067"/>
              <w:rPr>
                <w:rFonts w:ascii="Times New Roman" w:hAnsi="Times New Roman" w:cs="Times New Roman"/>
                <w:sz w:val="20"/>
                <w:szCs w:val="20"/>
              </w:rPr>
            </w:pPr>
            <w:r w:rsidRPr="00A304A7">
              <w:rPr>
                <w:rFonts w:ascii="Times New Roman" w:hAnsi="Times New Roman" w:cs="Times New Roman"/>
                <w:sz w:val="20"/>
                <w:szCs w:val="20"/>
              </w:rPr>
              <w:t>44.8 mg/kg;</w:t>
            </w:r>
          </w:p>
        </w:tc>
        <w:tc>
          <w:tcPr>
            <w:tcW w:w="3176" w:type="dxa"/>
            <w:tcBorders>
              <w:top w:val="single" w:sz="4" w:space="0" w:color="auto"/>
              <w:left w:val="single" w:sz="4" w:space="0" w:color="auto"/>
              <w:bottom w:val="nil"/>
              <w:right w:val="single" w:sz="4" w:space="0" w:color="auto"/>
            </w:tcBorders>
          </w:tcPr>
          <w:p w14:paraId="45EB23A8" w14:textId="77777777" w:rsidR="00A304A7" w:rsidRPr="00A304A7" w:rsidRDefault="00A304A7" w:rsidP="008F2F73">
            <w:pPr>
              <w:pStyle w:val="TableParagraph"/>
              <w:ind w:left="1103"/>
              <w:rPr>
                <w:rFonts w:ascii="Times New Roman" w:hAnsi="Times New Roman" w:cs="Times New Roman"/>
                <w:sz w:val="20"/>
                <w:szCs w:val="20"/>
              </w:rPr>
            </w:pPr>
            <w:r w:rsidRPr="00A304A7">
              <w:rPr>
                <w:rFonts w:ascii="Times New Roman" w:hAnsi="Times New Roman" w:cs="Times New Roman"/>
                <w:sz w:val="20"/>
                <w:szCs w:val="20"/>
              </w:rPr>
              <w:t>15.4 mg/kg;</w:t>
            </w:r>
          </w:p>
        </w:tc>
        <w:tc>
          <w:tcPr>
            <w:tcW w:w="2331" w:type="dxa"/>
            <w:vMerge w:val="restart"/>
            <w:tcBorders>
              <w:top w:val="single" w:sz="4" w:space="0" w:color="auto"/>
              <w:left w:val="single" w:sz="4" w:space="0" w:color="auto"/>
            </w:tcBorders>
          </w:tcPr>
          <w:p w14:paraId="68C3B9F9" w14:textId="77777777" w:rsidR="00A304A7" w:rsidRPr="00A304A7" w:rsidRDefault="00A304A7" w:rsidP="00A304A7">
            <w:pPr>
              <w:pStyle w:val="TableParagraph"/>
              <w:spacing w:before="11"/>
              <w:jc w:val="center"/>
              <w:rPr>
                <w:rFonts w:ascii="Times New Roman" w:hAnsi="Times New Roman" w:cs="Times New Roman"/>
                <w:sz w:val="20"/>
                <w:szCs w:val="20"/>
              </w:rPr>
            </w:pPr>
          </w:p>
          <w:p w14:paraId="37C26C69" w14:textId="77777777" w:rsidR="00A304A7" w:rsidRPr="00A304A7" w:rsidRDefault="00A304A7" w:rsidP="00A304A7">
            <w:pPr>
              <w:pStyle w:val="TableParagraph"/>
              <w:ind w:left="356" w:right="351"/>
              <w:jc w:val="center"/>
              <w:rPr>
                <w:rFonts w:ascii="Times New Roman" w:hAnsi="Times New Roman" w:cs="Times New Roman"/>
                <w:sz w:val="20"/>
                <w:szCs w:val="20"/>
              </w:rPr>
            </w:pPr>
            <w:r w:rsidRPr="00A304A7">
              <w:rPr>
                <w:rFonts w:ascii="Times New Roman" w:hAnsi="Times New Roman" w:cs="Times New Roman"/>
                <w:sz w:val="20"/>
                <w:szCs w:val="20"/>
              </w:rPr>
              <w:t>NA</w:t>
            </w:r>
          </w:p>
        </w:tc>
      </w:tr>
      <w:tr w:rsidR="00A304A7" w:rsidRPr="00A304A7" w14:paraId="40E771B3" w14:textId="77777777" w:rsidTr="00A304A7">
        <w:trPr>
          <w:trHeight w:val="299"/>
        </w:trPr>
        <w:tc>
          <w:tcPr>
            <w:tcW w:w="965" w:type="dxa"/>
            <w:vMerge/>
            <w:tcBorders>
              <w:top w:val="nil"/>
              <w:right w:val="single" w:sz="4" w:space="0" w:color="auto"/>
            </w:tcBorders>
          </w:tcPr>
          <w:p w14:paraId="15A2DE6A"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243B4B92"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97%</w:t>
            </w:r>
          </w:p>
        </w:tc>
        <w:tc>
          <w:tcPr>
            <w:tcW w:w="3176" w:type="dxa"/>
            <w:tcBorders>
              <w:top w:val="nil"/>
              <w:left w:val="single" w:sz="4" w:space="0" w:color="auto"/>
              <w:bottom w:val="nil"/>
              <w:right w:val="single" w:sz="4" w:space="0" w:color="auto"/>
            </w:tcBorders>
          </w:tcPr>
          <w:p w14:paraId="11CEE952" w14:textId="77777777" w:rsidR="00A304A7" w:rsidRPr="00A304A7" w:rsidRDefault="00A304A7" w:rsidP="00A304A7">
            <w:pPr>
              <w:pStyle w:val="TableParagraph"/>
              <w:ind w:left="884" w:right="875"/>
              <w:jc w:val="center"/>
              <w:rPr>
                <w:rFonts w:ascii="Times New Roman" w:hAnsi="Times New Roman" w:cs="Times New Roman"/>
                <w:sz w:val="20"/>
                <w:szCs w:val="20"/>
              </w:rPr>
            </w:pPr>
            <w:r w:rsidRPr="00A304A7">
              <w:rPr>
                <w:rFonts w:ascii="Times New Roman" w:hAnsi="Times New Roman" w:cs="Times New Roman"/>
                <w:sz w:val="20"/>
                <w:szCs w:val="20"/>
              </w:rPr>
              <w:t>96%</w:t>
            </w:r>
          </w:p>
        </w:tc>
        <w:tc>
          <w:tcPr>
            <w:tcW w:w="2331" w:type="dxa"/>
            <w:vMerge/>
            <w:tcBorders>
              <w:top w:val="nil"/>
              <w:left w:val="single" w:sz="4" w:space="0" w:color="auto"/>
            </w:tcBorders>
          </w:tcPr>
          <w:p w14:paraId="49D9BAFE" w14:textId="77777777" w:rsidR="00A304A7" w:rsidRPr="00A304A7" w:rsidRDefault="00A304A7" w:rsidP="00A304A7">
            <w:pPr>
              <w:jc w:val="center"/>
              <w:rPr>
                <w:rFonts w:ascii="Times New Roman" w:hAnsi="Times New Roman" w:cs="Times New Roman"/>
                <w:sz w:val="20"/>
                <w:szCs w:val="20"/>
              </w:rPr>
            </w:pPr>
          </w:p>
        </w:tc>
      </w:tr>
      <w:tr w:rsidR="00A304A7" w:rsidRPr="00A304A7" w14:paraId="5C01B3BA" w14:textId="77777777" w:rsidTr="00A304A7">
        <w:trPr>
          <w:trHeight w:val="300"/>
        </w:trPr>
        <w:tc>
          <w:tcPr>
            <w:tcW w:w="965" w:type="dxa"/>
            <w:vMerge/>
            <w:tcBorders>
              <w:top w:val="nil"/>
              <w:right w:val="single" w:sz="4" w:space="0" w:color="auto"/>
            </w:tcBorders>
          </w:tcPr>
          <w:p w14:paraId="0A01A830"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7C9DE9D6"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1.6 %)</w:t>
            </w:r>
          </w:p>
        </w:tc>
        <w:tc>
          <w:tcPr>
            <w:tcW w:w="3176" w:type="dxa"/>
            <w:tcBorders>
              <w:top w:val="nil"/>
              <w:left w:val="single" w:sz="4" w:space="0" w:color="auto"/>
              <w:bottom w:val="single" w:sz="4" w:space="0" w:color="auto"/>
              <w:right w:val="single" w:sz="4" w:space="0" w:color="auto"/>
            </w:tcBorders>
          </w:tcPr>
          <w:p w14:paraId="5120C3FB"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1.6 %)</w:t>
            </w:r>
          </w:p>
        </w:tc>
        <w:tc>
          <w:tcPr>
            <w:tcW w:w="2331" w:type="dxa"/>
            <w:vMerge/>
            <w:tcBorders>
              <w:top w:val="nil"/>
              <w:left w:val="single" w:sz="4" w:space="0" w:color="auto"/>
            </w:tcBorders>
          </w:tcPr>
          <w:p w14:paraId="710B5D28" w14:textId="77777777" w:rsidR="00A304A7" w:rsidRPr="00A304A7" w:rsidRDefault="00A304A7" w:rsidP="00A304A7">
            <w:pPr>
              <w:jc w:val="center"/>
              <w:rPr>
                <w:rFonts w:ascii="Times New Roman" w:hAnsi="Times New Roman" w:cs="Times New Roman"/>
                <w:sz w:val="20"/>
                <w:szCs w:val="20"/>
              </w:rPr>
            </w:pPr>
          </w:p>
        </w:tc>
      </w:tr>
      <w:tr w:rsidR="00A304A7" w:rsidRPr="00A304A7" w14:paraId="235F44D3" w14:textId="77777777" w:rsidTr="00A304A7">
        <w:trPr>
          <w:trHeight w:val="299"/>
        </w:trPr>
        <w:tc>
          <w:tcPr>
            <w:tcW w:w="965" w:type="dxa"/>
            <w:vMerge w:val="restart"/>
            <w:tcBorders>
              <w:right w:val="single" w:sz="4" w:space="0" w:color="auto"/>
            </w:tcBorders>
          </w:tcPr>
          <w:p w14:paraId="4858CB80" w14:textId="77777777" w:rsidR="00A304A7" w:rsidRPr="00A304A7" w:rsidRDefault="00A304A7" w:rsidP="00A304A7">
            <w:pPr>
              <w:pStyle w:val="TableParagraph"/>
              <w:spacing w:before="11"/>
              <w:jc w:val="center"/>
              <w:rPr>
                <w:rFonts w:ascii="Times New Roman" w:hAnsi="Times New Roman" w:cs="Times New Roman"/>
                <w:sz w:val="20"/>
                <w:szCs w:val="20"/>
              </w:rPr>
            </w:pPr>
          </w:p>
          <w:p w14:paraId="1183BAAE" w14:textId="77777777" w:rsidR="00A304A7" w:rsidRPr="00A304A7" w:rsidRDefault="00A304A7" w:rsidP="00A304A7">
            <w:pPr>
              <w:pStyle w:val="TableParagraph"/>
              <w:ind w:left="323" w:right="313"/>
              <w:jc w:val="center"/>
              <w:rPr>
                <w:rFonts w:ascii="Times New Roman" w:hAnsi="Times New Roman" w:cs="Times New Roman"/>
                <w:sz w:val="20"/>
                <w:szCs w:val="20"/>
              </w:rPr>
            </w:pPr>
            <w:r w:rsidRPr="00A304A7">
              <w:rPr>
                <w:rFonts w:ascii="Times New Roman" w:hAnsi="Times New Roman" w:cs="Times New Roman"/>
                <w:sz w:val="20"/>
                <w:szCs w:val="20"/>
              </w:rPr>
              <w:t>Na</w:t>
            </w:r>
          </w:p>
        </w:tc>
        <w:tc>
          <w:tcPr>
            <w:tcW w:w="3106" w:type="dxa"/>
            <w:tcBorders>
              <w:top w:val="single" w:sz="4" w:space="0" w:color="auto"/>
              <w:left w:val="single" w:sz="4" w:space="0" w:color="auto"/>
              <w:bottom w:val="nil"/>
              <w:right w:val="single" w:sz="4" w:space="0" w:color="auto"/>
            </w:tcBorders>
          </w:tcPr>
          <w:p w14:paraId="059D5C23" w14:textId="77777777" w:rsidR="00A304A7" w:rsidRPr="00A304A7" w:rsidRDefault="00A304A7" w:rsidP="00A304A7">
            <w:pPr>
              <w:pStyle w:val="TableParagraph"/>
              <w:ind w:left="723" w:right="713"/>
              <w:jc w:val="center"/>
              <w:rPr>
                <w:rFonts w:ascii="Times New Roman" w:hAnsi="Times New Roman" w:cs="Times New Roman"/>
                <w:sz w:val="20"/>
                <w:szCs w:val="20"/>
              </w:rPr>
            </w:pPr>
            <w:r w:rsidRPr="00A304A7">
              <w:rPr>
                <w:rFonts w:ascii="Times New Roman" w:hAnsi="Times New Roman" w:cs="Times New Roman"/>
                <w:sz w:val="20"/>
                <w:szCs w:val="20"/>
              </w:rPr>
              <w:t>1895 mg/kg;</w:t>
            </w:r>
          </w:p>
        </w:tc>
        <w:tc>
          <w:tcPr>
            <w:tcW w:w="3176" w:type="dxa"/>
            <w:tcBorders>
              <w:top w:val="single" w:sz="4" w:space="0" w:color="auto"/>
              <w:left w:val="single" w:sz="4" w:space="0" w:color="auto"/>
              <w:bottom w:val="nil"/>
              <w:right w:val="single" w:sz="4" w:space="0" w:color="auto"/>
            </w:tcBorders>
          </w:tcPr>
          <w:p w14:paraId="00E463AA" w14:textId="77777777" w:rsidR="00A304A7" w:rsidRPr="00A304A7" w:rsidRDefault="00A304A7" w:rsidP="00A304A7">
            <w:pPr>
              <w:pStyle w:val="TableParagraph"/>
              <w:ind w:left="884" w:right="873"/>
              <w:jc w:val="center"/>
              <w:rPr>
                <w:rFonts w:ascii="Times New Roman" w:hAnsi="Times New Roman" w:cs="Times New Roman"/>
                <w:sz w:val="20"/>
                <w:szCs w:val="20"/>
              </w:rPr>
            </w:pPr>
            <w:r w:rsidRPr="00A304A7">
              <w:rPr>
                <w:rFonts w:ascii="Times New Roman" w:hAnsi="Times New Roman" w:cs="Times New Roman"/>
                <w:sz w:val="20"/>
                <w:szCs w:val="20"/>
              </w:rPr>
              <w:t>4922 mg/kg;</w:t>
            </w:r>
          </w:p>
        </w:tc>
        <w:tc>
          <w:tcPr>
            <w:tcW w:w="2331" w:type="dxa"/>
            <w:vMerge w:val="restart"/>
            <w:tcBorders>
              <w:left w:val="single" w:sz="4" w:space="0" w:color="auto"/>
            </w:tcBorders>
          </w:tcPr>
          <w:p w14:paraId="54D02608" w14:textId="77777777" w:rsidR="00A304A7" w:rsidRPr="00A304A7" w:rsidRDefault="00A304A7" w:rsidP="00A304A7">
            <w:pPr>
              <w:pStyle w:val="TableParagraph"/>
              <w:spacing w:before="11"/>
              <w:jc w:val="center"/>
              <w:rPr>
                <w:rFonts w:ascii="Times New Roman" w:hAnsi="Times New Roman" w:cs="Times New Roman"/>
                <w:sz w:val="20"/>
                <w:szCs w:val="20"/>
              </w:rPr>
            </w:pPr>
          </w:p>
          <w:p w14:paraId="504FE05E" w14:textId="77777777" w:rsidR="00A304A7" w:rsidRPr="00A304A7" w:rsidRDefault="00A304A7" w:rsidP="00A304A7">
            <w:pPr>
              <w:pStyle w:val="TableParagraph"/>
              <w:ind w:left="357" w:right="351"/>
              <w:jc w:val="center"/>
              <w:rPr>
                <w:rFonts w:ascii="Times New Roman" w:hAnsi="Times New Roman" w:cs="Times New Roman"/>
                <w:sz w:val="20"/>
                <w:szCs w:val="20"/>
              </w:rPr>
            </w:pPr>
            <w:r w:rsidRPr="00A304A7">
              <w:rPr>
                <w:rFonts w:ascii="Times New Roman" w:hAnsi="Times New Roman" w:cs="Times New Roman"/>
                <w:sz w:val="20"/>
                <w:szCs w:val="20"/>
              </w:rPr>
              <w:t>NA</w:t>
            </w:r>
          </w:p>
        </w:tc>
      </w:tr>
      <w:tr w:rsidR="00A304A7" w:rsidRPr="00A304A7" w14:paraId="12C7DD2C" w14:textId="77777777" w:rsidTr="00A304A7">
        <w:trPr>
          <w:trHeight w:val="299"/>
        </w:trPr>
        <w:tc>
          <w:tcPr>
            <w:tcW w:w="965" w:type="dxa"/>
            <w:vMerge/>
            <w:tcBorders>
              <w:top w:val="nil"/>
              <w:right w:val="single" w:sz="4" w:space="0" w:color="auto"/>
            </w:tcBorders>
          </w:tcPr>
          <w:p w14:paraId="18E021DB"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697F81CF" w14:textId="77777777" w:rsidR="00A304A7" w:rsidRPr="00A304A7" w:rsidRDefault="00A304A7" w:rsidP="00A304A7">
            <w:pPr>
              <w:pStyle w:val="TableParagraph"/>
              <w:ind w:left="723" w:right="714"/>
              <w:jc w:val="center"/>
              <w:rPr>
                <w:rFonts w:ascii="Times New Roman" w:hAnsi="Times New Roman" w:cs="Times New Roman"/>
                <w:sz w:val="20"/>
                <w:szCs w:val="20"/>
              </w:rPr>
            </w:pPr>
            <w:r w:rsidRPr="00A304A7">
              <w:rPr>
                <w:rFonts w:ascii="Times New Roman" w:hAnsi="Times New Roman" w:cs="Times New Roman"/>
                <w:sz w:val="20"/>
                <w:szCs w:val="20"/>
              </w:rPr>
              <w:t>101%</w:t>
            </w:r>
          </w:p>
        </w:tc>
        <w:tc>
          <w:tcPr>
            <w:tcW w:w="3176" w:type="dxa"/>
            <w:tcBorders>
              <w:top w:val="nil"/>
              <w:left w:val="single" w:sz="4" w:space="0" w:color="auto"/>
              <w:bottom w:val="nil"/>
              <w:right w:val="single" w:sz="4" w:space="0" w:color="auto"/>
            </w:tcBorders>
          </w:tcPr>
          <w:p w14:paraId="5BA3C554" w14:textId="77777777" w:rsidR="00A304A7" w:rsidRPr="00A304A7" w:rsidRDefault="00A304A7" w:rsidP="00A304A7">
            <w:pPr>
              <w:pStyle w:val="TableParagraph"/>
              <w:ind w:left="884" w:right="874"/>
              <w:jc w:val="center"/>
              <w:rPr>
                <w:rFonts w:ascii="Times New Roman" w:hAnsi="Times New Roman" w:cs="Times New Roman"/>
                <w:sz w:val="20"/>
                <w:szCs w:val="20"/>
              </w:rPr>
            </w:pPr>
            <w:r w:rsidRPr="00A304A7">
              <w:rPr>
                <w:rFonts w:ascii="Times New Roman" w:hAnsi="Times New Roman" w:cs="Times New Roman"/>
                <w:sz w:val="20"/>
                <w:szCs w:val="20"/>
              </w:rPr>
              <w:t>101%</w:t>
            </w:r>
          </w:p>
        </w:tc>
        <w:tc>
          <w:tcPr>
            <w:tcW w:w="2331" w:type="dxa"/>
            <w:vMerge/>
            <w:tcBorders>
              <w:top w:val="nil"/>
              <w:left w:val="single" w:sz="4" w:space="0" w:color="auto"/>
            </w:tcBorders>
          </w:tcPr>
          <w:p w14:paraId="34D60D45" w14:textId="77777777" w:rsidR="00A304A7" w:rsidRPr="00A304A7" w:rsidRDefault="00A304A7" w:rsidP="00A304A7">
            <w:pPr>
              <w:jc w:val="center"/>
              <w:rPr>
                <w:rFonts w:ascii="Times New Roman" w:hAnsi="Times New Roman" w:cs="Times New Roman"/>
                <w:sz w:val="20"/>
                <w:szCs w:val="20"/>
              </w:rPr>
            </w:pPr>
          </w:p>
        </w:tc>
      </w:tr>
      <w:tr w:rsidR="00A304A7" w:rsidRPr="00A304A7" w14:paraId="6003326E" w14:textId="77777777" w:rsidTr="00A304A7">
        <w:trPr>
          <w:trHeight w:val="300"/>
        </w:trPr>
        <w:tc>
          <w:tcPr>
            <w:tcW w:w="965" w:type="dxa"/>
            <w:vMerge/>
            <w:tcBorders>
              <w:top w:val="nil"/>
              <w:right w:val="single" w:sz="4" w:space="0" w:color="auto"/>
            </w:tcBorders>
          </w:tcPr>
          <w:p w14:paraId="187C90F1"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7DD12A9D"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0.5 %)</w:t>
            </w:r>
          </w:p>
        </w:tc>
        <w:tc>
          <w:tcPr>
            <w:tcW w:w="3176" w:type="dxa"/>
            <w:tcBorders>
              <w:top w:val="nil"/>
              <w:left w:val="single" w:sz="4" w:space="0" w:color="auto"/>
              <w:bottom w:val="single" w:sz="4" w:space="0" w:color="auto"/>
              <w:right w:val="single" w:sz="4" w:space="0" w:color="auto"/>
            </w:tcBorders>
          </w:tcPr>
          <w:p w14:paraId="5C5CCAA9"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1.4 %)</w:t>
            </w:r>
          </w:p>
        </w:tc>
        <w:tc>
          <w:tcPr>
            <w:tcW w:w="2331" w:type="dxa"/>
            <w:vMerge/>
            <w:tcBorders>
              <w:top w:val="nil"/>
              <w:left w:val="single" w:sz="4" w:space="0" w:color="auto"/>
            </w:tcBorders>
          </w:tcPr>
          <w:p w14:paraId="6ED79886" w14:textId="77777777" w:rsidR="00A304A7" w:rsidRPr="00A304A7" w:rsidRDefault="00A304A7" w:rsidP="00A304A7">
            <w:pPr>
              <w:jc w:val="center"/>
              <w:rPr>
                <w:rFonts w:ascii="Times New Roman" w:hAnsi="Times New Roman" w:cs="Times New Roman"/>
                <w:sz w:val="20"/>
                <w:szCs w:val="20"/>
              </w:rPr>
            </w:pPr>
          </w:p>
        </w:tc>
      </w:tr>
      <w:tr w:rsidR="00A304A7" w:rsidRPr="00A304A7" w14:paraId="64BFD701" w14:textId="77777777" w:rsidTr="00A304A7">
        <w:trPr>
          <w:trHeight w:val="299"/>
        </w:trPr>
        <w:tc>
          <w:tcPr>
            <w:tcW w:w="965" w:type="dxa"/>
            <w:vMerge w:val="restart"/>
            <w:tcBorders>
              <w:right w:val="single" w:sz="4" w:space="0" w:color="auto"/>
            </w:tcBorders>
          </w:tcPr>
          <w:p w14:paraId="75B29993" w14:textId="77777777" w:rsidR="00A304A7" w:rsidRPr="00A304A7" w:rsidRDefault="00A304A7" w:rsidP="00A304A7">
            <w:pPr>
              <w:pStyle w:val="TableParagraph"/>
              <w:spacing w:before="11"/>
              <w:jc w:val="center"/>
              <w:rPr>
                <w:rFonts w:ascii="Times New Roman" w:hAnsi="Times New Roman" w:cs="Times New Roman"/>
                <w:sz w:val="20"/>
                <w:szCs w:val="20"/>
              </w:rPr>
            </w:pPr>
          </w:p>
          <w:p w14:paraId="5FBA80A8" w14:textId="77777777" w:rsidR="00A304A7" w:rsidRPr="00A304A7" w:rsidRDefault="00A304A7" w:rsidP="00A304A7">
            <w:pPr>
              <w:pStyle w:val="TableParagraph"/>
              <w:ind w:left="321" w:right="313"/>
              <w:jc w:val="center"/>
              <w:rPr>
                <w:rFonts w:ascii="Times New Roman" w:hAnsi="Times New Roman" w:cs="Times New Roman"/>
                <w:sz w:val="20"/>
                <w:szCs w:val="20"/>
              </w:rPr>
            </w:pPr>
            <w:r w:rsidRPr="00A304A7">
              <w:rPr>
                <w:rFonts w:ascii="Times New Roman" w:hAnsi="Times New Roman" w:cs="Times New Roman"/>
                <w:sz w:val="20"/>
                <w:szCs w:val="20"/>
              </w:rPr>
              <w:t>Zn</w:t>
            </w:r>
          </w:p>
        </w:tc>
        <w:tc>
          <w:tcPr>
            <w:tcW w:w="3106" w:type="dxa"/>
            <w:tcBorders>
              <w:top w:val="single" w:sz="4" w:space="0" w:color="auto"/>
              <w:left w:val="single" w:sz="4" w:space="0" w:color="auto"/>
              <w:bottom w:val="nil"/>
              <w:right w:val="single" w:sz="4" w:space="0" w:color="auto"/>
            </w:tcBorders>
          </w:tcPr>
          <w:p w14:paraId="10E6885F" w14:textId="77777777" w:rsidR="00A304A7" w:rsidRPr="00A304A7" w:rsidRDefault="00A304A7" w:rsidP="00A304A7">
            <w:pPr>
              <w:pStyle w:val="TableParagraph"/>
              <w:ind w:left="723" w:right="715"/>
              <w:jc w:val="center"/>
              <w:rPr>
                <w:rFonts w:ascii="Times New Roman" w:hAnsi="Times New Roman" w:cs="Times New Roman"/>
                <w:sz w:val="20"/>
                <w:szCs w:val="20"/>
              </w:rPr>
            </w:pPr>
            <w:r w:rsidRPr="00A304A7">
              <w:rPr>
                <w:rFonts w:ascii="Times New Roman" w:hAnsi="Times New Roman" w:cs="Times New Roman"/>
                <w:sz w:val="20"/>
                <w:szCs w:val="20"/>
              </w:rPr>
              <w:t>144 mg/kg;</w:t>
            </w:r>
          </w:p>
        </w:tc>
        <w:tc>
          <w:tcPr>
            <w:tcW w:w="3176" w:type="dxa"/>
            <w:tcBorders>
              <w:top w:val="single" w:sz="4" w:space="0" w:color="auto"/>
              <w:left w:val="single" w:sz="4" w:space="0" w:color="auto"/>
              <w:bottom w:val="nil"/>
              <w:right w:val="single" w:sz="4" w:space="0" w:color="auto"/>
            </w:tcBorders>
          </w:tcPr>
          <w:p w14:paraId="770A6818" w14:textId="77777777" w:rsidR="00A304A7" w:rsidRPr="00A304A7" w:rsidRDefault="00A304A7" w:rsidP="008F2F73">
            <w:pPr>
              <w:pStyle w:val="TableParagraph"/>
              <w:ind w:left="1103"/>
              <w:rPr>
                <w:rFonts w:ascii="Times New Roman" w:hAnsi="Times New Roman" w:cs="Times New Roman"/>
                <w:sz w:val="20"/>
                <w:szCs w:val="20"/>
              </w:rPr>
            </w:pPr>
            <w:r w:rsidRPr="00A304A7">
              <w:rPr>
                <w:rFonts w:ascii="Times New Roman" w:hAnsi="Times New Roman" w:cs="Times New Roman"/>
                <w:sz w:val="20"/>
                <w:szCs w:val="20"/>
              </w:rPr>
              <w:t>26.6 mg/kg;</w:t>
            </w:r>
          </w:p>
        </w:tc>
        <w:tc>
          <w:tcPr>
            <w:tcW w:w="2331" w:type="dxa"/>
            <w:vMerge w:val="restart"/>
            <w:tcBorders>
              <w:left w:val="single" w:sz="4" w:space="0" w:color="auto"/>
            </w:tcBorders>
          </w:tcPr>
          <w:p w14:paraId="65485AC6" w14:textId="77777777" w:rsidR="00A304A7" w:rsidRPr="00A304A7" w:rsidRDefault="00A304A7" w:rsidP="00A304A7">
            <w:pPr>
              <w:pStyle w:val="TableParagraph"/>
              <w:spacing w:before="11"/>
              <w:jc w:val="center"/>
              <w:rPr>
                <w:rFonts w:ascii="Times New Roman" w:hAnsi="Times New Roman" w:cs="Times New Roman"/>
                <w:sz w:val="20"/>
                <w:szCs w:val="20"/>
              </w:rPr>
            </w:pPr>
          </w:p>
          <w:p w14:paraId="23CF5A17" w14:textId="77777777" w:rsidR="00A304A7" w:rsidRPr="00A304A7" w:rsidRDefault="00A304A7" w:rsidP="00A304A7">
            <w:pPr>
              <w:pStyle w:val="TableParagraph"/>
              <w:ind w:left="356" w:right="351"/>
              <w:jc w:val="center"/>
              <w:rPr>
                <w:rFonts w:ascii="Times New Roman" w:hAnsi="Times New Roman" w:cs="Times New Roman"/>
                <w:sz w:val="20"/>
                <w:szCs w:val="20"/>
              </w:rPr>
            </w:pPr>
            <w:r w:rsidRPr="00A304A7">
              <w:rPr>
                <w:rFonts w:ascii="Times New Roman" w:hAnsi="Times New Roman" w:cs="Times New Roman"/>
                <w:sz w:val="20"/>
                <w:szCs w:val="20"/>
              </w:rPr>
              <w:t>NA</w:t>
            </w:r>
          </w:p>
        </w:tc>
      </w:tr>
      <w:tr w:rsidR="00A304A7" w:rsidRPr="00A304A7" w14:paraId="30D8513A" w14:textId="77777777" w:rsidTr="00A304A7">
        <w:trPr>
          <w:trHeight w:val="299"/>
        </w:trPr>
        <w:tc>
          <w:tcPr>
            <w:tcW w:w="965" w:type="dxa"/>
            <w:vMerge/>
            <w:tcBorders>
              <w:top w:val="nil"/>
              <w:right w:val="single" w:sz="4" w:space="0" w:color="auto"/>
            </w:tcBorders>
          </w:tcPr>
          <w:p w14:paraId="2EA8397A"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nil"/>
              <w:right w:val="single" w:sz="4" w:space="0" w:color="auto"/>
            </w:tcBorders>
          </w:tcPr>
          <w:p w14:paraId="06B1B752" w14:textId="77777777" w:rsidR="00A304A7" w:rsidRPr="00A304A7" w:rsidRDefault="00A304A7" w:rsidP="00A304A7">
            <w:pPr>
              <w:pStyle w:val="TableParagraph"/>
              <w:ind w:left="723" w:right="714"/>
              <w:jc w:val="center"/>
              <w:rPr>
                <w:rFonts w:ascii="Times New Roman" w:hAnsi="Times New Roman" w:cs="Times New Roman"/>
                <w:sz w:val="20"/>
                <w:szCs w:val="20"/>
              </w:rPr>
            </w:pPr>
            <w:r w:rsidRPr="00A304A7">
              <w:rPr>
                <w:rFonts w:ascii="Times New Roman" w:hAnsi="Times New Roman" w:cs="Times New Roman"/>
                <w:sz w:val="20"/>
                <w:szCs w:val="20"/>
              </w:rPr>
              <w:t>100%</w:t>
            </w:r>
          </w:p>
        </w:tc>
        <w:tc>
          <w:tcPr>
            <w:tcW w:w="3176" w:type="dxa"/>
            <w:tcBorders>
              <w:top w:val="nil"/>
              <w:left w:val="single" w:sz="4" w:space="0" w:color="auto"/>
              <w:bottom w:val="nil"/>
              <w:right w:val="single" w:sz="4" w:space="0" w:color="auto"/>
            </w:tcBorders>
          </w:tcPr>
          <w:p w14:paraId="6AD26887" w14:textId="77777777" w:rsidR="00A304A7" w:rsidRPr="00A304A7" w:rsidRDefault="00A304A7" w:rsidP="00A304A7">
            <w:pPr>
              <w:pStyle w:val="TableParagraph"/>
              <w:ind w:left="884" w:right="874"/>
              <w:jc w:val="center"/>
              <w:rPr>
                <w:rFonts w:ascii="Times New Roman" w:hAnsi="Times New Roman" w:cs="Times New Roman"/>
                <w:sz w:val="20"/>
                <w:szCs w:val="20"/>
              </w:rPr>
            </w:pPr>
            <w:r w:rsidRPr="00A304A7">
              <w:rPr>
                <w:rFonts w:ascii="Times New Roman" w:hAnsi="Times New Roman" w:cs="Times New Roman"/>
                <w:sz w:val="20"/>
                <w:szCs w:val="20"/>
              </w:rPr>
              <w:t>101%</w:t>
            </w:r>
          </w:p>
        </w:tc>
        <w:tc>
          <w:tcPr>
            <w:tcW w:w="2331" w:type="dxa"/>
            <w:vMerge/>
            <w:tcBorders>
              <w:top w:val="nil"/>
              <w:left w:val="single" w:sz="4" w:space="0" w:color="auto"/>
            </w:tcBorders>
          </w:tcPr>
          <w:p w14:paraId="2500F589" w14:textId="77777777" w:rsidR="00A304A7" w:rsidRPr="00A304A7" w:rsidRDefault="00A304A7" w:rsidP="00A304A7">
            <w:pPr>
              <w:jc w:val="center"/>
              <w:rPr>
                <w:rFonts w:ascii="Times New Roman" w:hAnsi="Times New Roman" w:cs="Times New Roman"/>
                <w:sz w:val="20"/>
                <w:szCs w:val="20"/>
              </w:rPr>
            </w:pPr>
          </w:p>
        </w:tc>
      </w:tr>
      <w:tr w:rsidR="00A304A7" w:rsidRPr="00A304A7" w14:paraId="71BB9705" w14:textId="77777777" w:rsidTr="00A304A7">
        <w:trPr>
          <w:trHeight w:val="300"/>
        </w:trPr>
        <w:tc>
          <w:tcPr>
            <w:tcW w:w="965" w:type="dxa"/>
            <w:vMerge/>
            <w:tcBorders>
              <w:top w:val="nil"/>
              <w:right w:val="single" w:sz="4" w:space="0" w:color="auto"/>
            </w:tcBorders>
          </w:tcPr>
          <w:p w14:paraId="75B0EA58" w14:textId="77777777" w:rsidR="00A304A7" w:rsidRPr="00A304A7" w:rsidRDefault="00A304A7" w:rsidP="00A304A7">
            <w:pPr>
              <w:jc w:val="center"/>
              <w:rPr>
                <w:rFonts w:ascii="Times New Roman" w:hAnsi="Times New Roman" w:cs="Times New Roman"/>
                <w:sz w:val="20"/>
                <w:szCs w:val="20"/>
              </w:rPr>
            </w:pPr>
          </w:p>
        </w:tc>
        <w:tc>
          <w:tcPr>
            <w:tcW w:w="3106" w:type="dxa"/>
            <w:tcBorders>
              <w:top w:val="nil"/>
              <w:left w:val="single" w:sz="4" w:space="0" w:color="auto"/>
              <w:bottom w:val="single" w:sz="4" w:space="0" w:color="auto"/>
              <w:right w:val="single" w:sz="4" w:space="0" w:color="auto"/>
            </w:tcBorders>
          </w:tcPr>
          <w:p w14:paraId="1F1B2EBA" w14:textId="77777777" w:rsidR="00A304A7" w:rsidRPr="00A304A7" w:rsidRDefault="00A304A7" w:rsidP="00A304A7">
            <w:pPr>
              <w:pStyle w:val="TableParagraph"/>
              <w:spacing w:before="36"/>
              <w:ind w:left="723" w:right="715"/>
              <w:jc w:val="center"/>
              <w:rPr>
                <w:rFonts w:ascii="Times New Roman" w:hAnsi="Times New Roman" w:cs="Times New Roman"/>
                <w:sz w:val="20"/>
                <w:szCs w:val="20"/>
              </w:rPr>
            </w:pPr>
            <w:r w:rsidRPr="00A304A7">
              <w:rPr>
                <w:rFonts w:ascii="Times New Roman" w:hAnsi="Times New Roman" w:cs="Times New Roman"/>
                <w:sz w:val="20"/>
                <w:szCs w:val="20"/>
              </w:rPr>
              <w:t>(RSD = 0.1 %)</w:t>
            </w:r>
          </w:p>
        </w:tc>
        <w:tc>
          <w:tcPr>
            <w:tcW w:w="3176" w:type="dxa"/>
            <w:tcBorders>
              <w:top w:val="nil"/>
              <w:left w:val="single" w:sz="4" w:space="0" w:color="auto"/>
              <w:bottom w:val="single" w:sz="4" w:space="0" w:color="auto"/>
              <w:right w:val="single" w:sz="4" w:space="0" w:color="auto"/>
            </w:tcBorders>
          </w:tcPr>
          <w:p w14:paraId="70DC59AD" w14:textId="77777777" w:rsidR="00A304A7" w:rsidRPr="00A304A7" w:rsidRDefault="00A304A7" w:rsidP="00A304A7">
            <w:pPr>
              <w:pStyle w:val="TableParagraph"/>
              <w:spacing w:before="36"/>
              <w:ind w:left="884" w:right="875"/>
              <w:jc w:val="center"/>
              <w:rPr>
                <w:rFonts w:ascii="Times New Roman" w:hAnsi="Times New Roman" w:cs="Times New Roman"/>
                <w:sz w:val="20"/>
                <w:szCs w:val="20"/>
              </w:rPr>
            </w:pPr>
            <w:r w:rsidRPr="00A304A7">
              <w:rPr>
                <w:rFonts w:ascii="Times New Roman" w:hAnsi="Times New Roman" w:cs="Times New Roman"/>
                <w:sz w:val="20"/>
                <w:szCs w:val="20"/>
              </w:rPr>
              <w:t>(RSD = 1.3 %)</w:t>
            </w:r>
          </w:p>
        </w:tc>
        <w:tc>
          <w:tcPr>
            <w:tcW w:w="2331" w:type="dxa"/>
            <w:vMerge/>
            <w:tcBorders>
              <w:top w:val="nil"/>
              <w:left w:val="single" w:sz="4" w:space="0" w:color="auto"/>
            </w:tcBorders>
          </w:tcPr>
          <w:p w14:paraId="50694652" w14:textId="77777777" w:rsidR="00A304A7" w:rsidRPr="00A304A7" w:rsidRDefault="00A304A7" w:rsidP="00A304A7">
            <w:pPr>
              <w:jc w:val="center"/>
              <w:rPr>
                <w:rFonts w:ascii="Times New Roman" w:hAnsi="Times New Roman" w:cs="Times New Roman"/>
                <w:sz w:val="20"/>
                <w:szCs w:val="20"/>
              </w:rPr>
            </w:pPr>
          </w:p>
        </w:tc>
      </w:tr>
    </w:tbl>
    <w:p w14:paraId="2D5DC6D1" w14:textId="77777777" w:rsidR="001316C6" w:rsidRPr="00F6549E" w:rsidRDefault="001316C6" w:rsidP="00A304A7">
      <w:pPr>
        <w:jc w:val="center"/>
        <w:rPr>
          <w:rFonts w:ascii="Times New Roman" w:hAnsi="Times New Roman"/>
          <w:sz w:val="18"/>
          <w:szCs w:val="18"/>
        </w:rPr>
      </w:pPr>
    </w:p>
    <w:p w14:paraId="44BC7DCF" w14:textId="51813A72" w:rsidR="00ED4062" w:rsidRPr="00E52E36" w:rsidRDefault="00E52E36" w:rsidP="00E52E36">
      <w:pPr>
        <w:spacing w:after="0" w:line="360" w:lineRule="auto"/>
        <w:jc w:val="center"/>
        <w:rPr>
          <w:rFonts w:ascii="Times New Roman" w:hAnsi="Times New Roman" w:cs="Times New Roman"/>
          <w:sz w:val="18"/>
          <w:szCs w:val="18"/>
        </w:rPr>
      </w:pPr>
      <w:r w:rsidRPr="00E52E36">
        <w:rPr>
          <w:rFonts w:ascii="Times New Roman" w:hAnsi="Times New Roman"/>
          <w:b/>
          <w:color w:val="0070C0"/>
          <w:sz w:val="18"/>
          <w:szCs w:val="18"/>
        </w:rPr>
        <w:t>Table 2:</w:t>
      </w:r>
      <w:r w:rsidRPr="00E52E36">
        <w:rPr>
          <w:rFonts w:ascii="Times New Roman" w:hAnsi="Times New Roman" w:cs="Times New Roman"/>
          <w:sz w:val="18"/>
          <w:szCs w:val="18"/>
        </w:rPr>
        <w:t xml:space="preserve"> Results for nutritional elements (Ca, Cu, Fe, Mn, Na and Zn) in CRMs and QC materials.</w:t>
      </w:r>
    </w:p>
    <w:p w14:paraId="13EC7E73" w14:textId="77777777" w:rsidR="00E52E36" w:rsidRPr="00C13605" w:rsidRDefault="00E52E36" w:rsidP="00C13605">
      <w:pPr>
        <w:spacing w:after="0" w:line="360" w:lineRule="auto"/>
        <w:jc w:val="both"/>
        <w:rPr>
          <w:rFonts w:ascii="Times New Roman" w:hAnsi="Times New Roman" w:cs="Times New Roman"/>
          <w:sz w:val="20"/>
          <w:szCs w:val="20"/>
        </w:rPr>
      </w:pPr>
    </w:p>
    <w:p w14:paraId="5FECDC35" w14:textId="77777777" w:rsidR="00C13605" w:rsidRPr="00C13605" w:rsidRDefault="00C13605" w:rsidP="00C13605">
      <w:pPr>
        <w:spacing w:after="0" w:line="360" w:lineRule="auto"/>
        <w:jc w:val="both"/>
        <w:rPr>
          <w:rFonts w:ascii="Times New Roman" w:hAnsi="Times New Roman" w:cs="Times New Roman"/>
          <w:b/>
          <w:sz w:val="20"/>
          <w:szCs w:val="20"/>
        </w:rPr>
      </w:pPr>
      <w:r w:rsidRPr="002B4D22">
        <w:rPr>
          <w:rFonts w:ascii="Times New Roman" w:hAnsi="Times New Roman"/>
          <w:b/>
          <w:color w:val="0070C0"/>
          <w:sz w:val="20"/>
          <w:szCs w:val="20"/>
        </w:rPr>
        <w:t>Evaluation of greenness, analytical performance and applicability of the method</w:t>
      </w:r>
    </w:p>
    <w:p w14:paraId="1CC8B453"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To effectively and objectively assess the environmental sustainability of the analytical procedures, various greenness metrics have been developed [22]. Recently, a new concept known as White Analytical Chemistry (WAC) has emerged as an extension of Green Analytical Chemistry (GAC) [23]. WAC encompasses not only environmental considerations but also analytical and practical aspects, offering a more comprehensive framework for evaluating the sustainability of an analytical method. In this study, we applied the WAC approach to evaluate the present analytical method. We </w:t>
      </w:r>
      <w:proofErr w:type="spellStart"/>
      <w:r w:rsidRPr="00C13605">
        <w:rPr>
          <w:rFonts w:ascii="Times New Roman" w:hAnsi="Times New Roman" w:cs="Times New Roman"/>
          <w:sz w:val="20"/>
          <w:szCs w:val="20"/>
        </w:rPr>
        <w:t>utilised</w:t>
      </w:r>
      <w:proofErr w:type="spellEnd"/>
      <w:r w:rsidRPr="00C13605">
        <w:rPr>
          <w:rFonts w:ascii="Times New Roman" w:hAnsi="Times New Roman" w:cs="Times New Roman"/>
          <w:sz w:val="20"/>
          <w:szCs w:val="20"/>
        </w:rPr>
        <w:t xml:space="preserve"> various analytical metrics, including the Analytical Eco-Scale [15], MoGAPI [16] and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xml:space="preserve"> [17] for assessing method greenness, alongside BAGI [18] and RAPI [19] for evaluating the applicability and analytical performance of the method respectively.</w:t>
      </w:r>
    </w:p>
    <w:p w14:paraId="5ABA8A2D" w14:textId="77777777" w:rsidR="00C13605" w:rsidRPr="00C13605" w:rsidRDefault="00C13605" w:rsidP="00C13605">
      <w:pPr>
        <w:spacing w:after="0" w:line="360" w:lineRule="auto"/>
        <w:jc w:val="both"/>
        <w:rPr>
          <w:rFonts w:ascii="Times New Roman" w:hAnsi="Times New Roman" w:cs="Times New Roman"/>
          <w:sz w:val="20"/>
          <w:szCs w:val="20"/>
        </w:rPr>
      </w:pPr>
    </w:p>
    <w:p w14:paraId="4153B8C3" w14:textId="77777777" w:rsidR="00C13605" w:rsidRPr="002B4D22" w:rsidRDefault="00C13605" w:rsidP="00C13605">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Analytical Eco-Scale</w:t>
      </w:r>
    </w:p>
    <w:p w14:paraId="43E3F791"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lastRenderedPageBreak/>
        <w:t xml:space="preserve">The Analytical Eco-Scale assesses the environmental sustainability of an analytical method by evaluating its ecological impacts to the environment [15]. This evaluation employs penalty points as assessment criteria. The analytical eco-score is derived by subtracting the total penalty points from a maximum score of 100. An analytical process yielding a score of 75 points or higher is classified as excellent green. Scores ranging from 50 to 74 points are considered acceptable green, while scores below 50 points are </w:t>
      </w:r>
      <w:proofErr w:type="spellStart"/>
      <w:r w:rsidRPr="00C13605">
        <w:rPr>
          <w:rFonts w:ascii="Times New Roman" w:hAnsi="Times New Roman" w:cs="Times New Roman"/>
          <w:sz w:val="20"/>
          <w:szCs w:val="20"/>
        </w:rPr>
        <w:t>categorised</w:t>
      </w:r>
      <w:proofErr w:type="spellEnd"/>
      <w:r w:rsidRPr="00C13605">
        <w:rPr>
          <w:rFonts w:ascii="Times New Roman" w:hAnsi="Times New Roman" w:cs="Times New Roman"/>
          <w:sz w:val="20"/>
          <w:szCs w:val="20"/>
        </w:rPr>
        <w:t xml:space="preserve"> as inadequate green.</w:t>
      </w:r>
    </w:p>
    <w:p w14:paraId="1B9D50A4" w14:textId="77777777" w:rsidR="00C13605" w:rsidRPr="00C13605" w:rsidRDefault="00C13605" w:rsidP="00C13605">
      <w:pPr>
        <w:spacing w:after="0" w:line="360" w:lineRule="auto"/>
        <w:jc w:val="both"/>
        <w:rPr>
          <w:rFonts w:ascii="Times New Roman" w:hAnsi="Times New Roman" w:cs="Times New Roman"/>
          <w:sz w:val="20"/>
          <w:szCs w:val="20"/>
        </w:rPr>
      </w:pPr>
    </w:p>
    <w:p w14:paraId="7D2B6AAF" w14:textId="011232AD"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In the context of our validated method, a total of twelve penalty points were deducted due to the reagents used, including HNO</w:t>
      </w:r>
      <w:r w:rsidRPr="00C13605">
        <w:rPr>
          <w:rFonts w:ascii="Times New Roman" w:hAnsi="Times New Roman" w:cs="Times New Roman"/>
          <w:sz w:val="20"/>
          <w:szCs w:val="20"/>
          <w:vertAlign w:val="subscript"/>
        </w:rPr>
        <w:t>3</w:t>
      </w:r>
      <w:r w:rsidRPr="00C13605">
        <w:rPr>
          <w:rFonts w:ascii="Times New Roman" w:hAnsi="Times New Roman" w:cs="Times New Roman"/>
          <w:sz w:val="20"/>
          <w:szCs w:val="20"/>
        </w:rPr>
        <w:t>, H</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O</w:t>
      </w:r>
      <w:r w:rsidRPr="00C13605">
        <w:rPr>
          <w:rFonts w:ascii="Times New Roman" w:hAnsi="Times New Roman" w:cs="Times New Roman"/>
          <w:sz w:val="20"/>
          <w:szCs w:val="20"/>
          <w:vertAlign w:val="subscript"/>
        </w:rPr>
        <w:t>2</w:t>
      </w:r>
      <w:r w:rsidRPr="00C13605">
        <w:rPr>
          <w:rFonts w:ascii="Times New Roman" w:hAnsi="Times New Roman" w:cs="Times New Roman"/>
          <w:sz w:val="20"/>
          <w:szCs w:val="20"/>
        </w:rPr>
        <w:t xml:space="preserve"> and multi-element standards (four penalty points for each). Additionally, two penalty points were deducted for </w:t>
      </w:r>
      <w:r w:rsidR="00BD2C2A" w:rsidRPr="00C13605">
        <w:rPr>
          <w:rFonts w:ascii="Times New Roman" w:hAnsi="Times New Roman" w:cs="Times New Roman"/>
          <w:sz w:val="20"/>
          <w:szCs w:val="20"/>
        </w:rPr>
        <w:t>energy</w:t>
      </w:r>
      <w:r w:rsidRPr="00C13605">
        <w:rPr>
          <w:rFonts w:ascii="Times New Roman" w:hAnsi="Times New Roman" w:cs="Times New Roman"/>
          <w:sz w:val="20"/>
          <w:szCs w:val="20"/>
        </w:rPr>
        <w:t xml:space="preserve"> consumption attributed to ICP-MS/ICP-OES and microwave oven. Six penalty points were deducted for chemical waste generation and treatment, given that over 10 g of chemical </w:t>
      </w:r>
      <w:r w:rsidR="00BD2C2A" w:rsidRPr="00C13605">
        <w:rPr>
          <w:rFonts w:ascii="Times New Roman" w:hAnsi="Times New Roman" w:cs="Times New Roman"/>
          <w:sz w:val="20"/>
          <w:szCs w:val="20"/>
        </w:rPr>
        <w:t>waste was</w:t>
      </w:r>
      <w:r w:rsidRPr="00C13605">
        <w:rPr>
          <w:rFonts w:ascii="Times New Roman" w:hAnsi="Times New Roman" w:cs="Times New Roman"/>
          <w:sz w:val="20"/>
          <w:szCs w:val="20"/>
        </w:rPr>
        <w:t xml:space="preserve"> initially generated during the analytical </w:t>
      </w:r>
      <w:proofErr w:type="gramStart"/>
      <w:r w:rsidRPr="00C13605">
        <w:rPr>
          <w:rFonts w:ascii="Times New Roman" w:hAnsi="Times New Roman" w:cs="Times New Roman"/>
          <w:sz w:val="20"/>
          <w:szCs w:val="20"/>
        </w:rPr>
        <w:t>process, and</w:t>
      </w:r>
      <w:proofErr w:type="gramEnd"/>
      <w:r w:rsidRPr="00C13605">
        <w:rPr>
          <w:rFonts w:ascii="Times New Roman" w:hAnsi="Times New Roman" w:cs="Times New Roman"/>
          <w:sz w:val="20"/>
          <w:szCs w:val="20"/>
        </w:rPr>
        <w:t xml:space="preserve"> subsequently treated by waste collectors. Consequently, the final score for our method was 80 points, falling within the excellent green classification.</w:t>
      </w:r>
    </w:p>
    <w:p w14:paraId="05A8A3E1" w14:textId="77777777" w:rsidR="00C13605" w:rsidRPr="00C13605" w:rsidRDefault="00C13605" w:rsidP="00C13605">
      <w:pPr>
        <w:spacing w:after="0" w:line="360" w:lineRule="auto"/>
        <w:jc w:val="both"/>
        <w:rPr>
          <w:rFonts w:ascii="Times New Roman" w:hAnsi="Times New Roman" w:cs="Times New Roman"/>
          <w:sz w:val="20"/>
          <w:szCs w:val="20"/>
        </w:rPr>
      </w:pPr>
    </w:p>
    <w:p w14:paraId="31A39C39" w14:textId="77777777" w:rsidR="00C13605" w:rsidRPr="002B4D22" w:rsidRDefault="00C13605" w:rsidP="00C13605">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Modified green analytical procedure index (MoGAPI) and complex modified green analytical procedure index (</w:t>
      </w:r>
      <w:proofErr w:type="spellStart"/>
      <w:r w:rsidRPr="002B4D22">
        <w:rPr>
          <w:rFonts w:ascii="Times New Roman" w:hAnsi="Times New Roman"/>
          <w:b/>
          <w:color w:val="0070C0"/>
          <w:sz w:val="20"/>
          <w:szCs w:val="20"/>
        </w:rPr>
        <w:t>ComplexMoGAPI</w:t>
      </w:r>
      <w:proofErr w:type="spellEnd"/>
      <w:r w:rsidRPr="002B4D22">
        <w:rPr>
          <w:rFonts w:ascii="Times New Roman" w:hAnsi="Times New Roman"/>
          <w:b/>
          <w:color w:val="0070C0"/>
          <w:sz w:val="20"/>
          <w:szCs w:val="20"/>
        </w:rPr>
        <w:t>)</w:t>
      </w:r>
    </w:p>
    <w:p w14:paraId="6CACF3FF"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Green Analytical Procedure Index (GAPI) evaluates the environmental hazards associated with the entire analytical methodology </w:t>
      </w:r>
      <w:proofErr w:type="gramStart"/>
      <w:r w:rsidRPr="00C13605">
        <w:rPr>
          <w:rFonts w:ascii="Times New Roman" w:hAnsi="Times New Roman" w:cs="Times New Roman"/>
          <w:sz w:val="20"/>
          <w:szCs w:val="20"/>
        </w:rPr>
        <w:t>through the use of</w:t>
      </w:r>
      <w:proofErr w:type="gramEnd"/>
      <w:r w:rsidRPr="00C13605">
        <w:rPr>
          <w:rFonts w:ascii="Times New Roman" w:hAnsi="Times New Roman" w:cs="Times New Roman"/>
          <w:sz w:val="20"/>
          <w:szCs w:val="20"/>
        </w:rPr>
        <w:t xml:space="preserve"> five </w:t>
      </w:r>
      <w:proofErr w:type="spellStart"/>
      <w:r w:rsidRPr="00C13605">
        <w:rPr>
          <w:rFonts w:ascii="Times New Roman" w:hAnsi="Times New Roman" w:cs="Times New Roman"/>
          <w:sz w:val="20"/>
          <w:szCs w:val="20"/>
        </w:rPr>
        <w:t>coloured</w:t>
      </w:r>
      <w:proofErr w:type="spellEnd"/>
      <w:r w:rsidRPr="00C13605">
        <w:rPr>
          <w:rFonts w:ascii="Times New Roman" w:hAnsi="Times New Roman" w:cs="Times New Roman"/>
          <w:sz w:val="20"/>
          <w:szCs w:val="20"/>
        </w:rPr>
        <w:t xml:space="preserve"> pentagrams, covering sampling, type of method, sample preparation, solvents and reagents, and instrumentation respectively [24]. These five pentagrams are subdivided into 15 sections, each corresponding to an aspect of the method. Each section is </w:t>
      </w:r>
      <w:proofErr w:type="spellStart"/>
      <w:r w:rsidRPr="00C13605">
        <w:rPr>
          <w:rFonts w:ascii="Times New Roman" w:hAnsi="Times New Roman" w:cs="Times New Roman"/>
          <w:sz w:val="20"/>
          <w:szCs w:val="20"/>
        </w:rPr>
        <w:t>coloured</w:t>
      </w:r>
      <w:proofErr w:type="spellEnd"/>
      <w:r w:rsidRPr="00C13605">
        <w:rPr>
          <w:rFonts w:ascii="Times New Roman" w:hAnsi="Times New Roman" w:cs="Times New Roman"/>
          <w:sz w:val="20"/>
          <w:szCs w:val="20"/>
        </w:rPr>
        <w:t xml:space="preserve"> as green, yellow or red to represent low, medium and high environmental impact respectively. The Modified GAPI (MoGAPI) integrates the visual impact of GAPI with a precise total score derived from the Analytical Eco-Scale [16]. The total score from the MoGAPI assessment is visually represented on a pictogram, with a </w:t>
      </w:r>
      <w:proofErr w:type="spellStart"/>
      <w:r w:rsidRPr="00C13605">
        <w:rPr>
          <w:rFonts w:ascii="Times New Roman" w:hAnsi="Times New Roman" w:cs="Times New Roman"/>
          <w:sz w:val="20"/>
          <w:szCs w:val="20"/>
        </w:rPr>
        <w:t>colour</w:t>
      </w:r>
      <w:proofErr w:type="spellEnd"/>
      <w:r w:rsidRPr="00C13605">
        <w:rPr>
          <w:rFonts w:ascii="Times New Roman" w:hAnsi="Times New Roman" w:cs="Times New Roman"/>
          <w:sz w:val="20"/>
          <w:szCs w:val="20"/>
        </w:rPr>
        <w:t xml:space="preserve"> scale surrounding the pentagrams indicating the overall evaluation of the method. The classification remains consistent with that of the Analytical Eco-Scale. </w:t>
      </w:r>
    </w:p>
    <w:p w14:paraId="42196DCE" w14:textId="77777777" w:rsidR="00C13605" w:rsidRPr="00C13605" w:rsidRDefault="00C13605" w:rsidP="00C13605">
      <w:pPr>
        <w:spacing w:after="0" w:line="360" w:lineRule="auto"/>
        <w:jc w:val="both"/>
        <w:rPr>
          <w:rFonts w:ascii="Times New Roman" w:hAnsi="Times New Roman" w:cs="Times New Roman"/>
          <w:sz w:val="20"/>
          <w:szCs w:val="20"/>
        </w:rPr>
      </w:pPr>
    </w:p>
    <w:p w14:paraId="64964E87" w14:textId="15A00BF5"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In the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xml:space="preserve"> framework, an additional hexagonal segment is introduced to the original GAPI diagram to represent activities conducted prior to sample preparation and final analysis [17,25]. The supplementary hexagon facilitates an assessment of sustainability across various parameters, including production yield and conditions, reagents and solvents, instrumentation, and workup and purification. Consistent with the Analytical Eco-Scale, a method scoring above 75 points is classified as excellent green, while scores between 50 and 74 points are regarded as acceptable green, and scores below 50 points indicate inadequate green.</w:t>
      </w:r>
    </w:p>
    <w:p w14:paraId="754F70F3" w14:textId="77777777" w:rsidR="00C13605" w:rsidRPr="00C13605" w:rsidRDefault="00C13605" w:rsidP="00C13605">
      <w:pPr>
        <w:spacing w:after="0" w:line="360" w:lineRule="auto"/>
        <w:jc w:val="both"/>
        <w:rPr>
          <w:rFonts w:ascii="Times New Roman" w:hAnsi="Times New Roman" w:cs="Times New Roman"/>
          <w:sz w:val="20"/>
          <w:szCs w:val="20"/>
        </w:rPr>
      </w:pPr>
    </w:p>
    <w:p w14:paraId="03AD074D" w14:textId="1F75C9C9"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Utilizing the MoGAPI and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xml:space="preserve"> models, our method achieved scores of 64 points and 66 points respectively, both of which are classified as acceptable green. The corresponding pictograms with evaluation scores are illustrated in </w:t>
      </w:r>
      <w:r w:rsidR="00BD2C2A">
        <w:rPr>
          <w:rFonts w:ascii="Times New Roman" w:hAnsi="Times New Roman" w:cs="Times New Roman"/>
          <w:sz w:val="20"/>
          <w:szCs w:val="20"/>
        </w:rPr>
        <w:t>f</w:t>
      </w:r>
      <w:r w:rsidRPr="00C13605">
        <w:rPr>
          <w:rFonts w:ascii="Times New Roman" w:hAnsi="Times New Roman" w:cs="Times New Roman"/>
          <w:sz w:val="20"/>
          <w:szCs w:val="20"/>
        </w:rPr>
        <w:t xml:space="preserve">igures 1a and 1b respectively. A comprehensive evaluation of each category within the MoGAPI and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xml:space="preserve"> is provided in </w:t>
      </w:r>
      <w:r w:rsidR="00BD2C2A">
        <w:rPr>
          <w:rFonts w:ascii="Times New Roman" w:hAnsi="Times New Roman" w:cs="Times New Roman"/>
          <w:sz w:val="20"/>
          <w:szCs w:val="20"/>
        </w:rPr>
        <w:t>t</w:t>
      </w:r>
      <w:r w:rsidRPr="00C13605">
        <w:rPr>
          <w:rFonts w:ascii="Times New Roman" w:hAnsi="Times New Roman" w:cs="Times New Roman"/>
          <w:sz w:val="20"/>
          <w:szCs w:val="20"/>
        </w:rPr>
        <w:t xml:space="preserve">able </w:t>
      </w:r>
      <w:r w:rsidRPr="00BD2C2A">
        <w:rPr>
          <w:rFonts w:ascii="Times New Roman" w:hAnsi="Times New Roman" w:cs="Times New Roman"/>
          <w:bCs/>
          <w:sz w:val="20"/>
          <w:szCs w:val="20"/>
        </w:rPr>
        <w:t>3</w:t>
      </w:r>
      <w:r w:rsidRPr="00C13605">
        <w:rPr>
          <w:rFonts w:ascii="Times New Roman" w:hAnsi="Times New Roman" w:cs="Times New Roman"/>
          <w:sz w:val="20"/>
          <w:szCs w:val="20"/>
        </w:rPr>
        <w:t xml:space="preserve"> respectively.</w:t>
      </w:r>
    </w:p>
    <w:p w14:paraId="65DF951B" w14:textId="77777777" w:rsidR="00E44ED3" w:rsidRDefault="00E44ED3" w:rsidP="00C13605">
      <w:pPr>
        <w:spacing w:after="0" w:line="360" w:lineRule="auto"/>
        <w:jc w:val="both"/>
        <w:rPr>
          <w:rFonts w:ascii="Times New Roman" w:hAnsi="Times New Roman" w:cs="Times New Roman"/>
          <w:sz w:val="20"/>
          <w:szCs w:val="20"/>
        </w:rPr>
      </w:pPr>
    </w:p>
    <w:p w14:paraId="2BA2D6AB" w14:textId="77777777" w:rsidR="00E44ED3" w:rsidRDefault="00E44ED3" w:rsidP="00C13605">
      <w:pPr>
        <w:spacing w:after="0" w:line="360" w:lineRule="auto"/>
        <w:jc w:val="both"/>
        <w:rPr>
          <w:rFonts w:ascii="Times New Roman" w:hAnsi="Times New Roman" w:cs="Times New Roman"/>
          <w:sz w:val="20"/>
          <w:szCs w:val="20"/>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237"/>
      </w:tblGrid>
      <w:tr w:rsidR="00756FA2" w:rsidRPr="00AB1481" w14:paraId="4BC864D0" w14:textId="77777777" w:rsidTr="00D524BF">
        <w:trPr>
          <w:trHeight w:val="340"/>
        </w:trPr>
        <w:tc>
          <w:tcPr>
            <w:tcW w:w="2977" w:type="dxa"/>
            <w:vAlign w:val="center"/>
          </w:tcPr>
          <w:p w14:paraId="3D23168C"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Category</w:t>
            </w:r>
          </w:p>
        </w:tc>
        <w:tc>
          <w:tcPr>
            <w:tcW w:w="6237" w:type="dxa"/>
            <w:vAlign w:val="center"/>
          </w:tcPr>
          <w:p w14:paraId="0624C5E4"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Evaluation details in the MoGAPI pentagrams</w:t>
            </w:r>
          </w:p>
        </w:tc>
      </w:tr>
      <w:tr w:rsidR="00756FA2" w:rsidRPr="00AB1481" w14:paraId="13109E6D" w14:textId="77777777" w:rsidTr="00D524BF">
        <w:trPr>
          <w:trHeight w:val="340"/>
        </w:trPr>
        <w:tc>
          <w:tcPr>
            <w:tcW w:w="9214" w:type="dxa"/>
            <w:gridSpan w:val="2"/>
            <w:vAlign w:val="center"/>
          </w:tcPr>
          <w:p w14:paraId="61D0671D" w14:textId="77777777" w:rsidR="00756FA2" w:rsidRPr="00756FA2" w:rsidRDefault="00756FA2" w:rsidP="00D524BF">
            <w:pPr>
              <w:jc w:val="center"/>
              <w:rPr>
                <w:rFonts w:ascii="Times New Roman" w:hAnsi="Times New Roman" w:cs="Times New Roman"/>
                <w:sz w:val="20"/>
                <w:szCs w:val="24"/>
              </w:rPr>
            </w:pPr>
            <w:r w:rsidRPr="00756FA2">
              <w:rPr>
                <w:rFonts w:ascii="Times New Roman" w:hAnsi="Times New Roman" w:cs="Times New Roman"/>
                <w:b/>
                <w:sz w:val="20"/>
                <w:szCs w:val="24"/>
              </w:rPr>
              <w:t>Sample preparation</w:t>
            </w:r>
          </w:p>
        </w:tc>
      </w:tr>
      <w:tr w:rsidR="00756FA2" w:rsidRPr="00AB1481" w14:paraId="14BFB164" w14:textId="77777777" w:rsidTr="00D524BF">
        <w:trPr>
          <w:trHeight w:val="340"/>
        </w:trPr>
        <w:tc>
          <w:tcPr>
            <w:tcW w:w="2977" w:type="dxa"/>
            <w:vAlign w:val="center"/>
          </w:tcPr>
          <w:p w14:paraId="7F9A7BBC"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1 - Collection:</w:t>
            </w:r>
          </w:p>
        </w:tc>
        <w:tc>
          <w:tcPr>
            <w:tcW w:w="6237" w:type="dxa"/>
            <w:vAlign w:val="center"/>
          </w:tcPr>
          <w:p w14:paraId="6489C7B7"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Off-line</w:t>
            </w:r>
          </w:p>
        </w:tc>
      </w:tr>
      <w:tr w:rsidR="00756FA2" w:rsidRPr="00AB1481" w14:paraId="099F38FD" w14:textId="77777777" w:rsidTr="00D524BF">
        <w:trPr>
          <w:trHeight w:val="340"/>
        </w:trPr>
        <w:tc>
          <w:tcPr>
            <w:tcW w:w="2977" w:type="dxa"/>
            <w:vAlign w:val="center"/>
          </w:tcPr>
          <w:p w14:paraId="1905111D"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2 - Preservation:</w:t>
            </w:r>
          </w:p>
        </w:tc>
        <w:tc>
          <w:tcPr>
            <w:tcW w:w="6237" w:type="dxa"/>
            <w:vAlign w:val="center"/>
          </w:tcPr>
          <w:p w14:paraId="726E3975"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Chemical or physical</w:t>
            </w:r>
          </w:p>
        </w:tc>
      </w:tr>
      <w:tr w:rsidR="00756FA2" w:rsidRPr="00AB1481" w14:paraId="76E61B5C" w14:textId="77777777" w:rsidTr="00D524BF">
        <w:trPr>
          <w:trHeight w:val="340"/>
        </w:trPr>
        <w:tc>
          <w:tcPr>
            <w:tcW w:w="2977" w:type="dxa"/>
            <w:vAlign w:val="center"/>
          </w:tcPr>
          <w:p w14:paraId="3C5A0293"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3 - Transport:</w:t>
            </w:r>
          </w:p>
        </w:tc>
        <w:tc>
          <w:tcPr>
            <w:tcW w:w="6237" w:type="dxa"/>
            <w:vAlign w:val="center"/>
          </w:tcPr>
          <w:p w14:paraId="642191E0"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Required</w:t>
            </w:r>
          </w:p>
        </w:tc>
      </w:tr>
      <w:tr w:rsidR="00756FA2" w:rsidRPr="00AB1481" w14:paraId="7F70D543" w14:textId="77777777" w:rsidTr="00D524BF">
        <w:trPr>
          <w:trHeight w:val="340"/>
        </w:trPr>
        <w:tc>
          <w:tcPr>
            <w:tcW w:w="2977" w:type="dxa"/>
            <w:vAlign w:val="center"/>
          </w:tcPr>
          <w:p w14:paraId="74B48238"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4 - Storage:</w:t>
            </w:r>
          </w:p>
        </w:tc>
        <w:tc>
          <w:tcPr>
            <w:tcW w:w="6237" w:type="dxa"/>
            <w:vAlign w:val="center"/>
          </w:tcPr>
          <w:p w14:paraId="4BF48A77"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Under normal conditions</w:t>
            </w:r>
          </w:p>
        </w:tc>
      </w:tr>
      <w:tr w:rsidR="00756FA2" w:rsidRPr="00AB1481" w14:paraId="5944AC0C" w14:textId="77777777" w:rsidTr="00D524BF">
        <w:trPr>
          <w:trHeight w:val="340"/>
        </w:trPr>
        <w:tc>
          <w:tcPr>
            <w:tcW w:w="2977" w:type="dxa"/>
            <w:vAlign w:val="center"/>
          </w:tcPr>
          <w:p w14:paraId="26B269F8"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5 - Type of method:</w:t>
            </w:r>
          </w:p>
        </w:tc>
        <w:tc>
          <w:tcPr>
            <w:tcW w:w="6237" w:type="dxa"/>
            <w:vAlign w:val="center"/>
          </w:tcPr>
          <w:p w14:paraId="25982809"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Simple procedures, e.g., filtration, decantation</w:t>
            </w:r>
          </w:p>
        </w:tc>
      </w:tr>
      <w:tr w:rsidR="00756FA2" w:rsidRPr="00AB1481" w14:paraId="37DBCA64" w14:textId="77777777" w:rsidTr="00D524BF">
        <w:trPr>
          <w:trHeight w:val="340"/>
        </w:trPr>
        <w:tc>
          <w:tcPr>
            <w:tcW w:w="2977" w:type="dxa"/>
            <w:vAlign w:val="center"/>
          </w:tcPr>
          <w:p w14:paraId="3A892CD7"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6 - Scale of extraction:</w:t>
            </w:r>
          </w:p>
        </w:tc>
        <w:tc>
          <w:tcPr>
            <w:tcW w:w="6237" w:type="dxa"/>
            <w:vAlign w:val="center"/>
          </w:tcPr>
          <w:p w14:paraId="3B89FDD6"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Not applicable</w:t>
            </w:r>
          </w:p>
        </w:tc>
      </w:tr>
      <w:tr w:rsidR="00756FA2" w:rsidRPr="00AB1481" w14:paraId="1DD12EF0" w14:textId="77777777" w:rsidTr="00D524BF">
        <w:trPr>
          <w:trHeight w:val="340"/>
        </w:trPr>
        <w:tc>
          <w:tcPr>
            <w:tcW w:w="2977" w:type="dxa"/>
            <w:vAlign w:val="center"/>
          </w:tcPr>
          <w:p w14:paraId="05F03B65"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7 - Solvents/reagents used:</w:t>
            </w:r>
          </w:p>
        </w:tc>
        <w:tc>
          <w:tcPr>
            <w:tcW w:w="6237" w:type="dxa"/>
            <w:vAlign w:val="center"/>
          </w:tcPr>
          <w:p w14:paraId="6C2335BB"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Non-green solvents/reagents used</w:t>
            </w:r>
          </w:p>
        </w:tc>
      </w:tr>
      <w:tr w:rsidR="00756FA2" w:rsidRPr="00AB1481" w14:paraId="0766C5F2" w14:textId="77777777" w:rsidTr="00D524BF">
        <w:trPr>
          <w:trHeight w:val="340"/>
        </w:trPr>
        <w:tc>
          <w:tcPr>
            <w:tcW w:w="2977" w:type="dxa"/>
            <w:vAlign w:val="center"/>
          </w:tcPr>
          <w:p w14:paraId="7D026528"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8 - Additional treatment:</w:t>
            </w:r>
          </w:p>
        </w:tc>
        <w:tc>
          <w:tcPr>
            <w:tcW w:w="6237" w:type="dxa"/>
            <w:vAlign w:val="center"/>
          </w:tcPr>
          <w:p w14:paraId="5FEFA3AB"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Advanced treatments (derivatization, mineralization, etc.)</w:t>
            </w:r>
          </w:p>
        </w:tc>
      </w:tr>
      <w:tr w:rsidR="00756FA2" w:rsidRPr="00AB1481" w14:paraId="68A8ED68" w14:textId="77777777" w:rsidTr="00D524BF">
        <w:trPr>
          <w:trHeight w:val="340"/>
        </w:trPr>
        <w:tc>
          <w:tcPr>
            <w:tcW w:w="9214" w:type="dxa"/>
            <w:gridSpan w:val="2"/>
            <w:vAlign w:val="center"/>
          </w:tcPr>
          <w:p w14:paraId="0CC47AD5" w14:textId="77777777" w:rsidR="00756FA2" w:rsidRPr="00756FA2" w:rsidRDefault="00756FA2" w:rsidP="00D524BF">
            <w:pPr>
              <w:jc w:val="center"/>
              <w:rPr>
                <w:rFonts w:ascii="Times New Roman" w:hAnsi="Times New Roman" w:cs="Times New Roman"/>
                <w:sz w:val="20"/>
                <w:szCs w:val="24"/>
              </w:rPr>
            </w:pPr>
            <w:r w:rsidRPr="00756FA2">
              <w:rPr>
                <w:rFonts w:ascii="Times New Roman" w:hAnsi="Times New Roman" w:cs="Times New Roman"/>
                <w:b/>
                <w:sz w:val="20"/>
                <w:szCs w:val="24"/>
              </w:rPr>
              <w:t>Reagent and solvents</w:t>
            </w:r>
          </w:p>
        </w:tc>
      </w:tr>
      <w:tr w:rsidR="00756FA2" w:rsidRPr="00AB1481" w14:paraId="0E6F9E8E" w14:textId="77777777" w:rsidTr="00D524BF">
        <w:trPr>
          <w:trHeight w:val="340"/>
        </w:trPr>
        <w:tc>
          <w:tcPr>
            <w:tcW w:w="2977" w:type="dxa"/>
            <w:vAlign w:val="center"/>
          </w:tcPr>
          <w:p w14:paraId="33A8992E"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9 - Amount:</w:t>
            </w:r>
          </w:p>
        </w:tc>
        <w:tc>
          <w:tcPr>
            <w:tcW w:w="6237" w:type="dxa"/>
            <w:vAlign w:val="center"/>
          </w:tcPr>
          <w:p w14:paraId="660950DA"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&lt; 10 mL (&lt; 10 g)</w:t>
            </w:r>
          </w:p>
        </w:tc>
      </w:tr>
      <w:tr w:rsidR="00756FA2" w:rsidRPr="00AB1481" w14:paraId="3010F687" w14:textId="77777777" w:rsidTr="00D524BF">
        <w:trPr>
          <w:trHeight w:val="340"/>
        </w:trPr>
        <w:tc>
          <w:tcPr>
            <w:tcW w:w="2977" w:type="dxa"/>
            <w:vAlign w:val="center"/>
          </w:tcPr>
          <w:p w14:paraId="6B225B84"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10 - Health hazard:</w:t>
            </w:r>
          </w:p>
        </w:tc>
        <w:tc>
          <w:tcPr>
            <w:tcW w:w="6237" w:type="dxa"/>
            <w:vAlign w:val="center"/>
          </w:tcPr>
          <w:p w14:paraId="201DBE0F"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Serious injury on short-term exposure, known or suspected small animal carcinogen; National Fire Protection Association (NFPA) health hazard score = 4</w:t>
            </w:r>
          </w:p>
        </w:tc>
      </w:tr>
      <w:tr w:rsidR="00756FA2" w:rsidRPr="00AB1481" w14:paraId="66C839BD" w14:textId="77777777" w:rsidTr="00D524BF">
        <w:trPr>
          <w:trHeight w:val="340"/>
        </w:trPr>
        <w:tc>
          <w:tcPr>
            <w:tcW w:w="2977" w:type="dxa"/>
            <w:vAlign w:val="center"/>
          </w:tcPr>
          <w:p w14:paraId="15CE71E9"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11 - Safety hazard:</w:t>
            </w:r>
          </w:p>
        </w:tc>
        <w:tc>
          <w:tcPr>
            <w:tcW w:w="6237" w:type="dxa"/>
            <w:vAlign w:val="center"/>
          </w:tcPr>
          <w:p w14:paraId="2BF4BB75"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Highest NFPA flammability or instability score of 2 or 3, or a special hazard is used</w:t>
            </w:r>
          </w:p>
        </w:tc>
      </w:tr>
      <w:tr w:rsidR="00756FA2" w:rsidRPr="00AB1481" w14:paraId="252E1769" w14:textId="77777777" w:rsidTr="00D524BF">
        <w:trPr>
          <w:trHeight w:val="340"/>
        </w:trPr>
        <w:tc>
          <w:tcPr>
            <w:tcW w:w="9214" w:type="dxa"/>
            <w:gridSpan w:val="2"/>
            <w:vAlign w:val="center"/>
          </w:tcPr>
          <w:p w14:paraId="2A5BF761" w14:textId="77777777" w:rsidR="00756FA2" w:rsidRPr="00756FA2" w:rsidRDefault="00756FA2" w:rsidP="00D524BF">
            <w:pPr>
              <w:jc w:val="center"/>
              <w:rPr>
                <w:rFonts w:ascii="Times New Roman" w:hAnsi="Times New Roman" w:cs="Times New Roman"/>
                <w:sz w:val="20"/>
                <w:szCs w:val="24"/>
              </w:rPr>
            </w:pPr>
            <w:r w:rsidRPr="00756FA2">
              <w:rPr>
                <w:rFonts w:ascii="Times New Roman" w:hAnsi="Times New Roman" w:cs="Times New Roman"/>
                <w:b/>
                <w:sz w:val="20"/>
                <w:szCs w:val="24"/>
              </w:rPr>
              <w:t>Instrumentation</w:t>
            </w:r>
          </w:p>
        </w:tc>
      </w:tr>
      <w:tr w:rsidR="00756FA2" w:rsidRPr="00AB1481" w14:paraId="2C878FF2" w14:textId="77777777" w:rsidTr="00D524BF">
        <w:trPr>
          <w:trHeight w:val="340"/>
        </w:trPr>
        <w:tc>
          <w:tcPr>
            <w:tcW w:w="2977" w:type="dxa"/>
            <w:vAlign w:val="center"/>
          </w:tcPr>
          <w:p w14:paraId="7444E272"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12 - Energy:</w:t>
            </w:r>
          </w:p>
        </w:tc>
        <w:tc>
          <w:tcPr>
            <w:tcW w:w="6237" w:type="dxa"/>
            <w:vAlign w:val="center"/>
          </w:tcPr>
          <w:p w14:paraId="11B01E50"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≤0.1 kWh per sample</w:t>
            </w:r>
          </w:p>
        </w:tc>
      </w:tr>
      <w:tr w:rsidR="00756FA2" w:rsidRPr="00AB1481" w14:paraId="0BF16A75" w14:textId="77777777" w:rsidTr="00D524BF">
        <w:trPr>
          <w:trHeight w:val="340"/>
        </w:trPr>
        <w:tc>
          <w:tcPr>
            <w:tcW w:w="2977" w:type="dxa"/>
            <w:vAlign w:val="center"/>
          </w:tcPr>
          <w:p w14:paraId="67AA092F" w14:textId="77777777" w:rsidR="00756FA2" w:rsidRPr="00756FA2" w:rsidRDefault="00756FA2" w:rsidP="00D524BF">
            <w:pPr>
              <w:rPr>
                <w:rFonts w:ascii="Times New Roman" w:hAnsi="Times New Roman" w:cs="Times New Roman"/>
                <w:b/>
                <w:sz w:val="20"/>
                <w:szCs w:val="24"/>
              </w:rPr>
            </w:pPr>
            <w:r w:rsidRPr="00756FA2">
              <w:rPr>
                <w:rFonts w:ascii="Times New Roman" w:hAnsi="Times New Roman" w:cs="Times New Roman"/>
                <w:sz w:val="20"/>
                <w:szCs w:val="24"/>
              </w:rPr>
              <w:t>13 - Occupational hazard:</w:t>
            </w:r>
          </w:p>
        </w:tc>
        <w:tc>
          <w:tcPr>
            <w:tcW w:w="6237" w:type="dxa"/>
            <w:vAlign w:val="center"/>
          </w:tcPr>
          <w:p w14:paraId="012F3ADA"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 xml:space="preserve">Emission of </w:t>
            </w:r>
            <w:proofErr w:type="spellStart"/>
            <w:r w:rsidRPr="00756FA2">
              <w:rPr>
                <w:rFonts w:ascii="Times New Roman" w:hAnsi="Times New Roman" w:cs="Times New Roman"/>
                <w:sz w:val="20"/>
                <w:szCs w:val="24"/>
              </w:rPr>
              <w:t>vapours</w:t>
            </w:r>
            <w:proofErr w:type="spellEnd"/>
            <w:r w:rsidRPr="00756FA2">
              <w:rPr>
                <w:rFonts w:ascii="Times New Roman" w:hAnsi="Times New Roman" w:cs="Times New Roman"/>
                <w:sz w:val="20"/>
                <w:szCs w:val="24"/>
              </w:rPr>
              <w:t xml:space="preserve"> to the atmosphere</w:t>
            </w:r>
          </w:p>
        </w:tc>
      </w:tr>
      <w:tr w:rsidR="00756FA2" w:rsidRPr="00AB1481" w14:paraId="0FAA0A3F" w14:textId="77777777" w:rsidTr="00D524BF">
        <w:trPr>
          <w:trHeight w:val="340"/>
        </w:trPr>
        <w:tc>
          <w:tcPr>
            <w:tcW w:w="2977" w:type="dxa"/>
            <w:vAlign w:val="center"/>
          </w:tcPr>
          <w:p w14:paraId="478DB2E4"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14 - Waste:</w:t>
            </w:r>
          </w:p>
        </w:tc>
        <w:tc>
          <w:tcPr>
            <w:tcW w:w="6237" w:type="dxa"/>
            <w:vAlign w:val="center"/>
          </w:tcPr>
          <w:p w14:paraId="2214B680"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1–10 mL (1–10 g)</w:t>
            </w:r>
          </w:p>
        </w:tc>
      </w:tr>
      <w:tr w:rsidR="00756FA2" w:rsidRPr="00AB1481" w14:paraId="6B5F7742" w14:textId="77777777" w:rsidTr="00D524BF">
        <w:trPr>
          <w:trHeight w:val="340"/>
        </w:trPr>
        <w:tc>
          <w:tcPr>
            <w:tcW w:w="2977" w:type="dxa"/>
            <w:vAlign w:val="center"/>
          </w:tcPr>
          <w:p w14:paraId="0957B9C7"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15 - Waste treatment:</w:t>
            </w:r>
          </w:p>
        </w:tc>
        <w:tc>
          <w:tcPr>
            <w:tcW w:w="6237" w:type="dxa"/>
            <w:vAlign w:val="center"/>
          </w:tcPr>
          <w:p w14:paraId="057EC530"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Degradation, passivation</w:t>
            </w:r>
          </w:p>
        </w:tc>
      </w:tr>
      <w:tr w:rsidR="00756FA2" w:rsidRPr="00AB1481" w14:paraId="6664FCD1" w14:textId="77777777" w:rsidTr="00D524BF">
        <w:trPr>
          <w:trHeight w:val="340"/>
        </w:trPr>
        <w:tc>
          <w:tcPr>
            <w:tcW w:w="2977" w:type="dxa"/>
            <w:vAlign w:val="center"/>
          </w:tcPr>
          <w:p w14:paraId="486F215A"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16 - QUANTIFICATION:</w:t>
            </w:r>
          </w:p>
        </w:tc>
        <w:tc>
          <w:tcPr>
            <w:tcW w:w="6237" w:type="dxa"/>
            <w:vAlign w:val="center"/>
          </w:tcPr>
          <w:p w14:paraId="6A5F55A1" w14:textId="77777777" w:rsidR="00756FA2" w:rsidRPr="00756FA2" w:rsidRDefault="00756FA2" w:rsidP="00D524BF">
            <w:pPr>
              <w:rPr>
                <w:rFonts w:ascii="Times New Roman" w:hAnsi="Times New Roman" w:cs="Times New Roman"/>
                <w:sz w:val="20"/>
                <w:szCs w:val="24"/>
              </w:rPr>
            </w:pPr>
            <w:r w:rsidRPr="00756FA2">
              <w:rPr>
                <w:rFonts w:ascii="Times New Roman" w:hAnsi="Times New Roman" w:cs="Times New Roman"/>
                <w:sz w:val="20"/>
                <w:szCs w:val="24"/>
              </w:rPr>
              <w:t>Yes</w:t>
            </w:r>
          </w:p>
        </w:tc>
      </w:tr>
    </w:tbl>
    <w:p w14:paraId="73FA24E6" w14:textId="77777777" w:rsidR="0019257A" w:rsidRDefault="0019257A" w:rsidP="00C13605">
      <w:pPr>
        <w:spacing w:after="0" w:line="360" w:lineRule="auto"/>
        <w:jc w:val="both"/>
        <w:rPr>
          <w:rFonts w:ascii="Times New Roman" w:hAnsi="Times New Roman" w:cs="Times New Roman"/>
          <w:sz w:val="20"/>
          <w:szCs w:val="20"/>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237"/>
      </w:tblGrid>
      <w:tr w:rsidR="00526509" w:rsidRPr="00526509" w14:paraId="2C53CC7E" w14:textId="77777777" w:rsidTr="00D524BF">
        <w:trPr>
          <w:trHeight w:val="340"/>
        </w:trPr>
        <w:tc>
          <w:tcPr>
            <w:tcW w:w="2977" w:type="dxa"/>
            <w:vAlign w:val="center"/>
          </w:tcPr>
          <w:p w14:paraId="399EAF96"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Category</w:t>
            </w:r>
          </w:p>
        </w:tc>
        <w:tc>
          <w:tcPr>
            <w:tcW w:w="6237" w:type="dxa"/>
            <w:vAlign w:val="center"/>
          </w:tcPr>
          <w:p w14:paraId="17C2EEE7"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 xml:space="preserve">Evaluation details in the </w:t>
            </w:r>
            <w:proofErr w:type="spellStart"/>
            <w:r w:rsidRPr="00526509">
              <w:rPr>
                <w:rFonts w:ascii="Times New Roman" w:hAnsi="Times New Roman" w:cs="Times New Roman"/>
                <w:sz w:val="20"/>
                <w:szCs w:val="24"/>
              </w:rPr>
              <w:t>ComplexMoGAPI</w:t>
            </w:r>
            <w:proofErr w:type="spellEnd"/>
            <w:r w:rsidRPr="00526509">
              <w:rPr>
                <w:rFonts w:ascii="Times New Roman" w:hAnsi="Times New Roman" w:cs="Times New Roman"/>
                <w:sz w:val="20"/>
              </w:rPr>
              <w:t xml:space="preserve"> </w:t>
            </w:r>
            <w:r w:rsidRPr="00526509">
              <w:rPr>
                <w:rFonts w:ascii="Times New Roman" w:hAnsi="Times New Roman" w:cs="Times New Roman"/>
                <w:sz w:val="20"/>
                <w:szCs w:val="24"/>
              </w:rPr>
              <w:t>hexagonal segment</w:t>
            </w:r>
          </w:p>
        </w:tc>
      </w:tr>
      <w:tr w:rsidR="00526509" w:rsidRPr="00526509" w14:paraId="05E0CCBE" w14:textId="77777777" w:rsidTr="00D524BF">
        <w:trPr>
          <w:trHeight w:val="340"/>
        </w:trPr>
        <w:tc>
          <w:tcPr>
            <w:tcW w:w="9214" w:type="dxa"/>
            <w:gridSpan w:val="2"/>
            <w:vAlign w:val="center"/>
          </w:tcPr>
          <w:p w14:paraId="25D8B692" w14:textId="77777777" w:rsidR="00526509" w:rsidRPr="00526509" w:rsidRDefault="00526509" w:rsidP="00D524BF">
            <w:pPr>
              <w:jc w:val="center"/>
              <w:rPr>
                <w:rFonts w:ascii="Times New Roman" w:hAnsi="Times New Roman" w:cs="Times New Roman"/>
                <w:sz w:val="20"/>
                <w:szCs w:val="24"/>
              </w:rPr>
            </w:pPr>
            <w:r w:rsidRPr="00526509">
              <w:rPr>
                <w:rFonts w:ascii="Times New Roman" w:hAnsi="Times New Roman" w:cs="Times New Roman"/>
                <w:b/>
                <w:sz w:val="20"/>
                <w:szCs w:val="24"/>
              </w:rPr>
              <w:t>Yield and conditions</w:t>
            </w:r>
          </w:p>
        </w:tc>
      </w:tr>
      <w:tr w:rsidR="00526509" w:rsidRPr="00526509" w14:paraId="54297F25" w14:textId="77777777" w:rsidTr="00D524BF">
        <w:trPr>
          <w:trHeight w:val="340"/>
        </w:trPr>
        <w:tc>
          <w:tcPr>
            <w:tcW w:w="2977" w:type="dxa"/>
            <w:vAlign w:val="center"/>
          </w:tcPr>
          <w:p w14:paraId="1C1B565D"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I - Yield:</w:t>
            </w:r>
          </w:p>
        </w:tc>
        <w:tc>
          <w:tcPr>
            <w:tcW w:w="6237" w:type="dxa"/>
            <w:vAlign w:val="center"/>
          </w:tcPr>
          <w:p w14:paraId="5FCCF03F"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&gt;89%</w:t>
            </w:r>
          </w:p>
        </w:tc>
      </w:tr>
      <w:tr w:rsidR="00526509" w:rsidRPr="00526509" w14:paraId="31E3F952" w14:textId="77777777" w:rsidTr="00D524BF">
        <w:trPr>
          <w:trHeight w:val="340"/>
        </w:trPr>
        <w:tc>
          <w:tcPr>
            <w:tcW w:w="2977" w:type="dxa"/>
            <w:vAlign w:val="center"/>
          </w:tcPr>
          <w:p w14:paraId="56FF9B9C"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II - Temperature/time:</w:t>
            </w:r>
          </w:p>
        </w:tc>
        <w:tc>
          <w:tcPr>
            <w:tcW w:w="6237" w:type="dxa"/>
            <w:vAlign w:val="center"/>
          </w:tcPr>
          <w:p w14:paraId="2701A277"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 xml:space="preserve">Room temperature, &gt;1 h, Heating, &lt;1 h, </w:t>
            </w:r>
          </w:p>
          <w:p w14:paraId="04C26D33"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Cooling to 0°C</w:t>
            </w:r>
          </w:p>
        </w:tc>
      </w:tr>
      <w:tr w:rsidR="00526509" w:rsidRPr="00526509" w14:paraId="70016D85" w14:textId="77777777" w:rsidTr="00D524BF">
        <w:trPr>
          <w:trHeight w:val="340"/>
        </w:trPr>
        <w:tc>
          <w:tcPr>
            <w:tcW w:w="9214" w:type="dxa"/>
            <w:gridSpan w:val="2"/>
          </w:tcPr>
          <w:p w14:paraId="11E096AF" w14:textId="77777777" w:rsidR="00526509" w:rsidRPr="00526509" w:rsidRDefault="00526509" w:rsidP="00D524BF">
            <w:pPr>
              <w:jc w:val="center"/>
              <w:rPr>
                <w:rFonts w:ascii="Times New Roman" w:hAnsi="Times New Roman" w:cs="Times New Roman"/>
                <w:sz w:val="20"/>
                <w:szCs w:val="24"/>
              </w:rPr>
            </w:pPr>
            <w:r w:rsidRPr="00526509">
              <w:rPr>
                <w:rFonts w:ascii="Times New Roman" w:hAnsi="Times New Roman" w:cs="Times New Roman"/>
                <w:b/>
                <w:sz w:val="20"/>
                <w:szCs w:val="24"/>
              </w:rPr>
              <w:t>Relation to green economy</w:t>
            </w:r>
          </w:p>
        </w:tc>
      </w:tr>
      <w:tr w:rsidR="00526509" w:rsidRPr="00526509" w14:paraId="6666B16B" w14:textId="77777777" w:rsidTr="00D524BF">
        <w:trPr>
          <w:trHeight w:val="340"/>
        </w:trPr>
        <w:tc>
          <w:tcPr>
            <w:tcW w:w="2977" w:type="dxa"/>
            <w:vAlign w:val="center"/>
          </w:tcPr>
          <w:p w14:paraId="01D37F22"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lastRenderedPageBreak/>
              <w:t>III - Number of rules met:</w:t>
            </w:r>
          </w:p>
        </w:tc>
        <w:tc>
          <w:tcPr>
            <w:tcW w:w="6237" w:type="dxa"/>
            <w:vAlign w:val="center"/>
          </w:tcPr>
          <w:p w14:paraId="29C0D98D"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3-4</w:t>
            </w:r>
          </w:p>
        </w:tc>
      </w:tr>
      <w:tr w:rsidR="00526509" w:rsidRPr="00526509" w14:paraId="050D0475" w14:textId="77777777" w:rsidTr="00D524BF">
        <w:trPr>
          <w:trHeight w:val="340"/>
        </w:trPr>
        <w:tc>
          <w:tcPr>
            <w:tcW w:w="9214" w:type="dxa"/>
            <w:gridSpan w:val="2"/>
            <w:vAlign w:val="center"/>
          </w:tcPr>
          <w:p w14:paraId="0CB13363" w14:textId="77777777" w:rsidR="00526509" w:rsidRPr="00526509" w:rsidRDefault="00526509" w:rsidP="00D524BF">
            <w:pPr>
              <w:jc w:val="center"/>
              <w:rPr>
                <w:rFonts w:ascii="Times New Roman" w:hAnsi="Times New Roman" w:cs="Times New Roman"/>
                <w:sz w:val="20"/>
                <w:szCs w:val="24"/>
              </w:rPr>
            </w:pPr>
            <w:r w:rsidRPr="00526509">
              <w:rPr>
                <w:rFonts w:ascii="Times New Roman" w:hAnsi="Times New Roman" w:cs="Times New Roman"/>
                <w:b/>
                <w:sz w:val="20"/>
                <w:szCs w:val="24"/>
              </w:rPr>
              <w:t>Reagent and solvents</w:t>
            </w:r>
          </w:p>
        </w:tc>
      </w:tr>
      <w:tr w:rsidR="00526509" w:rsidRPr="00526509" w14:paraId="6DB7B55D" w14:textId="77777777" w:rsidTr="00D524BF">
        <w:trPr>
          <w:trHeight w:val="340"/>
        </w:trPr>
        <w:tc>
          <w:tcPr>
            <w:tcW w:w="2977" w:type="dxa"/>
            <w:vAlign w:val="center"/>
          </w:tcPr>
          <w:p w14:paraId="5F70A56A" w14:textId="77777777" w:rsidR="00526509" w:rsidRPr="00526509" w:rsidRDefault="00526509" w:rsidP="00D524BF">
            <w:pPr>
              <w:rPr>
                <w:rFonts w:ascii="Times New Roman" w:hAnsi="Times New Roman" w:cs="Times New Roman"/>
                <w:sz w:val="20"/>
                <w:szCs w:val="24"/>
              </w:rPr>
            </w:pPr>
            <w:proofErr w:type="spellStart"/>
            <w:r w:rsidRPr="00526509">
              <w:rPr>
                <w:rFonts w:ascii="Times New Roman" w:hAnsi="Times New Roman" w:cs="Times New Roman"/>
                <w:sz w:val="20"/>
                <w:szCs w:val="24"/>
              </w:rPr>
              <w:t>IVa</w:t>
            </w:r>
            <w:proofErr w:type="spellEnd"/>
            <w:r w:rsidRPr="00526509">
              <w:rPr>
                <w:rFonts w:ascii="Times New Roman" w:hAnsi="Times New Roman" w:cs="Times New Roman"/>
                <w:sz w:val="20"/>
                <w:szCs w:val="24"/>
              </w:rPr>
              <w:t xml:space="preserve"> - Health hazard:</w:t>
            </w:r>
          </w:p>
        </w:tc>
        <w:tc>
          <w:tcPr>
            <w:tcW w:w="6237" w:type="dxa"/>
            <w:vAlign w:val="bottom"/>
          </w:tcPr>
          <w:p w14:paraId="7F86B416" w14:textId="77777777" w:rsidR="00526509" w:rsidRPr="00526509" w:rsidRDefault="00526509" w:rsidP="00D524BF">
            <w:pPr>
              <w:jc w:val="both"/>
              <w:rPr>
                <w:rFonts w:ascii="Times New Roman" w:hAnsi="Times New Roman" w:cs="Times New Roman"/>
                <w:sz w:val="20"/>
                <w:szCs w:val="24"/>
              </w:rPr>
            </w:pPr>
            <w:r w:rsidRPr="00526509">
              <w:rPr>
                <w:rFonts w:ascii="Times New Roman" w:hAnsi="Times New Roman" w:cs="Times New Roman"/>
                <w:sz w:val="20"/>
                <w:szCs w:val="24"/>
              </w:rPr>
              <w:t>Serious injury on short-term exposure, known or suspected small animal carcinogen; NFPA health hazard score = 4</w:t>
            </w:r>
          </w:p>
        </w:tc>
      </w:tr>
      <w:tr w:rsidR="00526509" w:rsidRPr="00526509" w14:paraId="71353A70" w14:textId="77777777" w:rsidTr="00D524BF">
        <w:trPr>
          <w:trHeight w:val="340"/>
        </w:trPr>
        <w:tc>
          <w:tcPr>
            <w:tcW w:w="2977" w:type="dxa"/>
            <w:vAlign w:val="center"/>
          </w:tcPr>
          <w:p w14:paraId="3BB596EA" w14:textId="77777777" w:rsidR="00526509" w:rsidRPr="00526509" w:rsidRDefault="00526509" w:rsidP="00D524BF">
            <w:pPr>
              <w:rPr>
                <w:rFonts w:ascii="Times New Roman" w:hAnsi="Times New Roman" w:cs="Times New Roman"/>
                <w:sz w:val="20"/>
                <w:szCs w:val="24"/>
              </w:rPr>
            </w:pPr>
            <w:proofErr w:type="spellStart"/>
            <w:r w:rsidRPr="00526509">
              <w:rPr>
                <w:rFonts w:ascii="Times New Roman" w:hAnsi="Times New Roman" w:cs="Times New Roman"/>
                <w:sz w:val="20"/>
                <w:szCs w:val="24"/>
              </w:rPr>
              <w:t>IVb</w:t>
            </w:r>
            <w:proofErr w:type="spellEnd"/>
            <w:r w:rsidRPr="00526509">
              <w:rPr>
                <w:rFonts w:ascii="Times New Roman" w:hAnsi="Times New Roman" w:cs="Times New Roman"/>
                <w:sz w:val="20"/>
                <w:szCs w:val="24"/>
              </w:rPr>
              <w:t xml:space="preserve"> - Safety hazard:</w:t>
            </w:r>
          </w:p>
        </w:tc>
        <w:tc>
          <w:tcPr>
            <w:tcW w:w="6237" w:type="dxa"/>
            <w:vAlign w:val="bottom"/>
          </w:tcPr>
          <w:p w14:paraId="406B58AA" w14:textId="77777777" w:rsidR="00526509" w:rsidRPr="00526509" w:rsidRDefault="00526509" w:rsidP="00D524BF">
            <w:pPr>
              <w:jc w:val="both"/>
              <w:rPr>
                <w:rFonts w:ascii="Times New Roman" w:hAnsi="Times New Roman" w:cs="Times New Roman"/>
                <w:sz w:val="20"/>
                <w:szCs w:val="24"/>
              </w:rPr>
            </w:pPr>
            <w:r w:rsidRPr="00526509">
              <w:rPr>
                <w:rFonts w:ascii="Times New Roman" w:hAnsi="Times New Roman" w:cs="Times New Roman"/>
                <w:sz w:val="20"/>
                <w:szCs w:val="24"/>
              </w:rPr>
              <w:t>Highest NFPA flammability or instability score of 2 or 3, or a special hazard is used</w:t>
            </w:r>
          </w:p>
        </w:tc>
      </w:tr>
      <w:tr w:rsidR="00526509" w:rsidRPr="00526509" w14:paraId="50A7241D" w14:textId="77777777" w:rsidTr="00D524BF">
        <w:trPr>
          <w:trHeight w:val="340"/>
        </w:trPr>
        <w:tc>
          <w:tcPr>
            <w:tcW w:w="9214" w:type="dxa"/>
            <w:gridSpan w:val="2"/>
            <w:vAlign w:val="center"/>
          </w:tcPr>
          <w:p w14:paraId="220FBBDF" w14:textId="77777777" w:rsidR="00526509" w:rsidRPr="00526509" w:rsidRDefault="00526509" w:rsidP="00D524BF">
            <w:pPr>
              <w:jc w:val="center"/>
              <w:rPr>
                <w:rFonts w:ascii="Times New Roman" w:hAnsi="Times New Roman" w:cs="Times New Roman"/>
                <w:sz w:val="20"/>
                <w:szCs w:val="24"/>
              </w:rPr>
            </w:pPr>
            <w:r w:rsidRPr="00526509">
              <w:rPr>
                <w:rFonts w:ascii="Times New Roman" w:hAnsi="Times New Roman" w:cs="Times New Roman"/>
                <w:b/>
                <w:sz w:val="20"/>
                <w:szCs w:val="24"/>
              </w:rPr>
              <w:t>Instrumentation</w:t>
            </w:r>
          </w:p>
        </w:tc>
      </w:tr>
      <w:tr w:rsidR="00526509" w:rsidRPr="00526509" w14:paraId="4A07C447" w14:textId="77777777" w:rsidTr="00D524BF">
        <w:trPr>
          <w:trHeight w:val="340"/>
        </w:trPr>
        <w:tc>
          <w:tcPr>
            <w:tcW w:w="2977" w:type="dxa"/>
            <w:vAlign w:val="center"/>
          </w:tcPr>
          <w:p w14:paraId="37215F07"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Va - Technical setup:</w:t>
            </w:r>
          </w:p>
        </w:tc>
        <w:tc>
          <w:tcPr>
            <w:tcW w:w="6237" w:type="dxa"/>
            <w:vAlign w:val="center"/>
          </w:tcPr>
          <w:p w14:paraId="16475800"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Additional setups/semi-advanced instruments used</w:t>
            </w:r>
          </w:p>
        </w:tc>
      </w:tr>
      <w:tr w:rsidR="00526509" w:rsidRPr="00526509" w14:paraId="1784981A" w14:textId="77777777" w:rsidTr="00D524BF">
        <w:trPr>
          <w:trHeight w:val="340"/>
        </w:trPr>
        <w:tc>
          <w:tcPr>
            <w:tcW w:w="2977" w:type="dxa"/>
            <w:vAlign w:val="center"/>
          </w:tcPr>
          <w:p w14:paraId="2701AE30" w14:textId="77777777" w:rsidR="00526509" w:rsidRPr="00526509" w:rsidRDefault="00526509" w:rsidP="00D524BF">
            <w:pPr>
              <w:rPr>
                <w:rFonts w:ascii="Times New Roman" w:hAnsi="Times New Roman" w:cs="Times New Roman"/>
                <w:b/>
                <w:sz w:val="20"/>
                <w:szCs w:val="24"/>
              </w:rPr>
            </w:pPr>
            <w:proofErr w:type="spellStart"/>
            <w:r w:rsidRPr="00526509">
              <w:rPr>
                <w:rFonts w:ascii="Times New Roman" w:hAnsi="Times New Roman" w:cs="Times New Roman"/>
                <w:sz w:val="20"/>
                <w:szCs w:val="24"/>
              </w:rPr>
              <w:t>Vb</w:t>
            </w:r>
            <w:proofErr w:type="spellEnd"/>
            <w:r w:rsidRPr="00526509">
              <w:rPr>
                <w:rFonts w:ascii="Times New Roman" w:hAnsi="Times New Roman" w:cs="Times New Roman"/>
                <w:sz w:val="20"/>
                <w:szCs w:val="24"/>
              </w:rPr>
              <w:t xml:space="preserve"> - Energy:</w:t>
            </w:r>
          </w:p>
        </w:tc>
        <w:tc>
          <w:tcPr>
            <w:tcW w:w="6237" w:type="dxa"/>
            <w:vAlign w:val="center"/>
          </w:tcPr>
          <w:p w14:paraId="06842B7A"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≤0.1 kWh per sample</w:t>
            </w:r>
          </w:p>
        </w:tc>
      </w:tr>
      <w:tr w:rsidR="00526509" w:rsidRPr="00526509" w14:paraId="141C5A4A" w14:textId="77777777" w:rsidTr="00D524BF">
        <w:trPr>
          <w:trHeight w:val="340"/>
        </w:trPr>
        <w:tc>
          <w:tcPr>
            <w:tcW w:w="2977" w:type="dxa"/>
            <w:vAlign w:val="center"/>
          </w:tcPr>
          <w:p w14:paraId="54CBDA70" w14:textId="77777777" w:rsidR="00526509" w:rsidRPr="00526509" w:rsidRDefault="00526509" w:rsidP="00D524BF">
            <w:pPr>
              <w:rPr>
                <w:rFonts w:ascii="Times New Roman" w:hAnsi="Times New Roman" w:cs="Times New Roman"/>
                <w:b/>
                <w:sz w:val="20"/>
                <w:szCs w:val="24"/>
              </w:rPr>
            </w:pPr>
            <w:proofErr w:type="spellStart"/>
            <w:r w:rsidRPr="00526509">
              <w:rPr>
                <w:rFonts w:ascii="Times New Roman" w:hAnsi="Times New Roman" w:cs="Times New Roman"/>
                <w:sz w:val="20"/>
                <w:szCs w:val="24"/>
              </w:rPr>
              <w:t>Vc</w:t>
            </w:r>
            <w:proofErr w:type="spellEnd"/>
            <w:r w:rsidRPr="00526509">
              <w:rPr>
                <w:rFonts w:ascii="Times New Roman" w:hAnsi="Times New Roman" w:cs="Times New Roman"/>
                <w:sz w:val="20"/>
                <w:szCs w:val="24"/>
              </w:rPr>
              <w:t xml:space="preserve"> - Occupational hazard:</w:t>
            </w:r>
          </w:p>
        </w:tc>
        <w:tc>
          <w:tcPr>
            <w:tcW w:w="6237" w:type="dxa"/>
            <w:vAlign w:val="center"/>
          </w:tcPr>
          <w:p w14:paraId="2B87CEFC"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 xml:space="preserve">Emission of </w:t>
            </w:r>
            <w:proofErr w:type="spellStart"/>
            <w:r w:rsidRPr="00526509">
              <w:rPr>
                <w:rFonts w:ascii="Times New Roman" w:hAnsi="Times New Roman" w:cs="Times New Roman"/>
                <w:sz w:val="20"/>
                <w:szCs w:val="24"/>
              </w:rPr>
              <w:t>vapours</w:t>
            </w:r>
            <w:proofErr w:type="spellEnd"/>
            <w:r w:rsidRPr="00526509">
              <w:rPr>
                <w:rFonts w:ascii="Times New Roman" w:hAnsi="Times New Roman" w:cs="Times New Roman"/>
                <w:sz w:val="20"/>
                <w:szCs w:val="24"/>
              </w:rPr>
              <w:t xml:space="preserve"> to the atmosphere</w:t>
            </w:r>
          </w:p>
        </w:tc>
      </w:tr>
      <w:tr w:rsidR="00526509" w:rsidRPr="00526509" w14:paraId="5913AB3B" w14:textId="77777777" w:rsidTr="00D524BF">
        <w:trPr>
          <w:trHeight w:val="340"/>
        </w:trPr>
        <w:tc>
          <w:tcPr>
            <w:tcW w:w="9214" w:type="dxa"/>
            <w:gridSpan w:val="2"/>
            <w:vAlign w:val="center"/>
          </w:tcPr>
          <w:p w14:paraId="1EC079F7" w14:textId="77777777" w:rsidR="00526509" w:rsidRPr="00526509" w:rsidRDefault="00526509" w:rsidP="00D524BF">
            <w:pPr>
              <w:jc w:val="center"/>
              <w:rPr>
                <w:rFonts w:ascii="Times New Roman" w:hAnsi="Times New Roman" w:cs="Times New Roman"/>
                <w:sz w:val="20"/>
                <w:szCs w:val="24"/>
              </w:rPr>
            </w:pPr>
            <w:r w:rsidRPr="00526509">
              <w:rPr>
                <w:rFonts w:ascii="Times New Roman" w:hAnsi="Times New Roman" w:cs="Times New Roman"/>
                <w:b/>
                <w:sz w:val="20"/>
                <w:szCs w:val="24"/>
              </w:rPr>
              <w:t>Workup and purification</w:t>
            </w:r>
          </w:p>
        </w:tc>
      </w:tr>
      <w:tr w:rsidR="00526509" w:rsidRPr="00526509" w14:paraId="32E7EE00" w14:textId="77777777" w:rsidTr="00D524BF">
        <w:trPr>
          <w:trHeight w:val="340"/>
        </w:trPr>
        <w:tc>
          <w:tcPr>
            <w:tcW w:w="2977" w:type="dxa"/>
            <w:vAlign w:val="center"/>
          </w:tcPr>
          <w:p w14:paraId="629CE09B" w14:textId="77777777" w:rsidR="00526509" w:rsidRPr="00526509" w:rsidRDefault="00526509" w:rsidP="00D524BF">
            <w:pPr>
              <w:rPr>
                <w:rFonts w:ascii="Times New Roman" w:hAnsi="Times New Roman" w:cs="Times New Roman"/>
                <w:sz w:val="20"/>
                <w:szCs w:val="24"/>
              </w:rPr>
            </w:pPr>
            <w:proofErr w:type="spellStart"/>
            <w:r w:rsidRPr="00526509">
              <w:rPr>
                <w:rFonts w:ascii="Times New Roman" w:hAnsi="Times New Roman" w:cs="Times New Roman"/>
                <w:sz w:val="20"/>
                <w:szCs w:val="24"/>
              </w:rPr>
              <w:t>VIa</w:t>
            </w:r>
            <w:proofErr w:type="spellEnd"/>
            <w:r w:rsidRPr="00526509">
              <w:rPr>
                <w:rFonts w:ascii="Times New Roman" w:hAnsi="Times New Roman" w:cs="Times New Roman"/>
                <w:sz w:val="20"/>
                <w:szCs w:val="24"/>
              </w:rPr>
              <w:t xml:space="preserve"> - Workup and purification of the </w:t>
            </w:r>
            <w:proofErr w:type="gramStart"/>
            <w:r w:rsidRPr="00526509">
              <w:rPr>
                <w:rFonts w:ascii="Times New Roman" w:hAnsi="Times New Roman" w:cs="Times New Roman"/>
                <w:sz w:val="20"/>
                <w:szCs w:val="24"/>
              </w:rPr>
              <w:t>end product</w:t>
            </w:r>
            <w:proofErr w:type="gramEnd"/>
            <w:r w:rsidRPr="00526509">
              <w:rPr>
                <w:rFonts w:ascii="Times New Roman" w:hAnsi="Times New Roman" w:cs="Times New Roman"/>
                <w:sz w:val="20"/>
                <w:szCs w:val="24"/>
              </w:rPr>
              <w:t>:</w:t>
            </w:r>
          </w:p>
        </w:tc>
        <w:tc>
          <w:tcPr>
            <w:tcW w:w="6237" w:type="dxa"/>
            <w:vAlign w:val="center"/>
          </w:tcPr>
          <w:p w14:paraId="376182E9"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None or simple processes</w:t>
            </w:r>
          </w:p>
        </w:tc>
      </w:tr>
      <w:tr w:rsidR="00526509" w:rsidRPr="00526509" w14:paraId="4E25276A" w14:textId="77777777" w:rsidTr="00D524BF">
        <w:trPr>
          <w:trHeight w:val="340"/>
        </w:trPr>
        <w:tc>
          <w:tcPr>
            <w:tcW w:w="2977" w:type="dxa"/>
            <w:vAlign w:val="center"/>
          </w:tcPr>
          <w:p w14:paraId="06A2492D"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VIb - Purity:</w:t>
            </w:r>
          </w:p>
        </w:tc>
        <w:tc>
          <w:tcPr>
            <w:tcW w:w="6237" w:type="dxa"/>
            <w:vAlign w:val="center"/>
          </w:tcPr>
          <w:p w14:paraId="1ADDE84A" w14:textId="77777777" w:rsidR="00526509" w:rsidRPr="00526509" w:rsidRDefault="00526509" w:rsidP="00D524BF">
            <w:pPr>
              <w:rPr>
                <w:rFonts w:ascii="Times New Roman" w:hAnsi="Times New Roman" w:cs="Times New Roman"/>
                <w:sz w:val="20"/>
                <w:szCs w:val="24"/>
              </w:rPr>
            </w:pPr>
            <w:r w:rsidRPr="00526509">
              <w:rPr>
                <w:rFonts w:ascii="Times New Roman" w:hAnsi="Times New Roman" w:cs="Times New Roman"/>
                <w:sz w:val="20"/>
                <w:szCs w:val="24"/>
              </w:rPr>
              <w:t>Not applicable</w:t>
            </w:r>
          </w:p>
        </w:tc>
      </w:tr>
    </w:tbl>
    <w:p w14:paraId="495E16D4" w14:textId="77777777" w:rsidR="00526509" w:rsidRDefault="00526509" w:rsidP="00C13605">
      <w:pPr>
        <w:spacing w:after="0" w:line="360" w:lineRule="auto"/>
        <w:jc w:val="both"/>
        <w:rPr>
          <w:rFonts w:ascii="Times New Roman" w:hAnsi="Times New Roman" w:cs="Times New Roman"/>
          <w:sz w:val="20"/>
          <w:szCs w:val="20"/>
        </w:rPr>
      </w:pPr>
    </w:p>
    <w:p w14:paraId="35F5861B" w14:textId="07842264" w:rsidR="008D4688" w:rsidRPr="008D4688" w:rsidRDefault="008D4688" w:rsidP="008D4688">
      <w:pPr>
        <w:spacing w:before="92"/>
        <w:ind w:left="2253"/>
        <w:rPr>
          <w:rFonts w:ascii="Times New Roman" w:hAnsi="Times New Roman" w:cs="Times New Roman"/>
          <w:sz w:val="18"/>
        </w:rPr>
      </w:pPr>
      <w:r w:rsidRPr="008D4688">
        <w:rPr>
          <w:rFonts w:ascii="Times New Roman" w:hAnsi="Times New Roman" w:cs="Times New Roman"/>
          <w:b/>
          <w:color w:val="006FC0"/>
          <w:sz w:val="18"/>
        </w:rPr>
        <w:t xml:space="preserve">Table 3: </w:t>
      </w:r>
      <w:r w:rsidRPr="008D4688">
        <w:rPr>
          <w:rFonts w:ascii="Times New Roman" w:hAnsi="Times New Roman" w:cs="Times New Roman"/>
          <w:sz w:val="18"/>
        </w:rPr>
        <w:t xml:space="preserve">Detailed evaluation results of MoGAPI and </w:t>
      </w:r>
      <w:proofErr w:type="spellStart"/>
      <w:r w:rsidRPr="008D4688">
        <w:rPr>
          <w:rFonts w:ascii="Times New Roman" w:hAnsi="Times New Roman" w:cs="Times New Roman"/>
          <w:sz w:val="18"/>
        </w:rPr>
        <w:t>ComplexMoGAPI</w:t>
      </w:r>
      <w:proofErr w:type="spellEnd"/>
      <w:r w:rsidRPr="008D4688">
        <w:rPr>
          <w:rFonts w:ascii="Times New Roman" w:hAnsi="Times New Roman" w:cs="Times New Roman"/>
          <w:sz w:val="18"/>
        </w:rPr>
        <w:t xml:space="preserve"> for our method</w:t>
      </w:r>
      <w:r w:rsidR="00743885">
        <w:rPr>
          <w:rFonts w:ascii="Times New Roman" w:hAnsi="Times New Roman" w:cs="Times New Roman"/>
          <w:sz w:val="18"/>
        </w:rPr>
        <w:t>.</w:t>
      </w:r>
    </w:p>
    <w:p w14:paraId="49856F3A" w14:textId="77777777" w:rsidR="00BD2C2A" w:rsidRDefault="00BD2C2A" w:rsidP="00C13605">
      <w:pPr>
        <w:spacing w:after="0" w:line="360" w:lineRule="auto"/>
        <w:jc w:val="both"/>
        <w:rPr>
          <w:rFonts w:ascii="Times New Roman" w:hAnsi="Times New Roman" w:cs="Times New Roman"/>
          <w:sz w:val="20"/>
          <w:szCs w:val="20"/>
        </w:rPr>
      </w:pPr>
    </w:p>
    <w:p w14:paraId="3141B04F" w14:textId="28D7AD3F" w:rsidR="00BD2C2A" w:rsidRPr="00C13605" w:rsidRDefault="00BD2C2A" w:rsidP="00BD2C2A">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15DD40D" wp14:editId="27FFA187">
            <wp:extent cx="2505075" cy="1890582"/>
            <wp:effectExtent l="0" t="0" r="0" b="0"/>
            <wp:docPr id="16413712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2928" cy="1904055"/>
                    </a:xfrm>
                    <a:prstGeom prst="rect">
                      <a:avLst/>
                    </a:prstGeom>
                    <a:noFill/>
                    <a:ln>
                      <a:noFill/>
                    </a:ln>
                  </pic:spPr>
                </pic:pic>
              </a:graphicData>
            </a:graphic>
          </wp:inline>
        </w:drawing>
      </w:r>
    </w:p>
    <w:p w14:paraId="1FFDD38A" w14:textId="77777777" w:rsidR="00C13605" w:rsidRPr="00C13605" w:rsidRDefault="00C13605" w:rsidP="00C13605">
      <w:pPr>
        <w:spacing w:after="0" w:line="360" w:lineRule="auto"/>
        <w:jc w:val="both"/>
        <w:rPr>
          <w:rFonts w:ascii="Times New Roman" w:hAnsi="Times New Roman" w:cs="Times New Roman"/>
          <w:sz w:val="20"/>
          <w:szCs w:val="20"/>
        </w:rPr>
      </w:pPr>
    </w:p>
    <w:p w14:paraId="69274704" w14:textId="77777777" w:rsidR="00311A22" w:rsidRDefault="00311A22" w:rsidP="00311A22">
      <w:pPr>
        <w:spacing w:after="0" w:line="360" w:lineRule="auto"/>
        <w:jc w:val="center"/>
        <w:rPr>
          <w:rFonts w:ascii="Times New Roman" w:hAnsi="Times New Roman"/>
          <w:b/>
          <w:color w:val="0070C0"/>
          <w:sz w:val="20"/>
          <w:szCs w:val="20"/>
        </w:rPr>
      </w:pPr>
      <w:r>
        <w:rPr>
          <w:rFonts w:ascii="Times New Roman" w:hAnsi="Times New Roman"/>
          <w:b/>
          <w:noProof/>
          <w:color w:val="0070C0"/>
          <w:sz w:val="20"/>
          <w:szCs w:val="20"/>
        </w:rPr>
        <w:lastRenderedPageBreak/>
        <w:drawing>
          <wp:inline distT="0" distB="0" distL="0" distR="0" wp14:anchorId="0163935B" wp14:editId="2066EF86">
            <wp:extent cx="2381250" cy="1938836"/>
            <wp:effectExtent l="0" t="0" r="0" b="4445"/>
            <wp:docPr id="11579926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8341" cy="1952751"/>
                    </a:xfrm>
                    <a:prstGeom prst="rect">
                      <a:avLst/>
                    </a:prstGeom>
                    <a:noFill/>
                    <a:ln>
                      <a:noFill/>
                    </a:ln>
                  </pic:spPr>
                </pic:pic>
              </a:graphicData>
            </a:graphic>
          </wp:inline>
        </w:drawing>
      </w:r>
    </w:p>
    <w:p w14:paraId="79B86D9A" w14:textId="77777777" w:rsidR="00311A22" w:rsidRDefault="00311A22" w:rsidP="00C13605">
      <w:pPr>
        <w:spacing w:after="0" w:line="360" w:lineRule="auto"/>
        <w:jc w:val="both"/>
        <w:rPr>
          <w:rFonts w:ascii="Times New Roman" w:hAnsi="Times New Roman"/>
          <w:b/>
          <w:color w:val="0070C0"/>
          <w:sz w:val="20"/>
          <w:szCs w:val="20"/>
        </w:rPr>
      </w:pPr>
    </w:p>
    <w:p w14:paraId="555AE71C" w14:textId="6E44710B" w:rsidR="00311A22" w:rsidRPr="00822005" w:rsidRDefault="00311A22" w:rsidP="00822005">
      <w:pPr>
        <w:spacing w:after="0" w:line="360" w:lineRule="auto"/>
        <w:jc w:val="center"/>
        <w:rPr>
          <w:rFonts w:ascii="Times New Roman" w:hAnsi="Times New Roman"/>
          <w:sz w:val="18"/>
          <w:szCs w:val="18"/>
        </w:rPr>
      </w:pPr>
      <w:r w:rsidRPr="00822005">
        <w:rPr>
          <w:rFonts w:ascii="Times New Roman" w:hAnsi="Times New Roman"/>
          <w:b/>
          <w:color w:val="0070C0"/>
          <w:sz w:val="18"/>
          <w:szCs w:val="18"/>
        </w:rPr>
        <w:t>Figure 1</w:t>
      </w:r>
      <w:r w:rsidR="00822005" w:rsidRPr="00822005">
        <w:rPr>
          <w:rFonts w:ascii="Times New Roman" w:hAnsi="Times New Roman"/>
          <w:b/>
          <w:color w:val="0070C0"/>
          <w:sz w:val="18"/>
          <w:szCs w:val="18"/>
        </w:rPr>
        <w:t>:</w:t>
      </w:r>
      <w:r w:rsidRPr="00822005">
        <w:rPr>
          <w:rFonts w:ascii="Times New Roman" w:hAnsi="Times New Roman"/>
          <w:sz w:val="18"/>
          <w:szCs w:val="18"/>
        </w:rPr>
        <w:t xml:space="preserve"> Pictograms of MoGAPI (a) and </w:t>
      </w:r>
      <w:proofErr w:type="spellStart"/>
      <w:r w:rsidRPr="00822005">
        <w:rPr>
          <w:rFonts w:ascii="Times New Roman" w:hAnsi="Times New Roman"/>
          <w:sz w:val="18"/>
          <w:szCs w:val="18"/>
        </w:rPr>
        <w:t>ComplexMoGAPI</w:t>
      </w:r>
      <w:proofErr w:type="spellEnd"/>
      <w:r w:rsidRPr="00822005">
        <w:rPr>
          <w:rFonts w:ascii="Times New Roman" w:hAnsi="Times New Roman"/>
          <w:sz w:val="18"/>
          <w:szCs w:val="18"/>
        </w:rPr>
        <w:t xml:space="preserve"> (b) showing the assessment scores for the analytical method developed.</w:t>
      </w:r>
    </w:p>
    <w:p w14:paraId="05195A0E" w14:textId="77777777" w:rsidR="00822005" w:rsidRPr="00D9599E" w:rsidRDefault="00822005" w:rsidP="00311A22">
      <w:pPr>
        <w:jc w:val="both"/>
        <w:rPr>
          <w:rFonts w:ascii="Times New Roman" w:hAnsi="Times New Roman"/>
          <w:sz w:val="28"/>
          <w:szCs w:val="24"/>
        </w:rPr>
      </w:pPr>
    </w:p>
    <w:p w14:paraId="67A9224F" w14:textId="1BFB581C" w:rsidR="00C13605" w:rsidRPr="002B4D22" w:rsidRDefault="00C13605" w:rsidP="00C13605">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Blue applicability grade index (BAGI)</w:t>
      </w:r>
    </w:p>
    <w:p w14:paraId="5E960DFC"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Blue Applicability Grade Index (BAGI) serves as a tool for assessing the practicality of an analytical method [18]. BAGI evaluates ten main attributes to generate a pictogram and a score that reflects the applicability and practicality of the method. The main attributes considered in BAGI include type of analysis, number of analytes determined simultaneously, analytical technique, number of samples treated simultaneously, sample preparation, number of samples </w:t>
      </w:r>
      <w:proofErr w:type="spellStart"/>
      <w:r w:rsidRPr="00C13605">
        <w:rPr>
          <w:rFonts w:ascii="Times New Roman" w:hAnsi="Times New Roman" w:cs="Times New Roman"/>
          <w:sz w:val="20"/>
          <w:szCs w:val="20"/>
        </w:rPr>
        <w:t>analysed</w:t>
      </w:r>
      <w:proofErr w:type="spellEnd"/>
      <w:r w:rsidRPr="00C13605">
        <w:rPr>
          <w:rFonts w:ascii="Times New Roman" w:hAnsi="Times New Roman" w:cs="Times New Roman"/>
          <w:sz w:val="20"/>
          <w:szCs w:val="20"/>
        </w:rPr>
        <w:t xml:space="preserve"> per hour, type of reagents and materials, preconcentration, degree of automation, and amount of sample. A total score of 60 or above is classified as “practical”.</w:t>
      </w:r>
    </w:p>
    <w:p w14:paraId="3DA35BDB" w14:textId="77777777" w:rsidR="00C13605" w:rsidRPr="00C13605" w:rsidRDefault="00C13605" w:rsidP="00C13605">
      <w:pPr>
        <w:spacing w:after="0" w:line="360" w:lineRule="auto"/>
        <w:jc w:val="both"/>
        <w:rPr>
          <w:rFonts w:ascii="Times New Roman" w:hAnsi="Times New Roman" w:cs="Times New Roman"/>
          <w:sz w:val="20"/>
          <w:szCs w:val="20"/>
        </w:rPr>
      </w:pPr>
    </w:p>
    <w:p w14:paraId="3F07BC32" w14:textId="5BB7B80F"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In our assessment, a BAGI score of 77.5 points was attained, </w:t>
      </w:r>
      <w:proofErr w:type="spellStart"/>
      <w:r w:rsidRPr="00C13605">
        <w:rPr>
          <w:rFonts w:ascii="Times New Roman" w:hAnsi="Times New Roman" w:cs="Times New Roman"/>
          <w:sz w:val="20"/>
          <w:szCs w:val="20"/>
        </w:rPr>
        <w:t>categorising</w:t>
      </w:r>
      <w:proofErr w:type="spellEnd"/>
      <w:r w:rsidRPr="00C13605">
        <w:rPr>
          <w:rFonts w:ascii="Times New Roman" w:hAnsi="Times New Roman" w:cs="Times New Roman"/>
          <w:sz w:val="20"/>
          <w:szCs w:val="20"/>
        </w:rPr>
        <w:t xml:space="preserve"> our method as practical. The associated pictogram displaying the evaluation scores is depicted in </w:t>
      </w:r>
      <w:r w:rsidR="002B4D22">
        <w:rPr>
          <w:rFonts w:ascii="Times New Roman" w:hAnsi="Times New Roman" w:cs="Times New Roman"/>
          <w:sz w:val="20"/>
          <w:szCs w:val="20"/>
        </w:rPr>
        <w:t>f</w:t>
      </w:r>
      <w:r w:rsidRPr="00C13605">
        <w:rPr>
          <w:rFonts w:ascii="Times New Roman" w:hAnsi="Times New Roman" w:cs="Times New Roman"/>
          <w:sz w:val="20"/>
          <w:szCs w:val="20"/>
        </w:rPr>
        <w:t xml:space="preserve">igure 2. A detailed evaluation of each attribute within the BAGI is presented in </w:t>
      </w:r>
      <w:r w:rsidR="002B4D22">
        <w:rPr>
          <w:rFonts w:ascii="Times New Roman" w:hAnsi="Times New Roman" w:cs="Times New Roman"/>
          <w:sz w:val="20"/>
          <w:szCs w:val="20"/>
        </w:rPr>
        <w:t>t</w:t>
      </w:r>
      <w:r w:rsidRPr="00C13605">
        <w:rPr>
          <w:rFonts w:ascii="Times New Roman" w:hAnsi="Times New Roman" w:cs="Times New Roman"/>
          <w:sz w:val="20"/>
          <w:szCs w:val="20"/>
        </w:rPr>
        <w:t xml:space="preserve">able </w:t>
      </w:r>
      <w:r w:rsidRPr="00BD2C2A">
        <w:rPr>
          <w:rFonts w:ascii="Times New Roman" w:hAnsi="Times New Roman" w:cs="Times New Roman"/>
          <w:bCs/>
          <w:sz w:val="20"/>
          <w:szCs w:val="20"/>
        </w:rPr>
        <w:t>4</w:t>
      </w:r>
      <w:r w:rsidRPr="00C13605">
        <w:rPr>
          <w:rFonts w:ascii="Times New Roman" w:hAnsi="Times New Roman" w:cs="Times New Roman"/>
          <w:sz w:val="20"/>
          <w:szCs w:val="20"/>
        </w:rPr>
        <w:t>.</w:t>
      </w:r>
    </w:p>
    <w:p w14:paraId="3014B004" w14:textId="77777777" w:rsidR="002305DB" w:rsidRDefault="002305DB" w:rsidP="00C13605">
      <w:pPr>
        <w:spacing w:after="0" w:line="360" w:lineRule="auto"/>
        <w:jc w:val="both"/>
        <w:rPr>
          <w:rFonts w:ascii="Times New Roman" w:hAnsi="Times New Roman" w:cs="Times New Roman"/>
          <w:sz w:val="20"/>
          <w:szCs w:val="20"/>
        </w:rPr>
      </w:pPr>
    </w:p>
    <w:p w14:paraId="57860624" w14:textId="77777777" w:rsidR="00B4556D" w:rsidRDefault="00B4556D" w:rsidP="002305DB">
      <w:pPr>
        <w:jc w:val="center"/>
        <w:rPr>
          <w:rFonts w:ascii="Times New Roman" w:hAnsi="Times New Roman"/>
          <w:sz w:val="18"/>
          <w:szCs w:val="18"/>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1"/>
        <w:gridCol w:w="6378"/>
      </w:tblGrid>
      <w:tr w:rsidR="006B0A0D" w:rsidRPr="00AB1481" w14:paraId="10FCF789" w14:textId="77777777" w:rsidTr="00D524BF">
        <w:trPr>
          <w:trHeight w:val="397"/>
        </w:trPr>
        <w:tc>
          <w:tcPr>
            <w:tcW w:w="3041" w:type="dxa"/>
            <w:vAlign w:val="center"/>
          </w:tcPr>
          <w:p w14:paraId="3E360C44" w14:textId="77777777" w:rsidR="006B0A0D" w:rsidRPr="006B0A0D" w:rsidRDefault="006B0A0D" w:rsidP="00D524BF">
            <w:pPr>
              <w:pStyle w:val="TableParagraph"/>
              <w:rPr>
                <w:rFonts w:ascii="Times New Roman" w:hAnsi="Times New Roman" w:cs="Times New Roman"/>
                <w:b/>
                <w:sz w:val="20"/>
              </w:rPr>
            </w:pPr>
            <w:r w:rsidRPr="006B0A0D">
              <w:rPr>
                <w:rFonts w:ascii="Times New Roman" w:hAnsi="Times New Roman" w:cs="Times New Roman"/>
                <w:b/>
                <w:sz w:val="20"/>
              </w:rPr>
              <w:t>Criterion</w:t>
            </w:r>
          </w:p>
        </w:tc>
        <w:tc>
          <w:tcPr>
            <w:tcW w:w="6378" w:type="dxa"/>
            <w:vAlign w:val="center"/>
          </w:tcPr>
          <w:p w14:paraId="3A816498" w14:textId="77777777" w:rsidR="006B0A0D" w:rsidRPr="006B0A0D" w:rsidRDefault="006B0A0D" w:rsidP="00D524BF">
            <w:pPr>
              <w:pStyle w:val="TableParagraph"/>
              <w:ind w:right="282"/>
              <w:rPr>
                <w:rFonts w:ascii="Times New Roman" w:hAnsi="Times New Roman" w:cs="Times New Roman"/>
                <w:b/>
                <w:sz w:val="20"/>
              </w:rPr>
            </w:pPr>
            <w:r w:rsidRPr="006B0A0D">
              <w:rPr>
                <w:rFonts w:ascii="Times New Roman" w:hAnsi="Times New Roman" w:cs="Times New Roman"/>
                <w:b/>
                <w:sz w:val="20"/>
              </w:rPr>
              <w:t>Evaluation details in the BAGI pictograms</w:t>
            </w:r>
          </w:p>
        </w:tc>
      </w:tr>
      <w:tr w:rsidR="006B0A0D" w:rsidRPr="00AB1481" w14:paraId="66C51395" w14:textId="77777777" w:rsidTr="00D524BF">
        <w:trPr>
          <w:trHeight w:val="397"/>
        </w:trPr>
        <w:tc>
          <w:tcPr>
            <w:tcW w:w="3041" w:type="dxa"/>
            <w:vAlign w:val="center"/>
          </w:tcPr>
          <w:p w14:paraId="53B0EDDA" w14:textId="77777777" w:rsidR="006B0A0D" w:rsidRPr="006B0A0D" w:rsidRDefault="006B0A0D" w:rsidP="00D524BF">
            <w:pPr>
              <w:pStyle w:val="TableParagraph"/>
              <w:rPr>
                <w:rFonts w:ascii="Times New Roman" w:hAnsi="Times New Roman" w:cs="Times New Roman"/>
                <w:sz w:val="20"/>
              </w:rPr>
            </w:pPr>
            <w:r w:rsidRPr="006B0A0D">
              <w:rPr>
                <w:rFonts w:ascii="Times New Roman" w:hAnsi="Times New Roman" w:cs="Times New Roman"/>
                <w:sz w:val="20"/>
                <w:szCs w:val="24"/>
              </w:rPr>
              <w:t>1. Type of analysis</w:t>
            </w:r>
          </w:p>
        </w:tc>
        <w:tc>
          <w:tcPr>
            <w:tcW w:w="6378" w:type="dxa"/>
            <w:vAlign w:val="center"/>
          </w:tcPr>
          <w:p w14:paraId="45A1AF0B" w14:textId="77777777" w:rsidR="006B0A0D" w:rsidRPr="006B0A0D" w:rsidRDefault="006B0A0D" w:rsidP="00D524BF">
            <w:pPr>
              <w:pStyle w:val="TableParagraph"/>
              <w:ind w:right="282"/>
              <w:rPr>
                <w:rFonts w:ascii="Times New Roman" w:hAnsi="Times New Roman" w:cs="Times New Roman"/>
                <w:sz w:val="20"/>
              </w:rPr>
            </w:pPr>
            <w:r w:rsidRPr="006B0A0D">
              <w:rPr>
                <w:rFonts w:ascii="Times New Roman" w:hAnsi="Times New Roman" w:cs="Times New Roman"/>
                <w:sz w:val="20"/>
              </w:rPr>
              <w:t>Quantitative and confirmatory</w:t>
            </w:r>
          </w:p>
        </w:tc>
      </w:tr>
      <w:tr w:rsidR="006B0A0D" w:rsidRPr="00AB1481" w14:paraId="7E1AEBCE" w14:textId="77777777" w:rsidTr="00D524BF">
        <w:trPr>
          <w:trHeight w:val="397"/>
        </w:trPr>
        <w:tc>
          <w:tcPr>
            <w:tcW w:w="3041" w:type="dxa"/>
            <w:vAlign w:val="center"/>
          </w:tcPr>
          <w:p w14:paraId="318D2C1F" w14:textId="77777777" w:rsidR="006B0A0D" w:rsidRPr="006B0A0D" w:rsidRDefault="006B0A0D" w:rsidP="00D524BF">
            <w:pPr>
              <w:pStyle w:val="TableParagraph"/>
              <w:spacing w:line="230" w:lineRule="atLeast"/>
              <w:rPr>
                <w:rFonts w:ascii="Times New Roman" w:hAnsi="Times New Roman" w:cs="Times New Roman"/>
                <w:sz w:val="20"/>
              </w:rPr>
            </w:pPr>
            <w:r w:rsidRPr="006B0A0D">
              <w:rPr>
                <w:rFonts w:ascii="Times New Roman" w:hAnsi="Times New Roman" w:cs="Times New Roman"/>
                <w:sz w:val="20"/>
                <w:szCs w:val="24"/>
              </w:rPr>
              <w:t>2. Multi- or single-element analysis</w:t>
            </w:r>
          </w:p>
        </w:tc>
        <w:tc>
          <w:tcPr>
            <w:tcW w:w="6378" w:type="dxa"/>
            <w:vAlign w:val="center"/>
          </w:tcPr>
          <w:p w14:paraId="0FE277CF" w14:textId="77777777" w:rsidR="006B0A0D" w:rsidRPr="006B0A0D" w:rsidRDefault="006B0A0D" w:rsidP="00D524BF">
            <w:pPr>
              <w:pStyle w:val="TableParagraph"/>
              <w:spacing w:line="230" w:lineRule="atLeast"/>
              <w:ind w:right="195"/>
              <w:rPr>
                <w:rFonts w:ascii="Times New Roman" w:hAnsi="Times New Roman" w:cs="Times New Roman"/>
                <w:sz w:val="20"/>
              </w:rPr>
            </w:pPr>
            <w:r w:rsidRPr="006B0A0D">
              <w:rPr>
                <w:rFonts w:ascii="Times New Roman" w:hAnsi="Times New Roman" w:cs="Times New Roman"/>
                <w:sz w:val="20"/>
              </w:rPr>
              <w:t>Multi-element analysis for 6-15 compounds of the same chemical class or 2-15 compounds of different chemical classes</w:t>
            </w:r>
          </w:p>
        </w:tc>
      </w:tr>
      <w:tr w:rsidR="006B0A0D" w:rsidRPr="00AB1481" w14:paraId="7460208E" w14:textId="77777777" w:rsidTr="00D524BF">
        <w:trPr>
          <w:trHeight w:val="397"/>
        </w:trPr>
        <w:tc>
          <w:tcPr>
            <w:tcW w:w="3041" w:type="dxa"/>
            <w:vAlign w:val="center"/>
          </w:tcPr>
          <w:p w14:paraId="69D53319" w14:textId="77777777" w:rsidR="006B0A0D" w:rsidRPr="006B0A0D" w:rsidRDefault="006B0A0D" w:rsidP="00D524BF">
            <w:pPr>
              <w:pStyle w:val="TableParagraph"/>
              <w:spacing w:before="115"/>
              <w:rPr>
                <w:rFonts w:ascii="Times New Roman" w:hAnsi="Times New Roman" w:cs="Times New Roman"/>
                <w:sz w:val="20"/>
              </w:rPr>
            </w:pPr>
            <w:r w:rsidRPr="006B0A0D">
              <w:rPr>
                <w:rFonts w:ascii="Times New Roman" w:hAnsi="Times New Roman" w:cs="Times New Roman"/>
                <w:sz w:val="20"/>
                <w:szCs w:val="24"/>
              </w:rPr>
              <w:t>3. Analytical technique</w:t>
            </w:r>
          </w:p>
        </w:tc>
        <w:tc>
          <w:tcPr>
            <w:tcW w:w="6378" w:type="dxa"/>
            <w:vAlign w:val="center"/>
          </w:tcPr>
          <w:p w14:paraId="33162A43" w14:textId="77777777" w:rsidR="006B0A0D" w:rsidRPr="006B0A0D" w:rsidRDefault="006B0A0D" w:rsidP="00D524BF">
            <w:pPr>
              <w:pStyle w:val="TableParagraph"/>
              <w:spacing w:line="230" w:lineRule="atLeast"/>
              <w:ind w:right="127"/>
              <w:rPr>
                <w:rFonts w:ascii="Times New Roman" w:hAnsi="Times New Roman" w:cs="Times New Roman"/>
                <w:sz w:val="20"/>
              </w:rPr>
            </w:pPr>
            <w:r w:rsidRPr="006B0A0D">
              <w:rPr>
                <w:rFonts w:ascii="Times New Roman" w:hAnsi="Times New Roman" w:cs="Times New Roman"/>
                <w:sz w:val="20"/>
              </w:rPr>
              <w:t>Sophisticated instrumentation (LC-MS, GC-MS, ICP-MS, homemade interfaces, homemade automatic systems, etc.)</w:t>
            </w:r>
          </w:p>
        </w:tc>
      </w:tr>
      <w:tr w:rsidR="006B0A0D" w:rsidRPr="00AB1481" w14:paraId="62734B29" w14:textId="77777777" w:rsidTr="00D524BF">
        <w:trPr>
          <w:trHeight w:val="397"/>
        </w:trPr>
        <w:tc>
          <w:tcPr>
            <w:tcW w:w="3041" w:type="dxa"/>
            <w:vAlign w:val="center"/>
          </w:tcPr>
          <w:p w14:paraId="26CDEE16" w14:textId="77777777" w:rsidR="006B0A0D" w:rsidRPr="006B0A0D" w:rsidRDefault="006B0A0D" w:rsidP="00D524BF">
            <w:pPr>
              <w:pStyle w:val="TableParagraph"/>
              <w:spacing w:before="3" w:line="230" w:lineRule="exact"/>
              <w:rPr>
                <w:rFonts w:ascii="Times New Roman" w:hAnsi="Times New Roman" w:cs="Times New Roman"/>
                <w:sz w:val="20"/>
              </w:rPr>
            </w:pPr>
            <w:r w:rsidRPr="006B0A0D">
              <w:rPr>
                <w:rFonts w:ascii="Times New Roman" w:hAnsi="Times New Roman" w:cs="Times New Roman"/>
                <w:sz w:val="20"/>
                <w:szCs w:val="24"/>
              </w:rPr>
              <w:t>4. Simultaneous sample preparation</w:t>
            </w:r>
          </w:p>
        </w:tc>
        <w:tc>
          <w:tcPr>
            <w:tcW w:w="6378" w:type="dxa"/>
          </w:tcPr>
          <w:p w14:paraId="45337744" w14:textId="77777777" w:rsidR="006B0A0D" w:rsidRPr="006B0A0D" w:rsidRDefault="006B0A0D" w:rsidP="00D524BF">
            <w:pPr>
              <w:pStyle w:val="TableParagraph"/>
              <w:spacing w:before="114"/>
              <w:ind w:right="280"/>
              <w:rPr>
                <w:rFonts w:ascii="Times New Roman" w:hAnsi="Times New Roman" w:cs="Times New Roman"/>
                <w:sz w:val="20"/>
              </w:rPr>
            </w:pPr>
            <w:r w:rsidRPr="006B0A0D">
              <w:rPr>
                <w:rFonts w:ascii="Times New Roman" w:hAnsi="Times New Roman" w:cs="Times New Roman"/>
                <w:sz w:val="20"/>
              </w:rPr>
              <w:t>13-95</w:t>
            </w:r>
          </w:p>
        </w:tc>
      </w:tr>
      <w:tr w:rsidR="006B0A0D" w:rsidRPr="00AB1481" w14:paraId="1DAEAE86" w14:textId="77777777" w:rsidTr="00D524BF">
        <w:trPr>
          <w:trHeight w:val="397"/>
        </w:trPr>
        <w:tc>
          <w:tcPr>
            <w:tcW w:w="3041" w:type="dxa"/>
            <w:vAlign w:val="center"/>
          </w:tcPr>
          <w:p w14:paraId="7C174D77" w14:textId="77777777" w:rsidR="006B0A0D" w:rsidRPr="006B0A0D" w:rsidRDefault="006B0A0D" w:rsidP="00D524BF">
            <w:pPr>
              <w:pStyle w:val="TableParagraph"/>
              <w:spacing w:before="31"/>
              <w:rPr>
                <w:rFonts w:ascii="Times New Roman" w:hAnsi="Times New Roman" w:cs="Times New Roman"/>
                <w:sz w:val="20"/>
              </w:rPr>
            </w:pPr>
            <w:r w:rsidRPr="006B0A0D">
              <w:rPr>
                <w:rFonts w:ascii="Times New Roman" w:hAnsi="Times New Roman" w:cs="Times New Roman"/>
                <w:sz w:val="20"/>
                <w:szCs w:val="24"/>
              </w:rPr>
              <w:t>5. Sample preparation</w:t>
            </w:r>
          </w:p>
        </w:tc>
        <w:tc>
          <w:tcPr>
            <w:tcW w:w="6378" w:type="dxa"/>
            <w:vAlign w:val="center"/>
          </w:tcPr>
          <w:p w14:paraId="2503CBD0" w14:textId="77777777" w:rsidR="006B0A0D" w:rsidRPr="006B0A0D" w:rsidRDefault="006B0A0D" w:rsidP="00D524BF">
            <w:pPr>
              <w:pStyle w:val="TableParagraph"/>
              <w:spacing w:before="31"/>
              <w:ind w:right="282"/>
              <w:rPr>
                <w:rFonts w:ascii="Times New Roman" w:hAnsi="Times New Roman" w:cs="Times New Roman"/>
                <w:sz w:val="20"/>
              </w:rPr>
            </w:pPr>
            <w:r w:rsidRPr="006B0A0D">
              <w:rPr>
                <w:rFonts w:ascii="Times New Roman" w:hAnsi="Times New Roman" w:cs="Times New Roman"/>
                <w:sz w:val="20"/>
              </w:rPr>
              <w:t>Multi step sample preparation required (e.g. LLE, SPE and/or derivatization)</w:t>
            </w:r>
          </w:p>
        </w:tc>
      </w:tr>
      <w:tr w:rsidR="006B0A0D" w:rsidRPr="00AB1481" w14:paraId="65E10E67" w14:textId="77777777" w:rsidTr="00D524BF">
        <w:trPr>
          <w:trHeight w:val="397"/>
        </w:trPr>
        <w:tc>
          <w:tcPr>
            <w:tcW w:w="3041" w:type="dxa"/>
            <w:vAlign w:val="center"/>
          </w:tcPr>
          <w:p w14:paraId="516A1ADA" w14:textId="77777777" w:rsidR="006B0A0D" w:rsidRPr="006B0A0D" w:rsidRDefault="006B0A0D" w:rsidP="00D524BF">
            <w:pPr>
              <w:pStyle w:val="TableParagraph"/>
              <w:rPr>
                <w:rFonts w:ascii="Times New Roman" w:hAnsi="Times New Roman" w:cs="Times New Roman"/>
                <w:sz w:val="20"/>
              </w:rPr>
            </w:pPr>
            <w:r w:rsidRPr="006B0A0D">
              <w:rPr>
                <w:rFonts w:ascii="Times New Roman" w:hAnsi="Times New Roman" w:cs="Times New Roman"/>
                <w:sz w:val="20"/>
                <w:szCs w:val="24"/>
              </w:rPr>
              <w:t>6. Samples per h</w:t>
            </w:r>
          </w:p>
        </w:tc>
        <w:tc>
          <w:tcPr>
            <w:tcW w:w="6378" w:type="dxa"/>
            <w:vAlign w:val="center"/>
          </w:tcPr>
          <w:p w14:paraId="6E9504AB" w14:textId="77777777" w:rsidR="006B0A0D" w:rsidRPr="006B0A0D" w:rsidRDefault="006B0A0D" w:rsidP="00D524BF">
            <w:pPr>
              <w:pStyle w:val="TableParagraph"/>
              <w:ind w:right="281"/>
              <w:rPr>
                <w:rFonts w:ascii="Times New Roman" w:hAnsi="Times New Roman" w:cs="Times New Roman"/>
                <w:sz w:val="20"/>
              </w:rPr>
            </w:pPr>
            <w:r w:rsidRPr="006B0A0D">
              <w:rPr>
                <w:rFonts w:ascii="Times New Roman" w:hAnsi="Times New Roman" w:cs="Times New Roman"/>
                <w:sz w:val="20"/>
                <w:szCs w:val="24"/>
              </w:rPr>
              <w:t>5-10</w:t>
            </w:r>
          </w:p>
        </w:tc>
      </w:tr>
      <w:tr w:rsidR="006B0A0D" w:rsidRPr="00AB1481" w14:paraId="4B4FB934" w14:textId="77777777" w:rsidTr="00D524BF">
        <w:trPr>
          <w:trHeight w:val="397"/>
        </w:trPr>
        <w:tc>
          <w:tcPr>
            <w:tcW w:w="3041" w:type="dxa"/>
            <w:vAlign w:val="center"/>
          </w:tcPr>
          <w:p w14:paraId="05F2700B" w14:textId="77777777" w:rsidR="006B0A0D" w:rsidRPr="006B0A0D" w:rsidRDefault="006B0A0D" w:rsidP="00D524BF">
            <w:pPr>
              <w:pStyle w:val="TableParagraph"/>
              <w:spacing w:line="230" w:lineRule="atLeast"/>
              <w:rPr>
                <w:rFonts w:ascii="Times New Roman" w:hAnsi="Times New Roman" w:cs="Times New Roman"/>
                <w:sz w:val="20"/>
              </w:rPr>
            </w:pPr>
            <w:r w:rsidRPr="006B0A0D">
              <w:rPr>
                <w:rFonts w:ascii="Times New Roman" w:hAnsi="Times New Roman" w:cs="Times New Roman"/>
                <w:sz w:val="20"/>
                <w:szCs w:val="24"/>
              </w:rPr>
              <w:t>7. Reagents and materials</w:t>
            </w:r>
          </w:p>
        </w:tc>
        <w:tc>
          <w:tcPr>
            <w:tcW w:w="6378" w:type="dxa"/>
            <w:vAlign w:val="center"/>
          </w:tcPr>
          <w:p w14:paraId="40C11BAE" w14:textId="77777777" w:rsidR="006B0A0D" w:rsidRPr="006B0A0D" w:rsidRDefault="006B0A0D" w:rsidP="00D524BF">
            <w:pPr>
              <w:pStyle w:val="TableParagraph"/>
              <w:spacing w:line="230" w:lineRule="atLeast"/>
              <w:ind w:right="415"/>
              <w:rPr>
                <w:rFonts w:ascii="Times New Roman" w:hAnsi="Times New Roman" w:cs="Times New Roman"/>
                <w:sz w:val="20"/>
              </w:rPr>
            </w:pPr>
            <w:r w:rsidRPr="006B0A0D">
              <w:rPr>
                <w:rFonts w:ascii="Times New Roman" w:hAnsi="Times New Roman" w:cs="Times New Roman"/>
                <w:sz w:val="20"/>
              </w:rPr>
              <w:t>Common commercially available reagents (methanol, acetonitrile, HNO</w:t>
            </w:r>
            <w:r w:rsidRPr="006B0A0D">
              <w:rPr>
                <w:rFonts w:ascii="Times New Roman" w:hAnsi="Times New Roman" w:cs="Times New Roman"/>
                <w:sz w:val="20"/>
                <w:vertAlign w:val="subscript"/>
              </w:rPr>
              <w:t>3</w:t>
            </w:r>
            <w:r w:rsidRPr="006B0A0D">
              <w:rPr>
                <w:rFonts w:ascii="Times New Roman" w:hAnsi="Times New Roman" w:cs="Times New Roman"/>
                <w:sz w:val="20"/>
              </w:rPr>
              <w:t xml:space="preserve">, nitrogen or other common </w:t>
            </w:r>
            <w:proofErr w:type="gramStart"/>
            <w:r w:rsidRPr="006B0A0D">
              <w:rPr>
                <w:rFonts w:ascii="Times New Roman" w:hAnsi="Times New Roman" w:cs="Times New Roman"/>
                <w:sz w:val="20"/>
              </w:rPr>
              <w:t>gasses</w:t>
            </w:r>
            <w:proofErr w:type="gramEnd"/>
            <w:r w:rsidRPr="006B0A0D">
              <w:rPr>
                <w:rFonts w:ascii="Times New Roman" w:hAnsi="Times New Roman" w:cs="Times New Roman"/>
                <w:sz w:val="20"/>
              </w:rPr>
              <w:t>, etc.)</w:t>
            </w:r>
          </w:p>
        </w:tc>
      </w:tr>
      <w:tr w:rsidR="006B0A0D" w:rsidRPr="00AB1481" w14:paraId="37092826" w14:textId="77777777" w:rsidTr="00D524BF">
        <w:trPr>
          <w:trHeight w:val="397"/>
        </w:trPr>
        <w:tc>
          <w:tcPr>
            <w:tcW w:w="3041" w:type="dxa"/>
            <w:vAlign w:val="center"/>
          </w:tcPr>
          <w:p w14:paraId="4C80D54F" w14:textId="77777777" w:rsidR="006B0A0D" w:rsidRPr="006B0A0D" w:rsidRDefault="006B0A0D" w:rsidP="00D524BF">
            <w:pPr>
              <w:pStyle w:val="TableParagraph"/>
              <w:spacing w:before="114"/>
              <w:rPr>
                <w:rFonts w:ascii="Times New Roman" w:hAnsi="Times New Roman" w:cs="Times New Roman"/>
                <w:sz w:val="20"/>
              </w:rPr>
            </w:pPr>
            <w:r w:rsidRPr="006B0A0D">
              <w:rPr>
                <w:rFonts w:ascii="Times New Roman" w:hAnsi="Times New Roman" w:cs="Times New Roman"/>
                <w:sz w:val="20"/>
                <w:szCs w:val="24"/>
              </w:rPr>
              <w:lastRenderedPageBreak/>
              <w:t>8. Preconcentration</w:t>
            </w:r>
          </w:p>
        </w:tc>
        <w:tc>
          <w:tcPr>
            <w:tcW w:w="6378" w:type="dxa"/>
            <w:vAlign w:val="center"/>
          </w:tcPr>
          <w:p w14:paraId="0584143D" w14:textId="77777777" w:rsidR="006B0A0D" w:rsidRPr="006B0A0D" w:rsidRDefault="006B0A0D" w:rsidP="00D524BF">
            <w:pPr>
              <w:pStyle w:val="TableParagraph"/>
              <w:spacing w:before="1" w:line="230" w:lineRule="exact"/>
              <w:ind w:right="128"/>
              <w:rPr>
                <w:rFonts w:ascii="Times New Roman" w:hAnsi="Times New Roman" w:cs="Times New Roman"/>
                <w:sz w:val="20"/>
              </w:rPr>
            </w:pPr>
            <w:r w:rsidRPr="006B0A0D">
              <w:rPr>
                <w:rFonts w:ascii="Times New Roman" w:hAnsi="Times New Roman" w:cs="Times New Roman"/>
                <w:sz w:val="20"/>
              </w:rPr>
              <w:t>No preconcentration required. Required sensitivity and /or legislation criteria are met directly.</w:t>
            </w:r>
          </w:p>
        </w:tc>
      </w:tr>
      <w:tr w:rsidR="006B0A0D" w:rsidRPr="00AB1481" w14:paraId="19136FA6" w14:textId="77777777" w:rsidTr="00D524BF">
        <w:trPr>
          <w:trHeight w:val="397"/>
        </w:trPr>
        <w:tc>
          <w:tcPr>
            <w:tcW w:w="3041" w:type="dxa"/>
            <w:vAlign w:val="center"/>
          </w:tcPr>
          <w:p w14:paraId="75561849" w14:textId="77777777" w:rsidR="006B0A0D" w:rsidRPr="006B0A0D" w:rsidRDefault="006B0A0D" w:rsidP="00D524BF">
            <w:pPr>
              <w:pStyle w:val="TableParagraph"/>
              <w:spacing w:before="1" w:line="230" w:lineRule="exact"/>
              <w:rPr>
                <w:rFonts w:ascii="Times New Roman" w:hAnsi="Times New Roman" w:cs="Times New Roman"/>
                <w:sz w:val="20"/>
              </w:rPr>
            </w:pPr>
            <w:r w:rsidRPr="006B0A0D">
              <w:rPr>
                <w:rFonts w:ascii="Times New Roman" w:hAnsi="Times New Roman" w:cs="Times New Roman"/>
                <w:sz w:val="20"/>
                <w:szCs w:val="24"/>
              </w:rPr>
              <w:t>9. Degree of automation</w:t>
            </w:r>
          </w:p>
        </w:tc>
        <w:tc>
          <w:tcPr>
            <w:tcW w:w="6378" w:type="dxa"/>
          </w:tcPr>
          <w:p w14:paraId="02EEAA99" w14:textId="77777777" w:rsidR="006B0A0D" w:rsidRPr="006B0A0D" w:rsidRDefault="006B0A0D" w:rsidP="00D524BF">
            <w:pPr>
              <w:pStyle w:val="TableParagraph"/>
              <w:spacing w:before="113"/>
              <w:ind w:right="282"/>
              <w:rPr>
                <w:rFonts w:ascii="Times New Roman" w:hAnsi="Times New Roman" w:cs="Times New Roman"/>
                <w:sz w:val="20"/>
              </w:rPr>
            </w:pPr>
            <w:r w:rsidRPr="006B0A0D">
              <w:rPr>
                <w:rFonts w:ascii="Times New Roman" w:hAnsi="Times New Roman" w:cs="Times New Roman"/>
                <w:sz w:val="20"/>
              </w:rPr>
              <w:t>Semi-automated with common devices (e.g. HPLC autosampler)</w:t>
            </w:r>
          </w:p>
        </w:tc>
      </w:tr>
      <w:tr w:rsidR="006B0A0D" w:rsidRPr="00AB1481" w14:paraId="7FD5FD40" w14:textId="77777777" w:rsidTr="00D524BF">
        <w:trPr>
          <w:trHeight w:val="397"/>
        </w:trPr>
        <w:tc>
          <w:tcPr>
            <w:tcW w:w="3041" w:type="dxa"/>
            <w:vAlign w:val="center"/>
          </w:tcPr>
          <w:p w14:paraId="19AEF266" w14:textId="77777777" w:rsidR="006B0A0D" w:rsidRPr="006B0A0D" w:rsidRDefault="006B0A0D" w:rsidP="00D524BF">
            <w:pPr>
              <w:pStyle w:val="TableParagraph"/>
              <w:spacing w:before="32"/>
              <w:rPr>
                <w:rFonts w:ascii="Times New Roman" w:hAnsi="Times New Roman" w:cs="Times New Roman"/>
                <w:sz w:val="20"/>
              </w:rPr>
            </w:pPr>
            <w:r w:rsidRPr="006B0A0D">
              <w:rPr>
                <w:rFonts w:ascii="Times New Roman" w:hAnsi="Times New Roman" w:cs="Times New Roman"/>
                <w:sz w:val="20"/>
                <w:szCs w:val="24"/>
              </w:rPr>
              <w:t>10. Amount of sample</w:t>
            </w:r>
          </w:p>
        </w:tc>
        <w:tc>
          <w:tcPr>
            <w:tcW w:w="6378" w:type="dxa"/>
            <w:vAlign w:val="center"/>
          </w:tcPr>
          <w:p w14:paraId="6795FB49" w14:textId="77777777" w:rsidR="006B0A0D" w:rsidRPr="006B0A0D" w:rsidRDefault="006B0A0D" w:rsidP="00D524BF">
            <w:pPr>
              <w:pStyle w:val="TableParagraph"/>
              <w:spacing w:before="32"/>
              <w:ind w:right="282"/>
              <w:rPr>
                <w:rFonts w:ascii="Times New Roman" w:hAnsi="Times New Roman" w:cs="Times New Roman"/>
                <w:sz w:val="20"/>
              </w:rPr>
            </w:pPr>
            <w:r w:rsidRPr="006B0A0D">
              <w:rPr>
                <w:rFonts w:ascii="Times New Roman" w:hAnsi="Times New Roman" w:cs="Times New Roman"/>
                <w:sz w:val="20"/>
              </w:rPr>
              <w:t xml:space="preserve">&lt;100 </w:t>
            </w:r>
            <w:proofErr w:type="spellStart"/>
            <w:r w:rsidRPr="006B0A0D">
              <w:rPr>
                <w:rFonts w:ascii="Times New Roman" w:hAnsi="Times New Roman" w:cs="Times New Roman"/>
                <w:sz w:val="20"/>
              </w:rPr>
              <w:t>μL</w:t>
            </w:r>
            <w:proofErr w:type="spellEnd"/>
            <w:r w:rsidRPr="006B0A0D">
              <w:rPr>
                <w:rFonts w:ascii="Times New Roman" w:hAnsi="Times New Roman" w:cs="Times New Roman"/>
                <w:sz w:val="20"/>
              </w:rPr>
              <w:t xml:space="preserve"> (or mg) bioanalytical samples; &lt;10 mL (or g) food/environmental</w:t>
            </w:r>
          </w:p>
        </w:tc>
      </w:tr>
    </w:tbl>
    <w:p w14:paraId="17151489" w14:textId="77777777" w:rsidR="00454372" w:rsidRDefault="00454372" w:rsidP="002305DB">
      <w:pPr>
        <w:jc w:val="center"/>
        <w:rPr>
          <w:rFonts w:ascii="Times New Roman" w:hAnsi="Times New Roman"/>
          <w:sz w:val="18"/>
          <w:szCs w:val="18"/>
        </w:rPr>
      </w:pPr>
    </w:p>
    <w:p w14:paraId="4DD7E093" w14:textId="754C9C4C" w:rsidR="00B4556D" w:rsidRDefault="00454372" w:rsidP="002305DB">
      <w:pPr>
        <w:jc w:val="center"/>
        <w:rPr>
          <w:rFonts w:ascii="Times New Roman" w:hAnsi="Times New Roman"/>
          <w:sz w:val="18"/>
          <w:szCs w:val="18"/>
        </w:rPr>
      </w:pPr>
      <w:r w:rsidRPr="00D12018">
        <w:rPr>
          <w:rFonts w:ascii="Times New Roman" w:hAnsi="Times New Roman"/>
          <w:b/>
          <w:color w:val="0070C0"/>
          <w:sz w:val="18"/>
          <w:szCs w:val="18"/>
        </w:rPr>
        <w:t xml:space="preserve">Table 4: </w:t>
      </w:r>
      <w:r w:rsidRPr="00454372">
        <w:rPr>
          <w:rFonts w:ascii="Times New Roman" w:hAnsi="Times New Roman"/>
          <w:sz w:val="18"/>
          <w:szCs w:val="18"/>
        </w:rPr>
        <w:t>Detailed evaluation results of BAGI for our method.</w:t>
      </w:r>
    </w:p>
    <w:p w14:paraId="71D28799" w14:textId="77777777" w:rsidR="005D088D" w:rsidRDefault="005D088D" w:rsidP="002305DB">
      <w:pPr>
        <w:jc w:val="center"/>
        <w:rPr>
          <w:rFonts w:ascii="Times New Roman" w:hAnsi="Times New Roman"/>
          <w:sz w:val="18"/>
          <w:szCs w:val="18"/>
        </w:rPr>
      </w:pPr>
    </w:p>
    <w:p w14:paraId="116E359D" w14:textId="77777777" w:rsidR="005D088D" w:rsidRDefault="005D088D" w:rsidP="005D088D">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0A7D596" wp14:editId="71B9C703">
            <wp:extent cx="2070340" cy="1971098"/>
            <wp:effectExtent l="0" t="0" r="6350" b="0"/>
            <wp:docPr id="15307108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2285" cy="1982471"/>
                    </a:xfrm>
                    <a:prstGeom prst="rect">
                      <a:avLst/>
                    </a:prstGeom>
                    <a:noFill/>
                    <a:ln>
                      <a:noFill/>
                    </a:ln>
                  </pic:spPr>
                </pic:pic>
              </a:graphicData>
            </a:graphic>
          </wp:inline>
        </w:drawing>
      </w:r>
    </w:p>
    <w:p w14:paraId="4C0B82DA" w14:textId="77777777" w:rsidR="005D088D" w:rsidRDefault="005D088D" w:rsidP="005D088D">
      <w:pPr>
        <w:jc w:val="center"/>
        <w:rPr>
          <w:rFonts w:ascii="Times New Roman" w:hAnsi="Times New Roman"/>
          <w:sz w:val="18"/>
          <w:szCs w:val="18"/>
        </w:rPr>
      </w:pPr>
      <w:r w:rsidRPr="002305DB">
        <w:rPr>
          <w:rFonts w:ascii="Times New Roman" w:hAnsi="Times New Roman"/>
          <w:b/>
          <w:color w:val="0070C0"/>
          <w:sz w:val="18"/>
          <w:szCs w:val="18"/>
        </w:rPr>
        <w:t xml:space="preserve">Figure 2: </w:t>
      </w:r>
      <w:r w:rsidRPr="002305DB">
        <w:rPr>
          <w:rFonts w:ascii="Times New Roman" w:hAnsi="Times New Roman"/>
          <w:sz w:val="18"/>
          <w:szCs w:val="18"/>
        </w:rPr>
        <w:t>Pictogram of BAGI showing the assessment scores for the analytical method developed.</w:t>
      </w:r>
    </w:p>
    <w:p w14:paraId="4D74B5C5" w14:textId="77777777" w:rsidR="005D088D" w:rsidRPr="002305DB" w:rsidRDefault="005D088D" w:rsidP="002305DB">
      <w:pPr>
        <w:jc w:val="center"/>
        <w:rPr>
          <w:rFonts w:ascii="Times New Roman" w:hAnsi="Times New Roman"/>
          <w:sz w:val="18"/>
          <w:szCs w:val="18"/>
        </w:rPr>
      </w:pPr>
    </w:p>
    <w:p w14:paraId="6E372255" w14:textId="77777777" w:rsidR="00C13605" w:rsidRPr="002B4D22" w:rsidRDefault="00C13605" w:rsidP="00C13605">
      <w:pPr>
        <w:spacing w:after="0" w:line="360" w:lineRule="auto"/>
        <w:jc w:val="both"/>
        <w:rPr>
          <w:rFonts w:ascii="Times New Roman" w:hAnsi="Times New Roman"/>
          <w:b/>
          <w:color w:val="0070C0"/>
          <w:sz w:val="20"/>
          <w:szCs w:val="20"/>
        </w:rPr>
      </w:pPr>
      <w:r w:rsidRPr="002B4D22">
        <w:rPr>
          <w:rFonts w:ascii="Times New Roman" w:hAnsi="Times New Roman"/>
          <w:b/>
          <w:color w:val="0070C0"/>
          <w:sz w:val="20"/>
          <w:szCs w:val="20"/>
        </w:rPr>
        <w:t>Red analytical performance index (RAPI)</w:t>
      </w:r>
    </w:p>
    <w:p w14:paraId="542D1475"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Red Analytical Performance Index (RAPI) is a tool designed to evaluate the performance of analytical methods, </w:t>
      </w:r>
      <w:proofErr w:type="spellStart"/>
      <w:r w:rsidRPr="00C13605">
        <w:rPr>
          <w:rFonts w:ascii="Times New Roman" w:hAnsi="Times New Roman" w:cs="Times New Roman"/>
          <w:sz w:val="20"/>
          <w:szCs w:val="20"/>
        </w:rPr>
        <w:t>emphasising</w:t>
      </w:r>
      <w:proofErr w:type="spellEnd"/>
      <w:r w:rsidRPr="00C13605">
        <w:rPr>
          <w:rFonts w:ascii="Times New Roman" w:hAnsi="Times New Roman" w:cs="Times New Roman"/>
          <w:sz w:val="20"/>
          <w:szCs w:val="20"/>
        </w:rPr>
        <w:t xml:space="preserve"> factors such as accuracy, precision, sensitivity, and robustness, thereby complementing other greenness assessment tools [19]. RAPI is aligned with established validation guidelines and good laboratory practices, incorporating a variety of versatile criteria to present a comprehensive overview of performance. Additionally, it conveys information in a straightforward graphical manner.</w:t>
      </w:r>
    </w:p>
    <w:p w14:paraId="6076B6D3" w14:textId="77777777" w:rsidR="00C13605" w:rsidRPr="00C13605" w:rsidRDefault="00C13605" w:rsidP="00C13605">
      <w:pPr>
        <w:spacing w:after="0" w:line="360" w:lineRule="auto"/>
        <w:jc w:val="both"/>
        <w:rPr>
          <w:rFonts w:ascii="Times New Roman" w:hAnsi="Times New Roman" w:cs="Times New Roman"/>
          <w:sz w:val="20"/>
          <w:szCs w:val="20"/>
        </w:rPr>
      </w:pPr>
    </w:p>
    <w:p w14:paraId="4550B330" w14:textId="19DCA641"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Our method achieved an RAPI score of 82.5 points. The associated pictogram </w:t>
      </w:r>
      <w:proofErr w:type="gramStart"/>
      <w:r w:rsidRPr="00C13605">
        <w:rPr>
          <w:rFonts w:ascii="Times New Roman" w:hAnsi="Times New Roman" w:cs="Times New Roman"/>
          <w:sz w:val="20"/>
          <w:szCs w:val="20"/>
        </w:rPr>
        <w:t>illustrating</w:t>
      </w:r>
      <w:proofErr w:type="gramEnd"/>
      <w:r w:rsidRPr="00C13605">
        <w:rPr>
          <w:rFonts w:ascii="Times New Roman" w:hAnsi="Times New Roman" w:cs="Times New Roman"/>
          <w:sz w:val="20"/>
          <w:szCs w:val="20"/>
        </w:rPr>
        <w:t xml:space="preserve"> the evaluation scores is shown in </w:t>
      </w:r>
      <w:r w:rsidR="002B4D22">
        <w:rPr>
          <w:rFonts w:ascii="Times New Roman" w:hAnsi="Times New Roman" w:cs="Times New Roman"/>
          <w:sz w:val="20"/>
          <w:szCs w:val="20"/>
        </w:rPr>
        <w:t>f</w:t>
      </w:r>
      <w:r w:rsidRPr="00C13605">
        <w:rPr>
          <w:rFonts w:ascii="Times New Roman" w:hAnsi="Times New Roman" w:cs="Times New Roman"/>
          <w:sz w:val="20"/>
          <w:szCs w:val="20"/>
        </w:rPr>
        <w:t xml:space="preserve">igure 3. A detailed evaluation of each criterion within the RAPI is provided in </w:t>
      </w:r>
      <w:r w:rsidR="002B4D22">
        <w:rPr>
          <w:rFonts w:ascii="Times New Roman" w:hAnsi="Times New Roman" w:cs="Times New Roman"/>
          <w:sz w:val="20"/>
          <w:szCs w:val="20"/>
        </w:rPr>
        <w:t>t</w:t>
      </w:r>
      <w:r w:rsidRPr="00C13605">
        <w:rPr>
          <w:rFonts w:ascii="Times New Roman" w:hAnsi="Times New Roman" w:cs="Times New Roman"/>
          <w:sz w:val="20"/>
          <w:szCs w:val="20"/>
        </w:rPr>
        <w:t xml:space="preserve">able </w:t>
      </w:r>
      <w:r w:rsidRPr="009F6409">
        <w:rPr>
          <w:rFonts w:ascii="Times New Roman" w:hAnsi="Times New Roman" w:cs="Times New Roman"/>
          <w:bCs/>
          <w:sz w:val="20"/>
          <w:szCs w:val="20"/>
        </w:rPr>
        <w:t>5</w:t>
      </w:r>
      <w:r w:rsidRPr="00C13605">
        <w:rPr>
          <w:rFonts w:ascii="Times New Roman" w:hAnsi="Times New Roman" w:cs="Times New Roman"/>
          <w:sz w:val="20"/>
          <w:szCs w:val="20"/>
        </w:rPr>
        <w:t>.</w:t>
      </w:r>
    </w:p>
    <w:p w14:paraId="2CB1A1CF" w14:textId="77777777" w:rsidR="00C5539B" w:rsidRDefault="00C5539B" w:rsidP="00C13605">
      <w:pPr>
        <w:spacing w:after="0" w:line="360" w:lineRule="auto"/>
        <w:jc w:val="both"/>
        <w:rPr>
          <w:rFonts w:ascii="Times New Roman" w:hAnsi="Times New Roman" w:cs="Times New Roman"/>
          <w:sz w:val="20"/>
          <w:szCs w:val="20"/>
        </w:rPr>
      </w:pPr>
    </w:p>
    <w:tbl>
      <w:tblPr>
        <w:tblW w:w="9465"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6"/>
        <w:gridCol w:w="2288"/>
        <w:gridCol w:w="4131"/>
      </w:tblGrid>
      <w:tr w:rsidR="00C5539B" w:rsidRPr="00AB1481" w14:paraId="1D9D6F29" w14:textId="77777777" w:rsidTr="00C50F1B">
        <w:trPr>
          <w:trHeight w:val="389"/>
        </w:trPr>
        <w:tc>
          <w:tcPr>
            <w:tcW w:w="3046" w:type="dxa"/>
          </w:tcPr>
          <w:p w14:paraId="68CE80C9" w14:textId="77777777" w:rsidR="00C5539B" w:rsidRPr="00C5539B" w:rsidRDefault="00C5539B" w:rsidP="00D524BF">
            <w:pPr>
              <w:pStyle w:val="TableParagraph"/>
              <w:spacing w:before="79"/>
              <w:ind w:left="1101" w:right="1094"/>
              <w:rPr>
                <w:rFonts w:ascii="Times New Roman" w:hAnsi="Times New Roman" w:cs="Times New Roman"/>
                <w:b/>
                <w:sz w:val="20"/>
                <w:szCs w:val="20"/>
              </w:rPr>
            </w:pPr>
            <w:r w:rsidRPr="00C5539B">
              <w:rPr>
                <w:rFonts w:ascii="Times New Roman" w:hAnsi="Times New Roman" w:cs="Times New Roman"/>
                <w:b/>
                <w:sz w:val="20"/>
                <w:szCs w:val="20"/>
              </w:rPr>
              <w:t>Criterion</w:t>
            </w:r>
          </w:p>
        </w:tc>
        <w:tc>
          <w:tcPr>
            <w:tcW w:w="6419" w:type="dxa"/>
            <w:gridSpan w:val="2"/>
          </w:tcPr>
          <w:p w14:paraId="552F9614" w14:textId="77777777" w:rsidR="00C5539B" w:rsidRPr="00C5539B" w:rsidRDefault="00C5539B" w:rsidP="00D524BF">
            <w:pPr>
              <w:pStyle w:val="TableParagraph"/>
              <w:spacing w:before="79"/>
              <w:ind w:left="1399"/>
              <w:rPr>
                <w:rFonts w:ascii="Times New Roman" w:hAnsi="Times New Roman" w:cs="Times New Roman"/>
                <w:b/>
                <w:sz w:val="20"/>
                <w:szCs w:val="20"/>
              </w:rPr>
            </w:pPr>
            <w:r w:rsidRPr="00C5539B">
              <w:rPr>
                <w:rFonts w:ascii="Times New Roman" w:hAnsi="Times New Roman" w:cs="Times New Roman"/>
                <w:b/>
                <w:sz w:val="20"/>
                <w:szCs w:val="20"/>
              </w:rPr>
              <w:t>Evaluation details in the RAPI pictograms</w:t>
            </w:r>
          </w:p>
        </w:tc>
      </w:tr>
      <w:tr w:rsidR="00C5539B" w:rsidRPr="00AB1481" w14:paraId="64625630" w14:textId="77777777" w:rsidTr="00C50F1B">
        <w:trPr>
          <w:trHeight w:val="299"/>
        </w:trPr>
        <w:tc>
          <w:tcPr>
            <w:tcW w:w="3046" w:type="dxa"/>
            <w:vMerge w:val="restart"/>
          </w:tcPr>
          <w:p w14:paraId="3BBE2EF8" w14:textId="77777777" w:rsidR="00C5539B" w:rsidRPr="00C5539B" w:rsidRDefault="00C5539B" w:rsidP="00D524BF">
            <w:pPr>
              <w:pStyle w:val="TableParagraph"/>
              <w:spacing w:before="190"/>
              <w:ind w:left="988"/>
              <w:rPr>
                <w:rFonts w:ascii="Times New Roman" w:hAnsi="Times New Roman" w:cs="Times New Roman"/>
                <w:sz w:val="20"/>
                <w:szCs w:val="20"/>
              </w:rPr>
            </w:pPr>
            <w:r w:rsidRPr="00C5539B">
              <w:rPr>
                <w:rFonts w:ascii="Times New Roman" w:hAnsi="Times New Roman" w:cs="Times New Roman"/>
                <w:sz w:val="20"/>
                <w:szCs w:val="20"/>
              </w:rPr>
              <w:t>Repeatability</w:t>
            </w:r>
          </w:p>
        </w:tc>
        <w:tc>
          <w:tcPr>
            <w:tcW w:w="2288" w:type="dxa"/>
          </w:tcPr>
          <w:p w14:paraId="0A1CA6FB"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Concentration (%)</w:t>
            </w:r>
          </w:p>
        </w:tc>
        <w:tc>
          <w:tcPr>
            <w:tcW w:w="4131" w:type="dxa"/>
          </w:tcPr>
          <w:p w14:paraId="083E9838"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c ≤ 0.0001% (1 ppm)</w:t>
            </w:r>
          </w:p>
        </w:tc>
      </w:tr>
      <w:tr w:rsidR="00C5539B" w:rsidRPr="00AB1481" w14:paraId="695C7982" w14:textId="77777777" w:rsidTr="00C50F1B">
        <w:trPr>
          <w:trHeight w:val="300"/>
        </w:trPr>
        <w:tc>
          <w:tcPr>
            <w:tcW w:w="3046" w:type="dxa"/>
            <w:vMerge/>
            <w:tcBorders>
              <w:top w:val="nil"/>
            </w:tcBorders>
          </w:tcPr>
          <w:p w14:paraId="2B9151F8" w14:textId="77777777" w:rsidR="00C5539B" w:rsidRPr="00C5539B" w:rsidRDefault="00C5539B" w:rsidP="00D524BF">
            <w:pPr>
              <w:rPr>
                <w:rFonts w:ascii="Times New Roman" w:hAnsi="Times New Roman" w:cs="Times New Roman"/>
                <w:sz w:val="20"/>
                <w:szCs w:val="20"/>
              </w:rPr>
            </w:pPr>
          </w:p>
        </w:tc>
        <w:tc>
          <w:tcPr>
            <w:tcW w:w="2288" w:type="dxa"/>
          </w:tcPr>
          <w:p w14:paraId="01026B78"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RSD (%)</w:t>
            </w:r>
          </w:p>
        </w:tc>
        <w:tc>
          <w:tcPr>
            <w:tcW w:w="4131" w:type="dxa"/>
          </w:tcPr>
          <w:p w14:paraId="54E17BF0"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&lt; 4.0</w:t>
            </w:r>
          </w:p>
        </w:tc>
      </w:tr>
      <w:tr w:rsidR="00C5539B" w:rsidRPr="00AB1481" w14:paraId="40AE6355" w14:textId="77777777" w:rsidTr="00C50F1B">
        <w:trPr>
          <w:trHeight w:val="299"/>
        </w:trPr>
        <w:tc>
          <w:tcPr>
            <w:tcW w:w="3046" w:type="dxa"/>
            <w:vMerge w:val="restart"/>
          </w:tcPr>
          <w:p w14:paraId="1BAE54EF" w14:textId="77777777" w:rsidR="00C5539B" w:rsidRPr="00C5539B" w:rsidRDefault="00C5539B" w:rsidP="00D524BF">
            <w:pPr>
              <w:pStyle w:val="TableParagraph"/>
              <w:spacing w:before="190"/>
              <w:ind w:left="625"/>
              <w:rPr>
                <w:rFonts w:ascii="Times New Roman" w:hAnsi="Times New Roman" w:cs="Times New Roman"/>
                <w:sz w:val="20"/>
                <w:szCs w:val="20"/>
              </w:rPr>
            </w:pPr>
            <w:r w:rsidRPr="00C5539B">
              <w:rPr>
                <w:rFonts w:ascii="Times New Roman" w:hAnsi="Times New Roman" w:cs="Times New Roman"/>
                <w:sz w:val="20"/>
                <w:szCs w:val="20"/>
              </w:rPr>
              <w:t>Intermediate precision</w:t>
            </w:r>
          </w:p>
        </w:tc>
        <w:tc>
          <w:tcPr>
            <w:tcW w:w="2288" w:type="dxa"/>
          </w:tcPr>
          <w:p w14:paraId="09FD0D19"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Concentration (%)</w:t>
            </w:r>
          </w:p>
        </w:tc>
        <w:tc>
          <w:tcPr>
            <w:tcW w:w="4131" w:type="dxa"/>
          </w:tcPr>
          <w:p w14:paraId="4BEC3B5E"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c ≤ 0.0001% (1 ppm)</w:t>
            </w:r>
          </w:p>
        </w:tc>
      </w:tr>
      <w:tr w:rsidR="00C5539B" w:rsidRPr="00AB1481" w14:paraId="2D7B5186" w14:textId="77777777" w:rsidTr="00C50F1B">
        <w:trPr>
          <w:trHeight w:val="299"/>
        </w:trPr>
        <w:tc>
          <w:tcPr>
            <w:tcW w:w="3046" w:type="dxa"/>
            <w:vMerge/>
            <w:tcBorders>
              <w:top w:val="nil"/>
            </w:tcBorders>
          </w:tcPr>
          <w:p w14:paraId="7D259A14" w14:textId="77777777" w:rsidR="00C5539B" w:rsidRPr="00C5539B" w:rsidRDefault="00C5539B" w:rsidP="00D524BF">
            <w:pPr>
              <w:rPr>
                <w:rFonts w:ascii="Times New Roman" w:hAnsi="Times New Roman" w:cs="Times New Roman"/>
                <w:sz w:val="20"/>
                <w:szCs w:val="20"/>
              </w:rPr>
            </w:pPr>
          </w:p>
        </w:tc>
        <w:tc>
          <w:tcPr>
            <w:tcW w:w="2288" w:type="dxa"/>
          </w:tcPr>
          <w:p w14:paraId="2694E82E"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RSD (%)</w:t>
            </w:r>
          </w:p>
        </w:tc>
        <w:tc>
          <w:tcPr>
            <w:tcW w:w="4131" w:type="dxa"/>
          </w:tcPr>
          <w:p w14:paraId="399BEA61"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&lt; 8.0</w:t>
            </w:r>
          </w:p>
        </w:tc>
      </w:tr>
      <w:tr w:rsidR="00C5539B" w:rsidRPr="00AB1481" w14:paraId="32414CB8" w14:textId="77777777" w:rsidTr="00C50F1B">
        <w:trPr>
          <w:trHeight w:val="300"/>
        </w:trPr>
        <w:tc>
          <w:tcPr>
            <w:tcW w:w="3046" w:type="dxa"/>
            <w:vMerge w:val="restart"/>
          </w:tcPr>
          <w:p w14:paraId="6EF343B0" w14:textId="77777777" w:rsidR="00C5539B" w:rsidRPr="00C5539B" w:rsidRDefault="00C5539B" w:rsidP="00D524BF">
            <w:pPr>
              <w:pStyle w:val="TableParagraph"/>
              <w:spacing w:before="191"/>
              <w:ind w:left="893"/>
              <w:rPr>
                <w:rFonts w:ascii="Times New Roman" w:hAnsi="Times New Roman" w:cs="Times New Roman"/>
                <w:sz w:val="20"/>
                <w:szCs w:val="20"/>
              </w:rPr>
            </w:pPr>
            <w:r w:rsidRPr="00C5539B">
              <w:rPr>
                <w:rFonts w:ascii="Times New Roman" w:hAnsi="Times New Roman" w:cs="Times New Roman"/>
                <w:sz w:val="20"/>
                <w:szCs w:val="20"/>
              </w:rPr>
              <w:t>Reproducibility</w:t>
            </w:r>
          </w:p>
        </w:tc>
        <w:tc>
          <w:tcPr>
            <w:tcW w:w="2288" w:type="dxa"/>
          </w:tcPr>
          <w:p w14:paraId="0578B81E"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Concentration (%)</w:t>
            </w:r>
          </w:p>
        </w:tc>
        <w:tc>
          <w:tcPr>
            <w:tcW w:w="4131" w:type="dxa"/>
          </w:tcPr>
          <w:p w14:paraId="033C1013" w14:textId="77777777" w:rsidR="00C5539B" w:rsidRPr="00C5539B" w:rsidRDefault="00C5539B" w:rsidP="00D524BF">
            <w:pPr>
              <w:pStyle w:val="TableParagraph"/>
              <w:spacing w:before="30"/>
              <w:ind w:left="836" w:right="830"/>
              <w:rPr>
                <w:rFonts w:ascii="Times New Roman" w:hAnsi="Times New Roman" w:cs="Times New Roman"/>
                <w:sz w:val="20"/>
                <w:szCs w:val="20"/>
              </w:rPr>
            </w:pPr>
            <w:r w:rsidRPr="00C5539B">
              <w:rPr>
                <w:rFonts w:ascii="Times New Roman" w:hAnsi="Times New Roman" w:cs="Times New Roman"/>
                <w:sz w:val="20"/>
                <w:szCs w:val="20"/>
              </w:rPr>
              <w:t>Not applicable</w:t>
            </w:r>
            <w:r w:rsidRPr="00C5539B">
              <w:rPr>
                <w:rFonts w:ascii="Times New Roman" w:hAnsi="Times New Roman" w:cs="Times New Roman"/>
                <w:position w:val="7"/>
                <w:sz w:val="20"/>
                <w:szCs w:val="20"/>
              </w:rPr>
              <w:t>*</w:t>
            </w:r>
          </w:p>
        </w:tc>
      </w:tr>
      <w:tr w:rsidR="00C5539B" w:rsidRPr="00AB1481" w14:paraId="1D9CE935" w14:textId="77777777" w:rsidTr="00C50F1B">
        <w:trPr>
          <w:trHeight w:val="299"/>
        </w:trPr>
        <w:tc>
          <w:tcPr>
            <w:tcW w:w="3046" w:type="dxa"/>
            <w:vMerge/>
            <w:tcBorders>
              <w:top w:val="nil"/>
            </w:tcBorders>
          </w:tcPr>
          <w:p w14:paraId="0E2901F2" w14:textId="77777777" w:rsidR="00C5539B" w:rsidRPr="00C5539B" w:rsidRDefault="00C5539B" w:rsidP="00D524BF">
            <w:pPr>
              <w:rPr>
                <w:rFonts w:ascii="Times New Roman" w:hAnsi="Times New Roman" w:cs="Times New Roman"/>
                <w:sz w:val="20"/>
                <w:szCs w:val="20"/>
              </w:rPr>
            </w:pPr>
          </w:p>
        </w:tc>
        <w:tc>
          <w:tcPr>
            <w:tcW w:w="2288" w:type="dxa"/>
          </w:tcPr>
          <w:p w14:paraId="563C55E3"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RSD (%)</w:t>
            </w:r>
          </w:p>
        </w:tc>
        <w:tc>
          <w:tcPr>
            <w:tcW w:w="4131" w:type="dxa"/>
          </w:tcPr>
          <w:p w14:paraId="63B7CF69" w14:textId="77777777" w:rsidR="00C5539B" w:rsidRPr="00C5539B" w:rsidRDefault="00C5539B" w:rsidP="00D524BF">
            <w:pPr>
              <w:pStyle w:val="TableParagraph"/>
              <w:rPr>
                <w:rFonts w:ascii="Times New Roman" w:hAnsi="Times New Roman" w:cs="Times New Roman"/>
                <w:sz w:val="20"/>
                <w:szCs w:val="20"/>
              </w:rPr>
            </w:pPr>
          </w:p>
        </w:tc>
      </w:tr>
      <w:tr w:rsidR="00C5539B" w:rsidRPr="00AB1481" w14:paraId="41DB8940" w14:textId="77777777" w:rsidTr="00C50F1B">
        <w:trPr>
          <w:trHeight w:val="299"/>
        </w:trPr>
        <w:tc>
          <w:tcPr>
            <w:tcW w:w="3046" w:type="dxa"/>
            <w:vMerge w:val="restart"/>
          </w:tcPr>
          <w:p w14:paraId="27AB459C" w14:textId="77777777" w:rsidR="00C5539B" w:rsidRPr="00C5539B" w:rsidRDefault="00C5539B" w:rsidP="00D524BF">
            <w:pPr>
              <w:pStyle w:val="TableParagraph"/>
              <w:spacing w:before="190"/>
              <w:ind w:left="1101" w:right="1094"/>
              <w:rPr>
                <w:rFonts w:ascii="Times New Roman" w:hAnsi="Times New Roman" w:cs="Times New Roman"/>
                <w:sz w:val="20"/>
                <w:szCs w:val="20"/>
              </w:rPr>
            </w:pPr>
            <w:r w:rsidRPr="00C5539B">
              <w:rPr>
                <w:rFonts w:ascii="Times New Roman" w:hAnsi="Times New Roman" w:cs="Times New Roman"/>
                <w:sz w:val="20"/>
                <w:szCs w:val="20"/>
              </w:rPr>
              <w:t>Trueness</w:t>
            </w:r>
          </w:p>
        </w:tc>
        <w:tc>
          <w:tcPr>
            <w:tcW w:w="2288" w:type="dxa"/>
          </w:tcPr>
          <w:p w14:paraId="709A43B7"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Concentration (%)</w:t>
            </w:r>
          </w:p>
        </w:tc>
        <w:tc>
          <w:tcPr>
            <w:tcW w:w="4131" w:type="dxa"/>
          </w:tcPr>
          <w:p w14:paraId="6924BFB6"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c ≤ 0.0001% (1 ppm)</w:t>
            </w:r>
          </w:p>
        </w:tc>
      </w:tr>
      <w:tr w:rsidR="00C5539B" w:rsidRPr="00AB1481" w14:paraId="342176B7" w14:textId="77777777" w:rsidTr="00C50F1B">
        <w:trPr>
          <w:trHeight w:val="300"/>
        </w:trPr>
        <w:tc>
          <w:tcPr>
            <w:tcW w:w="3046" w:type="dxa"/>
            <w:vMerge/>
            <w:tcBorders>
              <w:top w:val="nil"/>
            </w:tcBorders>
          </w:tcPr>
          <w:p w14:paraId="1E2D37D1" w14:textId="77777777" w:rsidR="00C5539B" w:rsidRPr="00C5539B" w:rsidRDefault="00C5539B" w:rsidP="00D524BF">
            <w:pPr>
              <w:rPr>
                <w:rFonts w:ascii="Times New Roman" w:hAnsi="Times New Roman" w:cs="Times New Roman"/>
                <w:sz w:val="20"/>
                <w:szCs w:val="20"/>
              </w:rPr>
            </w:pPr>
          </w:p>
        </w:tc>
        <w:tc>
          <w:tcPr>
            <w:tcW w:w="2288" w:type="dxa"/>
          </w:tcPr>
          <w:p w14:paraId="47C2FF0D"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Bias/error (%)</w:t>
            </w:r>
          </w:p>
        </w:tc>
        <w:tc>
          <w:tcPr>
            <w:tcW w:w="4131" w:type="dxa"/>
          </w:tcPr>
          <w:p w14:paraId="1EBF836C"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&lt; 10.0, confirmed with CRMs</w:t>
            </w:r>
          </w:p>
        </w:tc>
      </w:tr>
      <w:tr w:rsidR="00C5539B" w:rsidRPr="00AB1481" w14:paraId="403F5687" w14:textId="77777777" w:rsidTr="00C50F1B">
        <w:trPr>
          <w:trHeight w:val="299"/>
        </w:trPr>
        <w:tc>
          <w:tcPr>
            <w:tcW w:w="3046" w:type="dxa"/>
            <w:vMerge w:val="restart"/>
          </w:tcPr>
          <w:p w14:paraId="02D411F7" w14:textId="77777777" w:rsidR="00C5539B" w:rsidRPr="00C5539B" w:rsidRDefault="00C5539B" w:rsidP="00D524BF">
            <w:pPr>
              <w:pStyle w:val="TableParagraph"/>
              <w:spacing w:before="190"/>
              <w:ind w:left="497"/>
              <w:rPr>
                <w:rFonts w:ascii="Times New Roman" w:hAnsi="Times New Roman" w:cs="Times New Roman"/>
                <w:sz w:val="20"/>
                <w:szCs w:val="20"/>
              </w:rPr>
            </w:pPr>
            <w:r w:rsidRPr="00C5539B">
              <w:rPr>
                <w:rFonts w:ascii="Times New Roman" w:hAnsi="Times New Roman" w:cs="Times New Roman"/>
                <w:sz w:val="20"/>
                <w:szCs w:val="20"/>
              </w:rPr>
              <w:t>Recovery &amp; matrix effect</w:t>
            </w:r>
          </w:p>
        </w:tc>
        <w:tc>
          <w:tcPr>
            <w:tcW w:w="2288" w:type="dxa"/>
          </w:tcPr>
          <w:p w14:paraId="1CC1EF26" w14:textId="77777777" w:rsidR="00C5539B" w:rsidRPr="00C5539B" w:rsidRDefault="00C5539B" w:rsidP="00D524BF">
            <w:pPr>
              <w:pStyle w:val="TableParagraph"/>
              <w:ind w:left="381" w:right="373"/>
              <w:rPr>
                <w:rFonts w:ascii="Times New Roman" w:hAnsi="Times New Roman" w:cs="Times New Roman"/>
                <w:sz w:val="20"/>
                <w:szCs w:val="20"/>
              </w:rPr>
            </w:pPr>
            <w:r w:rsidRPr="00C5539B">
              <w:rPr>
                <w:rFonts w:ascii="Times New Roman" w:hAnsi="Times New Roman" w:cs="Times New Roman"/>
                <w:sz w:val="20"/>
                <w:szCs w:val="20"/>
              </w:rPr>
              <w:t>Concentration (%)</w:t>
            </w:r>
          </w:p>
        </w:tc>
        <w:tc>
          <w:tcPr>
            <w:tcW w:w="4131" w:type="dxa"/>
          </w:tcPr>
          <w:p w14:paraId="5700440C"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c ≤ 0.0001% (1 ppm)</w:t>
            </w:r>
          </w:p>
        </w:tc>
      </w:tr>
      <w:tr w:rsidR="00C5539B" w:rsidRPr="00AB1481" w14:paraId="746E3E40" w14:textId="77777777" w:rsidTr="00C50F1B">
        <w:trPr>
          <w:trHeight w:val="299"/>
        </w:trPr>
        <w:tc>
          <w:tcPr>
            <w:tcW w:w="3046" w:type="dxa"/>
            <w:vMerge/>
            <w:tcBorders>
              <w:top w:val="nil"/>
            </w:tcBorders>
          </w:tcPr>
          <w:p w14:paraId="58E74E89" w14:textId="77777777" w:rsidR="00C5539B" w:rsidRPr="00C5539B" w:rsidRDefault="00C5539B" w:rsidP="00D524BF">
            <w:pPr>
              <w:rPr>
                <w:rFonts w:ascii="Times New Roman" w:hAnsi="Times New Roman" w:cs="Times New Roman"/>
                <w:sz w:val="20"/>
                <w:szCs w:val="20"/>
              </w:rPr>
            </w:pPr>
          </w:p>
        </w:tc>
        <w:tc>
          <w:tcPr>
            <w:tcW w:w="2288" w:type="dxa"/>
          </w:tcPr>
          <w:p w14:paraId="3CBCC146" w14:textId="77777777" w:rsidR="00C5539B" w:rsidRPr="00C5539B" w:rsidRDefault="00C5539B" w:rsidP="00D524BF">
            <w:pPr>
              <w:pStyle w:val="TableParagraph"/>
              <w:ind w:left="380" w:right="373"/>
              <w:rPr>
                <w:rFonts w:ascii="Times New Roman" w:hAnsi="Times New Roman" w:cs="Times New Roman"/>
                <w:sz w:val="20"/>
                <w:szCs w:val="20"/>
              </w:rPr>
            </w:pPr>
            <w:r w:rsidRPr="00C5539B">
              <w:rPr>
                <w:rFonts w:ascii="Times New Roman" w:hAnsi="Times New Roman" w:cs="Times New Roman"/>
                <w:sz w:val="20"/>
                <w:szCs w:val="20"/>
              </w:rPr>
              <w:t>Recovery (%)</w:t>
            </w:r>
          </w:p>
        </w:tc>
        <w:tc>
          <w:tcPr>
            <w:tcW w:w="4131" w:type="dxa"/>
          </w:tcPr>
          <w:p w14:paraId="304F7CA9"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&gt; 90, &lt; 107; acceptable ME</w:t>
            </w:r>
          </w:p>
        </w:tc>
      </w:tr>
      <w:tr w:rsidR="00C5539B" w:rsidRPr="00AB1481" w14:paraId="1736F44C" w14:textId="77777777" w:rsidTr="00C50F1B">
        <w:trPr>
          <w:trHeight w:val="750"/>
        </w:trPr>
        <w:tc>
          <w:tcPr>
            <w:tcW w:w="5334" w:type="dxa"/>
            <w:gridSpan w:val="2"/>
          </w:tcPr>
          <w:p w14:paraId="44571BCE" w14:textId="77777777" w:rsidR="00C5539B" w:rsidRPr="00C5539B" w:rsidRDefault="00C5539B" w:rsidP="00D524BF">
            <w:pPr>
              <w:pStyle w:val="TableParagraph"/>
              <w:spacing w:before="145"/>
              <w:ind w:left="2370" w:hanging="1966"/>
              <w:rPr>
                <w:rFonts w:ascii="Times New Roman" w:hAnsi="Times New Roman" w:cs="Times New Roman"/>
                <w:sz w:val="20"/>
                <w:szCs w:val="20"/>
              </w:rPr>
            </w:pPr>
            <w:r w:rsidRPr="00C5539B">
              <w:rPr>
                <w:rFonts w:ascii="Times New Roman" w:hAnsi="Times New Roman" w:cs="Times New Roman"/>
                <w:sz w:val="20"/>
                <w:szCs w:val="20"/>
              </w:rPr>
              <w:t>LOQ (% of expected mean analyte concentration in the matrix)</w:t>
            </w:r>
          </w:p>
        </w:tc>
        <w:tc>
          <w:tcPr>
            <w:tcW w:w="4131" w:type="dxa"/>
          </w:tcPr>
          <w:p w14:paraId="5CD27FBB" w14:textId="77777777" w:rsidR="00C5539B" w:rsidRPr="00C5539B" w:rsidRDefault="00C5539B" w:rsidP="00D524BF">
            <w:pPr>
              <w:pStyle w:val="TableParagraph"/>
              <w:spacing w:before="7"/>
              <w:rPr>
                <w:rFonts w:ascii="Times New Roman" w:hAnsi="Times New Roman" w:cs="Times New Roman"/>
                <w:sz w:val="20"/>
                <w:szCs w:val="20"/>
              </w:rPr>
            </w:pPr>
          </w:p>
          <w:p w14:paraId="127B173B" w14:textId="77777777" w:rsidR="00C5539B" w:rsidRPr="00C5539B" w:rsidRDefault="00C5539B" w:rsidP="00D524BF">
            <w:pPr>
              <w:pStyle w:val="TableParagraph"/>
              <w:ind w:left="837" w:right="830"/>
              <w:rPr>
                <w:rFonts w:ascii="Times New Roman" w:hAnsi="Times New Roman" w:cs="Times New Roman"/>
                <w:sz w:val="20"/>
                <w:szCs w:val="20"/>
              </w:rPr>
            </w:pPr>
            <w:r w:rsidRPr="00C5539B">
              <w:rPr>
                <w:rFonts w:ascii="Times New Roman" w:hAnsi="Times New Roman" w:cs="Times New Roman"/>
                <w:sz w:val="20"/>
                <w:szCs w:val="20"/>
              </w:rPr>
              <w:t>LOQ &lt; 1%</w:t>
            </w:r>
          </w:p>
        </w:tc>
      </w:tr>
      <w:tr w:rsidR="00C5539B" w:rsidRPr="00AB1481" w14:paraId="1224E816" w14:textId="77777777" w:rsidTr="00C50F1B">
        <w:trPr>
          <w:trHeight w:val="299"/>
        </w:trPr>
        <w:tc>
          <w:tcPr>
            <w:tcW w:w="5334" w:type="dxa"/>
            <w:gridSpan w:val="2"/>
          </w:tcPr>
          <w:p w14:paraId="3246D47D" w14:textId="77777777" w:rsidR="00C5539B" w:rsidRPr="00C5539B" w:rsidRDefault="00C5539B" w:rsidP="00D524BF">
            <w:pPr>
              <w:pStyle w:val="TableParagraph"/>
              <w:ind w:left="2043" w:right="2034"/>
              <w:rPr>
                <w:rFonts w:ascii="Times New Roman" w:hAnsi="Times New Roman" w:cs="Times New Roman"/>
                <w:sz w:val="20"/>
                <w:szCs w:val="20"/>
              </w:rPr>
            </w:pPr>
            <w:r w:rsidRPr="00C5539B">
              <w:rPr>
                <w:rFonts w:ascii="Times New Roman" w:hAnsi="Times New Roman" w:cs="Times New Roman"/>
                <w:sz w:val="20"/>
                <w:szCs w:val="20"/>
              </w:rPr>
              <w:t>Working range</w:t>
            </w:r>
          </w:p>
        </w:tc>
        <w:tc>
          <w:tcPr>
            <w:tcW w:w="4131" w:type="dxa"/>
          </w:tcPr>
          <w:p w14:paraId="625280D2" w14:textId="77777777" w:rsidR="00C5539B" w:rsidRPr="00C5539B" w:rsidRDefault="00C5539B" w:rsidP="00D524BF">
            <w:pPr>
              <w:pStyle w:val="TableParagraph"/>
              <w:ind w:left="836" w:right="830"/>
              <w:rPr>
                <w:rFonts w:ascii="Times New Roman" w:hAnsi="Times New Roman" w:cs="Times New Roman"/>
                <w:sz w:val="20"/>
                <w:szCs w:val="20"/>
              </w:rPr>
            </w:pPr>
            <w:r w:rsidRPr="00C5539B">
              <w:rPr>
                <w:rFonts w:ascii="Times New Roman" w:hAnsi="Times New Roman" w:cs="Times New Roman"/>
                <w:sz w:val="20"/>
                <w:szCs w:val="20"/>
              </w:rPr>
              <w:t>Wider than 100×LOQ</w:t>
            </w:r>
          </w:p>
        </w:tc>
      </w:tr>
      <w:tr w:rsidR="00C5539B" w:rsidRPr="00AB1481" w14:paraId="7899E9A7" w14:textId="77777777" w:rsidTr="00C50F1B">
        <w:trPr>
          <w:trHeight w:val="375"/>
        </w:trPr>
        <w:tc>
          <w:tcPr>
            <w:tcW w:w="5334" w:type="dxa"/>
            <w:gridSpan w:val="2"/>
          </w:tcPr>
          <w:p w14:paraId="2CE847C5" w14:textId="77777777" w:rsidR="00C5539B" w:rsidRPr="00C5539B" w:rsidRDefault="00C5539B" w:rsidP="00D524BF">
            <w:pPr>
              <w:pStyle w:val="TableParagraph"/>
              <w:spacing w:before="72"/>
              <w:ind w:left="1444"/>
              <w:rPr>
                <w:rFonts w:ascii="Times New Roman" w:hAnsi="Times New Roman" w:cs="Times New Roman"/>
                <w:sz w:val="20"/>
                <w:szCs w:val="20"/>
              </w:rPr>
            </w:pPr>
            <w:r w:rsidRPr="00C5539B">
              <w:rPr>
                <w:rFonts w:ascii="Times New Roman" w:hAnsi="Times New Roman" w:cs="Times New Roman"/>
                <w:sz w:val="20"/>
                <w:szCs w:val="20"/>
              </w:rPr>
              <w:t>Simplified linearity estimation</w:t>
            </w:r>
          </w:p>
        </w:tc>
        <w:tc>
          <w:tcPr>
            <w:tcW w:w="4131" w:type="dxa"/>
          </w:tcPr>
          <w:p w14:paraId="661617BF" w14:textId="77777777" w:rsidR="00C5539B" w:rsidRPr="00C5539B" w:rsidRDefault="00C5539B" w:rsidP="00D524BF">
            <w:pPr>
              <w:pStyle w:val="TableParagraph"/>
              <w:spacing w:before="72"/>
              <w:ind w:left="837" w:right="830"/>
              <w:rPr>
                <w:rFonts w:ascii="Times New Roman" w:hAnsi="Times New Roman" w:cs="Times New Roman"/>
                <w:sz w:val="20"/>
                <w:szCs w:val="20"/>
              </w:rPr>
            </w:pPr>
            <w:r w:rsidRPr="00C5539B">
              <w:rPr>
                <w:rFonts w:ascii="Times New Roman" w:hAnsi="Times New Roman" w:cs="Times New Roman"/>
                <w:sz w:val="20"/>
                <w:szCs w:val="20"/>
              </w:rPr>
              <w:t>R^2 &gt; 0.99</w:t>
            </w:r>
          </w:p>
        </w:tc>
      </w:tr>
      <w:tr w:rsidR="00C5539B" w:rsidRPr="00AB1481" w14:paraId="320B4ABA" w14:textId="77777777" w:rsidTr="00C50F1B">
        <w:trPr>
          <w:trHeight w:val="509"/>
        </w:trPr>
        <w:tc>
          <w:tcPr>
            <w:tcW w:w="5334" w:type="dxa"/>
            <w:gridSpan w:val="2"/>
          </w:tcPr>
          <w:p w14:paraId="43A5A1C1" w14:textId="77777777" w:rsidR="00C5539B" w:rsidRPr="00C5539B" w:rsidRDefault="00C5539B" w:rsidP="00D524BF">
            <w:pPr>
              <w:pStyle w:val="TableParagraph"/>
              <w:spacing w:before="139"/>
              <w:ind w:left="1732"/>
              <w:rPr>
                <w:rFonts w:ascii="Times New Roman" w:hAnsi="Times New Roman" w:cs="Times New Roman"/>
                <w:sz w:val="20"/>
                <w:szCs w:val="20"/>
              </w:rPr>
            </w:pPr>
            <w:r w:rsidRPr="00C5539B">
              <w:rPr>
                <w:rFonts w:ascii="Times New Roman" w:hAnsi="Times New Roman" w:cs="Times New Roman"/>
                <w:sz w:val="20"/>
                <w:szCs w:val="20"/>
              </w:rPr>
              <w:t>Ruggedness/robustness</w:t>
            </w:r>
          </w:p>
        </w:tc>
        <w:tc>
          <w:tcPr>
            <w:tcW w:w="4131" w:type="dxa"/>
          </w:tcPr>
          <w:p w14:paraId="443B4D25" w14:textId="77777777" w:rsidR="00C5539B" w:rsidRPr="00C5539B" w:rsidRDefault="00C5539B" w:rsidP="00D524BF">
            <w:pPr>
              <w:pStyle w:val="TableParagraph"/>
              <w:spacing w:before="139"/>
              <w:ind w:left="836" w:right="830"/>
              <w:rPr>
                <w:rFonts w:ascii="Times New Roman" w:hAnsi="Times New Roman" w:cs="Times New Roman"/>
                <w:sz w:val="20"/>
                <w:szCs w:val="20"/>
              </w:rPr>
            </w:pPr>
            <w:r w:rsidRPr="00C5539B">
              <w:rPr>
                <w:rFonts w:ascii="Times New Roman" w:hAnsi="Times New Roman" w:cs="Times New Roman"/>
                <w:sz w:val="20"/>
                <w:szCs w:val="20"/>
              </w:rPr>
              <w:t>Demonstrated for 2 factors</w:t>
            </w:r>
          </w:p>
        </w:tc>
      </w:tr>
      <w:tr w:rsidR="00C5539B" w:rsidRPr="00AB1481" w14:paraId="6A988E15" w14:textId="77777777" w:rsidTr="00C50F1B">
        <w:trPr>
          <w:trHeight w:val="510"/>
        </w:trPr>
        <w:tc>
          <w:tcPr>
            <w:tcW w:w="5334" w:type="dxa"/>
            <w:gridSpan w:val="2"/>
          </w:tcPr>
          <w:p w14:paraId="763E8394" w14:textId="77777777" w:rsidR="00C5539B" w:rsidRPr="00C5539B" w:rsidRDefault="00C5539B" w:rsidP="00D524BF">
            <w:pPr>
              <w:pStyle w:val="TableParagraph"/>
              <w:spacing w:before="140"/>
              <w:ind w:left="2040" w:right="2034"/>
              <w:rPr>
                <w:rFonts w:ascii="Times New Roman" w:hAnsi="Times New Roman" w:cs="Times New Roman"/>
                <w:sz w:val="20"/>
                <w:szCs w:val="20"/>
              </w:rPr>
            </w:pPr>
            <w:r w:rsidRPr="00C5539B">
              <w:rPr>
                <w:rFonts w:ascii="Times New Roman" w:hAnsi="Times New Roman" w:cs="Times New Roman"/>
                <w:sz w:val="20"/>
                <w:szCs w:val="20"/>
              </w:rPr>
              <w:t>Selectivity</w:t>
            </w:r>
          </w:p>
        </w:tc>
        <w:tc>
          <w:tcPr>
            <w:tcW w:w="4131" w:type="dxa"/>
          </w:tcPr>
          <w:p w14:paraId="574AC5F1" w14:textId="77777777" w:rsidR="00C5539B" w:rsidRPr="00C5539B" w:rsidRDefault="00C5539B" w:rsidP="00D524BF">
            <w:pPr>
              <w:pStyle w:val="TableParagraph"/>
              <w:spacing w:before="25"/>
              <w:ind w:left="1607" w:right="547" w:hanging="1036"/>
              <w:rPr>
                <w:rFonts w:ascii="Times New Roman" w:hAnsi="Times New Roman" w:cs="Times New Roman"/>
                <w:sz w:val="20"/>
                <w:szCs w:val="20"/>
              </w:rPr>
            </w:pPr>
            <w:r w:rsidRPr="00C5539B">
              <w:rPr>
                <w:rFonts w:ascii="Times New Roman" w:hAnsi="Times New Roman" w:cs="Times New Roman"/>
                <w:sz w:val="20"/>
                <w:szCs w:val="20"/>
              </w:rPr>
              <w:t>Demonstrated for 5 or more potential interferents</w:t>
            </w:r>
          </w:p>
        </w:tc>
      </w:tr>
    </w:tbl>
    <w:p w14:paraId="0A29A6BE" w14:textId="77777777" w:rsidR="00C50F1B" w:rsidRPr="00586511" w:rsidRDefault="00C50F1B" w:rsidP="00C50F1B">
      <w:pPr>
        <w:spacing w:line="360" w:lineRule="auto"/>
        <w:ind w:left="221" w:right="215"/>
        <w:jc w:val="both"/>
        <w:rPr>
          <w:rFonts w:ascii="Times New Roman" w:hAnsi="Times New Roman" w:cs="Times New Roman"/>
          <w:sz w:val="16"/>
          <w:szCs w:val="16"/>
        </w:rPr>
      </w:pPr>
      <w:r w:rsidRPr="00586511">
        <w:rPr>
          <w:rFonts w:ascii="Times New Roman" w:hAnsi="Times New Roman" w:cs="Times New Roman"/>
          <w:sz w:val="16"/>
          <w:szCs w:val="16"/>
        </w:rPr>
        <w:t>Note: *According to Appendix F: Guidelines for Standard Method Performance Requirements of Official Methods of Analysis of AOAC INTERNATIONAL (22</w:t>
      </w:r>
      <w:proofErr w:type="spellStart"/>
      <w:r w:rsidRPr="00586511">
        <w:rPr>
          <w:rFonts w:ascii="Times New Roman" w:hAnsi="Times New Roman" w:cs="Times New Roman"/>
          <w:position w:val="6"/>
          <w:sz w:val="16"/>
          <w:szCs w:val="16"/>
        </w:rPr>
        <w:t>nd</w:t>
      </w:r>
      <w:proofErr w:type="spellEnd"/>
      <w:r w:rsidRPr="00586511">
        <w:rPr>
          <w:rFonts w:ascii="Times New Roman" w:hAnsi="Times New Roman" w:cs="Times New Roman"/>
          <w:position w:val="6"/>
          <w:sz w:val="16"/>
          <w:szCs w:val="16"/>
        </w:rPr>
        <w:t xml:space="preserve"> </w:t>
      </w:r>
      <w:r w:rsidRPr="00586511">
        <w:rPr>
          <w:rFonts w:ascii="Times New Roman" w:hAnsi="Times New Roman" w:cs="Times New Roman"/>
          <w:sz w:val="16"/>
          <w:szCs w:val="16"/>
        </w:rPr>
        <w:t>edition) 27, for evaluating the reproducibility of a quantitative method, it is necessary to recruit 10-12 collaborators. It must have eight valid data sets. Two blind duplicate replicates at five concentrations for each analyte/matrix combination should be provided to each collaborator.</w:t>
      </w:r>
    </w:p>
    <w:p w14:paraId="095158A9" w14:textId="77777777" w:rsidR="007B709E" w:rsidRPr="00E83C4D" w:rsidRDefault="007B709E" w:rsidP="00C50F1B">
      <w:pPr>
        <w:spacing w:before="93"/>
        <w:ind w:left="2692"/>
        <w:jc w:val="center"/>
        <w:rPr>
          <w:rFonts w:ascii="Times New Roman" w:hAnsi="Times New Roman" w:cs="Times New Roman"/>
          <w:sz w:val="18"/>
        </w:rPr>
      </w:pPr>
      <w:r w:rsidRPr="00E83C4D">
        <w:rPr>
          <w:rFonts w:ascii="Times New Roman" w:hAnsi="Times New Roman" w:cs="Times New Roman"/>
          <w:b/>
          <w:color w:val="006FC0"/>
          <w:sz w:val="18"/>
        </w:rPr>
        <w:t xml:space="preserve">Table 5: </w:t>
      </w:r>
      <w:r w:rsidRPr="00E83C4D">
        <w:rPr>
          <w:rFonts w:ascii="Times New Roman" w:hAnsi="Times New Roman" w:cs="Times New Roman"/>
          <w:sz w:val="18"/>
        </w:rPr>
        <w:t>Evaluation results of RAPI for the reported method.</w:t>
      </w:r>
    </w:p>
    <w:p w14:paraId="6F1F0F2C" w14:textId="77777777" w:rsidR="009E2278" w:rsidRDefault="009E2278" w:rsidP="00C13605">
      <w:pPr>
        <w:spacing w:after="0" w:line="360" w:lineRule="auto"/>
        <w:jc w:val="both"/>
        <w:rPr>
          <w:rFonts w:ascii="Times New Roman" w:hAnsi="Times New Roman" w:cs="Times New Roman"/>
          <w:sz w:val="20"/>
          <w:szCs w:val="20"/>
        </w:rPr>
      </w:pPr>
    </w:p>
    <w:p w14:paraId="37D64695" w14:textId="01863D08" w:rsidR="009E2278" w:rsidRPr="00C13605" w:rsidRDefault="009E2278" w:rsidP="009E2278">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083B77C" wp14:editId="2D706619">
            <wp:extent cx="1932317" cy="1834402"/>
            <wp:effectExtent l="0" t="0" r="0" b="0"/>
            <wp:docPr id="4910922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8984" cy="1850225"/>
                    </a:xfrm>
                    <a:prstGeom prst="rect">
                      <a:avLst/>
                    </a:prstGeom>
                    <a:noFill/>
                    <a:ln>
                      <a:noFill/>
                    </a:ln>
                  </pic:spPr>
                </pic:pic>
              </a:graphicData>
            </a:graphic>
          </wp:inline>
        </w:drawing>
      </w:r>
    </w:p>
    <w:p w14:paraId="43F71FEA" w14:textId="77777777" w:rsidR="00C13605" w:rsidRPr="00C13605" w:rsidRDefault="00C13605" w:rsidP="00C13605">
      <w:pPr>
        <w:spacing w:after="0" w:line="360" w:lineRule="auto"/>
        <w:jc w:val="both"/>
        <w:rPr>
          <w:rFonts w:ascii="Times New Roman" w:hAnsi="Times New Roman" w:cs="Times New Roman"/>
          <w:sz w:val="20"/>
          <w:szCs w:val="20"/>
        </w:rPr>
      </w:pPr>
    </w:p>
    <w:p w14:paraId="37BE90C5" w14:textId="77777777" w:rsidR="009F49EF" w:rsidRDefault="009E2278" w:rsidP="009F49EF">
      <w:pPr>
        <w:jc w:val="center"/>
        <w:rPr>
          <w:rFonts w:ascii="Times New Roman" w:hAnsi="Times New Roman"/>
          <w:sz w:val="18"/>
          <w:szCs w:val="18"/>
        </w:rPr>
      </w:pPr>
      <w:r w:rsidRPr="009E2278">
        <w:rPr>
          <w:rFonts w:ascii="Times New Roman" w:hAnsi="Times New Roman"/>
          <w:b/>
          <w:color w:val="0070C0"/>
          <w:sz w:val="18"/>
          <w:szCs w:val="18"/>
        </w:rPr>
        <w:t xml:space="preserve">Figure 3: </w:t>
      </w:r>
      <w:r w:rsidRPr="009E2278">
        <w:rPr>
          <w:rFonts w:ascii="Times New Roman" w:hAnsi="Times New Roman"/>
          <w:sz w:val="18"/>
          <w:szCs w:val="18"/>
        </w:rPr>
        <w:t>Pictogram of RAPI shown the assessment scores for the analytical method developed.</w:t>
      </w:r>
    </w:p>
    <w:p w14:paraId="7A9027ED" w14:textId="53CE9889" w:rsidR="00C13605" w:rsidRPr="009F49EF" w:rsidRDefault="00C13605" w:rsidP="009F49EF">
      <w:pPr>
        <w:rPr>
          <w:rFonts w:ascii="Times New Roman" w:hAnsi="Times New Roman"/>
          <w:sz w:val="18"/>
          <w:szCs w:val="18"/>
        </w:rPr>
      </w:pPr>
      <w:r w:rsidRPr="002B4D22">
        <w:rPr>
          <w:rFonts w:ascii="Times New Roman" w:hAnsi="Times New Roman"/>
          <w:b/>
          <w:color w:val="0070C0"/>
          <w:sz w:val="20"/>
          <w:szCs w:val="20"/>
        </w:rPr>
        <w:t>Comparison with other methods</w:t>
      </w:r>
    </w:p>
    <w:p w14:paraId="075899B9" w14:textId="6EA873BD"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Recently, a comprehensive assessment study of the greenness and practicality of a total of 16 methods for the determination of metals was conducted [26]. In this work, we compared the analytical metric scores attained by our method with those obtained by the methods reported in the assessment study. For MoGAPI, our method attained a score of 64, which was comparable to the highest score reported in the assessment study. For BAGI, our score of 77.5 did not represent the highest value found in the literature, our method was nonetheless deemed practical, significantly exceeding the threshold of 60 points which are considered to indicate good practicality. More importantly, our eco-friendly method demonstrated its wide applicability to </w:t>
      </w:r>
      <w:r w:rsidR="002E58A1" w:rsidRPr="00C13605">
        <w:rPr>
          <w:rFonts w:ascii="Times New Roman" w:hAnsi="Times New Roman" w:cs="Times New Roman"/>
          <w:sz w:val="20"/>
          <w:szCs w:val="20"/>
        </w:rPr>
        <w:t>all</w:t>
      </w:r>
      <w:r w:rsidRPr="00C13605">
        <w:rPr>
          <w:rFonts w:ascii="Times New Roman" w:hAnsi="Times New Roman" w:cs="Times New Roman"/>
          <w:sz w:val="20"/>
          <w:szCs w:val="20"/>
        </w:rPr>
        <w:t xml:space="preserve"> the food matrices being examined.</w:t>
      </w:r>
    </w:p>
    <w:p w14:paraId="6D0E13F6" w14:textId="77777777" w:rsidR="00C13605" w:rsidRPr="00C13605" w:rsidRDefault="00C13605" w:rsidP="00C13605">
      <w:pPr>
        <w:spacing w:after="0" w:line="360" w:lineRule="auto"/>
        <w:jc w:val="both"/>
        <w:rPr>
          <w:rFonts w:ascii="Times New Roman" w:hAnsi="Times New Roman" w:cs="Times New Roman"/>
          <w:sz w:val="20"/>
          <w:szCs w:val="20"/>
        </w:rPr>
      </w:pPr>
    </w:p>
    <w:p w14:paraId="5020C8B1" w14:textId="77777777" w:rsidR="00C13605" w:rsidRPr="002B4D22" w:rsidRDefault="00C13605" w:rsidP="00C13605">
      <w:pPr>
        <w:spacing w:after="0" w:line="360" w:lineRule="auto"/>
        <w:jc w:val="both"/>
        <w:rPr>
          <w:rFonts w:ascii="Times New Roman" w:hAnsi="Times New Roman" w:cs="Times New Roman"/>
          <w:b/>
          <w:sz w:val="22"/>
          <w:szCs w:val="22"/>
        </w:rPr>
      </w:pPr>
      <w:r w:rsidRPr="002B4D22">
        <w:rPr>
          <w:rFonts w:ascii="Times New Roman" w:hAnsi="Times New Roman"/>
          <w:b/>
          <w:color w:val="0070C0"/>
          <w:sz w:val="22"/>
          <w:szCs w:val="22"/>
        </w:rPr>
        <w:t>Conclusion</w:t>
      </w:r>
    </w:p>
    <w:p w14:paraId="14BFFFC0" w14:textId="261055D9"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lastRenderedPageBreak/>
        <w:t xml:space="preserve">We have developed an eco-friendly microwave-assisted digestion method for the determination of toxic elements (arsenic, cadmium, chromium, lead, and mercury) and nutritional elements (calcium, copper, iron, manganese, sodium, and zinc) across a variety of food samples </w:t>
      </w:r>
      <w:proofErr w:type="spellStart"/>
      <w:r w:rsidRPr="00C13605">
        <w:rPr>
          <w:rFonts w:ascii="Times New Roman" w:hAnsi="Times New Roman" w:cs="Times New Roman"/>
          <w:sz w:val="20"/>
          <w:szCs w:val="20"/>
        </w:rPr>
        <w:t>utilising</w:t>
      </w:r>
      <w:proofErr w:type="spellEnd"/>
      <w:r w:rsidRPr="00C13605">
        <w:rPr>
          <w:rFonts w:ascii="Times New Roman" w:hAnsi="Times New Roman" w:cs="Times New Roman"/>
          <w:sz w:val="20"/>
          <w:szCs w:val="20"/>
        </w:rPr>
        <w:t xml:space="preserve"> ICP-MS and ICP-OES. The quantity of concentrated nitric acid used has been reduced to half compared to existing international standards, resulting in a corresponding decrease in acid waste production. The methodology has been validated across a diverse array of food matrices, with reference to the nine sectors of the AOAC food triangle. Recovery results for various CRMs and QC materials fell within the acceptable ranges for the respective CRMs/QC materials which ensure the quality assurance of the method. Furthermore, for precision analysis, the RPD/RSD obtained from replicate analyses of test samples were found to be not more than 5%. Satisfactory scores were achieved across various analytical metrics, including the Analytical Eco-Scale, MoGAPI, </w:t>
      </w:r>
      <w:proofErr w:type="spellStart"/>
      <w:r w:rsidRPr="00C13605">
        <w:rPr>
          <w:rFonts w:ascii="Times New Roman" w:hAnsi="Times New Roman" w:cs="Times New Roman"/>
          <w:sz w:val="20"/>
          <w:szCs w:val="20"/>
        </w:rPr>
        <w:t>ComplexMoGAPI</w:t>
      </w:r>
      <w:proofErr w:type="spellEnd"/>
      <w:r w:rsidRPr="00C13605">
        <w:rPr>
          <w:rFonts w:ascii="Times New Roman" w:hAnsi="Times New Roman" w:cs="Times New Roman"/>
          <w:sz w:val="20"/>
          <w:szCs w:val="20"/>
        </w:rPr>
        <w:t xml:space="preserve">, BAGI, and RAPI. The robust validation results in respect of accuracy and precision, together with satisfactory scores for the </w:t>
      </w:r>
      <w:r w:rsidR="002E58A1" w:rsidRPr="00C13605">
        <w:rPr>
          <w:rFonts w:ascii="Times New Roman" w:hAnsi="Times New Roman" w:cs="Times New Roman"/>
          <w:sz w:val="20"/>
          <w:szCs w:val="20"/>
        </w:rPr>
        <w:t>analytical</w:t>
      </w:r>
      <w:r w:rsidRPr="00C13605">
        <w:rPr>
          <w:rFonts w:ascii="Times New Roman" w:hAnsi="Times New Roman" w:cs="Times New Roman"/>
          <w:sz w:val="20"/>
          <w:szCs w:val="20"/>
        </w:rPr>
        <w:t xml:space="preserve"> metrics, demonstrated that our method was applicable to general foodstuffs with commendable analytical performance.</w:t>
      </w:r>
    </w:p>
    <w:p w14:paraId="24C32D3D" w14:textId="77777777" w:rsidR="00C13605" w:rsidRPr="00C13605" w:rsidRDefault="00C13605" w:rsidP="00C13605">
      <w:pPr>
        <w:spacing w:after="0" w:line="360" w:lineRule="auto"/>
        <w:jc w:val="both"/>
        <w:rPr>
          <w:rFonts w:ascii="Times New Roman" w:hAnsi="Times New Roman" w:cs="Times New Roman"/>
          <w:b/>
          <w:bCs/>
          <w:sz w:val="20"/>
          <w:szCs w:val="20"/>
        </w:rPr>
      </w:pPr>
    </w:p>
    <w:p w14:paraId="6EAB3162" w14:textId="2C3166C8" w:rsidR="00C13605" w:rsidRPr="009F6409" w:rsidRDefault="00C13605" w:rsidP="00C13605">
      <w:pPr>
        <w:spacing w:after="0" w:line="360" w:lineRule="auto"/>
        <w:jc w:val="both"/>
        <w:rPr>
          <w:rFonts w:ascii="Times New Roman" w:hAnsi="Times New Roman"/>
          <w:b/>
          <w:color w:val="0070C0"/>
          <w:sz w:val="20"/>
          <w:szCs w:val="20"/>
        </w:rPr>
      </w:pPr>
      <w:r w:rsidRPr="009F6409">
        <w:rPr>
          <w:rFonts w:ascii="Times New Roman" w:hAnsi="Times New Roman"/>
          <w:b/>
          <w:color w:val="0070C0"/>
          <w:sz w:val="20"/>
          <w:szCs w:val="20"/>
        </w:rPr>
        <w:t xml:space="preserve">Author </w:t>
      </w:r>
      <w:r w:rsidR="009F6409">
        <w:rPr>
          <w:rFonts w:ascii="Times New Roman" w:hAnsi="Times New Roman"/>
          <w:b/>
          <w:color w:val="0070C0"/>
          <w:sz w:val="20"/>
          <w:szCs w:val="20"/>
        </w:rPr>
        <w:t>c</w:t>
      </w:r>
      <w:r w:rsidRPr="009F6409">
        <w:rPr>
          <w:rFonts w:ascii="Times New Roman" w:hAnsi="Times New Roman"/>
          <w:b/>
          <w:color w:val="0070C0"/>
          <w:sz w:val="20"/>
          <w:szCs w:val="20"/>
        </w:rPr>
        <w:t>ontributions</w:t>
      </w:r>
    </w:p>
    <w:p w14:paraId="38926D98" w14:textId="77777777"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Yuk-Tai Tsoi: Conceptualization, Data curation, Methodology, Supervision, Validation, Writing – original draft; Kwok-Chu Chan: Conceptualization, Methodology, Supervision, Validation, Writing – review &amp; editing; Chun-Kuen Cheung: Data curation, Validation; Wai-Ling Cheung: Data curation, Validation; Yiu-Chung Yip: Conceptualization, Methodology, Project administration, Writing – review &amp; editing.</w:t>
      </w:r>
    </w:p>
    <w:p w14:paraId="2CD0D73D" w14:textId="77777777" w:rsidR="002E58A1" w:rsidRPr="00C13605" w:rsidRDefault="002E58A1" w:rsidP="00C13605">
      <w:pPr>
        <w:spacing w:after="0" w:line="360" w:lineRule="auto"/>
        <w:jc w:val="both"/>
        <w:rPr>
          <w:rFonts w:ascii="Times New Roman" w:hAnsi="Times New Roman" w:cs="Times New Roman"/>
          <w:sz w:val="20"/>
          <w:szCs w:val="20"/>
        </w:rPr>
      </w:pPr>
    </w:p>
    <w:p w14:paraId="18D8A8D0" w14:textId="77777777" w:rsidR="00C13605" w:rsidRPr="009F6409" w:rsidRDefault="00C13605" w:rsidP="00C13605">
      <w:pPr>
        <w:spacing w:after="0" w:line="360" w:lineRule="auto"/>
        <w:jc w:val="both"/>
        <w:rPr>
          <w:rFonts w:ascii="Times New Roman" w:hAnsi="Times New Roman"/>
          <w:b/>
          <w:color w:val="0070C0"/>
          <w:sz w:val="20"/>
          <w:szCs w:val="20"/>
        </w:rPr>
      </w:pPr>
      <w:r w:rsidRPr="009F6409">
        <w:rPr>
          <w:rFonts w:ascii="Times New Roman" w:hAnsi="Times New Roman"/>
          <w:b/>
          <w:color w:val="0070C0"/>
          <w:sz w:val="20"/>
          <w:szCs w:val="20"/>
        </w:rPr>
        <w:t>Statements and Declarations</w:t>
      </w:r>
    </w:p>
    <w:p w14:paraId="4AD10276" w14:textId="77777777" w:rsidR="00C13605" w:rsidRPr="009F6409" w:rsidRDefault="00C13605" w:rsidP="00C13605">
      <w:pPr>
        <w:spacing w:after="0" w:line="360" w:lineRule="auto"/>
        <w:jc w:val="both"/>
        <w:rPr>
          <w:rFonts w:ascii="Times New Roman" w:hAnsi="Times New Roman"/>
          <w:b/>
          <w:color w:val="0070C0"/>
          <w:sz w:val="20"/>
          <w:szCs w:val="20"/>
        </w:rPr>
      </w:pPr>
      <w:r w:rsidRPr="009F6409">
        <w:rPr>
          <w:rFonts w:ascii="Times New Roman" w:hAnsi="Times New Roman"/>
          <w:b/>
          <w:color w:val="0070C0"/>
          <w:sz w:val="20"/>
          <w:szCs w:val="20"/>
        </w:rPr>
        <w:t>Conflict of interest</w:t>
      </w:r>
    </w:p>
    <w:p w14:paraId="4F584CF9"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The authors declare that there are no competing interests relevant to the content of this article.</w:t>
      </w:r>
    </w:p>
    <w:p w14:paraId="098DB9B6" w14:textId="77777777" w:rsidR="00C13605" w:rsidRPr="00C13605" w:rsidRDefault="00C13605" w:rsidP="00C13605">
      <w:pPr>
        <w:spacing w:after="0" w:line="360" w:lineRule="auto"/>
        <w:jc w:val="both"/>
        <w:rPr>
          <w:rFonts w:ascii="Times New Roman" w:hAnsi="Times New Roman" w:cs="Times New Roman"/>
          <w:sz w:val="20"/>
          <w:szCs w:val="20"/>
        </w:rPr>
      </w:pPr>
    </w:p>
    <w:p w14:paraId="1D1A3903" w14:textId="77777777" w:rsidR="00C13605" w:rsidRPr="009F6409" w:rsidRDefault="00C13605" w:rsidP="00C13605">
      <w:pPr>
        <w:spacing w:after="0" w:line="360" w:lineRule="auto"/>
        <w:jc w:val="both"/>
        <w:rPr>
          <w:rFonts w:ascii="Times New Roman" w:hAnsi="Times New Roman"/>
          <w:b/>
          <w:color w:val="0070C0"/>
          <w:sz w:val="20"/>
          <w:szCs w:val="20"/>
        </w:rPr>
      </w:pPr>
      <w:r w:rsidRPr="009F6409">
        <w:rPr>
          <w:rFonts w:ascii="Times New Roman" w:hAnsi="Times New Roman"/>
          <w:b/>
          <w:color w:val="0070C0"/>
          <w:sz w:val="20"/>
          <w:szCs w:val="20"/>
        </w:rPr>
        <w:t>Data availability</w:t>
      </w:r>
    </w:p>
    <w:p w14:paraId="1209DCEB" w14:textId="5CCD90D5" w:rsid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 xml:space="preserve">The authors confirm that the data supporting the findings of this study are available within the article and its supplementary information (SI). </w:t>
      </w:r>
      <w:r w:rsidR="00B056DF" w:rsidRPr="00B056DF">
        <w:rPr>
          <w:rFonts w:ascii="Times New Roman" w:hAnsi="Times New Roman" w:cs="Times New Roman"/>
          <w:sz w:val="20"/>
          <w:szCs w:val="20"/>
        </w:rPr>
        <w:t>Tables S1a</w:t>
      </w:r>
      <w:r w:rsidR="000475A6">
        <w:rPr>
          <w:rFonts w:ascii="Times New Roman" w:hAnsi="Times New Roman" w:cs="Times New Roman"/>
          <w:sz w:val="20"/>
          <w:szCs w:val="20"/>
        </w:rPr>
        <w:t xml:space="preserve"> </w:t>
      </w:r>
      <w:r w:rsidR="00B056DF" w:rsidRPr="00B056DF">
        <w:rPr>
          <w:rFonts w:ascii="Times New Roman" w:hAnsi="Times New Roman" w:cs="Times New Roman"/>
          <w:sz w:val="20"/>
          <w:szCs w:val="20"/>
        </w:rPr>
        <w:t>to S1c, S2a to S2c, S3a to 3b, S4 to S7 are provided in SI.</w:t>
      </w:r>
      <w:r w:rsidR="00B056DF">
        <w:rPr>
          <w:rFonts w:ascii="Times New Roman" w:hAnsi="Times New Roman" w:cs="Times New Roman"/>
          <w:sz w:val="20"/>
          <w:szCs w:val="20"/>
        </w:rPr>
        <w:t xml:space="preserve"> </w:t>
      </w:r>
      <w:r w:rsidRPr="00C13605">
        <w:rPr>
          <w:rFonts w:ascii="Times New Roman" w:hAnsi="Times New Roman" w:cs="Times New Roman"/>
          <w:sz w:val="20"/>
          <w:szCs w:val="20"/>
        </w:rPr>
        <w:t>Data will be made available on request.</w:t>
      </w:r>
    </w:p>
    <w:p w14:paraId="0AAE54C9" w14:textId="77777777" w:rsidR="00923A00" w:rsidRPr="00C13605" w:rsidRDefault="00923A00" w:rsidP="00C13605">
      <w:pPr>
        <w:spacing w:after="0" w:line="360" w:lineRule="auto"/>
        <w:jc w:val="both"/>
        <w:rPr>
          <w:rFonts w:ascii="Times New Roman" w:hAnsi="Times New Roman" w:cs="Times New Roman"/>
          <w:sz w:val="20"/>
          <w:szCs w:val="20"/>
        </w:rPr>
      </w:pPr>
    </w:p>
    <w:p w14:paraId="281B17FE" w14:textId="77777777" w:rsidR="00C13605" w:rsidRPr="00C13605" w:rsidRDefault="00C13605" w:rsidP="00C13605">
      <w:pPr>
        <w:spacing w:after="0" w:line="360" w:lineRule="auto"/>
        <w:jc w:val="both"/>
        <w:rPr>
          <w:rFonts w:ascii="Times New Roman" w:hAnsi="Times New Roman" w:cs="Times New Roman"/>
          <w:b/>
          <w:bCs/>
          <w:sz w:val="20"/>
          <w:szCs w:val="20"/>
        </w:rPr>
      </w:pPr>
      <w:r w:rsidRPr="009F6409">
        <w:rPr>
          <w:rFonts w:ascii="Times New Roman" w:hAnsi="Times New Roman"/>
          <w:b/>
          <w:color w:val="0070C0"/>
          <w:sz w:val="20"/>
          <w:szCs w:val="20"/>
        </w:rPr>
        <w:t>Acknowledgments</w:t>
      </w:r>
    </w:p>
    <w:p w14:paraId="32743AD9" w14:textId="77777777" w:rsidR="00C13605" w:rsidRPr="00C13605" w:rsidRDefault="00C13605" w:rsidP="00C13605">
      <w:pPr>
        <w:spacing w:after="0" w:line="360" w:lineRule="auto"/>
        <w:jc w:val="both"/>
        <w:rPr>
          <w:rFonts w:ascii="Times New Roman" w:hAnsi="Times New Roman" w:cs="Times New Roman"/>
          <w:sz w:val="20"/>
          <w:szCs w:val="20"/>
        </w:rPr>
      </w:pPr>
      <w:r w:rsidRPr="00C13605">
        <w:rPr>
          <w:rFonts w:ascii="Times New Roman" w:hAnsi="Times New Roman" w:cs="Times New Roman"/>
          <w:sz w:val="20"/>
          <w:szCs w:val="20"/>
        </w:rPr>
        <w:t>The authors wish to express their sincere gratitude to Dr. Wai-On Lee, Dr. Tsz-Chun Cheung and Mr. Chi-Shing Ng of the Government Laboratory of the HKSAR for their unwavering support. The views expressed in this paper do not necessarily reflect those of the Government of the HKSAR, and the mention of trade names or commercial products does not imply endorsement or recommendation for use.</w:t>
      </w:r>
    </w:p>
    <w:p w14:paraId="01224169" w14:textId="77777777" w:rsidR="000430D3" w:rsidRPr="000430D3" w:rsidRDefault="000430D3" w:rsidP="000430D3">
      <w:pPr>
        <w:spacing w:line="240" w:lineRule="auto"/>
        <w:rPr>
          <w:rFonts w:ascii="Times New Roman" w:hAnsi="Times New Roman" w:cs="Times New Roman"/>
          <w:sz w:val="18"/>
          <w:szCs w:val="18"/>
        </w:rPr>
      </w:pPr>
    </w:p>
    <w:p w14:paraId="0098ECE6" w14:textId="5DF6DD7B" w:rsidR="00ED23B3" w:rsidRDefault="008E066D" w:rsidP="0060768D">
      <w:pPr>
        <w:widowControl w:val="0"/>
        <w:autoSpaceDE w:val="0"/>
        <w:autoSpaceDN w:val="0"/>
        <w:adjustRightInd w:val="0"/>
        <w:spacing w:after="0" w:line="480" w:lineRule="auto"/>
        <w:rPr>
          <w:rFonts w:ascii="Times New Roman" w:hAnsi="Times New Roman" w:cs="Times New Roman"/>
          <w:b/>
          <w:bCs/>
          <w:color w:val="0070C0"/>
          <w:sz w:val="22"/>
          <w:szCs w:val="22"/>
        </w:rPr>
      </w:pPr>
      <w:r w:rsidRPr="008E066D">
        <w:rPr>
          <w:rFonts w:ascii="Times New Roman" w:hAnsi="Times New Roman" w:cs="Times New Roman"/>
          <w:b/>
          <w:bCs/>
          <w:color w:val="0070C0"/>
          <w:sz w:val="22"/>
          <w:szCs w:val="22"/>
        </w:rPr>
        <w:t>References</w:t>
      </w:r>
    </w:p>
    <w:p w14:paraId="7639FDF9" w14:textId="0F77AA36"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 xml:space="preserve">World Health Organization of the United Nations. Fact sheets - Food safety (4 October 2024). World </w:t>
      </w:r>
      <w:r w:rsidRPr="00D96D8C">
        <w:rPr>
          <w:rFonts w:ascii="Times New Roman" w:hAnsi="Times New Roman" w:cs="Times New Roman"/>
          <w:sz w:val="20"/>
          <w:szCs w:val="20"/>
        </w:rPr>
        <w:lastRenderedPageBreak/>
        <w:t>Health Organization of the United Nations</w:t>
      </w:r>
      <w:r w:rsidR="000C4A4B">
        <w:rPr>
          <w:rFonts w:ascii="Times New Roman" w:hAnsi="Times New Roman" w:cs="Times New Roman"/>
          <w:sz w:val="20"/>
          <w:szCs w:val="20"/>
        </w:rPr>
        <w:t xml:space="preserve"> (</w:t>
      </w:r>
      <w:r w:rsidRPr="00D96D8C">
        <w:rPr>
          <w:rFonts w:ascii="Times New Roman" w:hAnsi="Times New Roman" w:cs="Times New Roman"/>
          <w:sz w:val="20"/>
          <w:szCs w:val="20"/>
        </w:rPr>
        <w:t>2025</w:t>
      </w:r>
      <w:r w:rsidR="000C4A4B">
        <w:rPr>
          <w:rFonts w:ascii="Times New Roman" w:hAnsi="Times New Roman" w:cs="Times New Roman"/>
          <w:sz w:val="20"/>
          <w:szCs w:val="20"/>
        </w:rPr>
        <w:t>)</w:t>
      </w:r>
      <w:r w:rsidRPr="00D96D8C">
        <w:rPr>
          <w:rFonts w:ascii="Times New Roman" w:hAnsi="Times New Roman" w:cs="Times New Roman"/>
          <w:sz w:val="20"/>
          <w:szCs w:val="20"/>
        </w:rPr>
        <w:t>.</w:t>
      </w:r>
    </w:p>
    <w:p w14:paraId="29D12787"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Scutaraşu</w:t>
      </w:r>
      <w:proofErr w:type="spellEnd"/>
      <w:r w:rsidRPr="00D96D8C">
        <w:rPr>
          <w:rFonts w:ascii="Times New Roman" w:hAnsi="Times New Roman" w:cs="Times New Roman"/>
          <w:sz w:val="20"/>
          <w:szCs w:val="20"/>
        </w:rPr>
        <w:t xml:space="preserve"> EC, </w:t>
      </w:r>
      <w:proofErr w:type="spellStart"/>
      <w:r w:rsidRPr="00D96D8C">
        <w:rPr>
          <w:rFonts w:ascii="Times New Roman" w:hAnsi="Times New Roman" w:cs="Times New Roman"/>
          <w:sz w:val="20"/>
          <w:szCs w:val="20"/>
        </w:rPr>
        <w:t>Trincă</w:t>
      </w:r>
      <w:proofErr w:type="spellEnd"/>
      <w:r w:rsidRPr="00D96D8C">
        <w:rPr>
          <w:rFonts w:ascii="Times New Roman" w:hAnsi="Times New Roman" w:cs="Times New Roman"/>
          <w:sz w:val="20"/>
          <w:szCs w:val="20"/>
        </w:rPr>
        <w:t xml:space="preserve"> LC. Heavy Metals in Foods and Beverages: Global Situation, Health Risks and Reduction Methods. Foods 12 (2023): 3340.</w:t>
      </w:r>
    </w:p>
    <w:p w14:paraId="57E63970"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Gharibzahedi</w:t>
      </w:r>
      <w:proofErr w:type="spellEnd"/>
      <w:r w:rsidRPr="00D96D8C">
        <w:rPr>
          <w:rFonts w:ascii="Times New Roman" w:hAnsi="Times New Roman" w:cs="Times New Roman"/>
          <w:sz w:val="20"/>
          <w:szCs w:val="20"/>
        </w:rPr>
        <w:t xml:space="preserve"> SMT, Jafari SM. The importance of minerals in human nutrition: Bioavailability, food fortification, processing effects and nanoencapsulation. Trends in Food Science &amp; Technology 62 (2017): 119-132.</w:t>
      </w:r>
    </w:p>
    <w:p w14:paraId="36365DE5"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Codex Alimentarius. CXS 193-1995 (2024) General Standard for Contaminants and Toxins in Food and Feed, Amended in 2024. Food and Agriculture Organization and World Health Organization of the United Nations.</w:t>
      </w:r>
    </w:p>
    <w:p w14:paraId="5EBCFCB8" w14:textId="70D32FD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Codex Alimentarius. CXS 72-1981 Standard for Infant Formula and Formulas for Special Medical Purposes Intended for Infants, Amended in 2024. Food and Agriculture Organization and World Health Organization of the United Nations</w:t>
      </w:r>
      <w:r w:rsidR="00AD2D6A">
        <w:rPr>
          <w:rFonts w:ascii="Times New Roman" w:hAnsi="Times New Roman" w:cs="Times New Roman"/>
          <w:sz w:val="20"/>
          <w:szCs w:val="20"/>
        </w:rPr>
        <w:t xml:space="preserve"> (2024)</w:t>
      </w:r>
      <w:r w:rsidRPr="00D96D8C">
        <w:rPr>
          <w:rFonts w:ascii="Times New Roman" w:hAnsi="Times New Roman" w:cs="Times New Roman"/>
          <w:sz w:val="20"/>
          <w:szCs w:val="20"/>
        </w:rPr>
        <w:t>.</w:t>
      </w:r>
    </w:p>
    <w:p w14:paraId="13381994"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International Organization for Standardization. BS EN ISO 21424:2020, Milk, milk products, infant formula and adult nutritionals – Determination of minerals and trace elements – Inductively coupled plasma mass spectrometry (ICP-MS) method. International Organization for Standardization.</w:t>
      </w:r>
    </w:p>
    <w:p w14:paraId="6A3A0A78"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United States Food &amp; Drug Administration. Section 4.7, Version 1.3 (2025), Elemental Analysis Manual, Inductively Coupled Plasma-Mass Spectrometric Determination of Arsenic, Cadmium, Chromium, Lead, Mercury, and Other Elements in Food Using Microwave Assisted Digestion. United States Food &amp; Drug Administration.</w:t>
      </w:r>
    </w:p>
    <w:p w14:paraId="4FB09747"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Anastas PT. Green Chemistry and the Role of Analytical Methodology Development. Critical Reviews in Analytical Chemistry 29 (1999): 167-175.</w:t>
      </w:r>
    </w:p>
    <w:p w14:paraId="44A85808"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Armenta S, Garrigues S, de la Guardia M. Green Analytical Chemistry. Trends in Analytical Chemistry 27 (2008): 497-511.</w:t>
      </w:r>
    </w:p>
    <w:p w14:paraId="09461190"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Gałuszka</w:t>
      </w:r>
      <w:proofErr w:type="spellEnd"/>
      <w:r w:rsidRPr="00D96D8C">
        <w:rPr>
          <w:rFonts w:ascii="Times New Roman" w:hAnsi="Times New Roman" w:cs="Times New Roman"/>
          <w:sz w:val="20"/>
          <w:szCs w:val="20"/>
        </w:rPr>
        <w:t xml:space="preserve"> A, </w:t>
      </w:r>
      <w:proofErr w:type="spellStart"/>
      <w:r w:rsidRPr="00D96D8C">
        <w:rPr>
          <w:rFonts w:ascii="Times New Roman" w:hAnsi="Times New Roman" w:cs="Times New Roman"/>
          <w:sz w:val="20"/>
          <w:szCs w:val="20"/>
        </w:rPr>
        <w:t>Migaszewski</w:t>
      </w:r>
      <w:proofErr w:type="spellEnd"/>
      <w:r w:rsidRPr="00D96D8C">
        <w:rPr>
          <w:rFonts w:ascii="Times New Roman" w:hAnsi="Times New Roman" w:cs="Times New Roman"/>
          <w:sz w:val="20"/>
          <w:szCs w:val="20"/>
        </w:rPr>
        <w:t xml:space="preserve"> Z, </w:t>
      </w:r>
      <w:proofErr w:type="spellStart"/>
      <w:r w:rsidRPr="00D96D8C">
        <w:rPr>
          <w:rFonts w:ascii="Times New Roman" w:hAnsi="Times New Roman" w:cs="Times New Roman"/>
          <w:sz w:val="20"/>
          <w:szCs w:val="20"/>
        </w:rPr>
        <w:t>Namieśnik</w:t>
      </w:r>
      <w:proofErr w:type="spellEnd"/>
      <w:r w:rsidRPr="00D96D8C">
        <w:rPr>
          <w:rFonts w:ascii="Times New Roman" w:hAnsi="Times New Roman" w:cs="Times New Roman"/>
          <w:sz w:val="20"/>
          <w:szCs w:val="20"/>
        </w:rPr>
        <w:t xml:space="preserve"> J. The 12 principles of green analytical chemistry and the SIGNIFICANCE mnemonic of green analytical practices. Trends in Analytical Chemistry 50 (2013): 78-84.</w:t>
      </w:r>
    </w:p>
    <w:p w14:paraId="601C6EF1"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Benedé</w:t>
      </w:r>
      <w:proofErr w:type="spellEnd"/>
      <w:r w:rsidRPr="00D96D8C">
        <w:rPr>
          <w:rFonts w:ascii="Times New Roman" w:hAnsi="Times New Roman" w:cs="Times New Roman"/>
          <w:sz w:val="20"/>
          <w:szCs w:val="20"/>
        </w:rPr>
        <w:t xml:space="preserve"> JL, </w:t>
      </w:r>
      <w:proofErr w:type="spellStart"/>
      <w:r w:rsidRPr="00D96D8C">
        <w:rPr>
          <w:rFonts w:ascii="Times New Roman" w:hAnsi="Times New Roman" w:cs="Times New Roman"/>
          <w:sz w:val="20"/>
          <w:szCs w:val="20"/>
        </w:rPr>
        <w:t>Cagliero</w:t>
      </w:r>
      <w:proofErr w:type="spellEnd"/>
      <w:r w:rsidRPr="00D96D8C">
        <w:rPr>
          <w:rFonts w:ascii="Times New Roman" w:hAnsi="Times New Roman" w:cs="Times New Roman"/>
          <w:sz w:val="20"/>
          <w:szCs w:val="20"/>
        </w:rPr>
        <w:t xml:space="preserve"> C, </w:t>
      </w:r>
      <w:proofErr w:type="spellStart"/>
      <w:r w:rsidRPr="00D96D8C">
        <w:rPr>
          <w:rFonts w:ascii="Times New Roman" w:hAnsi="Times New Roman" w:cs="Times New Roman"/>
          <w:sz w:val="20"/>
          <w:szCs w:val="20"/>
        </w:rPr>
        <w:t>Nemutlu</w:t>
      </w:r>
      <w:proofErr w:type="spellEnd"/>
      <w:r w:rsidRPr="00D96D8C">
        <w:rPr>
          <w:rFonts w:ascii="Times New Roman" w:hAnsi="Times New Roman" w:cs="Times New Roman"/>
          <w:sz w:val="20"/>
          <w:szCs w:val="20"/>
        </w:rPr>
        <w:t xml:space="preserve"> E, et al. Greenness assessment of 174 CEN, ISO, and pharmacopoeia standard methods and their sub-methods used for environmental, food, trace element and pharmaceutical analyses. Advances in Sample Preparation 14 (2025): 100180.</w:t>
      </w:r>
    </w:p>
    <w:p w14:paraId="3DD90524"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Wolf WR, Andrews KW. A system for defining reference materials applicable to all food matrices. Fresenius Journal of Analytical Chemistry 352 (1995): 73-76.</w:t>
      </w:r>
    </w:p>
    <w:p w14:paraId="49A71E01"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Phillips MM, Sharpless KE, Wise SA. Standard reference materials for food analysis. Analytical and Bioanalytical Chemistry 405 (2013): 4325-4335.</w:t>
      </w:r>
    </w:p>
    <w:p w14:paraId="2B36E3BB" w14:textId="70F2B81E"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 xml:space="preserve">Cantwell H, ed. </w:t>
      </w:r>
      <w:proofErr w:type="spellStart"/>
      <w:r w:rsidRPr="00D96D8C">
        <w:rPr>
          <w:rFonts w:ascii="Times New Roman" w:hAnsi="Times New Roman" w:cs="Times New Roman"/>
          <w:sz w:val="20"/>
          <w:szCs w:val="20"/>
        </w:rPr>
        <w:t>Eurachem</w:t>
      </w:r>
      <w:proofErr w:type="spellEnd"/>
      <w:r w:rsidRPr="00D96D8C">
        <w:rPr>
          <w:rFonts w:ascii="Times New Roman" w:hAnsi="Times New Roman" w:cs="Times New Roman"/>
          <w:sz w:val="20"/>
          <w:szCs w:val="20"/>
        </w:rPr>
        <w:t xml:space="preserve"> Guide: The Fitness for Purpose of Analytical Methods – A Laboratory Guide to Method Validation and Related Topics. 3</w:t>
      </w:r>
      <w:r w:rsidRPr="00965C6F">
        <w:rPr>
          <w:rFonts w:ascii="Times New Roman" w:hAnsi="Times New Roman" w:cs="Times New Roman"/>
          <w:sz w:val="20"/>
          <w:szCs w:val="20"/>
          <w:vertAlign w:val="superscript"/>
        </w:rPr>
        <w:t>rd</w:t>
      </w:r>
      <w:r w:rsidR="00965C6F">
        <w:rPr>
          <w:rFonts w:ascii="Times New Roman" w:hAnsi="Times New Roman" w:cs="Times New Roman"/>
          <w:sz w:val="20"/>
          <w:szCs w:val="20"/>
        </w:rPr>
        <w:t xml:space="preserve"> </w:t>
      </w:r>
      <w:proofErr w:type="spellStart"/>
      <w:r w:rsidRPr="00D96D8C">
        <w:rPr>
          <w:rFonts w:ascii="Times New Roman" w:hAnsi="Times New Roman" w:cs="Times New Roman"/>
          <w:sz w:val="20"/>
          <w:szCs w:val="20"/>
        </w:rPr>
        <w:t>ed</w:t>
      </w:r>
      <w:r w:rsidR="00965C6F">
        <w:rPr>
          <w:rFonts w:ascii="Times New Roman" w:hAnsi="Times New Roman" w:cs="Times New Roman"/>
          <w:sz w:val="20"/>
          <w:szCs w:val="20"/>
        </w:rPr>
        <w:t>tn</w:t>
      </w:r>
      <w:proofErr w:type="spellEnd"/>
      <w:r w:rsidRPr="00D96D8C">
        <w:rPr>
          <w:rFonts w:ascii="Times New Roman" w:hAnsi="Times New Roman" w:cs="Times New Roman"/>
          <w:sz w:val="20"/>
          <w:szCs w:val="20"/>
        </w:rPr>
        <w:t>. (2025).</w:t>
      </w:r>
    </w:p>
    <w:p w14:paraId="73CB4ED4"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Gałuszka</w:t>
      </w:r>
      <w:proofErr w:type="spellEnd"/>
      <w:r w:rsidRPr="00D96D8C">
        <w:rPr>
          <w:rFonts w:ascii="Times New Roman" w:hAnsi="Times New Roman" w:cs="Times New Roman"/>
          <w:sz w:val="20"/>
          <w:szCs w:val="20"/>
        </w:rPr>
        <w:t xml:space="preserve"> A, Konieczka P, </w:t>
      </w:r>
      <w:proofErr w:type="spellStart"/>
      <w:r w:rsidRPr="00D96D8C">
        <w:rPr>
          <w:rFonts w:ascii="Times New Roman" w:hAnsi="Times New Roman" w:cs="Times New Roman"/>
          <w:sz w:val="20"/>
          <w:szCs w:val="20"/>
        </w:rPr>
        <w:t>Migaszewski</w:t>
      </w:r>
      <w:proofErr w:type="spellEnd"/>
      <w:r w:rsidRPr="00D96D8C">
        <w:rPr>
          <w:rFonts w:ascii="Times New Roman" w:hAnsi="Times New Roman" w:cs="Times New Roman"/>
          <w:sz w:val="20"/>
          <w:szCs w:val="20"/>
        </w:rPr>
        <w:t xml:space="preserve"> ZM, et al. Analytical Eco-Scale for assessing the greenness of analytical procedures. </w:t>
      </w:r>
      <w:proofErr w:type="spellStart"/>
      <w:r w:rsidRPr="00D96D8C">
        <w:rPr>
          <w:rFonts w:ascii="Times New Roman" w:hAnsi="Times New Roman" w:cs="Times New Roman"/>
          <w:sz w:val="20"/>
          <w:szCs w:val="20"/>
        </w:rPr>
        <w:t>TrAC</w:t>
      </w:r>
      <w:proofErr w:type="spellEnd"/>
      <w:r w:rsidRPr="00D96D8C">
        <w:rPr>
          <w:rFonts w:ascii="Times New Roman" w:hAnsi="Times New Roman" w:cs="Times New Roman"/>
          <w:sz w:val="20"/>
          <w:szCs w:val="20"/>
        </w:rPr>
        <w:t xml:space="preserve"> Trends in Analytical Chemistry 37 (2012): 61-72.</w:t>
      </w:r>
    </w:p>
    <w:p w14:paraId="599C094F"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lastRenderedPageBreak/>
        <w:t xml:space="preserve">Mansour FR, </w:t>
      </w:r>
      <w:proofErr w:type="spellStart"/>
      <w:r w:rsidRPr="00D96D8C">
        <w:rPr>
          <w:rFonts w:ascii="Times New Roman" w:hAnsi="Times New Roman" w:cs="Times New Roman"/>
          <w:sz w:val="20"/>
          <w:szCs w:val="20"/>
        </w:rPr>
        <w:t>Płotka-Wasylka</w:t>
      </w:r>
      <w:proofErr w:type="spellEnd"/>
      <w:r w:rsidRPr="00D96D8C">
        <w:rPr>
          <w:rFonts w:ascii="Times New Roman" w:hAnsi="Times New Roman" w:cs="Times New Roman"/>
          <w:sz w:val="20"/>
          <w:szCs w:val="20"/>
        </w:rPr>
        <w:t xml:space="preserve"> J, Locatelli M. Modified GAPI (MoGAPI) Tool and Software for the Assessment of Method Greenness: Case Studies and Applications. Analytica 5 (2024): 451-457.</w:t>
      </w:r>
    </w:p>
    <w:p w14:paraId="521E03EC"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 xml:space="preserve">Mansour FR, Omer KM, </w:t>
      </w:r>
      <w:proofErr w:type="spellStart"/>
      <w:r w:rsidRPr="00D96D8C">
        <w:rPr>
          <w:rFonts w:ascii="Times New Roman" w:hAnsi="Times New Roman" w:cs="Times New Roman"/>
          <w:sz w:val="20"/>
          <w:szCs w:val="20"/>
        </w:rPr>
        <w:t>Płotka-Wasylka</w:t>
      </w:r>
      <w:proofErr w:type="spellEnd"/>
      <w:r w:rsidRPr="00D96D8C">
        <w:rPr>
          <w:rFonts w:ascii="Times New Roman" w:hAnsi="Times New Roman" w:cs="Times New Roman"/>
          <w:sz w:val="20"/>
          <w:szCs w:val="20"/>
        </w:rPr>
        <w:t xml:space="preserve"> J. A total scoring system and software for complex modified GAPI (</w:t>
      </w:r>
      <w:proofErr w:type="spellStart"/>
      <w:r w:rsidRPr="00D96D8C">
        <w:rPr>
          <w:rFonts w:ascii="Times New Roman" w:hAnsi="Times New Roman" w:cs="Times New Roman"/>
          <w:sz w:val="20"/>
          <w:szCs w:val="20"/>
        </w:rPr>
        <w:t>ComplexMoGAPI</w:t>
      </w:r>
      <w:proofErr w:type="spellEnd"/>
      <w:r w:rsidRPr="00D96D8C">
        <w:rPr>
          <w:rFonts w:ascii="Times New Roman" w:hAnsi="Times New Roman" w:cs="Times New Roman"/>
          <w:sz w:val="20"/>
          <w:szCs w:val="20"/>
        </w:rPr>
        <w:t>) application in the assessment of method greenness. Green Analytical Chemistry 10 (2024): 100126.</w:t>
      </w:r>
    </w:p>
    <w:p w14:paraId="648967F9"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Manousi</w:t>
      </w:r>
      <w:proofErr w:type="spellEnd"/>
      <w:r w:rsidRPr="00D96D8C">
        <w:rPr>
          <w:rFonts w:ascii="Times New Roman" w:hAnsi="Times New Roman" w:cs="Times New Roman"/>
          <w:sz w:val="20"/>
          <w:szCs w:val="20"/>
        </w:rPr>
        <w:t xml:space="preserve"> N, Wojnowski W, </w:t>
      </w:r>
      <w:proofErr w:type="spellStart"/>
      <w:r w:rsidRPr="00D96D8C">
        <w:rPr>
          <w:rFonts w:ascii="Times New Roman" w:hAnsi="Times New Roman" w:cs="Times New Roman"/>
          <w:sz w:val="20"/>
          <w:szCs w:val="20"/>
        </w:rPr>
        <w:t>Płotka-Wasylka</w:t>
      </w:r>
      <w:proofErr w:type="spellEnd"/>
      <w:r w:rsidRPr="00D96D8C">
        <w:rPr>
          <w:rFonts w:ascii="Times New Roman" w:hAnsi="Times New Roman" w:cs="Times New Roman"/>
          <w:sz w:val="20"/>
          <w:szCs w:val="20"/>
        </w:rPr>
        <w:t xml:space="preserve"> J, et al. </w:t>
      </w:r>
      <w:proofErr w:type="gramStart"/>
      <w:r w:rsidRPr="00D96D8C">
        <w:rPr>
          <w:rFonts w:ascii="Times New Roman" w:hAnsi="Times New Roman" w:cs="Times New Roman"/>
          <w:sz w:val="20"/>
          <w:szCs w:val="20"/>
        </w:rPr>
        <w:t>Blue</w:t>
      </w:r>
      <w:proofErr w:type="gramEnd"/>
      <w:r w:rsidRPr="00D96D8C">
        <w:rPr>
          <w:rFonts w:ascii="Times New Roman" w:hAnsi="Times New Roman" w:cs="Times New Roman"/>
          <w:sz w:val="20"/>
          <w:szCs w:val="20"/>
        </w:rPr>
        <w:t xml:space="preserve"> applicability grade index (BAGI) and software: a new tool for the evaluation of method practicality. Green Chemistry 25 (2023): 7598-7604.</w:t>
      </w:r>
    </w:p>
    <w:p w14:paraId="0666A33D"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Nowak PM, Wietecha-</w:t>
      </w:r>
      <w:proofErr w:type="spellStart"/>
      <w:r w:rsidRPr="00D96D8C">
        <w:rPr>
          <w:rFonts w:ascii="Times New Roman" w:hAnsi="Times New Roman" w:cs="Times New Roman"/>
          <w:sz w:val="20"/>
          <w:szCs w:val="20"/>
        </w:rPr>
        <w:t>Posłuszny</w:t>
      </w:r>
      <w:proofErr w:type="spellEnd"/>
      <w:r w:rsidRPr="00D96D8C">
        <w:rPr>
          <w:rFonts w:ascii="Times New Roman" w:hAnsi="Times New Roman" w:cs="Times New Roman"/>
          <w:sz w:val="20"/>
          <w:szCs w:val="20"/>
        </w:rPr>
        <w:t xml:space="preserve"> R, </w:t>
      </w:r>
      <w:proofErr w:type="spellStart"/>
      <w:r w:rsidRPr="00D96D8C">
        <w:rPr>
          <w:rFonts w:ascii="Times New Roman" w:hAnsi="Times New Roman" w:cs="Times New Roman"/>
          <w:sz w:val="20"/>
          <w:szCs w:val="20"/>
        </w:rPr>
        <w:t>Pawliszyn</w:t>
      </w:r>
      <w:proofErr w:type="spellEnd"/>
      <w:r w:rsidRPr="00D96D8C">
        <w:rPr>
          <w:rFonts w:ascii="Times New Roman" w:hAnsi="Times New Roman" w:cs="Times New Roman"/>
          <w:sz w:val="20"/>
          <w:szCs w:val="20"/>
        </w:rPr>
        <w:t xml:space="preserve"> J. Red analytical performance index (RAPI) and software: the missing tool for assessing methods in terms of analytical performance. Green Chemistry 27 (2025): 5546-5553.</w:t>
      </w:r>
    </w:p>
    <w:p w14:paraId="2A90FE3A"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Ariga T, Zhu Y, Inagaki K. Study on carbon-induced signal enhancement in inductively coupled plasma mass spectrometry: an approach from the spatial distribution of analyte signal intensities. Journal of Analytical Atomic Spectrometry 34 (2019): 1865-1874.</w:t>
      </w:r>
    </w:p>
    <w:p w14:paraId="1775D136"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Amaral CDB, Amais RS, Fialho LL, et al. Determination of carbon in digested samples and amino acids by inductively coupled plasma tandem mass spectrometry. Microchemical Journal 122 (2015): 29-32.</w:t>
      </w:r>
    </w:p>
    <w:p w14:paraId="1DE7CBCD"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Yin L, Yu L, Guo Y, et al. Green analytical chemistry metrics for evaluating the greenness of analytical procedures. Journal of Pharmaceutical Analysis 14 (2024): 101013.</w:t>
      </w:r>
    </w:p>
    <w:p w14:paraId="60824060"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Nowak PM, Wietecha-</w:t>
      </w:r>
      <w:proofErr w:type="spellStart"/>
      <w:r w:rsidRPr="00D96D8C">
        <w:rPr>
          <w:rFonts w:ascii="Times New Roman" w:hAnsi="Times New Roman" w:cs="Times New Roman"/>
          <w:sz w:val="20"/>
          <w:szCs w:val="20"/>
        </w:rPr>
        <w:t>Posłuszny</w:t>
      </w:r>
      <w:proofErr w:type="spellEnd"/>
      <w:r w:rsidRPr="00D96D8C">
        <w:rPr>
          <w:rFonts w:ascii="Times New Roman" w:hAnsi="Times New Roman" w:cs="Times New Roman"/>
          <w:sz w:val="20"/>
          <w:szCs w:val="20"/>
        </w:rPr>
        <w:t xml:space="preserve"> R, </w:t>
      </w:r>
      <w:proofErr w:type="spellStart"/>
      <w:r w:rsidRPr="00D96D8C">
        <w:rPr>
          <w:rFonts w:ascii="Times New Roman" w:hAnsi="Times New Roman" w:cs="Times New Roman"/>
          <w:sz w:val="20"/>
          <w:szCs w:val="20"/>
        </w:rPr>
        <w:t>Pawliszyn</w:t>
      </w:r>
      <w:proofErr w:type="spellEnd"/>
      <w:r w:rsidRPr="00D96D8C">
        <w:rPr>
          <w:rFonts w:ascii="Times New Roman" w:hAnsi="Times New Roman" w:cs="Times New Roman"/>
          <w:sz w:val="20"/>
          <w:szCs w:val="20"/>
        </w:rPr>
        <w:t xml:space="preserve"> J. White Analytical Chemistry: An approach to reconcile the principles of Green Analytical Chemistry and functionality. Trends in Analytical Chemistry 138 (2021): 116223.</w:t>
      </w:r>
    </w:p>
    <w:p w14:paraId="7FEC98F5"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Płotka-Wasylka</w:t>
      </w:r>
      <w:proofErr w:type="spellEnd"/>
      <w:r w:rsidRPr="00D96D8C">
        <w:rPr>
          <w:rFonts w:ascii="Times New Roman" w:hAnsi="Times New Roman" w:cs="Times New Roman"/>
          <w:sz w:val="20"/>
          <w:szCs w:val="20"/>
        </w:rPr>
        <w:t xml:space="preserve"> J. A new tool for the evaluation of the analytical procedure: Green Analytical Procedure Index. </w:t>
      </w:r>
      <w:proofErr w:type="spellStart"/>
      <w:r w:rsidRPr="00D96D8C">
        <w:rPr>
          <w:rFonts w:ascii="Times New Roman" w:hAnsi="Times New Roman" w:cs="Times New Roman"/>
          <w:sz w:val="20"/>
          <w:szCs w:val="20"/>
        </w:rPr>
        <w:t>Talanta</w:t>
      </w:r>
      <w:proofErr w:type="spellEnd"/>
      <w:r w:rsidRPr="00D96D8C">
        <w:rPr>
          <w:rFonts w:ascii="Times New Roman" w:hAnsi="Times New Roman" w:cs="Times New Roman"/>
          <w:sz w:val="20"/>
          <w:szCs w:val="20"/>
        </w:rPr>
        <w:t xml:space="preserve"> 181 (2018): 204-209.</w:t>
      </w:r>
    </w:p>
    <w:p w14:paraId="32B4F966"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proofErr w:type="spellStart"/>
      <w:r w:rsidRPr="00D96D8C">
        <w:rPr>
          <w:rFonts w:ascii="Times New Roman" w:hAnsi="Times New Roman" w:cs="Times New Roman"/>
          <w:sz w:val="20"/>
          <w:szCs w:val="20"/>
        </w:rPr>
        <w:t>Płotka-Wasylka</w:t>
      </w:r>
      <w:proofErr w:type="spellEnd"/>
      <w:r w:rsidRPr="00D96D8C">
        <w:rPr>
          <w:rFonts w:ascii="Times New Roman" w:hAnsi="Times New Roman" w:cs="Times New Roman"/>
          <w:sz w:val="20"/>
          <w:szCs w:val="20"/>
        </w:rPr>
        <w:t xml:space="preserve"> J, Wojnowski W. Complementary green analytical procedure index (</w:t>
      </w:r>
      <w:proofErr w:type="spellStart"/>
      <w:r w:rsidRPr="00D96D8C">
        <w:rPr>
          <w:rFonts w:ascii="Times New Roman" w:hAnsi="Times New Roman" w:cs="Times New Roman"/>
          <w:sz w:val="20"/>
          <w:szCs w:val="20"/>
        </w:rPr>
        <w:t>ComplexGAPI</w:t>
      </w:r>
      <w:proofErr w:type="spellEnd"/>
      <w:r w:rsidRPr="00D96D8C">
        <w:rPr>
          <w:rFonts w:ascii="Times New Roman" w:hAnsi="Times New Roman" w:cs="Times New Roman"/>
          <w:sz w:val="20"/>
          <w:szCs w:val="20"/>
        </w:rPr>
        <w:t>) and software. Green Chemistry 23 (2021): 8657-8665.</w:t>
      </w:r>
    </w:p>
    <w:p w14:paraId="63D08469" w14:textId="77777777"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Bhalodia A, Desai S. Comprehensive assessment of greenness of ICP-OES methods for determination of metals. Green Analytical Chemistry 12 (2025): 100222.</w:t>
      </w:r>
    </w:p>
    <w:p w14:paraId="51749F7D" w14:textId="605AAA35" w:rsidR="00D96D8C" w:rsidRPr="00D96D8C" w:rsidRDefault="00D96D8C" w:rsidP="00AB7CBF">
      <w:pPr>
        <w:widowControl w:val="0"/>
        <w:numPr>
          <w:ilvl w:val="0"/>
          <w:numId w:val="49"/>
        </w:numPr>
        <w:autoSpaceDE w:val="0"/>
        <w:autoSpaceDN w:val="0"/>
        <w:adjustRightInd w:val="0"/>
        <w:spacing w:after="0" w:line="360" w:lineRule="auto"/>
        <w:ind w:left="714" w:hanging="357"/>
        <w:rPr>
          <w:rFonts w:ascii="Times New Roman" w:hAnsi="Times New Roman" w:cs="Times New Roman"/>
          <w:sz w:val="20"/>
          <w:szCs w:val="20"/>
        </w:rPr>
      </w:pPr>
      <w:r w:rsidRPr="00D96D8C">
        <w:rPr>
          <w:rFonts w:ascii="Times New Roman" w:hAnsi="Times New Roman" w:cs="Times New Roman"/>
          <w:sz w:val="20"/>
          <w:szCs w:val="20"/>
        </w:rPr>
        <w:t>Latimer GW Jr, ed. Appendix F: Guidelines for Standard Method Performance Requirements. Official Methods of Analysis of AOAC I</w:t>
      </w:r>
      <w:r w:rsidR="00E370A4" w:rsidRPr="00D96D8C">
        <w:rPr>
          <w:rFonts w:ascii="Times New Roman" w:hAnsi="Times New Roman" w:cs="Times New Roman"/>
          <w:sz w:val="20"/>
          <w:szCs w:val="20"/>
        </w:rPr>
        <w:t>nternational</w:t>
      </w:r>
      <w:r w:rsidRPr="00D96D8C">
        <w:rPr>
          <w:rFonts w:ascii="Times New Roman" w:hAnsi="Times New Roman" w:cs="Times New Roman"/>
          <w:sz w:val="20"/>
          <w:szCs w:val="20"/>
        </w:rPr>
        <w:t>. 22</w:t>
      </w:r>
      <w:r w:rsidRPr="00E370A4">
        <w:rPr>
          <w:rFonts w:ascii="Times New Roman" w:hAnsi="Times New Roman" w:cs="Times New Roman"/>
          <w:sz w:val="20"/>
          <w:szCs w:val="20"/>
          <w:vertAlign w:val="superscript"/>
        </w:rPr>
        <w:t>nd</w:t>
      </w:r>
      <w:r w:rsidR="00E370A4">
        <w:rPr>
          <w:rFonts w:ascii="Times New Roman" w:hAnsi="Times New Roman" w:cs="Times New Roman"/>
          <w:sz w:val="20"/>
          <w:szCs w:val="20"/>
        </w:rPr>
        <w:t xml:space="preserve"> </w:t>
      </w:r>
      <w:r w:rsidRPr="00D96D8C">
        <w:rPr>
          <w:rFonts w:ascii="Times New Roman" w:hAnsi="Times New Roman" w:cs="Times New Roman"/>
          <w:sz w:val="20"/>
          <w:szCs w:val="20"/>
        </w:rPr>
        <w:t xml:space="preserve">ed. New York: AOAC Publications </w:t>
      </w:r>
      <w:r w:rsidR="00E370A4">
        <w:rPr>
          <w:rFonts w:ascii="Times New Roman" w:hAnsi="Times New Roman" w:cs="Times New Roman"/>
          <w:sz w:val="20"/>
          <w:szCs w:val="20"/>
        </w:rPr>
        <w:t>(</w:t>
      </w:r>
      <w:r w:rsidRPr="00D96D8C">
        <w:rPr>
          <w:rFonts w:ascii="Times New Roman" w:hAnsi="Times New Roman" w:cs="Times New Roman"/>
          <w:sz w:val="20"/>
          <w:szCs w:val="20"/>
        </w:rPr>
        <w:t>2023</w:t>
      </w:r>
      <w:r w:rsidR="00E370A4">
        <w:rPr>
          <w:rFonts w:ascii="Times New Roman" w:hAnsi="Times New Roman" w:cs="Times New Roman"/>
          <w:sz w:val="20"/>
          <w:szCs w:val="20"/>
        </w:rPr>
        <w:t>)</w:t>
      </w:r>
      <w:r w:rsidRPr="00D96D8C">
        <w:rPr>
          <w:rFonts w:ascii="Times New Roman" w:hAnsi="Times New Roman" w:cs="Times New Roman"/>
          <w:sz w:val="20"/>
          <w:szCs w:val="20"/>
        </w:rPr>
        <w:t>.</w:t>
      </w:r>
    </w:p>
    <w:p w14:paraId="05589149" w14:textId="77777777" w:rsidR="0060768D" w:rsidRPr="0060768D" w:rsidRDefault="0060768D" w:rsidP="0060768D">
      <w:pPr>
        <w:widowControl w:val="0"/>
        <w:autoSpaceDE w:val="0"/>
        <w:autoSpaceDN w:val="0"/>
        <w:adjustRightInd w:val="0"/>
        <w:spacing w:after="0" w:line="480" w:lineRule="auto"/>
        <w:rPr>
          <w:rFonts w:ascii="Times New Roman" w:hAnsi="Times New Roman" w:cs="Times New Roman"/>
          <w:b/>
          <w:bCs/>
          <w:color w:val="0070C0"/>
          <w:sz w:val="22"/>
          <w:szCs w:val="22"/>
        </w:rPr>
      </w:pPr>
    </w:p>
    <w:p w14:paraId="6FF0D7C8" w14:textId="77777777" w:rsidR="00ED23B3" w:rsidRPr="00ED23B3" w:rsidRDefault="00ED23B3" w:rsidP="00ED23B3">
      <w:pPr>
        <w:widowControl w:val="0"/>
        <w:autoSpaceDE w:val="0"/>
        <w:autoSpaceDN w:val="0"/>
        <w:adjustRightInd w:val="0"/>
        <w:spacing w:after="0" w:line="360" w:lineRule="auto"/>
        <w:rPr>
          <w:rFonts w:ascii="Times New Roman" w:hAnsi="Times New Roman" w:cs="Times New Roman"/>
          <w:sz w:val="20"/>
          <w:szCs w:val="20"/>
        </w:rPr>
      </w:pPr>
    </w:p>
    <w:p w14:paraId="20E19177" w14:textId="77777777" w:rsidR="00A713E0" w:rsidRDefault="00A713E0" w:rsidP="00A713E0">
      <w:pPr>
        <w:spacing w:after="0" w:line="360" w:lineRule="auto"/>
        <w:ind w:left="1440" w:firstLine="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0800"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8"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59776"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9"/>
      <w:headerReference w:type="default" r:id="rId20"/>
      <w:footerReference w:type="even" r:id="rId21"/>
      <w:footerReference w:type="default" r:id="rId22"/>
      <w:headerReference w:type="first" r:id="rId23"/>
      <w:footerReference w:type="first" r:id="rId24"/>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ED9F" w14:textId="77777777" w:rsidR="00F013EC" w:rsidRDefault="00F013EC" w:rsidP="00A62EFF">
      <w:pPr>
        <w:spacing w:after="0" w:line="240" w:lineRule="auto"/>
      </w:pPr>
      <w:r>
        <w:separator/>
      </w:r>
    </w:p>
  </w:endnote>
  <w:endnote w:type="continuationSeparator" w:id="0">
    <w:p w14:paraId="7028392D" w14:textId="77777777" w:rsidR="00F013EC" w:rsidRDefault="00F013E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sig w:usb0="00000001" w:usb1="00000000" w:usb2="00000000" w:usb3="00000000" w:csb0="0000001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40633AD4" w14:textId="77777777" w:rsidR="00B06297" w:rsidRDefault="00B06297" w:rsidP="00B06297">
    <w:pPr>
      <w:pStyle w:val="Footer"/>
      <w:rPr>
        <w:rFonts w:ascii="Times New Roman" w:hAnsi="Times New Roman" w:cs="Times New Roman"/>
        <w:b/>
        <w:color w:val="365F91" w:themeColor="accent1" w:themeShade="BF"/>
        <w:sz w:val="18"/>
        <w:szCs w:val="18"/>
      </w:rPr>
    </w:pPr>
    <w:r w:rsidRPr="00376431">
      <w:rPr>
        <w:rFonts w:ascii="Times New Roman" w:hAnsi="Times New Roman" w:cs="Times New Roman"/>
        <w:b/>
        <w:color w:val="365F91" w:themeColor="accent1" w:themeShade="BF"/>
        <w:sz w:val="20"/>
        <w:szCs w:val="20"/>
      </w:rPr>
      <w:t>Journal of Food Science and Nutrition Research</w:t>
    </w:r>
    <w:r>
      <w:rPr>
        <w:rFonts w:ascii="Times New Roman" w:hAnsi="Times New Roman" w:cs="Times New Roman"/>
        <w:b/>
        <w:color w:val="365F91" w:themeColor="accent1" w:themeShade="BF"/>
        <w:sz w:val="18"/>
        <w:szCs w:val="18"/>
      </w:rPr>
      <w:tab/>
    </w:r>
    <w:r w:rsidRPr="003540F7">
      <w:rPr>
        <w:rFonts w:ascii="Times New Roman" w:hAnsi="Times New Roman" w:cs="Times New Roman"/>
        <w:b/>
        <w:color w:val="365F91" w:themeColor="accent1" w:themeShade="BF"/>
        <w:sz w:val="18"/>
        <w:szCs w:val="18"/>
      </w:rPr>
      <w:tab/>
    </w:r>
    <w:r>
      <w:rPr>
        <w:rFonts w:ascii="Times New Roman" w:hAnsi="Times New Roman" w:cs="Times New Roman"/>
        <w:b/>
        <w:color w:val="365F91" w:themeColor="accent1" w:themeShade="BF"/>
        <w:sz w:val="18"/>
        <w:szCs w:val="18"/>
      </w:rPr>
      <w:t xml:space="preserve"> </w:t>
    </w:r>
    <w:r>
      <w:rPr>
        <w:rFonts w:ascii="Times New Roman" w:hAnsi="Times New Roman" w:cs="Times New Roman"/>
        <w:b/>
        <w:color w:val="365F91" w:themeColor="accent1" w:themeShade="BF"/>
        <w:sz w:val="20"/>
        <w:szCs w:val="18"/>
      </w:rPr>
      <w:fldChar w:fldCharType="begin"/>
    </w:r>
    <w:r>
      <w:rPr>
        <w:rFonts w:ascii="Times New Roman" w:hAnsi="Times New Roman" w:cs="Times New Roman"/>
        <w:b/>
        <w:color w:val="365F91" w:themeColor="accent1" w:themeShade="BF"/>
        <w:sz w:val="20"/>
        <w:szCs w:val="18"/>
      </w:rPr>
      <w:instrText xml:space="preserve"> PAGE   \* MERGEFORMAT </w:instrText>
    </w:r>
    <w:r>
      <w:rPr>
        <w:rFonts w:ascii="Times New Roman" w:hAnsi="Times New Roman" w:cs="Times New Roman"/>
        <w:b/>
        <w:color w:val="365F91" w:themeColor="accent1" w:themeShade="BF"/>
        <w:sz w:val="20"/>
        <w:szCs w:val="18"/>
      </w:rPr>
      <w:fldChar w:fldCharType="separate"/>
    </w:r>
    <w:r>
      <w:rPr>
        <w:rFonts w:ascii="Times New Roman" w:hAnsi="Times New Roman" w:cs="Times New Roman"/>
        <w:b/>
        <w:color w:val="365F91" w:themeColor="accent1" w:themeShade="BF"/>
        <w:sz w:val="20"/>
        <w:szCs w:val="18"/>
      </w:rPr>
      <w:t>320</w:t>
    </w:r>
    <w:r>
      <w:rPr>
        <w:rFonts w:ascii="Times New Roman" w:hAnsi="Times New Roman" w:cs="Times New Roman"/>
        <w:b/>
        <w:color w:val="365F91" w:themeColor="accent1" w:themeShade="BF"/>
        <w:sz w:val="20"/>
        <w:szCs w:val="18"/>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20D2" w14:textId="77777777" w:rsidR="00F013EC" w:rsidRDefault="00F013EC" w:rsidP="00A62EFF">
      <w:pPr>
        <w:spacing w:after="0" w:line="240" w:lineRule="auto"/>
      </w:pPr>
      <w:r>
        <w:separator/>
      </w:r>
    </w:p>
  </w:footnote>
  <w:footnote w:type="continuationSeparator" w:id="0">
    <w:p w14:paraId="4729B201" w14:textId="77777777" w:rsidR="00F013EC" w:rsidRDefault="00F013E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29BB" w14:textId="24D228B5" w:rsidR="003013DA" w:rsidRDefault="003013DA" w:rsidP="003013DA">
    <w:pPr>
      <w:pStyle w:val="Header"/>
    </w:pPr>
    <w:r w:rsidRPr="00F541B9">
      <w:rPr>
        <w:rFonts w:ascii="Times New Roman" w:hAnsi="Times New Roman" w:cs="Times New Roman"/>
        <w:b/>
        <w:bCs/>
        <w:i/>
        <w:color w:val="2E74B5"/>
        <w:spacing w:val="-1"/>
        <w:sz w:val="20"/>
        <w:szCs w:val="20"/>
      </w:rPr>
      <w:t xml:space="preserve">J Food Sci </w:t>
    </w:r>
    <w:proofErr w:type="spellStart"/>
    <w:r w:rsidRPr="00F541B9">
      <w:rPr>
        <w:rFonts w:ascii="Times New Roman" w:hAnsi="Times New Roman" w:cs="Times New Roman"/>
        <w:b/>
        <w:bCs/>
        <w:i/>
        <w:color w:val="2E74B5"/>
        <w:spacing w:val="-1"/>
        <w:sz w:val="20"/>
        <w:szCs w:val="20"/>
      </w:rPr>
      <w:t>Nutr</w:t>
    </w:r>
    <w:proofErr w:type="spellEnd"/>
    <w:r w:rsidRPr="00F541B9">
      <w:rPr>
        <w:rFonts w:ascii="Times New Roman" w:hAnsi="Times New Roman" w:cs="Times New Roman"/>
        <w:b/>
        <w:bCs/>
        <w:i/>
        <w:color w:val="2E74B5"/>
        <w:spacing w:val="-1"/>
        <w:sz w:val="20"/>
        <w:szCs w:val="20"/>
      </w:rPr>
      <w:t xml:space="preserve"> Res </w:t>
    </w:r>
    <w:r w:rsidRPr="00F541B9">
      <w:rPr>
        <w:rFonts w:ascii="Times New Roman" w:hAnsi="Times New Roman" w:cs="Times New Roman"/>
        <w:b/>
        <w:bCs/>
        <w:i/>
        <w:color w:val="2E74B5"/>
        <w:sz w:val="20"/>
        <w:szCs w:val="20"/>
      </w:rPr>
      <w:t>2</w:t>
    </w:r>
    <w:r w:rsidRPr="00F541B9">
      <w:rPr>
        <w:rFonts w:ascii="Times New Roman" w:hAnsi="Times New Roman" w:cs="Times New Roman"/>
        <w:b/>
        <w:bCs/>
        <w:i/>
        <w:color w:val="2E74B5"/>
        <w:spacing w:val="-1"/>
        <w:sz w:val="20"/>
        <w:szCs w:val="20"/>
      </w:rPr>
      <w:t>0</w:t>
    </w:r>
    <w:r>
      <w:rPr>
        <w:rFonts w:ascii="Times New Roman" w:hAnsi="Times New Roman" w:cs="Times New Roman"/>
        <w:b/>
        <w:bCs/>
        <w:i/>
        <w:color w:val="2E74B5"/>
        <w:spacing w:val="-1"/>
        <w:sz w:val="20"/>
        <w:szCs w:val="20"/>
      </w:rPr>
      <w:t>26</w:t>
    </w:r>
    <w:r w:rsidRPr="00F541B9">
      <w:rPr>
        <w:rFonts w:ascii="Times New Roman" w:hAnsi="Times New Roman" w:cs="Times New Roman"/>
        <w:b/>
        <w:bCs/>
        <w:i/>
        <w:color w:val="2E74B5"/>
        <w:sz w:val="20"/>
        <w:szCs w:val="20"/>
      </w:rPr>
      <w:t>;</w:t>
    </w:r>
    <w:r w:rsidRPr="00F541B9">
      <w:rPr>
        <w:rFonts w:ascii="Times New Roman" w:hAnsi="Times New Roman" w:cs="Times New Roman"/>
        <w:b/>
        <w:bCs/>
        <w:i/>
        <w:color w:val="2E74B5"/>
        <w:spacing w:val="-1"/>
        <w:sz w:val="20"/>
        <w:szCs w:val="20"/>
      </w:rPr>
      <w:t xml:space="preserve"> </w:t>
    </w:r>
    <w:r>
      <w:rPr>
        <w:rFonts w:ascii="Times New Roman" w:hAnsi="Times New Roman" w:cs="Times New Roman"/>
        <w:b/>
        <w:bCs/>
        <w:i/>
        <w:color w:val="2E74B5"/>
        <w:spacing w:val="-1"/>
        <w:sz w:val="20"/>
        <w:szCs w:val="20"/>
      </w:rPr>
      <w:t>9</w:t>
    </w:r>
    <w:r>
      <w:rPr>
        <w:rFonts w:ascii="Times New Roman" w:hAnsi="Times New Roman" w:cs="Times New Roman"/>
        <w:b/>
        <w:bCs/>
        <w:i/>
        <w:color w:val="2E74B5"/>
        <w:spacing w:val="1"/>
        <w:sz w:val="20"/>
        <w:szCs w:val="20"/>
      </w:rPr>
      <w:t xml:space="preserve"> </w:t>
    </w:r>
    <w:r>
      <w:rPr>
        <w:rFonts w:ascii="Times New Roman" w:hAnsi="Times New Roman" w:cs="Times New Roman"/>
        <w:b/>
        <w:bCs/>
        <w:i/>
        <w:color w:val="2E74B5"/>
        <w:spacing w:val="-1"/>
        <w:sz w:val="20"/>
        <w:szCs w:val="20"/>
      </w:rPr>
      <w:t>(</w:t>
    </w:r>
    <w:r w:rsidR="00CC1D02">
      <w:rPr>
        <w:rFonts w:ascii="Times New Roman" w:hAnsi="Times New Roman" w:cs="Times New Roman"/>
        <w:b/>
        <w:bCs/>
        <w:i/>
        <w:color w:val="2E74B5"/>
        <w:spacing w:val="-1"/>
        <w:sz w:val="20"/>
        <w:szCs w:val="20"/>
      </w:rPr>
      <w:t>3</w:t>
    </w:r>
    <w:r w:rsidRPr="00F541B9">
      <w:rPr>
        <w:rFonts w:ascii="Times New Roman" w:hAnsi="Times New Roman" w:cs="Times New Roman"/>
        <w:b/>
        <w:bCs/>
        <w:i/>
        <w:color w:val="2E74B5"/>
        <w:sz w:val="20"/>
        <w:szCs w:val="20"/>
      </w:rPr>
      <w:t>):</w:t>
    </w:r>
    <w:r w:rsidRPr="00F541B9">
      <w:rPr>
        <w:rFonts w:ascii="Times New Roman" w:hAnsi="Times New Roman" w:cs="Times New Roman"/>
        <w:b/>
        <w:bCs/>
        <w:i/>
        <w:color w:val="2E74B5"/>
        <w:spacing w:val="-1"/>
        <w:sz w:val="20"/>
        <w:szCs w:val="20"/>
      </w:rPr>
      <w:t xml:space="preserve"> </w:t>
    </w:r>
    <w:r w:rsidR="00E10B96">
      <w:rPr>
        <w:rFonts w:ascii="Times New Roman" w:hAnsi="Times New Roman" w:cs="Times New Roman"/>
        <w:b/>
        <w:bCs/>
        <w:i/>
        <w:color w:val="2E74B5"/>
        <w:spacing w:val="-1"/>
        <w:sz w:val="20"/>
        <w:szCs w:val="20"/>
      </w:rPr>
      <w:t>114</w:t>
    </w:r>
    <w:r>
      <w:rPr>
        <w:rFonts w:ascii="Times New Roman" w:hAnsi="Times New Roman" w:cs="Times New Roman"/>
        <w:b/>
        <w:bCs/>
        <w:i/>
        <w:color w:val="2E74B5"/>
        <w:spacing w:val="-1"/>
        <w:sz w:val="20"/>
        <w:szCs w:val="20"/>
      </w:rPr>
      <w:t>-</w:t>
    </w:r>
    <w:r w:rsidR="00E10B96">
      <w:rPr>
        <w:rFonts w:ascii="Times New Roman" w:hAnsi="Times New Roman" w:cs="Times New Roman"/>
        <w:b/>
        <w:bCs/>
        <w:i/>
        <w:color w:val="2E74B5"/>
        <w:spacing w:val="-1"/>
        <w:sz w:val="20"/>
        <w:szCs w:val="20"/>
      </w:rPr>
      <w:t>123</w:t>
    </w:r>
    <w:r>
      <w:rPr>
        <w:rFonts w:ascii="Times New Roman" w:hAnsi="Times New Roman" w:cs="Times New Roman"/>
        <w:b/>
        <w:i/>
        <w:color w:val="365F91" w:themeColor="accent1" w:themeShade="BF"/>
        <w:sz w:val="18"/>
        <w:szCs w:val="18"/>
      </w:rPr>
      <w:tab/>
      <w:t xml:space="preserve"> </w:t>
    </w:r>
    <w:r>
      <w:rPr>
        <w:rFonts w:ascii="Times New Roman" w:hAnsi="Times New Roman" w:cs="Times New Roman"/>
        <w:b/>
        <w:i/>
        <w:color w:val="365F91" w:themeColor="accent1" w:themeShade="BF"/>
        <w:sz w:val="18"/>
        <w:szCs w:val="18"/>
      </w:rPr>
      <w:tab/>
    </w:r>
    <w:r>
      <w:rPr>
        <w:rFonts w:ascii="Times New Roman" w:hAnsi="Times New Roman" w:cs="Times New Roman"/>
        <w:b/>
        <w:bCs/>
        <w:i/>
        <w:color w:val="2E74B5"/>
        <w:sz w:val="20"/>
        <w:szCs w:val="20"/>
      </w:rPr>
      <w:t xml:space="preserve">DOI: </w:t>
    </w:r>
    <w:r w:rsidRPr="00F541B9">
      <w:rPr>
        <w:rFonts w:ascii="Times New Roman" w:hAnsi="Times New Roman" w:cs="Times New Roman"/>
        <w:b/>
        <w:bCs/>
        <w:i/>
        <w:color w:val="2E74B5"/>
        <w:sz w:val="20"/>
        <w:szCs w:val="20"/>
      </w:rPr>
      <w:t>10.26502/jfsnr</w:t>
    </w:r>
    <w:r>
      <w:rPr>
        <w:rFonts w:ascii="Times New Roman" w:hAnsi="Times New Roman" w:cs="Times New Roman"/>
        <w:b/>
        <w:bCs/>
        <w:i/>
        <w:color w:val="2E74B5"/>
        <w:sz w:val="20"/>
        <w:szCs w:val="20"/>
      </w:rPr>
      <w:t>.2642-1100</w:t>
    </w:r>
    <w:r w:rsidRPr="00F541B9">
      <w:rPr>
        <w:rFonts w:ascii="Times New Roman" w:hAnsi="Times New Roman" w:cs="Times New Roman"/>
        <w:b/>
        <w:bCs/>
        <w:i/>
        <w:color w:val="2E74B5"/>
        <w:sz w:val="20"/>
        <w:szCs w:val="20"/>
      </w:rPr>
      <w:t>0</w:t>
    </w:r>
    <w:r>
      <w:rPr>
        <w:rFonts w:ascii="Times New Roman" w:hAnsi="Times New Roman" w:cs="Times New Roman"/>
        <w:b/>
        <w:bCs/>
        <w:i/>
        <w:color w:val="2E74B5"/>
        <w:sz w:val="20"/>
        <w:szCs w:val="20"/>
      </w:rPr>
      <w:t>01</w:t>
    </w:r>
    <w:r w:rsidR="006F3DA3">
      <w:rPr>
        <w:rFonts w:ascii="Times New Roman" w:hAnsi="Times New Roman" w:cs="Times New Roman"/>
        <w:b/>
        <w:bCs/>
        <w:i/>
        <w:color w:val="2E74B5"/>
        <w:sz w:val="20"/>
        <w:szCs w:val="20"/>
      </w:rPr>
      <w:t>9</w:t>
    </w:r>
    <w:r w:rsidR="008558C4">
      <w:rPr>
        <w:rFonts w:ascii="Times New Roman" w:hAnsi="Times New Roman" w:cs="Times New Roman"/>
        <w:b/>
        <w:bCs/>
        <w:i/>
        <w:color w:val="2E74B5"/>
        <w:sz w:val="20"/>
        <w:szCs w:val="20"/>
      </w:rPr>
      <w:t>9</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FA1"/>
    <w:multiLevelType w:val="hybridMultilevel"/>
    <w:tmpl w:val="B72E1498"/>
    <w:lvl w:ilvl="0" w:tplc="89E0E4FA">
      <w:start w:val="1"/>
      <w:numFmt w:val="decimal"/>
      <w:lvlText w:val="%1."/>
      <w:lvlJc w:val="left"/>
      <w:pPr>
        <w:ind w:left="1077" w:hanging="360"/>
      </w:pPr>
      <w:rPr>
        <w:rFonts w:ascii="Times New Roman" w:hAnsi="Times New Roman" w:cs="Times New Roman" w:hint="default"/>
        <w:b w:val="0"/>
        <w:bCs w:val="0"/>
        <w:sz w:val="20"/>
        <w:szCs w:val="20"/>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 w15:restartNumberingAfterBreak="0">
    <w:nsid w:val="0759040A"/>
    <w:multiLevelType w:val="hybridMultilevel"/>
    <w:tmpl w:val="41C456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8CE7C0D"/>
    <w:multiLevelType w:val="hybridMultilevel"/>
    <w:tmpl w:val="9F3C2E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A807D9F"/>
    <w:multiLevelType w:val="hybridMultilevel"/>
    <w:tmpl w:val="2132DF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BFD24B6"/>
    <w:multiLevelType w:val="hybridMultilevel"/>
    <w:tmpl w:val="0F8270D0"/>
    <w:lvl w:ilvl="0" w:tplc="7646FDE0">
      <w:numFmt w:val="bullet"/>
      <w:lvlText w:val=""/>
      <w:lvlJc w:val="left"/>
      <w:pPr>
        <w:ind w:left="720" w:hanging="360"/>
      </w:pPr>
      <w:rPr>
        <w:rFonts w:ascii="Times New Roman" w:eastAsia="DengXi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F1D70EA"/>
    <w:multiLevelType w:val="hybridMultilevel"/>
    <w:tmpl w:val="8522E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2905939"/>
    <w:multiLevelType w:val="multilevel"/>
    <w:tmpl w:val="20FEF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1B1B87"/>
    <w:multiLevelType w:val="hybridMultilevel"/>
    <w:tmpl w:val="1692497C"/>
    <w:lvl w:ilvl="0" w:tplc="40090019">
      <w:start w:val="1"/>
      <w:numFmt w:val="lowerLetter"/>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6962AFD"/>
    <w:multiLevelType w:val="hybridMultilevel"/>
    <w:tmpl w:val="B13492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B1E7F14"/>
    <w:multiLevelType w:val="hybridMultilevel"/>
    <w:tmpl w:val="CFEE77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D5C0ACC"/>
    <w:multiLevelType w:val="hybridMultilevel"/>
    <w:tmpl w:val="F052315E"/>
    <w:lvl w:ilvl="0" w:tplc="45FAD362">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E0E36B8"/>
    <w:multiLevelType w:val="hybridMultilevel"/>
    <w:tmpl w:val="04163500"/>
    <w:lvl w:ilvl="0" w:tplc="929E4612">
      <w:start w:val="1"/>
      <w:numFmt w:val="bullet"/>
      <w:lvlText w:val="●"/>
      <w:lvlJc w:val="left"/>
      <w:pPr>
        <w:ind w:left="720" w:hanging="360"/>
      </w:pPr>
    </w:lvl>
    <w:lvl w:ilvl="1" w:tplc="908A7D3A">
      <w:start w:val="1"/>
      <w:numFmt w:val="bullet"/>
      <w:lvlText w:val="○"/>
      <w:lvlJc w:val="left"/>
      <w:pPr>
        <w:ind w:left="1440" w:hanging="360"/>
      </w:pPr>
    </w:lvl>
    <w:lvl w:ilvl="2" w:tplc="761C8280">
      <w:start w:val="1"/>
      <w:numFmt w:val="bullet"/>
      <w:lvlText w:val="■"/>
      <w:lvlJc w:val="left"/>
      <w:pPr>
        <w:ind w:left="2160" w:hanging="360"/>
      </w:pPr>
    </w:lvl>
    <w:lvl w:ilvl="3" w:tplc="0DD273E4">
      <w:start w:val="1"/>
      <w:numFmt w:val="bullet"/>
      <w:lvlText w:val="●"/>
      <w:lvlJc w:val="left"/>
      <w:pPr>
        <w:ind w:left="2880" w:hanging="360"/>
      </w:pPr>
    </w:lvl>
    <w:lvl w:ilvl="4" w:tplc="96303552">
      <w:start w:val="1"/>
      <w:numFmt w:val="bullet"/>
      <w:lvlText w:val="○"/>
      <w:lvlJc w:val="left"/>
      <w:pPr>
        <w:ind w:left="3600" w:hanging="360"/>
      </w:pPr>
    </w:lvl>
    <w:lvl w:ilvl="5" w:tplc="0B6696E6">
      <w:start w:val="1"/>
      <w:numFmt w:val="bullet"/>
      <w:lvlText w:val="■"/>
      <w:lvlJc w:val="left"/>
      <w:pPr>
        <w:ind w:left="4320" w:hanging="360"/>
      </w:pPr>
    </w:lvl>
    <w:lvl w:ilvl="6" w:tplc="811A68D2">
      <w:start w:val="1"/>
      <w:numFmt w:val="bullet"/>
      <w:lvlText w:val="●"/>
      <w:lvlJc w:val="left"/>
      <w:pPr>
        <w:ind w:left="5040" w:hanging="360"/>
      </w:pPr>
    </w:lvl>
    <w:lvl w:ilvl="7" w:tplc="9CDAEACC">
      <w:start w:val="1"/>
      <w:numFmt w:val="bullet"/>
      <w:lvlText w:val="●"/>
      <w:lvlJc w:val="left"/>
      <w:pPr>
        <w:ind w:left="5760" w:hanging="360"/>
      </w:pPr>
    </w:lvl>
    <w:lvl w:ilvl="8" w:tplc="55065F56">
      <w:start w:val="1"/>
      <w:numFmt w:val="bullet"/>
      <w:lvlText w:val="●"/>
      <w:lvlJc w:val="left"/>
      <w:pPr>
        <w:ind w:left="6480" w:hanging="360"/>
      </w:pPr>
    </w:lvl>
  </w:abstractNum>
  <w:abstractNum w:abstractNumId="12" w15:restartNumberingAfterBreak="0">
    <w:nsid w:val="20F872FA"/>
    <w:multiLevelType w:val="hybridMultilevel"/>
    <w:tmpl w:val="34D2A52C"/>
    <w:lvl w:ilvl="0" w:tplc="F5A2F59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1AA379F"/>
    <w:multiLevelType w:val="multilevel"/>
    <w:tmpl w:val="3A7403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5E118C"/>
    <w:multiLevelType w:val="hybridMultilevel"/>
    <w:tmpl w:val="E14EED9E"/>
    <w:lvl w:ilvl="0" w:tplc="48BE1FCA">
      <w:start w:val="1"/>
      <w:numFmt w:val="decimal"/>
      <w:lvlText w:val="%1."/>
      <w:lvlJc w:val="left"/>
      <w:pPr>
        <w:ind w:left="720" w:hanging="360"/>
      </w:pPr>
      <w:rPr>
        <w:rFonts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51D145D"/>
    <w:multiLevelType w:val="hybridMultilevel"/>
    <w:tmpl w:val="3E1AF4A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8225F0B"/>
    <w:multiLevelType w:val="hybridMultilevel"/>
    <w:tmpl w:val="F956F4AE"/>
    <w:lvl w:ilvl="0" w:tplc="4009000F">
      <w:start w:val="1"/>
      <w:numFmt w:val="decimal"/>
      <w:lvlText w:val="%1."/>
      <w:lvlJc w:val="left"/>
      <w:pPr>
        <w:ind w:left="1145" w:hanging="360"/>
      </w:pPr>
    </w:lvl>
    <w:lvl w:ilvl="1" w:tplc="40090019" w:tentative="1">
      <w:start w:val="1"/>
      <w:numFmt w:val="lowerLetter"/>
      <w:lvlText w:val="%2."/>
      <w:lvlJc w:val="left"/>
      <w:pPr>
        <w:ind w:left="1865" w:hanging="360"/>
      </w:pPr>
    </w:lvl>
    <w:lvl w:ilvl="2" w:tplc="4009001B" w:tentative="1">
      <w:start w:val="1"/>
      <w:numFmt w:val="lowerRoman"/>
      <w:lvlText w:val="%3."/>
      <w:lvlJc w:val="right"/>
      <w:pPr>
        <w:ind w:left="2585" w:hanging="180"/>
      </w:pPr>
    </w:lvl>
    <w:lvl w:ilvl="3" w:tplc="4009000F" w:tentative="1">
      <w:start w:val="1"/>
      <w:numFmt w:val="decimal"/>
      <w:lvlText w:val="%4."/>
      <w:lvlJc w:val="left"/>
      <w:pPr>
        <w:ind w:left="3305" w:hanging="360"/>
      </w:pPr>
    </w:lvl>
    <w:lvl w:ilvl="4" w:tplc="40090019" w:tentative="1">
      <w:start w:val="1"/>
      <w:numFmt w:val="lowerLetter"/>
      <w:lvlText w:val="%5."/>
      <w:lvlJc w:val="left"/>
      <w:pPr>
        <w:ind w:left="4025" w:hanging="360"/>
      </w:pPr>
    </w:lvl>
    <w:lvl w:ilvl="5" w:tplc="4009001B" w:tentative="1">
      <w:start w:val="1"/>
      <w:numFmt w:val="lowerRoman"/>
      <w:lvlText w:val="%6."/>
      <w:lvlJc w:val="right"/>
      <w:pPr>
        <w:ind w:left="4745" w:hanging="180"/>
      </w:pPr>
    </w:lvl>
    <w:lvl w:ilvl="6" w:tplc="4009000F" w:tentative="1">
      <w:start w:val="1"/>
      <w:numFmt w:val="decimal"/>
      <w:lvlText w:val="%7."/>
      <w:lvlJc w:val="left"/>
      <w:pPr>
        <w:ind w:left="5465" w:hanging="360"/>
      </w:pPr>
    </w:lvl>
    <w:lvl w:ilvl="7" w:tplc="40090019" w:tentative="1">
      <w:start w:val="1"/>
      <w:numFmt w:val="lowerLetter"/>
      <w:lvlText w:val="%8."/>
      <w:lvlJc w:val="left"/>
      <w:pPr>
        <w:ind w:left="6185" w:hanging="360"/>
      </w:pPr>
    </w:lvl>
    <w:lvl w:ilvl="8" w:tplc="4009001B" w:tentative="1">
      <w:start w:val="1"/>
      <w:numFmt w:val="lowerRoman"/>
      <w:lvlText w:val="%9."/>
      <w:lvlJc w:val="right"/>
      <w:pPr>
        <w:ind w:left="6905" w:hanging="180"/>
      </w:pPr>
    </w:lvl>
  </w:abstractNum>
  <w:abstractNum w:abstractNumId="17" w15:restartNumberingAfterBreak="0">
    <w:nsid w:val="2B157BAA"/>
    <w:multiLevelType w:val="hybridMultilevel"/>
    <w:tmpl w:val="FC14147A"/>
    <w:lvl w:ilvl="0" w:tplc="73C23454">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6C97582"/>
    <w:multiLevelType w:val="hybridMultilevel"/>
    <w:tmpl w:val="7610AC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AA91C20"/>
    <w:multiLevelType w:val="hybridMultilevel"/>
    <w:tmpl w:val="F040884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B64383B"/>
    <w:multiLevelType w:val="hybridMultilevel"/>
    <w:tmpl w:val="134EE8D8"/>
    <w:lvl w:ilvl="0" w:tplc="3B8A793A">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D5404D6"/>
    <w:multiLevelType w:val="multilevel"/>
    <w:tmpl w:val="5D5E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620356"/>
    <w:multiLevelType w:val="hybridMultilevel"/>
    <w:tmpl w:val="71FC63A0"/>
    <w:lvl w:ilvl="0" w:tplc="50EA83E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E795FDC"/>
    <w:multiLevelType w:val="hybridMultilevel"/>
    <w:tmpl w:val="721AEB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5E64E2A"/>
    <w:multiLevelType w:val="hybridMultilevel"/>
    <w:tmpl w:val="7DD4BE80"/>
    <w:lvl w:ilvl="0" w:tplc="EC2CEC0E">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26" w15:restartNumberingAfterBreak="0">
    <w:nsid w:val="47CB74F9"/>
    <w:multiLevelType w:val="multilevel"/>
    <w:tmpl w:val="B0622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582960"/>
    <w:multiLevelType w:val="multilevel"/>
    <w:tmpl w:val="02E6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70C24"/>
    <w:multiLevelType w:val="hybridMultilevel"/>
    <w:tmpl w:val="196A36B2"/>
    <w:lvl w:ilvl="0" w:tplc="611A840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C0441C2"/>
    <w:multiLevelType w:val="hybridMultilevel"/>
    <w:tmpl w:val="BE626B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C667DA4"/>
    <w:multiLevelType w:val="hybridMultilevel"/>
    <w:tmpl w:val="C6261C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0927FCD"/>
    <w:multiLevelType w:val="hybridMultilevel"/>
    <w:tmpl w:val="A5B812E6"/>
    <w:lvl w:ilvl="0" w:tplc="B324FDAE">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32" w15:restartNumberingAfterBreak="0">
    <w:nsid w:val="61D0259D"/>
    <w:multiLevelType w:val="hybridMultilevel"/>
    <w:tmpl w:val="A57E8696"/>
    <w:lvl w:ilvl="0" w:tplc="06F4079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3" w15:restartNumberingAfterBreak="0">
    <w:nsid w:val="66092CCA"/>
    <w:multiLevelType w:val="multilevel"/>
    <w:tmpl w:val="43267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95392D"/>
    <w:multiLevelType w:val="hybridMultilevel"/>
    <w:tmpl w:val="7CC40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6BD222B"/>
    <w:multiLevelType w:val="multilevel"/>
    <w:tmpl w:val="1D2ECB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A61AAC"/>
    <w:multiLevelType w:val="hybridMultilevel"/>
    <w:tmpl w:val="F8D460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7AD270C"/>
    <w:multiLevelType w:val="multilevel"/>
    <w:tmpl w:val="158C22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8C62FD1"/>
    <w:multiLevelType w:val="hybridMultilevel"/>
    <w:tmpl w:val="2AC0810E"/>
    <w:lvl w:ilvl="0" w:tplc="46D006AA">
      <w:numFmt w:val="bullet"/>
      <w:lvlText w:val=""/>
      <w:lvlJc w:val="left"/>
      <w:pPr>
        <w:ind w:left="720" w:hanging="36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9A370B4"/>
    <w:multiLevelType w:val="hybridMultilevel"/>
    <w:tmpl w:val="0CE89E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6A81265E"/>
    <w:multiLevelType w:val="multilevel"/>
    <w:tmpl w:val="5816DE3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C26676"/>
    <w:multiLevelType w:val="hybridMultilevel"/>
    <w:tmpl w:val="DC32E2E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6B195C93"/>
    <w:multiLevelType w:val="hybridMultilevel"/>
    <w:tmpl w:val="6C36CC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6DA64DC9"/>
    <w:multiLevelType w:val="multilevel"/>
    <w:tmpl w:val="95BA8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F03041"/>
    <w:multiLevelType w:val="hybridMultilevel"/>
    <w:tmpl w:val="C25010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6F3505A2"/>
    <w:multiLevelType w:val="hybridMultilevel"/>
    <w:tmpl w:val="40B269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6F607B0C"/>
    <w:multiLevelType w:val="hybridMultilevel"/>
    <w:tmpl w:val="1D9C472E"/>
    <w:lvl w:ilvl="0" w:tplc="40090001">
      <w:start w:val="1"/>
      <w:numFmt w:val="bullet"/>
      <w:lvlText w:val=""/>
      <w:lvlJc w:val="left"/>
      <w:pPr>
        <w:ind w:left="720" w:hanging="360"/>
      </w:pPr>
      <w:rPr>
        <w:rFonts w:ascii="Symbol" w:hAnsi="Symbol" w:hint="default"/>
      </w:rPr>
    </w:lvl>
    <w:lvl w:ilvl="1" w:tplc="2708DED2">
      <w:numFmt w:val="bullet"/>
      <w:lvlText w:val="•"/>
      <w:lvlJc w:val="left"/>
      <w:pPr>
        <w:ind w:left="2160" w:hanging="1080"/>
      </w:pPr>
      <w:rPr>
        <w:rFonts w:ascii="Times New Roman" w:eastAsia="Calibri"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97958D7"/>
    <w:multiLevelType w:val="hybridMultilevel"/>
    <w:tmpl w:val="8F9E4A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BEF47A2"/>
    <w:multiLevelType w:val="hybridMultilevel"/>
    <w:tmpl w:val="1944A1D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17364187">
    <w:abstractNumId w:val="18"/>
  </w:num>
  <w:num w:numId="2" w16cid:durableId="511383500">
    <w:abstractNumId w:val="9"/>
  </w:num>
  <w:num w:numId="3" w16cid:durableId="1687056807">
    <w:abstractNumId w:val="45"/>
  </w:num>
  <w:num w:numId="4" w16cid:durableId="348679703">
    <w:abstractNumId w:val="24"/>
  </w:num>
  <w:num w:numId="5" w16cid:durableId="72242110">
    <w:abstractNumId w:val="46"/>
  </w:num>
  <w:num w:numId="6" w16cid:durableId="2146386530">
    <w:abstractNumId w:val="47"/>
  </w:num>
  <w:num w:numId="7" w16cid:durableId="1437019609">
    <w:abstractNumId w:val="2"/>
  </w:num>
  <w:num w:numId="8" w16cid:durableId="1066760804">
    <w:abstractNumId w:val="5"/>
  </w:num>
  <w:num w:numId="9" w16cid:durableId="1713579267">
    <w:abstractNumId w:val="3"/>
  </w:num>
  <w:num w:numId="10" w16cid:durableId="982779529">
    <w:abstractNumId w:val="44"/>
  </w:num>
  <w:num w:numId="11" w16cid:durableId="1504008462">
    <w:abstractNumId w:val="19"/>
  </w:num>
  <w:num w:numId="12" w16cid:durableId="316299753">
    <w:abstractNumId w:val="0"/>
  </w:num>
  <w:num w:numId="13" w16cid:durableId="2059745306">
    <w:abstractNumId w:val="25"/>
  </w:num>
  <w:num w:numId="14" w16cid:durableId="554901653">
    <w:abstractNumId w:val="16"/>
  </w:num>
  <w:num w:numId="15" w16cid:durableId="1213227243">
    <w:abstractNumId w:val="31"/>
  </w:num>
  <w:num w:numId="16" w16cid:durableId="1238901604">
    <w:abstractNumId w:val="30"/>
  </w:num>
  <w:num w:numId="17" w16cid:durableId="1539463513">
    <w:abstractNumId w:val="39"/>
  </w:num>
  <w:num w:numId="18" w16cid:durableId="421414957">
    <w:abstractNumId w:val="4"/>
  </w:num>
  <w:num w:numId="19" w16cid:durableId="294680836">
    <w:abstractNumId w:val="34"/>
  </w:num>
  <w:num w:numId="20" w16cid:durableId="1152286442">
    <w:abstractNumId w:val="38"/>
  </w:num>
  <w:num w:numId="21" w16cid:durableId="1071542249">
    <w:abstractNumId w:val="37"/>
  </w:num>
  <w:num w:numId="22" w16cid:durableId="673343092">
    <w:abstractNumId w:val="27"/>
  </w:num>
  <w:num w:numId="23" w16cid:durableId="1204710140">
    <w:abstractNumId w:val="15"/>
  </w:num>
  <w:num w:numId="24" w16cid:durableId="869100128">
    <w:abstractNumId w:val="12"/>
  </w:num>
  <w:num w:numId="25" w16cid:durableId="632445790">
    <w:abstractNumId w:val="32"/>
  </w:num>
  <w:num w:numId="26" w16cid:durableId="1928228049">
    <w:abstractNumId w:val="48"/>
  </w:num>
  <w:num w:numId="27" w16cid:durableId="49697771">
    <w:abstractNumId w:val="41"/>
  </w:num>
  <w:num w:numId="28" w16cid:durableId="1982540678">
    <w:abstractNumId w:val="28"/>
  </w:num>
  <w:num w:numId="29" w16cid:durableId="1363438287">
    <w:abstractNumId w:val="20"/>
  </w:num>
  <w:num w:numId="30" w16cid:durableId="1240017525">
    <w:abstractNumId w:val="7"/>
  </w:num>
  <w:num w:numId="31" w16cid:durableId="816383742">
    <w:abstractNumId w:val="21"/>
  </w:num>
  <w:num w:numId="32" w16cid:durableId="180973813">
    <w:abstractNumId w:val="17"/>
  </w:num>
  <w:num w:numId="33" w16cid:durableId="238561432">
    <w:abstractNumId w:val="10"/>
  </w:num>
  <w:num w:numId="34" w16cid:durableId="518396612">
    <w:abstractNumId w:val="29"/>
  </w:num>
  <w:num w:numId="35" w16cid:durableId="656766377">
    <w:abstractNumId w:val="8"/>
  </w:num>
  <w:num w:numId="36" w16cid:durableId="1340039552">
    <w:abstractNumId w:val="23"/>
  </w:num>
  <w:num w:numId="37" w16cid:durableId="2125726916">
    <w:abstractNumId w:val="1"/>
  </w:num>
  <w:num w:numId="38" w16cid:durableId="857934654">
    <w:abstractNumId w:val="11"/>
    <w:lvlOverride w:ilvl="0">
      <w:startOverride w:val="1"/>
    </w:lvlOverride>
  </w:num>
  <w:num w:numId="39" w16cid:durableId="2031442984">
    <w:abstractNumId w:val="43"/>
  </w:num>
  <w:num w:numId="40" w16cid:durableId="334919002">
    <w:abstractNumId w:val="35"/>
  </w:num>
  <w:num w:numId="41" w16cid:durableId="807168756">
    <w:abstractNumId w:val="40"/>
  </w:num>
  <w:num w:numId="42" w16cid:durableId="1017469233">
    <w:abstractNumId w:val="13"/>
  </w:num>
  <w:num w:numId="43" w16cid:durableId="797379860">
    <w:abstractNumId w:val="42"/>
  </w:num>
  <w:num w:numId="44" w16cid:durableId="666253845">
    <w:abstractNumId w:val="36"/>
  </w:num>
  <w:num w:numId="45" w16cid:durableId="1914848357">
    <w:abstractNumId w:val="14"/>
  </w:num>
  <w:num w:numId="46" w16cid:durableId="111635226">
    <w:abstractNumId w:val="26"/>
  </w:num>
  <w:num w:numId="47" w16cid:durableId="714037547">
    <w:abstractNumId w:val="6"/>
  </w:num>
  <w:num w:numId="48" w16cid:durableId="190339588">
    <w:abstractNumId w:val="22"/>
  </w:num>
  <w:num w:numId="49" w16cid:durableId="187259727">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6CF"/>
    <w:rsid w:val="000017B7"/>
    <w:rsid w:val="00001FB0"/>
    <w:rsid w:val="000027C2"/>
    <w:rsid w:val="00002C88"/>
    <w:rsid w:val="00002CC0"/>
    <w:rsid w:val="000039C4"/>
    <w:rsid w:val="000041B4"/>
    <w:rsid w:val="00004314"/>
    <w:rsid w:val="00004465"/>
    <w:rsid w:val="00004AAD"/>
    <w:rsid w:val="00004B90"/>
    <w:rsid w:val="00004E80"/>
    <w:rsid w:val="00004F02"/>
    <w:rsid w:val="00004FE5"/>
    <w:rsid w:val="00005876"/>
    <w:rsid w:val="000060E9"/>
    <w:rsid w:val="0000627B"/>
    <w:rsid w:val="00006645"/>
    <w:rsid w:val="000067C7"/>
    <w:rsid w:val="00006985"/>
    <w:rsid w:val="00006A82"/>
    <w:rsid w:val="00006D7F"/>
    <w:rsid w:val="00006DC8"/>
    <w:rsid w:val="00007156"/>
    <w:rsid w:val="0000723C"/>
    <w:rsid w:val="000073D6"/>
    <w:rsid w:val="0000755C"/>
    <w:rsid w:val="00007D30"/>
    <w:rsid w:val="00007E48"/>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50"/>
    <w:rsid w:val="00015D3F"/>
    <w:rsid w:val="00015EBE"/>
    <w:rsid w:val="000173F3"/>
    <w:rsid w:val="00017406"/>
    <w:rsid w:val="00017715"/>
    <w:rsid w:val="00017935"/>
    <w:rsid w:val="00017A69"/>
    <w:rsid w:val="000200B0"/>
    <w:rsid w:val="000203AF"/>
    <w:rsid w:val="0002077E"/>
    <w:rsid w:val="00020CB2"/>
    <w:rsid w:val="00020F7C"/>
    <w:rsid w:val="00021254"/>
    <w:rsid w:val="00021AFD"/>
    <w:rsid w:val="00021E53"/>
    <w:rsid w:val="00021F19"/>
    <w:rsid w:val="00021F86"/>
    <w:rsid w:val="000223F6"/>
    <w:rsid w:val="0002287E"/>
    <w:rsid w:val="000232DB"/>
    <w:rsid w:val="000233E6"/>
    <w:rsid w:val="00023D69"/>
    <w:rsid w:val="00023DBE"/>
    <w:rsid w:val="00023F64"/>
    <w:rsid w:val="000240AF"/>
    <w:rsid w:val="00024668"/>
    <w:rsid w:val="00024A98"/>
    <w:rsid w:val="00025EF7"/>
    <w:rsid w:val="00026E02"/>
    <w:rsid w:val="00027BD9"/>
    <w:rsid w:val="00027EAB"/>
    <w:rsid w:val="00027FE9"/>
    <w:rsid w:val="00031954"/>
    <w:rsid w:val="00031BFD"/>
    <w:rsid w:val="00031FB8"/>
    <w:rsid w:val="000322CF"/>
    <w:rsid w:val="00032624"/>
    <w:rsid w:val="00032E84"/>
    <w:rsid w:val="000330C6"/>
    <w:rsid w:val="0003349E"/>
    <w:rsid w:val="00033764"/>
    <w:rsid w:val="00033A45"/>
    <w:rsid w:val="00033DE7"/>
    <w:rsid w:val="00034121"/>
    <w:rsid w:val="0003449C"/>
    <w:rsid w:val="00034722"/>
    <w:rsid w:val="000348C4"/>
    <w:rsid w:val="00034CBA"/>
    <w:rsid w:val="0003519A"/>
    <w:rsid w:val="000354E7"/>
    <w:rsid w:val="00035857"/>
    <w:rsid w:val="0003588A"/>
    <w:rsid w:val="00036031"/>
    <w:rsid w:val="0003619B"/>
    <w:rsid w:val="00036615"/>
    <w:rsid w:val="00036866"/>
    <w:rsid w:val="00036D79"/>
    <w:rsid w:val="00036FAE"/>
    <w:rsid w:val="000376AB"/>
    <w:rsid w:val="00037A68"/>
    <w:rsid w:val="000400A7"/>
    <w:rsid w:val="00040242"/>
    <w:rsid w:val="00040703"/>
    <w:rsid w:val="0004074D"/>
    <w:rsid w:val="0004089F"/>
    <w:rsid w:val="000409AA"/>
    <w:rsid w:val="00040A76"/>
    <w:rsid w:val="00040D9A"/>
    <w:rsid w:val="0004154F"/>
    <w:rsid w:val="00041834"/>
    <w:rsid w:val="000418D2"/>
    <w:rsid w:val="00041AA2"/>
    <w:rsid w:val="00042405"/>
    <w:rsid w:val="000424B8"/>
    <w:rsid w:val="000428C0"/>
    <w:rsid w:val="0004296B"/>
    <w:rsid w:val="00042BBD"/>
    <w:rsid w:val="00042FE3"/>
    <w:rsid w:val="00042FE8"/>
    <w:rsid w:val="000430D3"/>
    <w:rsid w:val="000436C7"/>
    <w:rsid w:val="00043AEC"/>
    <w:rsid w:val="00043DDA"/>
    <w:rsid w:val="0004436D"/>
    <w:rsid w:val="0004501A"/>
    <w:rsid w:val="00045249"/>
    <w:rsid w:val="000452C3"/>
    <w:rsid w:val="0004546E"/>
    <w:rsid w:val="00045C18"/>
    <w:rsid w:val="00045F6B"/>
    <w:rsid w:val="0004678A"/>
    <w:rsid w:val="0004683A"/>
    <w:rsid w:val="00046C90"/>
    <w:rsid w:val="00046F68"/>
    <w:rsid w:val="000472C6"/>
    <w:rsid w:val="000475A6"/>
    <w:rsid w:val="000476DB"/>
    <w:rsid w:val="000509DE"/>
    <w:rsid w:val="00050CE7"/>
    <w:rsid w:val="00051007"/>
    <w:rsid w:val="000512BD"/>
    <w:rsid w:val="000516EE"/>
    <w:rsid w:val="00052088"/>
    <w:rsid w:val="000528D1"/>
    <w:rsid w:val="00052F50"/>
    <w:rsid w:val="000530DE"/>
    <w:rsid w:val="000530FF"/>
    <w:rsid w:val="0005339E"/>
    <w:rsid w:val="000538E6"/>
    <w:rsid w:val="00053A6B"/>
    <w:rsid w:val="00053D18"/>
    <w:rsid w:val="000542A9"/>
    <w:rsid w:val="0005496B"/>
    <w:rsid w:val="000550A0"/>
    <w:rsid w:val="00055667"/>
    <w:rsid w:val="00055899"/>
    <w:rsid w:val="00055968"/>
    <w:rsid w:val="00055AC7"/>
    <w:rsid w:val="00055CB5"/>
    <w:rsid w:val="00055F9A"/>
    <w:rsid w:val="00057298"/>
    <w:rsid w:val="000577A8"/>
    <w:rsid w:val="00057D88"/>
    <w:rsid w:val="00057FAE"/>
    <w:rsid w:val="0006037E"/>
    <w:rsid w:val="00060457"/>
    <w:rsid w:val="00060613"/>
    <w:rsid w:val="00060B34"/>
    <w:rsid w:val="00060B53"/>
    <w:rsid w:val="00060C14"/>
    <w:rsid w:val="00060CCE"/>
    <w:rsid w:val="000611D2"/>
    <w:rsid w:val="000611D6"/>
    <w:rsid w:val="0006200D"/>
    <w:rsid w:val="0006226B"/>
    <w:rsid w:val="00062D64"/>
    <w:rsid w:val="000631B5"/>
    <w:rsid w:val="00063436"/>
    <w:rsid w:val="00063477"/>
    <w:rsid w:val="00063B87"/>
    <w:rsid w:val="000645FD"/>
    <w:rsid w:val="0006472E"/>
    <w:rsid w:val="00064E15"/>
    <w:rsid w:val="000659ED"/>
    <w:rsid w:val="00065CD7"/>
    <w:rsid w:val="00065F85"/>
    <w:rsid w:val="00066680"/>
    <w:rsid w:val="00066B0A"/>
    <w:rsid w:val="00066D99"/>
    <w:rsid w:val="00066E4C"/>
    <w:rsid w:val="000676FA"/>
    <w:rsid w:val="00067866"/>
    <w:rsid w:val="000678FD"/>
    <w:rsid w:val="00067BAB"/>
    <w:rsid w:val="00067DD9"/>
    <w:rsid w:val="000701EE"/>
    <w:rsid w:val="000703AC"/>
    <w:rsid w:val="00070702"/>
    <w:rsid w:val="00070929"/>
    <w:rsid w:val="0007095D"/>
    <w:rsid w:val="00070963"/>
    <w:rsid w:val="00070C70"/>
    <w:rsid w:val="00070DC1"/>
    <w:rsid w:val="0007111A"/>
    <w:rsid w:val="000715E6"/>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A56"/>
    <w:rsid w:val="00076E2A"/>
    <w:rsid w:val="00076FDF"/>
    <w:rsid w:val="000778C3"/>
    <w:rsid w:val="000779E5"/>
    <w:rsid w:val="00077CE5"/>
    <w:rsid w:val="00077D95"/>
    <w:rsid w:val="00077E8E"/>
    <w:rsid w:val="000803B5"/>
    <w:rsid w:val="0008090A"/>
    <w:rsid w:val="00080D91"/>
    <w:rsid w:val="00080F0C"/>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539"/>
    <w:rsid w:val="0009230C"/>
    <w:rsid w:val="000924CB"/>
    <w:rsid w:val="0009273F"/>
    <w:rsid w:val="000927EE"/>
    <w:rsid w:val="000933A4"/>
    <w:rsid w:val="00093431"/>
    <w:rsid w:val="0009378E"/>
    <w:rsid w:val="00093BB6"/>
    <w:rsid w:val="00093BC7"/>
    <w:rsid w:val="00094D08"/>
    <w:rsid w:val="00095606"/>
    <w:rsid w:val="000956DA"/>
    <w:rsid w:val="00095835"/>
    <w:rsid w:val="000959EA"/>
    <w:rsid w:val="00095C07"/>
    <w:rsid w:val="000964CD"/>
    <w:rsid w:val="000967BF"/>
    <w:rsid w:val="00096895"/>
    <w:rsid w:val="00096C16"/>
    <w:rsid w:val="00096DD0"/>
    <w:rsid w:val="00097B03"/>
    <w:rsid w:val="000A0F4D"/>
    <w:rsid w:val="000A1156"/>
    <w:rsid w:val="000A1241"/>
    <w:rsid w:val="000A1553"/>
    <w:rsid w:val="000A1CA0"/>
    <w:rsid w:val="000A2B48"/>
    <w:rsid w:val="000A2D08"/>
    <w:rsid w:val="000A316C"/>
    <w:rsid w:val="000A38BF"/>
    <w:rsid w:val="000A3EEB"/>
    <w:rsid w:val="000A3F8D"/>
    <w:rsid w:val="000A43F8"/>
    <w:rsid w:val="000A44B9"/>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6D08"/>
    <w:rsid w:val="000B7441"/>
    <w:rsid w:val="000B765C"/>
    <w:rsid w:val="000B7ACA"/>
    <w:rsid w:val="000B7BC1"/>
    <w:rsid w:val="000B7BCB"/>
    <w:rsid w:val="000B7BDD"/>
    <w:rsid w:val="000B7CD8"/>
    <w:rsid w:val="000B7F3F"/>
    <w:rsid w:val="000C045E"/>
    <w:rsid w:val="000C05CA"/>
    <w:rsid w:val="000C0E1C"/>
    <w:rsid w:val="000C107E"/>
    <w:rsid w:val="000C155B"/>
    <w:rsid w:val="000C15E8"/>
    <w:rsid w:val="000C1CA1"/>
    <w:rsid w:val="000C242E"/>
    <w:rsid w:val="000C2A7A"/>
    <w:rsid w:val="000C2AAC"/>
    <w:rsid w:val="000C2D94"/>
    <w:rsid w:val="000C3811"/>
    <w:rsid w:val="000C3C5B"/>
    <w:rsid w:val="000C40E7"/>
    <w:rsid w:val="000C4521"/>
    <w:rsid w:val="000C4A4B"/>
    <w:rsid w:val="000C5D85"/>
    <w:rsid w:val="000C5DAD"/>
    <w:rsid w:val="000C65E2"/>
    <w:rsid w:val="000C676E"/>
    <w:rsid w:val="000C6A6F"/>
    <w:rsid w:val="000C6EB0"/>
    <w:rsid w:val="000C6FB1"/>
    <w:rsid w:val="000C7720"/>
    <w:rsid w:val="000C7759"/>
    <w:rsid w:val="000C7888"/>
    <w:rsid w:val="000C78F7"/>
    <w:rsid w:val="000C7BF4"/>
    <w:rsid w:val="000C7D39"/>
    <w:rsid w:val="000C7E51"/>
    <w:rsid w:val="000D006A"/>
    <w:rsid w:val="000D050F"/>
    <w:rsid w:val="000D0643"/>
    <w:rsid w:val="000D07D9"/>
    <w:rsid w:val="000D0942"/>
    <w:rsid w:val="000D0BCE"/>
    <w:rsid w:val="000D0D8C"/>
    <w:rsid w:val="000D1390"/>
    <w:rsid w:val="000D1D6A"/>
    <w:rsid w:val="000D22CD"/>
    <w:rsid w:val="000D299E"/>
    <w:rsid w:val="000D3087"/>
    <w:rsid w:val="000D3516"/>
    <w:rsid w:val="000D3710"/>
    <w:rsid w:val="000D3A0D"/>
    <w:rsid w:val="000D3D79"/>
    <w:rsid w:val="000D41C8"/>
    <w:rsid w:val="000D4372"/>
    <w:rsid w:val="000D43AF"/>
    <w:rsid w:val="000D47F4"/>
    <w:rsid w:val="000D4821"/>
    <w:rsid w:val="000D4AA7"/>
    <w:rsid w:val="000D5137"/>
    <w:rsid w:val="000D5502"/>
    <w:rsid w:val="000D5CD9"/>
    <w:rsid w:val="000D6056"/>
    <w:rsid w:val="000D682C"/>
    <w:rsid w:val="000D6D66"/>
    <w:rsid w:val="000D6EF8"/>
    <w:rsid w:val="000D6F64"/>
    <w:rsid w:val="000D6F86"/>
    <w:rsid w:val="000D6FF6"/>
    <w:rsid w:val="000D71B3"/>
    <w:rsid w:val="000D7888"/>
    <w:rsid w:val="000D7C7B"/>
    <w:rsid w:val="000D7C8D"/>
    <w:rsid w:val="000D7E23"/>
    <w:rsid w:val="000E0415"/>
    <w:rsid w:val="000E0452"/>
    <w:rsid w:val="000E0BA0"/>
    <w:rsid w:val="000E11F6"/>
    <w:rsid w:val="000E23A3"/>
    <w:rsid w:val="000E2553"/>
    <w:rsid w:val="000E276A"/>
    <w:rsid w:val="000E3324"/>
    <w:rsid w:val="000E3576"/>
    <w:rsid w:val="000E35CE"/>
    <w:rsid w:val="000E3920"/>
    <w:rsid w:val="000E3FD3"/>
    <w:rsid w:val="000E3FEF"/>
    <w:rsid w:val="000E4561"/>
    <w:rsid w:val="000E4BDA"/>
    <w:rsid w:val="000E4FDD"/>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70E"/>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886"/>
    <w:rsid w:val="001208E3"/>
    <w:rsid w:val="00120959"/>
    <w:rsid w:val="001209FE"/>
    <w:rsid w:val="00120CF6"/>
    <w:rsid w:val="00120E5E"/>
    <w:rsid w:val="00121492"/>
    <w:rsid w:val="00121591"/>
    <w:rsid w:val="00121BC8"/>
    <w:rsid w:val="00122156"/>
    <w:rsid w:val="00122162"/>
    <w:rsid w:val="001222B5"/>
    <w:rsid w:val="001224A5"/>
    <w:rsid w:val="00122A38"/>
    <w:rsid w:val="00122A97"/>
    <w:rsid w:val="00122E16"/>
    <w:rsid w:val="001233A6"/>
    <w:rsid w:val="001234F9"/>
    <w:rsid w:val="00123530"/>
    <w:rsid w:val="00123B78"/>
    <w:rsid w:val="00123E3E"/>
    <w:rsid w:val="001242BB"/>
    <w:rsid w:val="00124D87"/>
    <w:rsid w:val="0012556F"/>
    <w:rsid w:val="00125FA3"/>
    <w:rsid w:val="00126A45"/>
    <w:rsid w:val="001272EA"/>
    <w:rsid w:val="0012786A"/>
    <w:rsid w:val="00130059"/>
    <w:rsid w:val="00130743"/>
    <w:rsid w:val="00130981"/>
    <w:rsid w:val="00130C6C"/>
    <w:rsid w:val="00130DF9"/>
    <w:rsid w:val="00131097"/>
    <w:rsid w:val="001316C6"/>
    <w:rsid w:val="00131E87"/>
    <w:rsid w:val="00131F86"/>
    <w:rsid w:val="001323BB"/>
    <w:rsid w:val="001323F3"/>
    <w:rsid w:val="00132780"/>
    <w:rsid w:val="00132AB0"/>
    <w:rsid w:val="00132B93"/>
    <w:rsid w:val="001355A2"/>
    <w:rsid w:val="00135C3B"/>
    <w:rsid w:val="00135C4E"/>
    <w:rsid w:val="00135D0E"/>
    <w:rsid w:val="00136998"/>
    <w:rsid w:val="00136B21"/>
    <w:rsid w:val="00136F71"/>
    <w:rsid w:val="00137474"/>
    <w:rsid w:val="0013793C"/>
    <w:rsid w:val="00137979"/>
    <w:rsid w:val="00137C09"/>
    <w:rsid w:val="00137C14"/>
    <w:rsid w:val="00137DB1"/>
    <w:rsid w:val="001404D3"/>
    <w:rsid w:val="001407B2"/>
    <w:rsid w:val="001409FF"/>
    <w:rsid w:val="00140AD7"/>
    <w:rsid w:val="00141236"/>
    <w:rsid w:val="00141910"/>
    <w:rsid w:val="00141AE9"/>
    <w:rsid w:val="00141E81"/>
    <w:rsid w:val="001428C7"/>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B55"/>
    <w:rsid w:val="00152D88"/>
    <w:rsid w:val="001532F5"/>
    <w:rsid w:val="00153442"/>
    <w:rsid w:val="0015356D"/>
    <w:rsid w:val="00153724"/>
    <w:rsid w:val="001539A4"/>
    <w:rsid w:val="00153FFD"/>
    <w:rsid w:val="0015571D"/>
    <w:rsid w:val="00155E12"/>
    <w:rsid w:val="00156405"/>
    <w:rsid w:val="00156672"/>
    <w:rsid w:val="00156A6F"/>
    <w:rsid w:val="00156A71"/>
    <w:rsid w:val="00156A9F"/>
    <w:rsid w:val="00156C45"/>
    <w:rsid w:val="00156F80"/>
    <w:rsid w:val="00157477"/>
    <w:rsid w:val="001574DD"/>
    <w:rsid w:val="001574FC"/>
    <w:rsid w:val="001575B1"/>
    <w:rsid w:val="001579D6"/>
    <w:rsid w:val="00157BFD"/>
    <w:rsid w:val="00157C88"/>
    <w:rsid w:val="001603F9"/>
    <w:rsid w:val="00160754"/>
    <w:rsid w:val="00160DA4"/>
    <w:rsid w:val="0016106B"/>
    <w:rsid w:val="0016144D"/>
    <w:rsid w:val="00161ED0"/>
    <w:rsid w:val="00162211"/>
    <w:rsid w:val="00162D1E"/>
    <w:rsid w:val="00162DFE"/>
    <w:rsid w:val="0016552B"/>
    <w:rsid w:val="00166460"/>
    <w:rsid w:val="00166B8A"/>
    <w:rsid w:val="00166CC4"/>
    <w:rsid w:val="00166EBD"/>
    <w:rsid w:val="0016711C"/>
    <w:rsid w:val="0016766B"/>
    <w:rsid w:val="00170B78"/>
    <w:rsid w:val="001714C5"/>
    <w:rsid w:val="00171BEB"/>
    <w:rsid w:val="00171E4B"/>
    <w:rsid w:val="001721D3"/>
    <w:rsid w:val="00172866"/>
    <w:rsid w:val="00173632"/>
    <w:rsid w:val="001736F5"/>
    <w:rsid w:val="00173D29"/>
    <w:rsid w:val="00173E42"/>
    <w:rsid w:val="00174132"/>
    <w:rsid w:val="0017473C"/>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D17"/>
    <w:rsid w:val="00191EF8"/>
    <w:rsid w:val="00191FFC"/>
    <w:rsid w:val="0019257A"/>
    <w:rsid w:val="001925C4"/>
    <w:rsid w:val="00192881"/>
    <w:rsid w:val="00192B83"/>
    <w:rsid w:val="00193107"/>
    <w:rsid w:val="001931D7"/>
    <w:rsid w:val="00193D00"/>
    <w:rsid w:val="00194140"/>
    <w:rsid w:val="001943C7"/>
    <w:rsid w:val="0019441B"/>
    <w:rsid w:val="001947DF"/>
    <w:rsid w:val="00194C61"/>
    <w:rsid w:val="00196031"/>
    <w:rsid w:val="00196392"/>
    <w:rsid w:val="00196AF7"/>
    <w:rsid w:val="00196ED7"/>
    <w:rsid w:val="001974C3"/>
    <w:rsid w:val="001977D8"/>
    <w:rsid w:val="00197EFC"/>
    <w:rsid w:val="001A0008"/>
    <w:rsid w:val="001A00AC"/>
    <w:rsid w:val="001A033D"/>
    <w:rsid w:val="001A0954"/>
    <w:rsid w:val="001A0C02"/>
    <w:rsid w:val="001A1399"/>
    <w:rsid w:val="001A205E"/>
    <w:rsid w:val="001A2204"/>
    <w:rsid w:val="001A256B"/>
    <w:rsid w:val="001A2B29"/>
    <w:rsid w:val="001A34FB"/>
    <w:rsid w:val="001A385B"/>
    <w:rsid w:val="001A4478"/>
    <w:rsid w:val="001A4C4D"/>
    <w:rsid w:val="001A537A"/>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ED4"/>
    <w:rsid w:val="001B61E8"/>
    <w:rsid w:val="001B620C"/>
    <w:rsid w:val="001B6543"/>
    <w:rsid w:val="001B66FF"/>
    <w:rsid w:val="001B6DF1"/>
    <w:rsid w:val="001B6F23"/>
    <w:rsid w:val="001B7385"/>
    <w:rsid w:val="001C025E"/>
    <w:rsid w:val="001C0856"/>
    <w:rsid w:val="001C1898"/>
    <w:rsid w:val="001C1B63"/>
    <w:rsid w:val="001C1E78"/>
    <w:rsid w:val="001C21FD"/>
    <w:rsid w:val="001C286F"/>
    <w:rsid w:val="001C34CE"/>
    <w:rsid w:val="001C37A6"/>
    <w:rsid w:val="001C4017"/>
    <w:rsid w:val="001C4123"/>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2BBB"/>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1A9"/>
    <w:rsid w:val="001D6207"/>
    <w:rsid w:val="001D6695"/>
    <w:rsid w:val="001D75F9"/>
    <w:rsid w:val="001D7DFC"/>
    <w:rsid w:val="001E005C"/>
    <w:rsid w:val="001E0748"/>
    <w:rsid w:val="001E0956"/>
    <w:rsid w:val="001E0BAC"/>
    <w:rsid w:val="001E1E38"/>
    <w:rsid w:val="001E20D4"/>
    <w:rsid w:val="001E2353"/>
    <w:rsid w:val="001E2471"/>
    <w:rsid w:val="001E27C2"/>
    <w:rsid w:val="001E2AC4"/>
    <w:rsid w:val="001E2BBF"/>
    <w:rsid w:val="001E3445"/>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6D0"/>
    <w:rsid w:val="001F4BC7"/>
    <w:rsid w:val="001F500B"/>
    <w:rsid w:val="001F50CD"/>
    <w:rsid w:val="001F53F0"/>
    <w:rsid w:val="001F54A3"/>
    <w:rsid w:val="001F581C"/>
    <w:rsid w:val="001F5970"/>
    <w:rsid w:val="001F5E43"/>
    <w:rsid w:val="001F5EDD"/>
    <w:rsid w:val="001F6C7A"/>
    <w:rsid w:val="001F712B"/>
    <w:rsid w:val="001F71BD"/>
    <w:rsid w:val="001F76AD"/>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7135"/>
    <w:rsid w:val="002071B7"/>
    <w:rsid w:val="00207656"/>
    <w:rsid w:val="00210302"/>
    <w:rsid w:val="002108A5"/>
    <w:rsid w:val="0021095A"/>
    <w:rsid w:val="00210B8F"/>
    <w:rsid w:val="00210BF2"/>
    <w:rsid w:val="00211078"/>
    <w:rsid w:val="002113BB"/>
    <w:rsid w:val="00211647"/>
    <w:rsid w:val="002118DB"/>
    <w:rsid w:val="00211A69"/>
    <w:rsid w:val="00211B9F"/>
    <w:rsid w:val="00211E4A"/>
    <w:rsid w:val="00211F82"/>
    <w:rsid w:val="002129E4"/>
    <w:rsid w:val="00212B84"/>
    <w:rsid w:val="00212C9A"/>
    <w:rsid w:val="0021332D"/>
    <w:rsid w:val="002133B8"/>
    <w:rsid w:val="00213553"/>
    <w:rsid w:val="0021369B"/>
    <w:rsid w:val="00213893"/>
    <w:rsid w:val="00213E0F"/>
    <w:rsid w:val="00214511"/>
    <w:rsid w:val="00214796"/>
    <w:rsid w:val="00214849"/>
    <w:rsid w:val="00214F0E"/>
    <w:rsid w:val="00214FF8"/>
    <w:rsid w:val="00215074"/>
    <w:rsid w:val="002153B8"/>
    <w:rsid w:val="002154A7"/>
    <w:rsid w:val="002156C6"/>
    <w:rsid w:val="00215B4C"/>
    <w:rsid w:val="002163AA"/>
    <w:rsid w:val="002169F4"/>
    <w:rsid w:val="00216B13"/>
    <w:rsid w:val="00216BAF"/>
    <w:rsid w:val="00216CFE"/>
    <w:rsid w:val="00217BBD"/>
    <w:rsid w:val="00217C86"/>
    <w:rsid w:val="00217F4B"/>
    <w:rsid w:val="002209B8"/>
    <w:rsid w:val="00220D00"/>
    <w:rsid w:val="00221504"/>
    <w:rsid w:val="002215E8"/>
    <w:rsid w:val="002217C8"/>
    <w:rsid w:val="00221D6B"/>
    <w:rsid w:val="00221EB8"/>
    <w:rsid w:val="00222586"/>
    <w:rsid w:val="00222A28"/>
    <w:rsid w:val="00222EF8"/>
    <w:rsid w:val="002231BE"/>
    <w:rsid w:val="0022322A"/>
    <w:rsid w:val="00223576"/>
    <w:rsid w:val="00223C10"/>
    <w:rsid w:val="00224445"/>
    <w:rsid w:val="00224720"/>
    <w:rsid w:val="002250AF"/>
    <w:rsid w:val="00225331"/>
    <w:rsid w:val="00225866"/>
    <w:rsid w:val="00225F1C"/>
    <w:rsid w:val="0022616F"/>
    <w:rsid w:val="00226422"/>
    <w:rsid w:val="0022665F"/>
    <w:rsid w:val="00226FB5"/>
    <w:rsid w:val="002272AA"/>
    <w:rsid w:val="002275CB"/>
    <w:rsid w:val="002278D0"/>
    <w:rsid w:val="00227A78"/>
    <w:rsid w:val="00227C0E"/>
    <w:rsid w:val="00230241"/>
    <w:rsid w:val="002302CA"/>
    <w:rsid w:val="00230453"/>
    <w:rsid w:val="002305DB"/>
    <w:rsid w:val="00230801"/>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6EE"/>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10D"/>
    <w:rsid w:val="0024436B"/>
    <w:rsid w:val="002445A0"/>
    <w:rsid w:val="002448AD"/>
    <w:rsid w:val="002448ED"/>
    <w:rsid w:val="0024553F"/>
    <w:rsid w:val="00245614"/>
    <w:rsid w:val="00245904"/>
    <w:rsid w:val="00245E3A"/>
    <w:rsid w:val="002460F1"/>
    <w:rsid w:val="00246240"/>
    <w:rsid w:val="00246324"/>
    <w:rsid w:val="00246C0F"/>
    <w:rsid w:val="0024745D"/>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F20"/>
    <w:rsid w:val="00253F9B"/>
    <w:rsid w:val="00254001"/>
    <w:rsid w:val="00254214"/>
    <w:rsid w:val="00254621"/>
    <w:rsid w:val="00254639"/>
    <w:rsid w:val="00254640"/>
    <w:rsid w:val="00254641"/>
    <w:rsid w:val="00254A3B"/>
    <w:rsid w:val="00254A61"/>
    <w:rsid w:val="00255888"/>
    <w:rsid w:val="00255ADC"/>
    <w:rsid w:val="00256BF6"/>
    <w:rsid w:val="002600BC"/>
    <w:rsid w:val="002600FD"/>
    <w:rsid w:val="00260369"/>
    <w:rsid w:val="002604BC"/>
    <w:rsid w:val="0026051D"/>
    <w:rsid w:val="002610C3"/>
    <w:rsid w:val="002616D3"/>
    <w:rsid w:val="00261E30"/>
    <w:rsid w:val="00262BDD"/>
    <w:rsid w:val="00262D42"/>
    <w:rsid w:val="0026358F"/>
    <w:rsid w:val="0026375F"/>
    <w:rsid w:val="00263C6C"/>
    <w:rsid w:val="00263CF7"/>
    <w:rsid w:val="00263E96"/>
    <w:rsid w:val="00264537"/>
    <w:rsid w:val="00264538"/>
    <w:rsid w:val="00264AEA"/>
    <w:rsid w:val="00265534"/>
    <w:rsid w:val="00265D85"/>
    <w:rsid w:val="00265DC0"/>
    <w:rsid w:val="00265EBD"/>
    <w:rsid w:val="00266276"/>
    <w:rsid w:val="00266622"/>
    <w:rsid w:val="002666DE"/>
    <w:rsid w:val="00266B2A"/>
    <w:rsid w:val="00266BDA"/>
    <w:rsid w:val="00267262"/>
    <w:rsid w:val="00267441"/>
    <w:rsid w:val="00267553"/>
    <w:rsid w:val="002675E0"/>
    <w:rsid w:val="00267E74"/>
    <w:rsid w:val="00270279"/>
    <w:rsid w:val="00271D40"/>
    <w:rsid w:val="00272027"/>
    <w:rsid w:val="002723D4"/>
    <w:rsid w:val="002724B1"/>
    <w:rsid w:val="002729E1"/>
    <w:rsid w:val="00272BD6"/>
    <w:rsid w:val="00272EEC"/>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2FB1"/>
    <w:rsid w:val="00282FC9"/>
    <w:rsid w:val="002855BA"/>
    <w:rsid w:val="002856C5"/>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871"/>
    <w:rsid w:val="00291948"/>
    <w:rsid w:val="00291B89"/>
    <w:rsid w:val="002924E6"/>
    <w:rsid w:val="002926A4"/>
    <w:rsid w:val="00292975"/>
    <w:rsid w:val="00292A35"/>
    <w:rsid w:val="00292C60"/>
    <w:rsid w:val="0029342A"/>
    <w:rsid w:val="002939E2"/>
    <w:rsid w:val="002946A1"/>
    <w:rsid w:val="00294B05"/>
    <w:rsid w:val="002953B6"/>
    <w:rsid w:val="002958ED"/>
    <w:rsid w:val="00295EB4"/>
    <w:rsid w:val="00296032"/>
    <w:rsid w:val="0029616E"/>
    <w:rsid w:val="002969D2"/>
    <w:rsid w:val="00296ADA"/>
    <w:rsid w:val="00296EAC"/>
    <w:rsid w:val="002971DF"/>
    <w:rsid w:val="002973FB"/>
    <w:rsid w:val="0029751C"/>
    <w:rsid w:val="002975D2"/>
    <w:rsid w:val="00297F4C"/>
    <w:rsid w:val="002A0449"/>
    <w:rsid w:val="002A072C"/>
    <w:rsid w:val="002A0BEF"/>
    <w:rsid w:val="002A10DF"/>
    <w:rsid w:val="002A153B"/>
    <w:rsid w:val="002A1D8E"/>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C7"/>
    <w:rsid w:val="002A69D0"/>
    <w:rsid w:val="002A7628"/>
    <w:rsid w:val="002A77A1"/>
    <w:rsid w:val="002A77B4"/>
    <w:rsid w:val="002A78EC"/>
    <w:rsid w:val="002A78F2"/>
    <w:rsid w:val="002A7A2B"/>
    <w:rsid w:val="002B0EC1"/>
    <w:rsid w:val="002B0FE2"/>
    <w:rsid w:val="002B1264"/>
    <w:rsid w:val="002B1982"/>
    <w:rsid w:val="002B1F2B"/>
    <w:rsid w:val="002B1F69"/>
    <w:rsid w:val="002B2BDF"/>
    <w:rsid w:val="002B3630"/>
    <w:rsid w:val="002B386A"/>
    <w:rsid w:val="002B3E90"/>
    <w:rsid w:val="002B403C"/>
    <w:rsid w:val="002B4D22"/>
    <w:rsid w:val="002B4E76"/>
    <w:rsid w:val="002B5A8A"/>
    <w:rsid w:val="002B6B86"/>
    <w:rsid w:val="002B705C"/>
    <w:rsid w:val="002B7679"/>
    <w:rsid w:val="002B7A66"/>
    <w:rsid w:val="002B7EC8"/>
    <w:rsid w:val="002C0257"/>
    <w:rsid w:val="002C0359"/>
    <w:rsid w:val="002C05E2"/>
    <w:rsid w:val="002C0643"/>
    <w:rsid w:val="002C10EC"/>
    <w:rsid w:val="002C135B"/>
    <w:rsid w:val="002C151E"/>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C50"/>
    <w:rsid w:val="002D0D58"/>
    <w:rsid w:val="002D0F80"/>
    <w:rsid w:val="002D19E8"/>
    <w:rsid w:val="002D1D80"/>
    <w:rsid w:val="002D1E2C"/>
    <w:rsid w:val="002D2AC5"/>
    <w:rsid w:val="002D2BAF"/>
    <w:rsid w:val="002D3212"/>
    <w:rsid w:val="002D322E"/>
    <w:rsid w:val="002D3799"/>
    <w:rsid w:val="002D382F"/>
    <w:rsid w:val="002D3F83"/>
    <w:rsid w:val="002D45D1"/>
    <w:rsid w:val="002D49C0"/>
    <w:rsid w:val="002D4A3B"/>
    <w:rsid w:val="002D4E0E"/>
    <w:rsid w:val="002D4F69"/>
    <w:rsid w:val="002D54A0"/>
    <w:rsid w:val="002D5796"/>
    <w:rsid w:val="002D590E"/>
    <w:rsid w:val="002D5D80"/>
    <w:rsid w:val="002D6DAE"/>
    <w:rsid w:val="002E04B1"/>
    <w:rsid w:val="002E1BE4"/>
    <w:rsid w:val="002E1E04"/>
    <w:rsid w:val="002E1F0C"/>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E"/>
    <w:rsid w:val="002E58A1"/>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9F0"/>
    <w:rsid w:val="002F0D13"/>
    <w:rsid w:val="002F0EFF"/>
    <w:rsid w:val="002F0F9E"/>
    <w:rsid w:val="002F112D"/>
    <w:rsid w:val="002F1A56"/>
    <w:rsid w:val="002F1AB9"/>
    <w:rsid w:val="002F1C29"/>
    <w:rsid w:val="002F1F11"/>
    <w:rsid w:val="002F23E2"/>
    <w:rsid w:val="002F29B8"/>
    <w:rsid w:val="002F2C31"/>
    <w:rsid w:val="002F2E0E"/>
    <w:rsid w:val="002F3047"/>
    <w:rsid w:val="002F37BC"/>
    <w:rsid w:val="002F3ED7"/>
    <w:rsid w:val="002F4090"/>
    <w:rsid w:val="002F40EA"/>
    <w:rsid w:val="002F43A5"/>
    <w:rsid w:val="002F4579"/>
    <w:rsid w:val="002F499A"/>
    <w:rsid w:val="002F4D39"/>
    <w:rsid w:val="002F4F28"/>
    <w:rsid w:val="002F53D3"/>
    <w:rsid w:val="002F55D8"/>
    <w:rsid w:val="002F5602"/>
    <w:rsid w:val="002F584D"/>
    <w:rsid w:val="002F589C"/>
    <w:rsid w:val="002F5948"/>
    <w:rsid w:val="002F5C06"/>
    <w:rsid w:val="002F5F76"/>
    <w:rsid w:val="002F6083"/>
    <w:rsid w:val="002F65E4"/>
    <w:rsid w:val="002F6B75"/>
    <w:rsid w:val="002F6C10"/>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AC9"/>
    <w:rsid w:val="00300C10"/>
    <w:rsid w:val="0030115D"/>
    <w:rsid w:val="003013DA"/>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E25"/>
    <w:rsid w:val="00307829"/>
    <w:rsid w:val="00307885"/>
    <w:rsid w:val="0031003A"/>
    <w:rsid w:val="003102F2"/>
    <w:rsid w:val="0031076F"/>
    <w:rsid w:val="00310ABF"/>
    <w:rsid w:val="00310BAF"/>
    <w:rsid w:val="00310E04"/>
    <w:rsid w:val="003112A1"/>
    <w:rsid w:val="00311344"/>
    <w:rsid w:val="00311A22"/>
    <w:rsid w:val="00311B01"/>
    <w:rsid w:val="00311CE7"/>
    <w:rsid w:val="00311F59"/>
    <w:rsid w:val="003123AF"/>
    <w:rsid w:val="003124CE"/>
    <w:rsid w:val="00312865"/>
    <w:rsid w:val="00312AE6"/>
    <w:rsid w:val="00313167"/>
    <w:rsid w:val="0031320A"/>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6D3"/>
    <w:rsid w:val="003208A5"/>
    <w:rsid w:val="00320F50"/>
    <w:rsid w:val="0032123B"/>
    <w:rsid w:val="0032179C"/>
    <w:rsid w:val="00321B96"/>
    <w:rsid w:val="00321C5D"/>
    <w:rsid w:val="00322710"/>
    <w:rsid w:val="003227BC"/>
    <w:rsid w:val="00322C16"/>
    <w:rsid w:val="0032322F"/>
    <w:rsid w:val="00323AE3"/>
    <w:rsid w:val="00323DF7"/>
    <w:rsid w:val="0032565B"/>
    <w:rsid w:val="003257ED"/>
    <w:rsid w:val="00325AA3"/>
    <w:rsid w:val="003266DD"/>
    <w:rsid w:val="00326CA5"/>
    <w:rsid w:val="003273D6"/>
    <w:rsid w:val="00327581"/>
    <w:rsid w:val="003301AD"/>
    <w:rsid w:val="00330318"/>
    <w:rsid w:val="00330B2A"/>
    <w:rsid w:val="00331066"/>
    <w:rsid w:val="003312E8"/>
    <w:rsid w:val="00331383"/>
    <w:rsid w:val="00331384"/>
    <w:rsid w:val="00331A3C"/>
    <w:rsid w:val="003321BD"/>
    <w:rsid w:val="00332308"/>
    <w:rsid w:val="00332779"/>
    <w:rsid w:val="00332B7C"/>
    <w:rsid w:val="00332B81"/>
    <w:rsid w:val="0033315C"/>
    <w:rsid w:val="00333165"/>
    <w:rsid w:val="003333F2"/>
    <w:rsid w:val="003342A2"/>
    <w:rsid w:val="00334B9D"/>
    <w:rsid w:val="00334CC7"/>
    <w:rsid w:val="00334E76"/>
    <w:rsid w:val="003356BB"/>
    <w:rsid w:val="00335929"/>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DA"/>
    <w:rsid w:val="00343CEB"/>
    <w:rsid w:val="0034419E"/>
    <w:rsid w:val="003446B0"/>
    <w:rsid w:val="00345071"/>
    <w:rsid w:val="003451F5"/>
    <w:rsid w:val="00345398"/>
    <w:rsid w:val="003453B3"/>
    <w:rsid w:val="00345676"/>
    <w:rsid w:val="00345899"/>
    <w:rsid w:val="00345961"/>
    <w:rsid w:val="0034615D"/>
    <w:rsid w:val="00346484"/>
    <w:rsid w:val="00346531"/>
    <w:rsid w:val="0034689C"/>
    <w:rsid w:val="00346C2E"/>
    <w:rsid w:val="00346D50"/>
    <w:rsid w:val="00347203"/>
    <w:rsid w:val="00347CAE"/>
    <w:rsid w:val="003505A2"/>
    <w:rsid w:val="00350AF9"/>
    <w:rsid w:val="00350C03"/>
    <w:rsid w:val="00351188"/>
    <w:rsid w:val="00351366"/>
    <w:rsid w:val="0035137A"/>
    <w:rsid w:val="003521E4"/>
    <w:rsid w:val="00353E1F"/>
    <w:rsid w:val="003540F7"/>
    <w:rsid w:val="00354808"/>
    <w:rsid w:val="003548A1"/>
    <w:rsid w:val="00354A6D"/>
    <w:rsid w:val="00354C5F"/>
    <w:rsid w:val="0035535C"/>
    <w:rsid w:val="00355513"/>
    <w:rsid w:val="003556F6"/>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59A"/>
    <w:rsid w:val="003605E4"/>
    <w:rsid w:val="0036074A"/>
    <w:rsid w:val="0036096E"/>
    <w:rsid w:val="00360AF8"/>
    <w:rsid w:val="0036265F"/>
    <w:rsid w:val="003628A1"/>
    <w:rsid w:val="00362CFD"/>
    <w:rsid w:val="00363594"/>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67CFE"/>
    <w:rsid w:val="003703B2"/>
    <w:rsid w:val="0037041D"/>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DE"/>
    <w:rsid w:val="003761FE"/>
    <w:rsid w:val="0037648C"/>
    <w:rsid w:val="003769EA"/>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24B"/>
    <w:rsid w:val="003876BE"/>
    <w:rsid w:val="0039046C"/>
    <w:rsid w:val="00390A68"/>
    <w:rsid w:val="003915C1"/>
    <w:rsid w:val="003916E7"/>
    <w:rsid w:val="003917E9"/>
    <w:rsid w:val="003917EC"/>
    <w:rsid w:val="00391C66"/>
    <w:rsid w:val="00391D35"/>
    <w:rsid w:val="003921B4"/>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EDC"/>
    <w:rsid w:val="003A1212"/>
    <w:rsid w:val="003A13D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A2"/>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EAF"/>
    <w:rsid w:val="003B43E9"/>
    <w:rsid w:val="003B4CFF"/>
    <w:rsid w:val="003B52FF"/>
    <w:rsid w:val="003B566A"/>
    <w:rsid w:val="003B5CD8"/>
    <w:rsid w:val="003B5D1E"/>
    <w:rsid w:val="003B5FB2"/>
    <w:rsid w:val="003B62EA"/>
    <w:rsid w:val="003B731D"/>
    <w:rsid w:val="003B73E6"/>
    <w:rsid w:val="003B7F90"/>
    <w:rsid w:val="003C0097"/>
    <w:rsid w:val="003C0363"/>
    <w:rsid w:val="003C0954"/>
    <w:rsid w:val="003C0AB4"/>
    <w:rsid w:val="003C0FB2"/>
    <w:rsid w:val="003C1226"/>
    <w:rsid w:val="003C1353"/>
    <w:rsid w:val="003C13DA"/>
    <w:rsid w:val="003C1822"/>
    <w:rsid w:val="003C189C"/>
    <w:rsid w:val="003C1924"/>
    <w:rsid w:val="003C1D31"/>
    <w:rsid w:val="003C2765"/>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2E6"/>
    <w:rsid w:val="003D1390"/>
    <w:rsid w:val="003D1A0B"/>
    <w:rsid w:val="003D1B56"/>
    <w:rsid w:val="003D268D"/>
    <w:rsid w:val="003D2781"/>
    <w:rsid w:val="003D28B7"/>
    <w:rsid w:val="003D2CB3"/>
    <w:rsid w:val="003D2F45"/>
    <w:rsid w:val="003D36EC"/>
    <w:rsid w:val="003D383F"/>
    <w:rsid w:val="003D3841"/>
    <w:rsid w:val="003D3864"/>
    <w:rsid w:val="003D3E56"/>
    <w:rsid w:val="003D45E5"/>
    <w:rsid w:val="003D4661"/>
    <w:rsid w:val="003D47F9"/>
    <w:rsid w:val="003D4FDE"/>
    <w:rsid w:val="003D5B29"/>
    <w:rsid w:val="003D600C"/>
    <w:rsid w:val="003D6685"/>
    <w:rsid w:val="003D6B47"/>
    <w:rsid w:val="003D6EB3"/>
    <w:rsid w:val="003D7358"/>
    <w:rsid w:val="003D751F"/>
    <w:rsid w:val="003D782C"/>
    <w:rsid w:val="003D79F6"/>
    <w:rsid w:val="003D7F48"/>
    <w:rsid w:val="003E097F"/>
    <w:rsid w:val="003E09A0"/>
    <w:rsid w:val="003E0AA6"/>
    <w:rsid w:val="003E0C03"/>
    <w:rsid w:val="003E0FD0"/>
    <w:rsid w:val="003E1227"/>
    <w:rsid w:val="003E1AF2"/>
    <w:rsid w:val="003E1EA3"/>
    <w:rsid w:val="003E2379"/>
    <w:rsid w:val="003E28D9"/>
    <w:rsid w:val="003E2940"/>
    <w:rsid w:val="003E3150"/>
    <w:rsid w:val="003E368D"/>
    <w:rsid w:val="003E3791"/>
    <w:rsid w:val="003E3DF7"/>
    <w:rsid w:val="003E484E"/>
    <w:rsid w:val="003E4AE9"/>
    <w:rsid w:val="003E4CAA"/>
    <w:rsid w:val="003E4CF2"/>
    <w:rsid w:val="003E5341"/>
    <w:rsid w:val="003E542B"/>
    <w:rsid w:val="003E57E0"/>
    <w:rsid w:val="003E5A9B"/>
    <w:rsid w:val="003E6123"/>
    <w:rsid w:val="003E6764"/>
    <w:rsid w:val="003E6965"/>
    <w:rsid w:val="003E6A84"/>
    <w:rsid w:val="003E6D6D"/>
    <w:rsid w:val="003E74ED"/>
    <w:rsid w:val="003F0BB4"/>
    <w:rsid w:val="003F0C02"/>
    <w:rsid w:val="003F121A"/>
    <w:rsid w:val="003F12AC"/>
    <w:rsid w:val="003F150D"/>
    <w:rsid w:val="003F1E66"/>
    <w:rsid w:val="003F1F5B"/>
    <w:rsid w:val="003F2C16"/>
    <w:rsid w:val="003F2C2A"/>
    <w:rsid w:val="003F2F71"/>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807"/>
    <w:rsid w:val="003F7B41"/>
    <w:rsid w:val="0040042C"/>
    <w:rsid w:val="00400746"/>
    <w:rsid w:val="0040088D"/>
    <w:rsid w:val="00400A56"/>
    <w:rsid w:val="00400CE3"/>
    <w:rsid w:val="0040120D"/>
    <w:rsid w:val="004012ED"/>
    <w:rsid w:val="004013D6"/>
    <w:rsid w:val="00401C85"/>
    <w:rsid w:val="00401CD9"/>
    <w:rsid w:val="00402135"/>
    <w:rsid w:val="004022E2"/>
    <w:rsid w:val="00402500"/>
    <w:rsid w:val="0040297C"/>
    <w:rsid w:val="00403CFD"/>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2AC2"/>
    <w:rsid w:val="00412CC6"/>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A33"/>
    <w:rsid w:val="00422B64"/>
    <w:rsid w:val="00423205"/>
    <w:rsid w:val="004232E2"/>
    <w:rsid w:val="004236C1"/>
    <w:rsid w:val="00423858"/>
    <w:rsid w:val="004239B3"/>
    <w:rsid w:val="00423CAC"/>
    <w:rsid w:val="00423E56"/>
    <w:rsid w:val="00423E9F"/>
    <w:rsid w:val="00424315"/>
    <w:rsid w:val="00424345"/>
    <w:rsid w:val="004243E7"/>
    <w:rsid w:val="004243EF"/>
    <w:rsid w:val="004247CF"/>
    <w:rsid w:val="00424F86"/>
    <w:rsid w:val="004251F5"/>
    <w:rsid w:val="0042595E"/>
    <w:rsid w:val="0042597C"/>
    <w:rsid w:val="004260B5"/>
    <w:rsid w:val="004260BC"/>
    <w:rsid w:val="00426123"/>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39E"/>
    <w:rsid w:val="00434A4B"/>
    <w:rsid w:val="00434D8A"/>
    <w:rsid w:val="0043550A"/>
    <w:rsid w:val="0043579D"/>
    <w:rsid w:val="00436210"/>
    <w:rsid w:val="00436247"/>
    <w:rsid w:val="004365A4"/>
    <w:rsid w:val="004366CD"/>
    <w:rsid w:val="00436825"/>
    <w:rsid w:val="00437950"/>
    <w:rsid w:val="00437CA0"/>
    <w:rsid w:val="00437F53"/>
    <w:rsid w:val="004400F2"/>
    <w:rsid w:val="00440299"/>
    <w:rsid w:val="00440CB4"/>
    <w:rsid w:val="00441ACF"/>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525A"/>
    <w:rsid w:val="0044558C"/>
    <w:rsid w:val="004455C9"/>
    <w:rsid w:val="00445618"/>
    <w:rsid w:val="00445F5A"/>
    <w:rsid w:val="0044614D"/>
    <w:rsid w:val="00446C83"/>
    <w:rsid w:val="00447304"/>
    <w:rsid w:val="00447BB7"/>
    <w:rsid w:val="00447F14"/>
    <w:rsid w:val="00450251"/>
    <w:rsid w:val="00450502"/>
    <w:rsid w:val="004506EA"/>
    <w:rsid w:val="00450E29"/>
    <w:rsid w:val="004516E2"/>
    <w:rsid w:val="00451C22"/>
    <w:rsid w:val="00451D16"/>
    <w:rsid w:val="00452446"/>
    <w:rsid w:val="004527E4"/>
    <w:rsid w:val="00452C6F"/>
    <w:rsid w:val="00452FA7"/>
    <w:rsid w:val="0045315D"/>
    <w:rsid w:val="004531A4"/>
    <w:rsid w:val="00453A4A"/>
    <w:rsid w:val="00453CDD"/>
    <w:rsid w:val="00453FE5"/>
    <w:rsid w:val="00454283"/>
    <w:rsid w:val="00454305"/>
    <w:rsid w:val="00454372"/>
    <w:rsid w:val="00454574"/>
    <w:rsid w:val="00454D1F"/>
    <w:rsid w:val="0045593A"/>
    <w:rsid w:val="00455DCC"/>
    <w:rsid w:val="00455E16"/>
    <w:rsid w:val="00455FB2"/>
    <w:rsid w:val="00456029"/>
    <w:rsid w:val="0045657A"/>
    <w:rsid w:val="00456A41"/>
    <w:rsid w:val="00456BA6"/>
    <w:rsid w:val="00456EB6"/>
    <w:rsid w:val="004579C5"/>
    <w:rsid w:val="00457DFB"/>
    <w:rsid w:val="00457FA2"/>
    <w:rsid w:val="00460002"/>
    <w:rsid w:val="00460089"/>
    <w:rsid w:val="004602EA"/>
    <w:rsid w:val="0046085D"/>
    <w:rsid w:val="004608A2"/>
    <w:rsid w:val="00461816"/>
    <w:rsid w:val="00461A00"/>
    <w:rsid w:val="004620D0"/>
    <w:rsid w:val="0046226B"/>
    <w:rsid w:val="00462319"/>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C66"/>
    <w:rsid w:val="00470DD1"/>
    <w:rsid w:val="00470FAC"/>
    <w:rsid w:val="00471280"/>
    <w:rsid w:val="0047178B"/>
    <w:rsid w:val="0047214D"/>
    <w:rsid w:val="00472EBB"/>
    <w:rsid w:val="0047325C"/>
    <w:rsid w:val="00473A9F"/>
    <w:rsid w:val="00473E10"/>
    <w:rsid w:val="00474648"/>
    <w:rsid w:val="00474B79"/>
    <w:rsid w:val="00475039"/>
    <w:rsid w:val="00475105"/>
    <w:rsid w:val="0047536E"/>
    <w:rsid w:val="004756DB"/>
    <w:rsid w:val="0047580A"/>
    <w:rsid w:val="00475969"/>
    <w:rsid w:val="00475CF8"/>
    <w:rsid w:val="00475DEE"/>
    <w:rsid w:val="00475ECF"/>
    <w:rsid w:val="00476254"/>
    <w:rsid w:val="00476F72"/>
    <w:rsid w:val="004777BA"/>
    <w:rsid w:val="00477F1A"/>
    <w:rsid w:val="00477FAD"/>
    <w:rsid w:val="004803FC"/>
    <w:rsid w:val="004806DB"/>
    <w:rsid w:val="00481375"/>
    <w:rsid w:val="00481AB2"/>
    <w:rsid w:val="00481BEE"/>
    <w:rsid w:val="004821DA"/>
    <w:rsid w:val="004824CE"/>
    <w:rsid w:val="00482516"/>
    <w:rsid w:val="00482B0F"/>
    <w:rsid w:val="0048310D"/>
    <w:rsid w:val="00483451"/>
    <w:rsid w:val="00483C83"/>
    <w:rsid w:val="004841E2"/>
    <w:rsid w:val="00484B77"/>
    <w:rsid w:val="004851A3"/>
    <w:rsid w:val="00486685"/>
    <w:rsid w:val="004868AC"/>
    <w:rsid w:val="00486B0B"/>
    <w:rsid w:val="00486ED6"/>
    <w:rsid w:val="00486F00"/>
    <w:rsid w:val="00486F38"/>
    <w:rsid w:val="00487009"/>
    <w:rsid w:val="0048757C"/>
    <w:rsid w:val="0048763F"/>
    <w:rsid w:val="004878F6"/>
    <w:rsid w:val="00487A78"/>
    <w:rsid w:val="004902D7"/>
    <w:rsid w:val="00490E40"/>
    <w:rsid w:val="00490EBF"/>
    <w:rsid w:val="004914EB"/>
    <w:rsid w:val="00491514"/>
    <w:rsid w:val="004916EC"/>
    <w:rsid w:val="00491786"/>
    <w:rsid w:val="0049281A"/>
    <w:rsid w:val="00492D5C"/>
    <w:rsid w:val="004938F6"/>
    <w:rsid w:val="004939A8"/>
    <w:rsid w:val="00493B33"/>
    <w:rsid w:val="00493CD0"/>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978"/>
    <w:rsid w:val="004A0C2C"/>
    <w:rsid w:val="004A0EEB"/>
    <w:rsid w:val="004A0F49"/>
    <w:rsid w:val="004A0FC3"/>
    <w:rsid w:val="004A1286"/>
    <w:rsid w:val="004A13CB"/>
    <w:rsid w:val="004A1653"/>
    <w:rsid w:val="004A1931"/>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C45"/>
    <w:rsid w:val="004A720B"/>
    <w:rsid w:val="004A7EB6"/>
    <w:rsid w:val="004A7FD4"/>
    <w:rsid w:val="004B025E"/>
    <w:rsid w:val="004B0FE9"/>
    <w:rsid w:val="004B1577"/>
    <w:rsid w:val="004B1AD1"/>
    <w:rsid w:val="004B1C78"/>
    <w:rsid w:val="004B1E14"/>
    <w:rsid w:val="004B1FCC"/>
    <w:rsid w:val="004B2076"/>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C7D65"/>
    <w:rsid w:val="004D08B2"/>
    <w:rsid w:val="004D0CA0"/>
    <w:rsid w:val="004D111F"/>
    <w:rsid w:val="004D1BE5"/>
    <w:rsid w:val="004D2609"/>
    <w:rsid w:val="004D2BE2"/>
    <w:rsid w:val="004D3492"/>
    <w:rsid w:val="004D385E"/>
    <w:rsid w:val="004D436D"/>
    <w:rsid w:val="004D44DC"/>
    <w:rsid w:val="004D45BC"/>
    <w:rsid w:val="004D46B2"/>
    <w:rsid w:val="004D47EC"/>
    <w:rsid w:val="004D530A"/>
    <w:rsid w:val="004D5FCA"/>
    <w:rsid w:val="004D62DB"/>
    <w:rsid w:val="004D6650"/>
    <w:rsid w:val="004D67B3"/>
    <w:rsid w:val="004D67B5"/>
    <w:rsid w:val="004D6D80"/>
    <w:rsid w:val="004D6F8A"/>
    <w:rsid w:val="004D7322"/>
    <w:rsid w:val="004D7969"/>
    <w:rsid w:val="004D7F1B"/>
    <w:rsid w:val="004D7F4F"/>
    <w:rsid w:val="004E01F6"/>
    <w:rsid w:val="004E0556"/>
    <w:rsid w:val="004E15BB"/>
    <w:rsid w:val="004E165A"/>
    <w:rsid w:val="004E1ADD"/>
    <w:rsid w:val="004E1C37"/>
    <w:rsid w:val="004E1D6C"/>
    <w:rsid w:val="004E1F5F"/>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61C"/>
    <w:rsid w:val="004F3930"/>
    <w:rsid w:val="004F3C21"/>
    <w:rsid w:val="004F3EFB"/>
    <w:rsid w:val="004F4C6C"/>
    <w:rsid w:val="004F4D1D"/>
    <w:rsid w:val="004F4D21"/>
    <w:rsid w:val="004F4E9D"/>
    <w:rsid w:val="004F5230"/>
    <w:rsid w:val="004F55E5"/>
    <w:rsid w:val="004F5B48"/>
    <w:rsid w:val="004F5D11"/>
    <w:rsid w:val="004F60E6"/>
    <w:rsid w:val="004F623A"/>
    <w:rsid w:val="004F6247"/>
    <w:rsid w:val="004F670E"/>
    <w:rsid w:val="004F67A5"/>
    <w:rsid w:val="004F682C"/>
    <w:rsid w:val="004F6D05"/>
    <w:rsid w:val="004F6ED9"/>
    <w:rsid w:val="004F7563"/>
    <w:rsid w:val="004F7837"/>
    <w:rsid w:val="004F7BAD"/>
    <w:rsid w:val="004F7FBA"/>
    <w:rsid w:val="004F7FEE"/>
    <w:rsid w:val="005001B1"/>
    <w:rsid w:val="00500568"/>
    <w:rsid w:val="00500697"/>
    <w:rsid w:val="00500A8F"/>
    <w:rsid w:val="005012E2"/>
    <w:rsid w:val="00501998"/>
    <w:rsid w:val="00501E4B"/>
    <w:rsid w:val="0050248F"/>
    <w:rsid w:val="0050264F"/>
    <w:rsid w:val="00502723"/>
    <w:rsid w:val="00502882"/>
    <w:rsid w:val="00502E93"/>
    <w:rsid w:val="005031D2"/>
    <w:rsid w:val="005031FA"/>
    <w:rsid w:val="00503921"/>
    <w:rsid w:val="005048D9"/>
    <w:rsid w:val="00504B0E"/>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005"/>
    <w:rsid w:val="005126C1"/>
    <w:rsid w:val="0051395D"/>
    <w:rsid w:val="00513FAC"/>
    <w:rsid w:val="00515503"/>
    <w:rsid w:val="005156E8"/>
    <w:rsid w:val="005160C9"/>
    <w:rsid w:val="00516ECD"/>
    <w:rsid w:val="00516FD4"/>
    <w:rsid w:val="005172B0"/>
    <w:rsid w:val="005172C3"/>
    <w:rsid w:val="005175C2"/>
    <w:rsid w:val="00517864"/>
    <w:rsid w:val="00517D1A"/>
    <w:rsid w:val="00520077"/>
    <w:rsid w:val="005201D9"/>
    <w:rsid w:val="00520451"/>
    <w:rsid w:val="005207E7"/>
    <w:rsid w:val="005213AE"/>
    <w:rsid w:val="005216C2"/>
    <w:rsid w:val="005222BE"/>
    <w:rsid w:val="00522A2A"/>
    <w:rsid w:val="00522AE6"/>
    <w:rsid w:val="00522DEC"/>
    <w:rsid w:val="00523357"/>
    <w:rsid w:val="005233CB"/>
    <w:rsid w:val="005237D5"/>
    <w:rsid w:val="0052505E"/>
    <w:rsid w:val="005251A6"/>
    <w:rsid w:val="0052525C"/>
    <w:rsid w:val="00525DA0"/>
    <w:rsid w:val="005261BE"/>
    <w:rsid w:val="00526289"/>
    <w:rsid w:val="0052650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1FB5"/>
    <w:rsid w:val="0053227C"/>
    <w:rsid w:val="0053228A"/>
    <w:rsid w:val="00532549"/>
    <w:rsid w:val="00532628"/>
    <w:rsid w:val="0053279C"/>
    <w:rsid w:val="00532B10"/>
    <w:rsid w:val="00532D25"/>
    <w:rsid w:val="00533196"/>
    <w:rsid w:val="00534088"/>
    <w:rsid w:val="005349C5"/>
    <w:rsid w:val="00534D3D"/>
    <w:rsid w:val="0053536E"/>
    <w:rsid w:val="00535B29"/>
    <w:rsid w:val="00535C3A"/>
    <w:rsid w:val="0053621B"/>
    <w:rsid w:val="00536BCE"/>
    <w:rsid w:val="00536EE8"/>
    <w:rsid w:val="005370E9"/>
    <w:rsid w:val="0053792E"/>
    <w:rsid w:val="005379A9"/>
    <w:rsid w:val="00537E22"/>
    <w:rsid w:val="0054086A"/>
    <w:rsid w:val="00540AC3"/>
    <w:rsid w:val="00541462"/>
    <w:rsid w:val="005414CB"/>
    <w:rsid w:val="00542F1E"/>
    <w:rsid w:val="005438E0"/>
    <w:rsid w:val="00543918"/>
    <w:rsid w:val="00543AE7"/>
    <w:rsid w:val="005442E6"/>
    <w:rsid w:val="005448C8"/>
    <w:rsid w:val="00544A03"/>
    <w:rsid w:val="00545375"/>
    <w:rsid w:val="005453A9"/>
    <w:rsid w:val="005454D9"/>
    <w:rsid w:val="0054590F"/>
    <w:rsid w:val="0054618D"/>
    <w:rsid w:val="005462DC"/>
    <w:rsid w:val="0054646E"/>
    <w:rsid w:val="00547018"/>
    <w:rsid w:val="00547190"/>
    <w:rsid w:val="005478CA"/>
    <w:rsid w:val="00547BC2"/>
    <w:rsid w:val="00547BC4"/>
    <w:rsid w:val="00551261"/>
    <w:rsid w:val="00551488"/>
    <w:rsid w:val="005516FF"/>
    <w:rsid w:val="00551BC0"/>
    <w:rsid w:val="00551D5C"/>
    <w:rsid w:val="005522A1"/>
    <w:rsid w:val="005522E2"/>
    <w:rsid w:val="005523E2"/>
    <w:rsid w:val="005528E6"/>
    <w:rsid w:val="0055313B"/>
    <w:rsid w:val="0055324A"/>
    <w:rsid w:val="0055350A"/>
    <w:rsid w:val="005535A1"/>
    <w:rsid w:val="00553695"/>
    <w:rsid w:val="00555231"/>
    <w:rsid w:val="00555471"/>
    <w:rsid w:val="00555EF3"/>
    <w:rsid w:val="00556257"/>
    <w:rsid w:val="00556600"/>
    <w:rsid w:val="0055690B"/>
    <w:rsid w:val="00556C0B"/>
    <w:rsid w:val="00556D0E"/>
    <w:rsid w:val="00557098"/>
    <w:rsid w:val="00557104"/>
    <w:rsid w:val="005576DF"/>
    <w:rsid w:val="00557718"/>
    <w:rsid w:val="00557D86"/>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95F"/>
    <w:rsid w:val="00572A08"/>
    <w:rsid w:val="00573264"/>
    <w:rsid w:val="00573ED5"/>
    <w:rsid w:val="00574115"/>
    <w:rsid w:val="0057419B"/>
    <w:rsid w:val="00574754"/>
    <w:rsid w:val="00574F98"/>
    <w:rsid w:val="00575198"/>
    <w:rsid w:val="00575D35"/>
    <w:rsid w:val="005762CE"/>
    <w:rsid w:val="005764BC"/>
    <w:rsid w:val="005772FC"/>
    <w:rsid w:val="00577835"/>
    <w:rsid w:val="00577D9B"/>
    <w:rsid w:val="00580255"/>
    <w:rsid w:val="005804D6"/>
    <w:rsid w:val="00580A4E"/>
    <w:rsid w:val="00581229"/>
    <w:rsid w:val="00581550"/>
    <w:rsid w:val="00581725"/>
    <w:rsid w:val="005817A4"/>
    <w:rsid w:val="00581A65"/>
    <w:rsid w:val="00581D95"/>
    <w:rsid w:val="005822EF"/>
    <w:rsid w:val="005830DE"/>
    <w:rsid w:val="00583C63"/>
    <w:rsid w:val="00583CC7"/>
    <w:rsid w:val="00584008"/>
    <w:rsid w:val="00584165"/>
    <w:rsid w:val="00584B02"/>
    <w:rsid w:val="00584D2B"/>
    <w:rsid w:val="00585726"/>
    <w:rsid w:val="00585780"/>
    <w:rsid w:val="00585970"/>
    <w:rsid w:val="00585AE4"/>
    <w:rsid w:val="00585D14"/>
    <w:rsid w:val="00585EDC"/>
    <w:rsid w:val="005864CE"/>
    <w:rsid w:val="00586511"/>
    <w:rsid w:val="00586A4A"/>
    <w:rsid w:val="00586F7C"/>
    <w:rsid w:val="00586FAA"/>
    <w:rsid w:val="0058717C"/>
    <w:rsid w:val="005874F7"/>
    <w:rsid w:val="005875F5"/>
    <w:rsid w:val="00587A90"/>
    <w:rsid w:val="00587BA5"/>
    <w:rsid w:val="00587CF4"/>
    <w:rsid w:val="0059009C"/>
    <w:rsid w:val="00590511"/>
    <w:rsid w:val="00590778"/>
    <w:rsid w:val="00590D96"/>
    <w:rsid w:val="005910AF"/>
    <w:rsid w:val="0059111A"/>
    <w:rsid w:val="0059154C"/>
    <w:rsid w:val="00591A25"/>
    <w:rsid w:val="00591A4D"/>
    <w:rsid w:val="005921A6"/>
    <w:rsid w:val="00592354"/>
    <w:rsid w:val="00592834"/>
    <w:rsid w:val="00592BC8"/>
    <w:rsid w:val="00592D1D"/>
    <w:rsid w:val="005931DA"/>
    <w:rsid w:val="00593B81"/>
    <w:rsid w:val="00593BEA"/>
    <w:rsid w:val="005942A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C89"/>
    <w:rsid w:val="005A0D3B"/>
    <w:rsid w:val="005A1639"/>
    <w:rsid w:val="005A1AE1"/>
    <w:rsid w:val="005A2C93"/>
    <w:rsid w:val="005A2F83"/>
    <w:rsid w:val="005A3161"/>
    <w:rsid w:val="005A341E"/>
    <w:rsid w:val="005A3537"/>
    <w:rsid w:val="005A387C"/>
    <w:rsid w:val="005A3BD0"/>
    <w:rsid w:val="005A3E11"/>
    <w:rsid w:val="005A4414"/>
    <w:rsid w:val="005A459E"/>
    <w:rsid w:val="005A488F"/>
    <w:rsid w:val="005A5142"/>
    <w:rsid w:val="005A51AB"/>
    <w:rsid w:val="005A53E0"/>
    <w:rsid w:val="005A54AB"/>
    <w:rsid w:val="005A5522"/>
    <w:rsid w:val="005A5806"/>
    <w:rsid w:val="005A5B0D"/>
    <w:rsid w:val="005A5C8F"/>
    <w:rsid w:val="005A6259"/>
    <w:rsid w:val="005A627F"/>
    <w:rsid w:val="005A69B0"/>
    <w:rsid w:val="005A6B35"/>
    <w:rsid w:val="005A711E"/>
    <w:rsid w:val="005A7386"/>
    <w:rsid w:val="005A74FA"/>
    <w:rsid w:val="005A7980"/>
    <w:rsid w:val="005B0993"/>
    <w:rsid w:val="005B0A3A"/>
    <w:rsid w:val="005B0FB7"/>
    <w:rsid w:val="005B1396"/>
    <w:rsid w:val="005B14D5"/>
    <w:rsid w:val="005B19D3"/>
    <w:rsid w:val="005B1F59"/>
    <w:rsid w:val="005B2259"/>
    <w:rsid w:val="005B2372"/>
    <w:rsid w:val="005B268F"/>
    <w:rsid w:val="005B281C"/>
    <w:rsid w:val="005B2CBD"/>
    <w:rsid w:val="005B35E6"/>
    <w:rsid w:val="005B3A3B"/>
    <w:rsid w:val="005B4932"/>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AE0"/>
    <w:rsid w:val="005C2B1C"/>
    <w:rsid w:val="005C2CE4"/>
    <w:rsid w:val="005C2D7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88D"/>
    <w:rsid w:val="005D0B75"/>
    <w:rsid w:val="005D0D03"/>
    <w:rsid w:val="005D0D8D"/>
    <w:rsid w:val="005D14F0"/>
    <w:rsid w:val="005D1708"/>
    <w:rsid w:val="005D1E71"/>
    <w:rsid w:val="005D2227"/>
    <w:rsid w:val="005D228B"/>
    <w:rsid w:val="005D2D6E"/>
    <w:rsid w:val="005D2ED8"/>
    <w:rsid w:val="005D377A"/>
    <w:rsid w:val="005D3BA2"/>
    <w:rsid w:val="005D4357"/>
    <w:rsid w:val="005D45A2"/>
    <w:rsid w:val="005D4836"/>
    <w:rsid w:val="005D4AEB"/>
    <w:rsid w:val="005D4FB0"/>
    <w:rsid w:val="005D529A"/>
    <w:rsid w:val="005D6395"/>
    <w:rsid w:val="005D63A7"/>
    <w:rsid w:val="005D65E2"/>
    <w:rsid w:val="005D7422"/>
    <w:rsid w:val="005D77CE"/>
    <w:rsid w:val="005D7926"/>
    <w:rsid w:val="005D7A01"/>
    <w:rsid w:val="005E03AC"/>
    <w:rsid w:val="005E050E"/>
    <w:rsid w:val="005E0D1C"/>
    <w:rsid w:val="005E1139"/>
    <w:rsid w:val="005E1CC9"/>
    <w:rsid w:val="005E22CA"/>
    <w:rsid w:val="005E25CD"/>
    <w:rsid w:val="005E3127"/>
    <w:rsid w:val="005E31CD"/>
    <w:rsid w:val="005E32F9"/>
    <w:rsid w:val="005E3628"/>
    <w:rsid w:val="005E3D05"/>
    <w:rsid w:val="005E3DAD"/>
    <w:rsid w:val="005E3DEE"/>
    <w:rsid w:val="005E3DF2"/>
    <w:rsid w:val="005E40D9"/>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605"/>
    <w:rsid w:val="005F1C1C"/>
    <w:rsid w:val="005F1D60"/>
    <w:rsid w:val="005F1F8A"/>
    <w:rsid w:val="005F262E"/>
    <w:rsid w:val="005F326B"/>
    <w:rsid w:val="005F3518"/>
    <w:rsid w:val="005F3B09"/>
    <w:rsid w:val="005F3D27"/>
    <w:rsid w:val="005F4848"/>
    <w:rsid w:val="005F4D9B"/>
    <w:rsid w:val="005F5376"/>
    <w:rsid w:val="005F5F06"/>
    <w:rsid w:val="005F5F0D"/>
    <w:rsid w:val="005F6EA0"/>
    <w:rsid w:val="005F710A"/>
    <w:rsid w:val="005F710C"/>
    <w:rsid w:val="005F7334"/>
    <w:rsid w:val="005F7435"/>
    <w:rsid w:val="005F77B3"/>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EEB"/>
    <w:rsid w:val="006053CB"/>
    <w:rsid w:val="006056AC"/>
    <w:rsid w:val="006059E1"/>
    <w:rsid w:val="00605D21"/>
    <w:rsid w:val="00605DFA"/>
    <w:rsid w:val="0060623B"/>
    <w:rsid w:val="006064DE"/>
    <w:rsid w:val="006065A8"/>
    <w:rsid w:val="006065BC"/>
    <w:rsid w:val="00606D80"/>
    <w:rsid w:val="006073B6"/>
    <w:rsid w:val="0060768D"/>
    <w:rsid w:val="006077F8"/>
    <w:rsid w:val="00607FC3"/>
    <w:rsid w:val="00610396"/>
    <w:rsid w:val="0061069B"/>
    <w:rsid w:val="0061071E"/>
    <w:rsid w:val="00610783"/>
    <w:rsid w:val="00610A91"/>
    <w:rsid w:val="00610B09"/>
    <w:rsid w:val="00611926"/>
    <w:rsid w:val="00611A2D"/>
    <w:rsid w:val="0061286B"/>
    <w:rsid w:val="006128C2"/>
    <w:rsid w:val="00612C88"/>
    <w:rsid w:val="006132BE"/>
    <w:rsid w:val="00613333"/>
    <w:rsid w:val="006134C9"/>
    <w:rsid w:val="00613A5E"/>
    <w:rsid w:val="00613DE1"/>
    <w:rsid w:val="0061407F"/>
    <w:rsid w:val="0061444D"/>
    <w:rsid w:val="00614675"/>
    <w:rsid w:val="00614903"/>
    <w:rsid w:val="00614E37"/>
    <w:rsid w:val="0061523C"/>
    <w:rsid w:val="00615916"/>
    <w:rsid w:val="00615A4B"/>
    <w:rsid w:val="00616080"/>
    <w:rsid w:val="006168FB"/>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A9A"/>
    <w:rsid w:val="00620D7E"/>
    <w:rsid w:val="00620D9E"/>
    <w:rsid w:val="0062122D"/>
    <w:rsid w:val="006215D0"/>
    <w:rsid w:val="00621D79"/>
    <w:rsid w:val="00621DB5"/>
    <w:rsid w:val="00621F51"/>
    <w:rsid w:val="00622037"/>
    <w:rsid w:val="00622823"/>
    <w:rsid w:val="00622C97"/>
    <w:rsid w:val="00623300"/>
    <w:rsid w:val="00623658"/>
    <w:rsid w:val="006236D7"/>
    <w:rsid w:val="00623868"/>
    <w:rsid w:val="006239C2"/>
    <w:rsid w:val="006239C9"/>
    <w:rsid w:val="00623C8D"/>
    <w:rsid w:val="00624092"/>
    <w:rsid w:val="0062414D"/>
    <w:rsid w:val="0062435E"/>
    <w:rsid w:val="00624767"/>
    <w:rsid w:val="006252BF"/>
    <w:rsid w:val="00625540"/>
    <w:rsid w:val="006255B2"/>
    <w:rsid w:val="0062567A"/>
    <w:rsid w:val="00626690"/>
    <w:rsid w:val="00626698"/>
    <w:rsid w:val="006272BC"/>
    <w:rsid w:val="00627627"/>
    <w:rsid w:val="0062779B"/>
    <w:rsid w:val="0062797D"/>
    <w:rsid w:val="00627E58"/>
    <w:rsid w:val="00630FEB"/>
    <w:rsid w:val="006311F0"/>
    <w:rsid w:val="00631416"/>
    <w:rsid w:val="00631742"/>
    <w:rsid w:val="00632D46"/>
    <w:rsid w:val="00632E2B"/>
    <w:rsid w:val="00632E52"/>
    <w:rsid w:val="006346EC"/>
    <w:rsid w:val="00634923"/>
    <w:rsid w:val="00634CE2"/>
    <w:rsid w:val="00635B3B"/>
    <w:rsid w:val="00635B67"/>
    <w:rsid w:val="00635BAA"/>
    <w:rsid w:val="00635FA2"/>
    <w:rsid w:val="00636097"/>
    <w:rsid w:val="006360AF"/>
    <w:rsid w:val="006360D0"/>
    <w:rsid w:val="0063631F"/>
    <w:rsid w:val="006365F1"/>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2D07"/>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384"/>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54"/>
    <w:rsid w:val="006532B2"/>
    <w:rsid w:val="0065349B"/>
    <w:rsid w:val="00653894"/>
    <w:rsid w:val="006540AA"/>
    <w:rsid w:val="00654250"/>
    <w:rsid w:val="00654893"/>
    <w:rsid w:val="00654AE5"/>
    <w:rsid w:val="006553C9"/>
    <w:rsid w:val="006554B9"/>
    <w:rsid w:val="0065558D"/>
    <w:rsid w:val="0065590A"/>
    <w:rsid w:val="00655A04"/>
    <w:rsid w:val="00656481"/>
    <w:rsid w:val="0065727A"/>
    <w:rsid w:val="00657667"/>
    <w:rsid w:val="00657733"/>
    <w:rsid w:val="0066170A"/>
    <w:rsid w:val="00661EC5"/>
    <w:rsid w:val="0066226F"/>
    <w:rsid w:val="006622E2"/>
    <w:rsid w:val="00662C79"/>
    <w:rsid w:val="00663985"/>
    <w:rsid w:val="00663CFD"/>
    <w:rsid w:val="00663F5B"/>
    <w:rsid w:val="006642A0"/>
    <w:rsid w:val="006643C2"/>
    <w:rsid w:val="00664BFB"/>
    <w:rsid w:val="00664E7C"/>
    <w:rsid w:val="006651E1"/>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1F7A"/>
    <w:rsid w:val="0067224C"/>
    <w:rsid w:val="0067245A"/>
    <w:rsid w:val="00672485"/>
    <w:rsid w:val="006726A4"/>
    <w:rsid w:val="00672A23"/>
    <w:rsid w:val="00672CBC"/>
    <w:rsid w:val="00673822"/>
    <w:rsid w:val="00673A85"/>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F0C"/>
    <w:rsid w:val="006870EA"/>
    <w:rsid w:val="006871CC"/>
    <w:rsid w:val="006879FC"/>
    <w:rsid w:val="00687A99"/>
    <w:rsid w:val="00687AA4"/>
    <w:rsid w:val="00690072"/>
    <w:rsid w:val="00690152"/>
    <w:rsid w:val="00690254"/>
    <w:rsid w:val="00690809"/>
    <w:rsid w:val="00690F42"/>
    <w:rsid w:val="0069100B"/>
    <w:rsid w:val="00691F20"/>
    <w:rsid w:val="00692497"/>
    <w:rsid w:val="00692866"/>
    <w:rsid w:val="00692C51"/>
    <w:rsid w:val="00692D46"/>
    <w:rsid w:val="0069340A"/>
    <w:rsid w:val="006937AB"/>
    <w:rsid w:val="0069437F"/>
    <w:rsid w:val="006944DC"/>
    <w:rsid w:val="0069490C"/>
    <w:rsid w:val="00694CC3"/>
    <w:rsid w:val="0069565B"/>
    <w:rsid w:val="0069593E"/>
    <w:rsid w:val="0069648D"/>
    <w:rsid w:val="00696BBF"/>
    <w:rsid w:val="00696FF7"/>
    <w:rsid w:val="00697239"/>
    <w:rsid w:val="00697425"/>
    <w:rsid w:val="00697786"/>
    <w:rsid w:val="00697883"/>
    <w:rsid w:val="00697B5B"/>
    <w:rsid w:val="00697C36"/>
    <w:rsid w:val="006A007E"/>
    <w:rsid w:val="006A03A9"/>
    <w:rsid w:val="006A0708"/>
    <w:rsid w:val="006A0749"/>
    <w:rsid w:val="006A0812"/>
    <w:rsid w:val="006A0B89"/>
    <w:rsid w:val="006A1320"/>
    <w:rsid w:val="006A1490"/>
    <w:rsid w:val="006A1A4D"/>
    <w:rsid w:val="006A204D"/>
    <w:rsid w:val="006A20B3"/>
    <w:rsid w:val="006A23FB"/>
    <w:rsid w:val="006A2BCC"/>
    <w:rsid w:val="006A2F8B"/>
    <w:rsid w:val="006A309E"/>
    <w:rsid w:val="006A369D"/>
    <w:rsid w:val="006A36BA"/>
    <w:rsid w:val="006A3970"/>
    <w:rsid w:val="006A3D71"/>
    <w:rsid w:val="006A446C"/>
    <w:rsid w:val="006A50F4"/>
    <w:rsid w:val="006A519B"/>
    <w:rsid w:val="006A52CD"/>
    <w:rsid w:val="006A5405"/>
    <w:rsid w:val="006A54F6"/>
    <w:rsid w:val="006A5892"/>
    <w:rsid w:val="006A598D"/>
    <w:rsid w:val="006A5FB3"/>
    <w:rsid w:val="006A60A0"/>
    <w:rsid w:val="006A6581"/>
    <w:rsid w:val="006A70BE"/>
    <w:rsid w:val="006A710D"/>
    <w:rsid w:val="006A79D2"/>
    <w:rsid w:val="006A79E4"/>
    <w:rsid w:val="006A7A55"/>
    <w:rsid w:val="006B024B"/>
    <w:rsid w:val="006B09A7"/>
    <w:rsid w:val="006B0A0D"/>
    <w:rsid w:val="006B0E36"/>
    <w:rsid w:val="006B1937"/>
    <w:rsid w:val="006B1A17"/>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DBB"/>
    <w:rsid w:val="006C2EDD"/>
    <w:rsid w:val="006C2F7A"/>
    <w:rsid w:val="006C2FCA"/>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D0C10"/>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BC"/>
    <w:rsid w:val="006D42D9"/>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786"/>
    <w:rsid w:val="006E28E6"/>
    <w:rsid w:val="006E2B81"/>
    <w:rsid w:val="006E38D6"/>
    <w:rsid w:val="006E38FF"/>
    <w:rsid w:val="006E3F1A"/>
    <w:rsid w:val="006E4229"/>
    <w:rsid w:val="006E476C"/>
    <w:rsid w:val="006E4B0C"/>
    <w:rsid w:val="006E5044"/>
    <w:rsid w:val="006E5B91"/>
    <w:rsid w:val="006E6169"/>
    <w:rsid w:val="006E7091"/>
    <w:rsid w:val="006E7253"/>
    <w:rsid w:val="006E7461"/>
    <w:rsid w:val="006E7635"/>
    <w:rsid w:val="006E7D6C"/>
    <w:rsid w:val="006F02C2"/>
    <w:rsid w:val="006F0504"/>
    <w:rsid w:val="006F0D82"/>
    <w:rsid w:val="006F1029"/>
    <w:rsid w:val="006F1050"/>
    <w:rsid w:val="006F11DB"/>
    <w:rsid w:val="006F14F0"/>
    <w:rsid w:val="006F170A"/>
    <w:rsid w:val="006F1869"/>
    <w:rsid w:val="006F25C8"/>
    <w:rsid w:val="006F28E6"/>
    <w:rsid w:val="006F2AE2"/>
    <w:rsid w:val="006F2DC4"/>
    <w:rsid w:val="006F2E7A"/>
    <w:rsid w:val="006F2F3D"/>
    <w:rsid w:val="006F2F7C"/>
    <w:rsid w:val="006F33C5"/>
    <w:rsid w:val="006F391D"/>
    <w:rsid w:val="006F39EB"/>
    <w:rsid w:val="006F3AA7"/>
    <w:rsid w:val="006F3BDF"/>
    <w:rsid w:val="006F3C6C"/>
    <w:rsid w:val="006F3DA3"/>
    <w:rsid w:val="006F4430"/>
    <w:rsid w:val="006F48B2"/>
    <w:rsid w:val="006F4B1B"/>
    <w:rsid w:val="006F4F17"/>
    <w:rsid w:val="006F5245"/>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0EBC"/>
    <w:rsid w:val="0070115D"/>
    <w:rsid w:val="00701183"/>
    <w:rsid w:val="00701702"/>
    <w:rsid w:val="007018D6"/>
    <w:rsid w:val="00701CCC"/>
    <w:rsid w:val="007025D9"/>
    <w:rsid w:val="00702673"/>
    <w:rsid w:val="00702DA7"/>
    <w:rsid w:val="00703146"/>
    <w:rsid w:val="00703E56"/>
    <w:rsid w:val="0070479D"/>
    <w:rsid w:val="007051CA"/>
    <w:rsid w:val="00705527"/>
    <w:rsid w:val="00705930"/>
    <w:rsid w:val="00705E40"/>
    <w:rsid w:val="00706745"/>
    <w:rsid w:val="00706D71"/>
    <w:rsid w:val="00706FB4"/>
    <w:rsid w:val="0070710A"/>
    <w:rsid w:val="007075BD"/>
    <w:rsid w:val="00707C18"/>
    <w:rsid w:val="00707FB8"/>
    <w:rsid w:val="0071060D"/>
    <w:rsid w:val="00710714"/>
    <w:rsid w:val="00710C6A"/>
    <w:rsid w:val="00710EEF"/>
    <w:rsid w:val="00711270"/>
    <w:rsid w:val="007112B9"/>
    <w:rsid w:val="00711AF7"/>
    <w:rsid w:val="00711DDE"/>
    <w:rsid w:val="007120C0"/>
    <w:rsid w:val="00712299"/>
    <w:rsid w:val="00712759"/>
    <w:rsid w:val="00712CB6"/>
    <w:rsid w:val="00712DB7"/>
    <w:rsid w:val="00713687"/>
    <w:rsid w:val="00713916"/>
    <w:rsid w:val="00714482"/>
    <w:rsid w:val="007145C2"/>
    <w:rsid w:val="007145EE"/>
    <w:rsid w:val="00714798"/>
    <w:rsid w:val="007149E7"/>
    <w:rsid w:val="00714D66"/>
    <w:rsid w:val="00716389"/>
    <w:rsid w:val="00716973"/>
    <w:rsid w:val="00716BE0"/>
    <w:rsid w:val="00717001"/>
    <w:rsid w:val="0071721E"/>
    <w:rsid w:val="007173F1"/>
    <w:rsid w:val="0071746F"/>
    <w:rsid w:val="0071757B"/>
    <w:rsid w:val="00717E81"/>
    <w:rsid w:val="00720FF7"/>
    <w:rsid w:val="00721AAA"/>
    <w:rsid w:val="0072217C"/>
    <w:rsid w:val="00722305"/>
    <w:rsid w:val="00722ADB"/>
    <w:rsid w:val="00722EC8"/>
    <w:rsid w:val="0072306B"/>
    <w:rsid w:val="0072321A"/>
    <w:rsid w:val="00723545"/>
    <w:rsid w:val="00723AB6"/>
    <w:rsid w:val="00724025"/>
    <w:rsid w:val="00724718"/>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0FA"/>
    <w:rsid w:val="00730180"/>
    <w:rsid w:val="007315C8"/>
    <w:rsid w:val="0073189B"/>
    <w:rsid w:val="00731AAE"/>
    <w:rsid w:val="00731D04"/>
    <w:rsid w:val="00731FF1"/>
    <w:rsid w:val="00732023"/>
    <w:rsid w:val="00732825"/>
    <w:rsid w:val="0073298C"/>
    <w:rsid w:val="00732A4D"/>
    <w:rsid w:val="00732C6D"/>
    <w:rsid w:val="007331F7"/>
    <w:rsid w:val="00733207"/>
    <w:rsid w:val="00733279"/>
    <w:rsid w:val="00733F1C"/>
    <w:rsid w:val="007341B8"/>
    <w:rsid w:val="00734B01"/>
    <w:rsid w:val="00734CDD"/>
    <w:rsid w:val="00734E4C"/>
    <w:rsid w:val="00734FBE"/>
    <w:rsid w:val="00735302"/>
    <w:rsid w:val="00735530"/>
    <w:rsid w:val="00735574"/>
    <w:rsid w:val="00735F21"/>
    <w:rsid w:val="0073640E"/>
    <w:rsid w:val="0073670B"/>
    <w:rsid w:val="00737030"/>
    <w:rsid w:val="0073714E"/>
    <w:rsid w:val="007372D7"/>
    <w:rsid w:val="007376E4"/>
    <w:rsid w:val="0073770F"/>
    <w:rsid w:val="00737E5F"/>
    <w:rsid w:val="00740CD0"/>
    <w:rsid w:val="0074141A"/>
    <w:rsid w:val="00741737"/>
    <w:rsid w:val="00741981"/>
    <w:rsid w:val="00741CF1"/>
    <w:rsid w:val="00742699"/>
    <w:rsid w:val="00742D15"/>
    <w:rsid w:val="0074334D"/>
    <w:rsid w:val="00743885"/>
    <w:rsid w:val="00743F48"/>
    <w:rsid w:val="00743FD8"/>
    <w:rsid w:val="00743FE3"/>
    <w:rsid w:val="00744965"/>
    <w:rsid w:val="00744C67"/>
    <w:rsid w:val="00744EE9"/>
    <w:rsid w:val="007467ED"/>
    <w:rsid w:val="00746FE5"/>
    <w:rsid w:val="007472D9"/>
    <w:rsid w:val="007472F4"/>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90D"/>
    <w:rsid w:val="00753B4D"/>
    <w:rsid w:val="00753F5E"/>
    <w:rsid w:val="0075430D"/>
    <w:rsid w:val="007552DC"/>
    <w:rsid w:val="007556D0"/>
    <w:rsid w:val="007557B8"/>
    <w:rsid w:val="00755AE3"/>
    <w:rsid w:val="00755B19"/>
    <w:rsid w:val="00755B86"/>
    <w:rsid w:val="00756D1B"/>
    <w:rsid w:val="00756FA2"/>
    <w:rsid w:val="0075711E"/>
    <w:rsid w:val="00757C6F"/>
    <w:rsid w:val="00757E5C"/>
    <w:rsid w:val="00757ECE"/>
    <w:rsid w:val="00760A28"/>
    <w:rsid w:val="00760D44"/>
    <w:rsid w:val="007610E5"/>
    <w:rsid w:val="007612DA"/>
    <w:rsid w:val="007616E5"/>
    <w:rsid w:val="00761F8B"/>
    <w:rsid w:val="007624C0"/>
    <w:rsid w:val="00762B0C"/>
    <w:rsid w:val="00762E20"/>
    <w:rsid w:val="00763704"/>
    <w:rsid w:val="00763C14"/>
    <w:rsid w:val="00764423"/>
    <w:rsid w:val="0076462D"/>
    <w:rsid w:val="00764A6C"/>
    <w:rsid w:val="0076502B"/>
    <w:rsid w:val="007651E1"/>
    <w:rsid w:val="007652A2"/>
    <w:rsid w:val="00765795"/>
    <w:rsid w:val="00765C80"/>
    <w:rsid w:val="00766305"/>
    <w:rsid w:val="0076699D"/>
    <w:rsid w:val="00766BFD"/>
    <w:rsid w:val="00766CC5"/>
    <w:rsid w:val="0076733F"/>
    <w:rsid w:val="00767788"/>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553B"/>
    <w:rsid w:val="0077579C"/>
    <w:rsid w:val="00775C63"/>
    <w:rsid w:val="00775EE6"/>
    <w:rsid w:val="0077676E"/>
    <w:rsid w:val="00776C56"/>
    <w:rsid w:val="00777C4A"/>
    <w:rsid w:val="00780261"/>
    <w:rsid w:val="00780A62"/>
    <w:rsid w:val="00780B37"/>
    <w:rsid w:val="00780FA6"/>
    <w:rsid w:val="00781311"/>
    <w:rsid w:val="007819C2"/>
    <w:rsid w:val="0078204E"/>
    <w:rsid w:val="00782275"/>
    <w:rsid w:val="007823F0"/>
    <w:rsid w:val="00782756"/>
    <w:rsid w:val="007829C0"/>
    <w:rsid w:val="0078368A"/>
    <w:rsid w:val="00783B0E"/>
    <w:rsid w:val="007842ED"/>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A42"/>
    <w:rsid w:val="00790AB6"/>
    <w:rsid w:val="00790C5D"/>
    <w:rsid w:val="00790F85"/>
    <w:rsid w:val="00791676"/>
    <w:rsid w:val="00791868"/>
    <w:rsid w:val="00791943"/>
    <w:rsid w:val="007919F9"/>
    <w:rsid w:val="00791FD7"/>
    <w:rsid w:val="0079226E"/>
    <w:rsid w:val="007925C7"/>
    <w:rsid w:val="00792FD4"/>
    <w:rsid w:val="00793725"/>
    <w:rsid w:val="007938F3"/>
    <w:rsid w:val="007939AC"/>
    <w:rsid w:val="00793A4C"/>
    <w:rsid w:val="00793BC4"/>
    <w:rsid w:val="0079466D"/>
    <w:rsid w:val="00794677"/>
    <w:rsid w:val="00794D51"/>
    <w:rsid w:val="00794DCC"/>
    <w:rsid w:val="00795744"/>
    <w:rsid w:val="00795879"/>
    <w:rsid w:val="00795913"/>
    <w:rsid w:val="007959C8"/>
    <w:rsid w:val="00795EBC"/>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7F6"/>
    <w:rsid w:val="007A2C28"/>
    <w:rsid w:val="007A2D84"/>
    <w:rsid w:val="007A31C5"/>
    <w:rsid w:val="007A31FF"/>
    <w:rsid w:val="007A381D"/>
    <w:rsid w:val="007A4492"/>
    <w:rsid w:val="007A4853"/>
    <w:rsid w:val="007A4D0F"/>
    <w:rsid w:val="007A4DAE"/>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B99"/>
    <w:rsid w:val="007B1FD3"/>
    <w:rsid w:val="007B20AC"/>
    <w:rsid w:val="007B23CA"/>
    <w:rsid w:val="007B3557"/>
    <w:rsid w:val="007B3A3C"/>
    <w:rsid w:val="007B3D11"/>
    <w:rsid w:val="007B44B2"/>
    <w:rsid w:val="007B465D"/>
    <w:rsid w:val="007B482C"/>
    <w:rsid w:val="007B5128"/>
    <w:rsid w:val="007B52B7"/>
    <w:rsid w:val="007B56CC"/>
    <w:rsid w:val="007B57B4"/>
    <w:rsid w:val="007B594E"/>
    <w:rsid w:val="007B5BF6"/>
    <w:rsid w:val="007B6297"/>
    <w:rsid w:val="007B709E"/>
    <w:rsid w:val="007B7118"/>
    <w:rsid w:val="007B74B1"/>
    <w:rsid w:val="007B757A"/>
    <w:rsid w:val="007B7829"/>
    <w:rsid w:val="007B7A6D"/>
    <w:rsid w:val="007B7F20"/>
    <w:rsid w:val="007B7F44"/>
    <w:rsid w:val="007C03D4"/>
    <w:rsid w:val="007C0574"/>
    <w:rsid w:val="007C0932"/>
    <w:rsid w:val="007C0F20"/>
    <w:rsid w:val="007C12F7"/>
    <w:rsid w:val="007C1857"/>
    <w:rsid w:val="007C19AF"/>
    <w:rsid w:val="007C1DA0"/>
    <w:rsid w:val="007C23B6"/>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7A6"/>
    <w:rsid w:val="007C587D"/>
    <w:rsid w:val="007C588E"/>
    <w:rsid w:val="007C5A9B"/>
    <w:rsid w:val="007C5AA8"/>
    <w:rsid w:val="007C5D2B"/>
    <w:rsid w:val="007C5F58"/>
    <w:rsid w:val="007C65FB"/>
    <w:rsid w:val="007C661F"/>
    <w:rsid w:val="007C6620"/>
    <w:rsid w:val="007C675D"/>
    <w:rsid w:val="007C6764"/>
    <w:rsid w:val="007C70D1"/>
    <w:rsid w:val="007C75F5"/>
    <w:rsid w:val="007C7DAB"/>
    <w:rsid w:val="007D050E"/>
    <w:rsid w:val="007D057C"/>
    <w:rsid w:val="007D07BA"/>
    <w:rsid w:val="007D0C21"/>
    <w:rsid w:val="007D19B5"/>
    <w:rsid w:val="007D1C34"/>
    <w:rsid w:val="007D2010"/>
    <w:rsid w:val="007D2DA4"/>
    <w:rsid w:val="007D31A7"/>
    <w:rsid w:val="007D3642"/>
    <w:rsid w:val="007D3EEA"/>
    <w:rsid w:val="007D3FC8"/>
    <w:rsid w:val="007D48A3"/>
    <w:rsid w:val="007D4A94"/>
    <w:rsid w:val="007D515E"/>
    <w:rsid w:val="007D59AB"/>
    <w:rsid w:val="007D6C45"/>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890"/>
    <w:rsid w:val="007E6A85"/>
    <w:rsid w:val="007E78C5"/>
    <w:rsid w:val="007E7D44"/>
    <w:rsid w:val="007F1115"/>
    <w:rsid w:val="007F1449"/>
    <w:rsid w:val="007F1600"/>
    <w:rsid w:val="007F1E0F"/>
    <w:rsid w:val="007F2082"/>
    <w:rsid w:val="007F233D"/>
    <w:rsid w:val="007F31C6"/>
    <w:rsid w:val="007F35CF"/>
    <w:rsid w:val="007F35DE"/>
    <w:rsid w:val="007F3653"/>
    <w:rsid w:val="007F3CA8"/>
    <w:rsid w:val="007F3D8E"/>
    <w:rsid w:val="007F459B"/>
    <w:rsid w:val="007F4BB8"/>
    <w:rsid w:val="007F5470"/>
    <w:rsid w:val="007F5689"/>
    <w:rsid w:val="007F5ABA"/>
    <w:rsid w:val="007F60DF"/>
    <w:rsid w:val="007F6217"/>
    <w:rsid w:val="007F636B"/>
    <w:rsid w:val="007F6413"/>
    <w:rsid w:val="007F74A2"/>
    <w:rsid w:val="007F75BB"/>
    <w:rsid w:val="007F7C63"/>
    <w:rsid w:val="008009A4"/>
    <w:rsid w:val="00800C4D"/>
    <w:rsid w:val="00801C0E"/>
    <w:rsid w:val="00802162"/>
    <w:rsid w:val="008026E5"/>
    <w:rsid w:val="00802829"/>
    <w:rsid w:val="00802A35"/>
    <w:rsid w:val="00802AD3"/>
    <w:rsid w:val="00802C44"/>
    <w:rsid w:val="00802C60"/>
    <w:rsid w:val="00802F39"/>
    <w:rsid w:val="0080329C"/>
    <w:rsid w:val="008032D6"/>
    <w:rsid w:val="00803480"/>
    <w:rsid w:val="008037C8"/>
    <w:rsid w:val="008039CD"/>
    <w:rsid w:val="00803CC0"/>
    <w:rsid w:val="00804070"/>
    <w:rsid w:val="008042A5"/>
    <w:rsid w:val="00804A87"/>
    <w:rsid w:val="00805C60"/>
    <w:rsid w:val="00806173"/>
    <w:rsid w:val="00806541"/>
    <w:rsid w:val="008065A7"/>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710"/>
    <w:rsid w:val="0081597C"/>
    <w:rsid w:val="00815A1F"/>
    <w:rsid w:val="00815A9E"/>
    <w:rsid w:val="00815BD6"/>
    <w:rsid w:val="00815C57"/>
    <w:rsid w:val="00815D8E"/>
    <w:rsid w:val="00816062"/>
    <w:rsid w:val="0081670F"/>
    <w:rsid w:val="008167FA"/>
    <w:rsid w:val="008177F8"/>
    <w:rsid w:val="00817A47"/>
    <w:rsid w:val="00817C73"/>
    <w:rsid w:val="00817FD6"/>
    <w:rsid w:val="00820FB8"/>
    <w:rsid w:val="00821558"/>
    <w:rsid w:val="00821853"/>
    <w:rsid w:val="0082190C"/>
    <w:rsid w:val="00821DB1"/>
    <w:rsid w:val="00822005"/>
    <w:rsid w:val="00822C51"/>
    <w:rsid w:val="008233F7"/>
    <w:rsid w:val="00823D5C"/>
    <w:rsid w:val="008241AA"/>
    <w:rsid w:val="00824275"/>
    <w:rsid w:val="00824B5B"/>
    <w:rsid w:val="00824BB9"/>
    <w:rsid w:val="0082558A"/>
    <w:rsid w:val="0082569A"/>
    <w:rsid w:val="00825FFC"/>
    <w:rsid w:val="008264D0"/>
    <w:rsid w:val="008267AF"/>
    <w:rsid w:val="008268DF"/>
    <w:rsid w:val="00826EAB"/>
    <w:rsid w:val="00827293"/>
    <w:rsid w:val="00827562"/>
    <w:rsid w:val="008308F2"/>
    <w:rsid w:val="00831083"/>
    <w:rsid w:val="008313F6"/>
    <w:rsid w:val="00831F59"/>
    <w:rsid w:val="00832653"/>
    <w:rsid w:val="00833586"/>
    <w:rsid w:val="00834B41"/>
    <w:rsid w:val="008357D5"/>
    <w:rsid w:val="00835B60"/>
    <w:rsid w:val="00836CE3"/>
    <w:rsid w:val="00836E69"/>
    <w:rsid w:val="00837121"/>
    <w:rsid w:val="008371CE"/>
    <w:rsid w:val="008372B5"/>
    <w:rsid w:val="008375FA"/>
    <w:rsid w:val="008405DE"/>
    <w:rsid w:val="00840799"/>
    <w:rsid w:val="00840852"/>
    <w:rsid w:val="00841302"/>
    <w:rsid w:val="00841834"/>
    <w:rsid w:val="00841EA7"/>
    <w:rsid w:val="00842358"/>
    <w:rsid w:val="00842A24"/>
    <w:rsid w:val="00842C6B"/>
    <w:rsid w:val="00843076"/>
    <w:rsid w:val="00843478"/>
    <w:rsid w:val="00844D07"/>
    <w:rsid w:val="008450E9"/>
    <w:rsid w:val="008453D1"/>
    <w:rsid w:val="008455B4"/>
    <w:rsid w:val="008455D1"/>
    <w:rsid w:val="00845645"/>
    <w:rsid w:val="00845760"/>
    <w:rsid w:val="00845BBD"/>
    <w:rsid w:val="00845D41"/>
    <w:rsid w:val="0084601F"/>
    <w:rsid w:val="0084615F"/>
    <w:rsid w:val="0084624D"/>
    <w:rsid w:val="00846826"/>
    <w:rsid w:val="00846831"/>
    <w:rsid w:val="00846865"/>
    <w:rsid w:val="00847E3F"/>
    <w:rsid w:val="00850AEA"/>
    <w:rsid w:val="00850B4C"/>
    <w:rsid w:val="00850F72"/>
    <w:rsid w:val="00851391"/>
    <w:rsid w:val="00851679"/>
    <w:rsid w:val="008519D6"/>
    <w:rsid w:val="00851BFE"/>
    <w:rsid w:val="008522A0"/>
    <w:rsid w:val="008526A1"/>
    <w:rsid w:val="008539C4"/>
    <w:rsid w:val="00853A6F"/>
    <w:rsid w:val="00853E7F"/>
    <w:rsid w:val="00854097"/>
    <w:rsid w:val="00854491"/>
    <w:rsid w:val="00854C8E"/>
    <w:rsid w:val="00854CE6"/>
    <w:rsid w:val="0085564A"/>
    <w:rsid w:val="0085584E"/>
    <w:rsid w:val="008558C4"/>
    <w:rsid w:val="00855D6B"/>
    <w:rsid w:val="008567C8"/>
    <w:rsid w:val="00856A13"/>
    <w:rsid w:val="00856F22"/>
    <w:rsid w:val="00857694"/>
    <w:rsid w:val="00857A7D"/>
    <w:rsid w:val="00857B10"/>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58D3"/>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4B1"/>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ED3"/>
    <w:rsid w:val="0088104E"/>
    <w:rsid w:val="00881259"/>
    <w:rsid w:val="00881837"/>
    <w:rsid w:val="008818A9"/>
    <w:rsid w:val="00881D5D"/>
    <w:rsid w:val="00881D95"/>
    <w:rsid w:val="00882053"/>
    <w:rsid w:val="0088238F"/>
    <w:rsid w:val="008824DD"/>
    <w:rsid w:val="00882D7D"/>
    <w:rsid w:val="0088312D"/>
    <w:rsid w:val="008834F4"/>
    <w:rsid w:val="008837BB"/>
    <w:rsid w:val="008841FD"/>
    <w:rsid w:val="00884337"/>
    <w:rsid w:val="00884372"/>
    <w:rsid w:val="008843CC"/>
    <w:rsid w:val="008843F0"/>
    <w:rsid w:val="00884858"/>
    <w:rsid w:val="0088584C"/>
    <w:rsid w:val="00885945"/>
    <w:rsid w:val="00885CB5"/>
    <w:rsid w:val="008870C2"/>
    <w:rsid w:val="00887DAD"/>
    <w:rsid w:val="00890069"/>
    <w:rsid w:val="008902F7"/>
    <w:rsid w:val="00890400"/>
    <w:rsid w:val="0089083A"/>
    <w:rsid w:val="008908D1"/>
    <w:rsid w:val="00890EDB"/>
    <w:rsid w:val="008911CD"/>
    <w:rsid w:val="0089159B"/>
    <w:rsid w:val="00891703"/>
    <w:rsid w:val="00892209"/>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457"/>
    <w:rsid w:val="008A1BAE"/>
    <w:rsid w:val="008A1ECF"/>
    <w:rsid w:val="008A21C1"/>
    <w:rsid w:val="008A21DA"/>
    <w:rsid w:val="008A263A"/>
    <w:rsid w:val="008A40AB"/>
    <w:rsid w:val="008A43A1"/>
    <w:rsid w:val="008A440C"/>
    <w:rsid w:val="008A4415"/>
    <w:rsid w:val="008A468E"/>
    <w:rsid w:val="008A4A8C"/>
    <w:rsid w:val="008A4AE1"/>
    <w:rsid w:val="008A5FE1"/>
    <w:rsid w:val="008A65FF"/>
    <w:rsid w:val="008A6A27"/>
    <w:rsid w:val="008A6FBF"/>
    <w:rsid w:val="008A70D3"/>
    <w:rsid w:val="008A740A"/>
    <w:rsid w:val="008A777A"/>
    <w:rsid w:val="008A7CB1"/>
    <w:rsid w:val="008B0104"/>
    <w:rsid w:val="008B0D95"/>
    <w:rsid w:val="008B12E1"/>
    <w:rsid w:val="008B1EF8"/>
    <w:rsid w:val="008B24A5"/>
    <w:rsid w:val="008B2A34"/>
    <w:rsid w:val="008B316B"/>
    <w:rsid w:val="008B37AC"/>
    <w:rsid w:val="008B3B8B"/>
    <w:rsid w:val="008B3D8D"/>
    <w:rsid w:val="008B4218"/>
    <w:rsid w:val="008B43C5"/>
    <w:rsid w:val="008B48AB"/>
    <w:rsid w:val="008B5230"/>
    <w:rsid w:val="008B584E"/>
    <w:rsid w:val="008B67A9"/>
    <w:rsid w:val="008B6B55"/>
    <w:rsid w:val="008B75F8"/>
    <w:rsid w:val="008B7DD5"/>
    <w:rsid w:val="008C0118"/>
    <w:rsid w:val="008C01D1"/>
    <w:rsid w:val="008C039C"/>
    <w:rsid w:val="008C0432"/>
    <w:rsid w:val="008C0AAE"/>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5FA6"/>
    <w:rsid w:val="008C61C5"/>
    <w:rsid w:val="008C64A2"/>
    <w:rsid w:val="008C6671"/>
    <w:rsid w:val="008C6F5D"/>
    <w:rsid w:val="008C74C8"/>
    <w:rsid w:val="008C7A0E"/>
    <w:rsid w:val="008C7AEA"/>
    <w:rsid w:val="008C7B9E"/>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6EB"/>
    <w:rsid w:val="008D2E1A"/>
    <w:rsid w:val="008D2E8D"/>
    <w:rsid w:val="008D32E3"/>
    <w:rsid w:val="008D33BD"/>
    <w:rsid w:val="008D42D8"/>
    <w:rsid w:val="008D42F9"/>
    <w:rsid w:val="008D44D4"/>
    <w:rsid w:val="008D4688"/>
    <w:rsid w:val="008D48D0"/>
    <w:rsid w:val="008D4BA4"/>
    <w:rsid w:val="008D4D7C"/>
    <w:rsid w:val="008D4E75"/>
    <w:rsid w:val="008D51FE"/>
    <w:rsid w:val="008D534C"/>
    <w:rsid w:val="008D5ABC"/>
    <w:rsid w:val="008D5E0A"/>
    <w:rsid w:val="008D5EB5"/>
    <w:rsid w:val="008D6106"/>
    <w:rsid w:val="008D6F5D"/>
    <w:rsid w:val="008D7036"/>
    <w:rsid w:val="008D73F4"/>
    <w:rsid w:val="008D76BC"/>
    <w:rsid w:val="008D790E"/>
    <w:rsid w:val="008D7B4C"/>
    <w:rsid w:val="008D7C92"/>
    <w:rsid w:val="008D7CFC"/>
    <w:rsid w:val="008D7E2A"/>
    <w:rsid w:val="008D7ED7"/>
    <w:rsid w:val="008E0033"/>
    <w:rsid w:val="008E059E"/>
    <w:rsid w:val="008E066D"/>
    <w:rsid w:val="008E0C71"/>
    <w:rsid w:val="008E120A"/>
    <w:rsid w:val="008E158C"/>
    <w:rsid w:val="008E16C3"/>
    <w:rsid w:val="008E1EBE"/>
    <w:rsid w:val="008E2182"/>
    <w:rsid w:val="008E284E"/>
    <w:rsid w:val="008E2A95"/>
    <w:rsid w:val="008E2E26"/>
    <w:rsid w:val="008E351E"/>
    <w:rsid w:val="008E3975"/>
    <w:rsid w:val="008E3AB2"/>
    <w:rsid w:val="008E43C3"/>
    <w:rsid w:val="008E46F9"/>
    <w:rsid w:val="008E4BE4"/>
    <w:rsid w:val="008E4DAE"/>
    <w:rsid w:val="008E4ECF"/>
    <w:rsid w:val="008E56B4"/>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CF6"/>
    <w:rsid w:val="008F1DAF"/>
    <w:rsid w:val="008F1FDB"/>
    <w:rsid w:val="008F21C7"/>
    <w:rsid w:val="008F25C5"/>
    <w:rsid w:val="008F263A"/>
    <w:rsid w:val="008F2E7C"/>
    <w:rsid w:val="008F2F73"/>
    <w:rsid w:val="008F31A4"/>
    <w:rsid w:val="008F3BD7"/>
    <w:rsid w:val="008F3D22"/>
    <w:rsid w:val="008F45E0"/>
    <w:rsid w:val="008F4894"/>
    <w:rsid w:val="008F4ED6"/>
    <w:rsid w:val="008F52B5"/>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5E72"/>
    <w:rsid w:val="00906188"/>
    <w:rsid w:val="00906803"/>
    <w:rsid w:val="00906AAF"/>
    <w:rsid w:val="00906D3E"/>
    <w:rsid w:val="00907411"/>
    <w:rsid w:val="0090741E"/>
    <w:rsid w:val="0090767E"/>
    <w:rsid w:val="009079E4"/>
    <w:rsid w:val="00907C5F"/>
    <w:rsid w:val="009106AF"/>
    <w:rsid w:val="009109DC"/>
    <w:rsid w:val="00911159"/>
    <w:rsid w:val="009116FB"/>
    <w:rsid w:val="009117B4"/>
    <w:rsid w:val="009118B8"/>
    <w:rsid w:val="00912181"/>
    <w:rsid w:val="009121CF"/>
    <w:rsid w:val="009121D6"/>
    <w:rsid w:val="00912C58"/>
    <w:rsid w:val="00912E03"/>
    <w:rsid w:val="00912E48"/>
    <w:rsid w:val="00913068"/>
    <w:rsid w:val="009140BC"/>
    <w:rsid w:val="009140F1"/>
    <w:rsid w:val="009148D1"/>
    <w:rsid w:val="00914D32"/>
    <w:rsid w:val="0091504C"/>
    <w:rsid w:val="00915DC6"/>
    <w:rsid w:val="0091605E"/>
    <w:rsid w:val="0091606A"/>
    <w:rsid w:val="009164BA"/>
    <w:rsid w:val="00916687"/>
    <w:rsid w:val="00916A18"/>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A00"/>
    <w:rsid w:val="00923C58"/>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A72"/>
    <w:rsid w:val="00930B33"/>
    <w:rsid w:val="00930BC5"/>
    <w:rsid w:val="00930D85"/>
    <w:rsid w:val="00930F72"/>
    <w:rsid w:val="009320DB"/>
    <w:rsid w:val="00932453"/>
    <w:rsid w:val="009324D1"/>
    <w:rsid w:val="0093280E"/>
    <w:rsid w:val="0093298C"/>
    <w:rsid w:val="009329EB"/>
    <w:rsid w:val="00932D3E"/>
    <w:rsid w:val="00932E9B"/>
    <w:rsid w:val="00932F01"/>
    <w:rsid w:val="0093302A"/>
    <w:rsid w:val="00933240"/>
    <w:rsid w:val="0093410C"/>
    <w:rsid w:val="0093444E"/>
    <w:rsid w:val="00934CF2"/>
    <w:rsid w:val="009352BB"/>
    <w:rsid w:val="00935333"/>
    <w:rsid w:val="00935862"/>
    <w:rsid w:val="009358B5"/>
    <w:rsid w:val="00935C23"/>
    <w:rsid w:val="00935D2A"/>
    <w:rsid w:val="00936099"/>
    <w:rsid w:val="0093617F"/>
    <w:rsid w:val="00936216"/>
    <w:rsid w:val="009365C2"/>
    <w:rsid w:val="00936ACD"/>
    <w:rsid w:val="00936B03"/>
    <w:rsid w:val="00936D99"/>
    <w:rsid w:val="00936F8F"/>
    <w:rsid w:val="00937184"/>
    <w:rsid w:val="0093766C"/>
    <w:rsid w:val="009376F8"/>
    <w:rsid w:val="0093776B"/>
    <w:rsid w:val="00937A61"/>
    <w:rsid w:val="00940023"/>
    <w:rsid w:val="00940422"/>
    <w:rsid w:val="0094071B"/>
    <w:rsid w:val="00940C4A"/>
    <w:rsid w:val="00940D0C"/>
    <w:rsid w:val="009410AC"/>
    <w:rsid w:val="0094141F"/>
    <w:rsid w:val="0094149B"/>
    <w:rsid w:val="00942136"/>
    <w:rsid w:val="00942146"/>
    <w:rsid w:val="00942739"/>
    <w:rsid w:val="00942A57"/>
    <w:rsid w:val="00942B5E"/>
    <w:rsid w:val="00942D4C"/>
    <w:rsid w:val="00943262"/>
    <w:rsid w:val="00943282"/>
    <w:rsid w:val="00943478"/>
    <w:rsid w:val="009439B3"/>
    <w:rsid w:val="00943E48"/>
    <w:rsid w:val="00944192"/>
    <w:rsid w:val="009446C5"/>
    <w:rsid w:val="0094583D"/>
    <w:rsid w:val="00945A2F"/>
    <w:rsid w:val="00945BC5"/>
    <w:rsid w:val="0094600B"/>
    <w:rsid w:val="009463E8"/>
    <w:rsid w:val="00946A2F"/>
    <w:rsid w:val="00947229"/>
    <w:rsid w:val="00947823"/>
    <w:rsid w:val="00950802"/>
    <w:rsid w:val="009515AB"/>
    <w:rsid w:val="009517E9"/>
    <w:rsid w:val="00952175"/>
    <w:rsid w:val="0095221B"/>
    <w:rsid w:val="0095257F"/>
    <w:rsid w:val="00952890"/>
    <w:rsid w:val="00952E56"/>
    <w:rsid w:val="00952F89"/>
    <w:rsid w:val="00953772"/>
    <w:rsid w:val="00953AF9"/>
    <w:rsid w:val="00953C2D"/>
    <w:rsid w:val="009545B9"/>
    <w:rsid w:val="00955480"/>
    <w:rsid w:val="00955A20"/>
    <w:rsid w:val="00955A52"/>
    <w:rsid w:val="00955FD1"/>
    <w:rsid w:val="00955FE8"/>
    <w:rsid w:val="00956226"/>
    <w:rsid w:val="009562DC"/>
    <w:rsid w:val="00956E09"/>
    <w:rsid w:val="0095712A"/>
    <w:rsid w:val="00960192"/>
    <w:rsid w:val="0096052F"/>
    <w:rsid w:val="009609A6"/>
    <w:rsid w:val="00960E49"/>
    <w:rsid w:val="00960EC4"/>
    <w:rsid w:val="0096117C"/>
    <w:rsid w:val="009624D8"/>
    <w:rsid w:val="0096268F"/>
    <w:rsid w:val="009628C2"/>
    <w:rsid w:val="00962BDC"/>
    <w:rsid w:val="00962C1A"/>
    <w:rsid w:val="00962E72"/>
    <w:rsid w:val="00963054"/>
    <w:rsid w:val="009631B4"/>
    <w:rsid w:val="00963272"/>
    <w:rsid w:val="00963518"/>
    <w:rsid w:val="00963AA3"/>
    <w:rsid w:val="00963DE2"/>
    <w:rsid w:val="0096476F"/>
    <w:rsid w:val="00964BF8"/>
    <w:rsid w:val="00964F9D"/>
    <w:rsid w:val="009652B7"/>
    <w:rsid w:val="009652BE"/>
    <w:rsid w:val="00965312"/>
    <w:rsid w:val="00965546"/>
    <w:rsid w:val="009658C7"/>
    <w:rsid w:val="00965C6F"/>
    <w:rsid w:val="00965F88"/>
    <w:rsid w:val="00966217"/>
    <w:rsid w:val="009668F3"/>
    <w:rsid w:val="00966C32"/>
    <w:rsid w:val="00967376"/>
    <w:rsid w:val="00967715"/>
    <w:rsid w:val="0096772E"/>
    <w:rsid w:val="009700EB"/>
    <w:rsid w:val="009701C8"/>
    <w:rsid w:val="00970482"/>
    <w:rsid w:val="009705D8"/>
    <w:rsid w:val="00970BAA"/>
    <w:rsid w:val="00970C33"/>
    <w:rsid w:val="00971033"/>
    <w:rsid w:val="00971179"/>
    <w:rsid w:val="00971421"/>
    <w:rsid w:val="00971BAD"/>
    <w:rsid w:val="009731C6"/>
    <w:rsid w:val="00973438"/>
    <w:rsid w:val="0097363A"/>
    <w:rsid w:val="0097411B"/>
    <w:rsid w:val="0097445B"/>
    <w:rsid w:val="00974A76"/>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3A9"/>
    <w:rsid w:val="009844C6"/>
    <w:rsid w:val="00984C06"/>
    <w:rsid w:val="009854A8"/>
    <w:rsid w:val="00985688"/>
    <w:rsid w:val="009856C2"/>
    <w:rsid w:val="00985FFA"/>
    <w:rsid w:val="009860D8"/>
    <w:rsid w:val="00986422"/>
    <w:rsid w:val="00986453"/>
    <w:rsid w:val="00986A3A"/>
    <w:rsid w:val="00986A4F"/>
    <w:rsid w:val="00986EF9"/>
    <w:rsid w:val="00987BEC"/>
    <w:rsid w:val="00990591"/>
    <w:rsid w:val="00990854"/>
    <w:rsid w:val="00990C07"/>
    <w:rsid w:val="00990E3C"/>
    <w:rsid w:val="00990F80"/>
    <w:rsid w:val="0099101E"/>
    <w:rsid w:val="009915BD"/>
    <w:rsid w:val="00991715"/>
    <w:rsid w:val="00991769"/>
    <w:rsid w:val="00991986"/>
    <w:rsid w:val="009919A4"/>
    <w:rsid w:val="009920E0"/>
    <w:rsid w:val="009922D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97909"/>
    <w:rsid w:val="009979A8"/>
    <w:rsid w:val="009A03F1"/>
    <w:rsid w:val="009A10A8"/>
    <w:rsid w:val="009A1296"/>
    <w:rsid w:val="009A1315"/>
    <w:rsid w:val="009A1952"/>
    <w:rsid w:val="009A1C2E"/>
    <w:rsid w:val="009A211A"/>
    <w:rsid w:val="009A22A4"/>
    <w:rsid w:val="009A2330"/>
    <w:rsid w:val="009A2773"/>
    <w:rsid w:val="009A2ECA"/>
    <w:rsid w:val="009A2FDE"/>
    <w:rsid w:val="009A311F"/>
    <w:rsid w:val="009A31FB"/>
    <w:rsid w:val="009A32B2"/>
    <w:rsid w:val="009A355C"/>
    <w:rsid w:val="009A3A2C"/>
    <w:rsid w:val="009A3AEA"/>
    <w:rsid w:val="009A4193"/>
    <w:rsid w:val="009A419B"/>
    <w:rsid w:val="009A452F"/>
    <w:rsid w:val="009A49D8"/>
    <w:rsid w:val="009A4D6F"/>
    <w:rsid w:val="009A4F2A"/>
    <w:rsid w:val="009A57F6"/>
    <w:rsid w:val="009A65CC"/>
    <w:rsid w:val="009A6DB1"/>
    <w:rsid w:val="009A70B1"/>
    <w:rsid w:val="009A718E"/>
    <w:rsid w:val="009A7B1F"/>
    <w:rsid w:val="009B03FC"/>
    <w:rsid w:val="009B0698"/>
    <w:rsid w:val="009B07FC"/>
    <w:rsid w:val="009B11D1"/>
    <w:rsid w:val="009B12F4"/>
    <w:rsid w:val="009B1BDE"/>
    <w:rsid w:val="009B1C15"/>
    <w:rsid w:val="009B1D39"/>
    <w:rsid w:val="009B29D1"/>
    <w:rsid w:val="009B3064"/>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CCE"/>
    <w:rsid w:val="009C0F4D"/>
    <w:rsid w:val="009C1239"/>
    <w:rsid w:val="009C1776"/>
    <w:rsid w:val="009C1AC0"/>
    <w:rsid w:val="009C1FF3"/>
    <w:rsid w:val="009C2302"/>
    <w:rsid w:val="009C2595"/>
    <w:rsid w:val="009C28C7"/>
    <w:rsid w:val="009C2EB5"/>
    <w:rsid w:val="009C311E"/>
    <w:rsid w:val="009C31D7"/>
    <w:rsid w:val="009C3954"/>
    <w:rsid w:val="009C3CFB"/>
    <w:rsid w:val="009C3E92"/>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1FAD"/>
    <w:rsid w:val="009D28CD"/>
    <w:rsid w:val="009D29AD"/>
    <w:rsid w:val="009D30DD"/>
    <w:rsid w:val="009D41C6"/>
    <w:rsid w:val="009D4756"/>
    <w:rsid w:val="009D47E2"/>
    <w:rsid w:val="009D4A29"/>
    <w:rsid w:val="009D4D87"/>
    <w:rsid w:val="009D4F4F"/>
    <w:rsid w:val="009D4F5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278"/>
    <w:rsid w:val="009E245B"/>
    <w:rsid w:val="009E292C"/>
    <w:rsid w:val="009E2C2B"/>
    <w:rsid w:val="009E2DC9"/>
    <w:rsid w:val="009E3314"/>
    <w:rsid w:val="009E3644"/>
    <w:rsid w:val="009E3869"/>
    <w:rsid w:val="009E3B6B"/>
    <w:rsid w:val="009E4380"/>
    <w:rsid w:val="009E4912"/>
    <w:rsid w:val="009E4CBD"/>
    <w:rsid w:val="009E4DF5"/>
    <w:rsid w:val="009E6106"/>
    <w:rsid w:val="009E6CCC"/>
    <w:rsid w:val="009E6D94"/>
    <w:rsid w:val="009E74ED"/>
    <w:rsid w:val="009E7E38"/>
    <w:rsid w:val="009F0325"/>
    <w:rsid w:val="009F06FB"/>
    <w:rsid w:val="009F0891"/>
    <w:rsid w:val="009F0945"/>
    <w:rsid w:val="009F0CB4"/>
    <w:rsid w:val="009F0ED4"/>
    <w:rsid w:val="009F10A6"/>
    <w:rsid w:val="009F118C"/>
    <w:rsid w:val="009F12F7"/>
    <w:rsid w:val="009F131E"/>
    <w:rsid w:val="009F1C35"/>
    <w:rsid w:val="009F29DB"/>
    <w:rsid w:val="009F2C7C"/>
    <w:rsid w:val="009F327A"/>
    <w:rsid w:val="009F3EBE"/>
    <w:rsid w:val="009F4662"/>
    <w:rsid w:val="009F4918"/>
    <w:rsid w:val="009F49CE"/>
    <w:rsid w:val="009F49EF"/>
    <w:rsid w:val="009F4EC8"/>
    <w:rsid w:val="009F5717"/>
    <w:rsid w:val="009F6292"/>
    <w:rsid w:val="009F6394"/>
    <w:rsid w:val="009F63BB"/>
    <w:rsid w:val="009F6409"/>
    <w:rsid w:val="009F66AA"/>
    <w:rsid w:val="009F6E53"/>
    <w:rsid w:val="009F765A"/>
    <w:rsid w:val="009F7CD9"/>
    <w:rsid w:val="00A0004A"/>
    <w:rsid w:val="00A00078"/>
    <w:rsid w:val="00A001A9"/>
    <w:rsid w:val="00A00850"/>
    <w:rsid w:val="00A010F2"/>
    <w:rsid w:val="00A0135C"/>
    <w:rsid w:val="00A01419"/>
    <w:rsid w:val="00A01E79"/>
    <w:rsid w:val="00A02C1A"/>
    <w:rsid w:val="00A03097"/>
    <w:rsid w:val="00A034DD"/>
    <w:rsid w:val="00A03E5F"/>
    <w:rsid w:val="00A04484"/>
    <w:rsid w:val="00A0496A"/>
    <w:rsid w:val="00A04C11"/>
    <w:rsid w:val="00A05BD3"/>
    <w:rsid w:val="00A067ED"/>
    <w:rsid w:val="00A068B1"/>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1B7"/>
    <w:rsid w:val="00A1369C"/>
    <w:rsid w:val="00A14455"/>
    <w:rsid w:val="00A148EB"/>
    <w:rsid w:val="00A14A09"/>
    <w:rsid w:val="00A14B2F"/>
    <w:rsid w:val="00A14E3D"/>
    <w:rsid w:val="00A1515F"/>
    <w:rsid w:val="00A152E3"/>
    <w:rsid w:val="00A153FD"/>
    <w:rsid w:val="00A15580"/>
    <w:rsid w:val="00A15931"/>
    <w:rsid w:val="00A15D04"/>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8AE"/>
    <w:rsid w:val="00A27CF5"/>
    <w:rsid w:val="00A27E62"/>
    <w:rsid w:val="00A30030"/>
    <w:rsid w:val="00A304A7"/>
    <w:rsid w:val="00A3097D"/>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97A"/>
    <w:rsid w:val="00A35CA3"/>
    <w:rsid w:val="00A35CFD"/>
    <w:rsid w:val="00A35DDF"/>
    <w:rsid w:val="00A35F1C"/>
    <w:rsid w:val="00A36999"/>
    <w:rsid w:val="00A36B68"/>
    <w:rsid w:val="00A37602"/>
    <w:rsid w:val="00A41399"/>
    <w:rsid w:val="00A41979"/>
    <w:rsid w:val="00A41ACA"/>
    <w:rsid w:val="00A41BED"/>
    <w:rsid w:val="00A41D22"/>
    <w:rsid w:val="00A41EE0"/>
    <w:rsid w:val="00A42233"/>
    <w:rsid w:val="00A42EFF"/>
    <w:rsid w:val="00A430F8"/>
    <w:rsid w:val="00A43476"/>
    <w:rsid w:val="00A4350C"/>
    <w:rsid w:val="00A43528"/>
    <w:rsid w:val="00A43A83"/>
    <w:rsid w:val="00A43C45"/>
    <w:rsid w:val="00A43F37"/>
    <w:rsid w:val="00A44F22"/>
    <w:rsid w:val="00A4529D"/>
    <w:rsid w:val="00A45A96"/>
    <w:rsid w:val="00A45C57"/>
    <w:rsid w:val="00A45D29"/>
    <w:rsid w:val="00A45D7B"/>
    <w:rsid w:val="00A463C8"/>
    <w:rsid w:val="00A464DF"/>
    <w:rsid w:val="00A46B9E"/>
    <w:rsid w:val="00A47362"/>
    <w:rsid w:val="00A47A38"/>
    <w:rsid w:val="00A509E5"/>
    <w:rsid w:val="00A51826"/>
    <w:rsid w:val="00A51A52"/>
    <w:rsid w:val="00A51BCA"/>
    <w:rsid w:val="00A522B6"/>
    <w:rsid w:val="00A5280C"/>
    <w:rsid w:val="00A52B1E"/>
    <w:rsid w:val="00A52ED7"/>
    <w:rsid w:val="00A5313D"/>
    <w:rsid w:val="00A53166"/>
    <w:rsid w:val="00A5343B"/>
    <w:rsid w:val="00A53761"/>
    <w:rsid w:val="00A539E4"/>
    <w:rsid w:val="00A53F8E"/>
    <w:rsid w:val="00A54708"/>
    <w:rsid w:val="00A55166"/>
    <w:rsid w:val="00A551DB"/>
    <w:rsid w:val="00A559BB"/>
    <w:rsid w:val="00A55E82"/>
    <w:rsid w:val="00A55FB4"/>
    <w:rsid w:val="00A561EE"/>
    <w:rsid w:val="00A565A5"/>
    <w:rsid w:val="00A56D34"/>
    <w:rsid w:val="00A574EC"/>
    <w:rsid w:val="00A57830"/>
    <w:rsid w:val="00A6004A"/>
    <w:rsid w:val="00A60F61"/>
    <w:rsid w:val="00A614FB"/>
    <w:rsid w:val="00A616D1"/>
    <w:rsid w:val="00A61F2F"/>
    <w:rsid w:val="00A61F7B"/>
    <w:rsid w:val="00A621C2"/>
    <w:rsid w:val="00A628A9"/>
    <w:rsid w:val="00A628ED"/>
    <w:rsid w:val="00A6299D"/>
    <w:rsid w:val="00A62C87"/>
    <w:rsid w:val="00A62E52"/>
    <w:rsid w:val="00A62EFF"/>
    <w:rsid w:val="00A63A1A"/>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8EF"/>
    <w:rsid w:val="00A749F5"/>
    <w:rsid w:val="00A74B8D"/>
    <w:rsid w:val="00A74BEE"/>
    <w:rsid w:val="00A74F33"/>
    <w:rsid w:val="00A74F7B"/>
    <w:rsid w:val="00A75940"/>
    <w:rsid w:val="00A75B4F"/>
    <w:rsid w:val="00A75BCF"/>
    <w:rsid w:val="00A75CD5"/>
    <w:rsid w:val="00A75D26"/>
    <w:rsid w:val="00A76154"/>
    <w:rsid w:val="00A76559"/>
    <w:rsid w:val="00A76A5B"/>
    <w:rsid w:val="00A7789D"/>
    <w:rsid w:val="00A8089F"/>
    <w:rsid w:val="00A80C39"/>
    <w:rsid w:val="00A80FD7"/>
    <w:rsid w:val="00A81101"/>
    <w:rsid w:val="00A8157C"/>
    <w:rsid w:val="00A815A5"/>
    <w:rsid w:val="00A815E0"/>
    <w:rsid w:val="00A81B67"/>
    <w:rsid w:val="00A826EA"/>
    <w:rsid w:val="00A828B2"/>
    <w:rsid w:val="00A829A9"/>
    <w:rsid w:val="00A82C5B"/>
    <w:rsid w:val="00A82E1D"/>
    <w:rsid w:val="00A830AD"/>
    <w:rsid w:val="00A834A2"/>
    <w:rsid w:val="00A84460"/>
    <w:rsid w:val="00A84700"/>
    <w:rsid w:val="00A84B7A"/>
    <w:rsid w:val="00A84F47"/>
    <w:rsid w:val="00A85191"/>
    <w:rsid w:val="00A851B0"/>
    <w:rsid w:val="00A85617"/>
    <w:rsid w:val="00A856E1"/>
    <w:rsid w:val="00A8592E"/>
    <w:rsid w:val="00A8601A"/>
    <w:rsid w:val="00A8626D"/>
    <w:rsid w:val="00A86BB6"/>
    <w:rsid w:val="00A87367"/>
    <w:rsid w:val="00A873DC"/>
    <w:rsid w:val="00A87507"/>
    <w:rsid w:val="00A876BB"/>
    <w:rsid w:val="00A879C3"/>
    <w:rsid w:val="00A879FA"/>
    <w:rsid w:val="00A901A9"/>
    <w:rsid w:val="00A90989"/>
    <w:rsid w:val="00A909AF"/>
    <w:rsid w:val="00A91021"/>
    <w:rsid w:val="00A913B0"/>
    <w:rsid w:val="00A91969"/>
    <w:rsid w:val="00A9200B"/>
    <w:rsid w:val="00A9290F"/>
    <w:rsid w:val="00A92AAE"/>
    <w:rsid w:val="00A92AFF"/>
    <w:rsid w:val="00A9345F"/>
    <w:rsid w:val="00A94AAE"/>
    <w:rsid w:val="00A94FDB"/>
    <w:rsid w:val="00A95612"/>
    <w:rsid w:val="00A958C3"/>
    <w:rsid w:val="00A95995"/>
    <w:rsid w:val="00A95BE6"/>
    <w:rsid w:val="00A95EA8"/>
    <w:rsid w:val="00A95EF0"/>
    <w:rsid w:val="00A968C2"/>
    <w:rsid w:val="00A97264"/>
    <w:rsid w:val="00A97725"/>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7E3"/>
    <w:rsid w:val="00AA41F0"/>
    <w:rsid w:val="00AA42EA"/>
    <w:rsid w:val="00AA4716"/>
    <w:rsid w:val="00AA4732"/>
    <w:rsid w:val="00AA4A0C"/>
    <w:rsid w:val="00AA4B94"/>
    <w:rsid w:val="00AA4ECA"/>
    <w:rsid w:val="00AA5212"/>
    <w:rsid w:val="00AA626D"/>
    <w:rsid w:val="00AA6FBC"/>
    <w:rsid w:val="00AA7A26"/>
    <w:rsid w:val="00AA7B0F"/>
    <w:rsid w:val="00AB1242"/>
    <w:rsid w:val="00AB1C0D"/>
    <w:rsid w:val="00AB20EA"/>
    <w:rsid w:val="00AB2292"/>
    <w:rsid w:val="00AB2664"/>
    <w:rsid w:val="00AB26C7"/>
    <w:rsid w:val="00AB2E1E"/>
    <w:rsid w:val="00AB31EA"/>
    <w:rsid w:val="00AB34F8"/>
    <w:rsid w:val="00AB38D6"/>
    <w:rsid w:val="00AB4420"/>
    <w:rsid w:val="00AB4A0D"/>
    <w:rsid w:val="00AB4BE8"/>
    <w:rsid w:val="00AB4C50"/>
    <w:rsid w:val="00AB4CBB"/>
    <w:rsid w:val="00AB4EC1"/>
    <w:rsid w:val="00AB55D5"/>
    <w:rsid w:val="00AB5822"/>
    <w:rsid w:val="00AB624C"/>
    <w:rsid w:val="00AB67F0"/>
    <w:rsid w:val="00AB6AA8"/>
    <w:rsid w:val="00AB6AAD"/>
    <w:rsid w:val="00AB6D1C"/>
    <w:rsid w:val="00AB722D"/>
    <w:rsid w:val="00AB746E"/>
    <w:rsid w:val="00AB78A5"/>
    <w:rsid w:val="00AB78A9"/>
    <w:rsid w:val="00AB7CBF"/>
    <w:rsid w:val="00AC0433"/>
    <w:rsid w:val="00AC050D"/>
    <w:rsid w:val="00AC061B"/>
    <w:rsid w:val="00AC096D"/>
    <w:rsid w:val="00AC0B75"/>
    <w:rsid w:val="00AC13A6"/>
    <w:rsid w:val="00AC1719"/>
    <w:rsid w:val="00AC1AD5"/>
    <w:rsid w:val="00AC1BDB"/>
    <w:rsid w:val="00AC1C3E"/>
    <w:rsid w:val="00AC1E97"/>
    <w:rsid w:val="00AC2461"/>
    <w:rsid w:val="00AC2841"/>
    <w:rsid w:val="00AC286F"/>
    <w:rsid w:val="00AC2BCA"/>
    <w:rsid w:val="00AC3178"/>
    <w:rsid w:val="00AC369F"/>
    <w:rsid w:val="00AC4110"/>
    <w:rsid w:val="00AC4445"/>
    <w:rsid w:val="00AC48BA"/>
    <w:rsid w:val="00AC4C56"/>
    <w:rsid w:val="00AC54F9"/>
    <w:rsid w:val="00AC564F"/>
    <w:rsid w:val="00AC5AAB"/>
    <w:rsid w:val="00AC5B46"/>
    <w:rsid w:val="00AC60E1"/>
    <w:rsid w:val="00AC6706"/>
    <w:rsid w:val="00AC6FB2"/>
    <w:rsid w:val="00AC79AC"/>
    <w:rsid w:val="00AC79C8"/>
    <w:rsid w:val="00AC7EDD"/>
    <w:rsid w:val="00AD0BDD"/>
    <w:rsid w:val="00AD1665"/>
    <w:rsid w:val="00AD2376"/>
    <w:rsid w:val="00AD262F"/>
    <w:rsid w:val="00AD296C"/>
    <w:rsid w:val="00AD29DA"/>
    <w:rsid w:val="00AD2D6A"/>
    <w:rsid w:val="00AD3F06"/>
    <w:rsid w:val="00AD445B"/>
    <w:rsid w:val="00AD44A3"/>
    <w:rsid w:val="00AD4B8F"/>
    <w:rsid w:val="00AD4DAB"/>
    <w:rsid w:val="00AD63A0"/>
    <w:rsid w:val="00AD6417"/>
    <w:rsid w:val="00AD67E3"/>
    <w:rsid w:val="00AD6809"/>
    <w:rsid w:val="00AD74B3"/>
    <w:rsid w:val="00AD7901"/>
    <w:rsid w:val="00AD7A47"/>
    <w:rsid w:val="00AE0A9C"/>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527B"/>
    <w:rsid w:val="00AE5713"/>
    <w:rsid w:val="00AE5D81"/>
    <w:rsid w:val="00AE5FAE"/>
    <w:rsid w:val="00AE6108"/>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39E1"/>
    <w:rsid w:val="00AF3AED"/>
    <w:rsid w:val="00AF3B74"/>
    <w:rsid w:val="00AF4831"/>
    <w:rsid w:val="00AF4982"/>
    <w:rsid w:val="00AF4DF9"/>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9A"/>
    <w:rsid w:val="00B01104"/>
    <w:rsid w:val="00B0110A"/>
    <w:rsid w:val="00B015E5"/>
    <w:rsid w:val="00B026F3"/>
    <w:rsid w:val="00B02831"/>
    <w:rsid w:val="00B029F6"/>
    <w:rsid w:val="00B02A9A"/>
    <w:rsid w:val="00B03A82"/>
    <w:rsid w:val="00B03C7F"/>
    <w:rsid w:val="00B03DD4"/>
    <w:rsid w:val="00B04210"/>
    <w:rsid w:val="00B04372"/>
    <w:rsid w:val="00B04B59"/>
    <w:rsid w:val="00B04E0F"/>
    <w:rsid w:val="00B05103"/>
    <w:rsid w:val="00B054B2"/>
    <w:rsid w:val="00B056DF"/>
    <w:rsid w:val="00B05C70"/>
    <w:rsid w:val="00B06007"/>
    <w:rsid w:val="00B061BB"/>
    <w:rsid w:val="00B06297"/>
    <w:rsid w:val="00B06332"/>
    <w:rsid w:val="00B067C8"/>
    <w:rsid w:val="00B06871"/>
    <w:rsid w:val="00B069F7"/>
    <w:rsid w:val="00B07758"/>
    <w:rsid w:val="00B101AD"/>
    <w:rsid w:val="00B10D7E"/>
    <w:rsid w:val="00B10E73"/>
    <w:rsid w:val="00B10FD4"/>
    <w:rsid w:val="00B118B7"/>
    <w:rsid w:val="00B11B39"/>
    <w:rsid w:val="00B12300"/>
    <w:rsid w:val="00B1244C"/>
    <w:rsid w:val="00B12EAB"/>
    <w:rsid w:val="00B135FF"/>
    <w:rsid w:val="00B1375D"/>
    <w:rsid w:val="00B13E57"/>
    <w:rsid w:val="00B14509"/>
    <w:rsid w:val="00B148A1"/>
    <w:rsid w:val="00B14D8C"/>
    <w:rsid w:val="00B15277"/>
    <w:rsid w:val="00B153D2"/>
    <w:rsid w:val="00B15430"/>
    <w:rsid w:val="00B15459"/>
    <w:rsid w:val="00B15551"/>
    <w:rsid w:val="00B15D65"/>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745"/>
    <w:rsid w:val="00B227A2"/>
    <w:rsid w:val="00B22B7F"/>
    <w:rsid w:val="00B22DCA"/>
    <w:rsid w:val="00B230C1"/>
    <w:rsid w:val="00B23BC2"/>
    <w:rsid w:val="00B23CD1"/>
    <w:rsid w:val="00B242CF"/>
    <w:rsid w:val="00B2464D"/>
    <w:rsid w:val="00B24C89"/>
    <w:rsid w:val="00B251E1"/>
    <w:rsid w:val="00B25460"/>
    <w:rsid w:val="00B25D17"/>
    <w:rsid w:val="00B25D3E"/>
    <w:rsid w:val="00B25F2C"/>
    <w:rsid w:val="00B25F34"/>
    <w:rsid w:val="00B26473"/>
    <w:rsid w:val="00B26691"/>
    <w:rsid w:val="00B26E67"/>
    <w:rsid w:val="00B270D6"/>
    <w:rsid w:val="00B2777B"/>
    <w:rsid w:val="00B309A4"/>
    <w:rsid w:val="00B30AEE"/>
    <w:rsid w:val="00B30B30"/>
    <w:rsid w:val="00B30D24"/>
    <w:rsid w:val="00B31559"/>
    <w:rsid w:val="00B31587"/>
    <w:rsid w:val="00B31D35"/>
    <w:rsid w:val="00B31F03"/>
    <w:rsid w:val="00B3273E"/>
    <w:rsid w:val="00B337AB"/>
    <w:rsid w:val="00B340E0"/>
    <w:rsid w:val="00B34970"/>
    <w:rsid w:val="00B34C3B"/>
    <w:rsid w:val="00B34F88"/>
    <w:rsid w:val="00B3563A"/>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9EB"/>
    <w:rsid w:val="00B43B5C"/>
    <w:rsid w:val="00B43DF3"/>
    <w:rsid w:val="00B43FD0"/>
    <w:rsid w:val="00B442C7"/>
    <w:rsid w:val="00B443C4"/>
    <w:rsid w:val="00B44C52"/>
    <w:rsid w:val="00B4556D"/>
    <w:rsid w:val="00B45B63"/>
    <w:rsid w:val="00B45CCA"/>
    <w:rsid w:val="00B45E4A"/>
    <w:rsid w:val="00B4609B"/>
    <w:rsid w:val="00B46296"/>
    <w:rsid w:val="00B465AB"/>
    <w:rsid w:val="00B4677F"/>
    <w:rsid w:val="00B46F2B"/>
    <w:rsid w:val="00B47060"/>
    <w:rsid w:val="00B471D1"/>
    <w:rsid w:val="00B47577"/>
    <w:rsid w:val="00B479E9"/>
    <w:rsid w:val="00B50761"/>
    <w:rsid w:val="00B50872"/>
    <w:rsid w:val="00B50AE2"/>
    <w:rsid w:val="00B50D10"/>
    <w:rsid w:val="00B5112C"/>
    <w:rsid w:val="00B51A5F"/>
    <w:rsid w:val="00B5222B"/>
    <w:rsid w:val="00B52387"/>
    <w:rsid w:val="00B523D4"/>
    <w:rsid w:val="00B524B6"/>
    <w:rsid w:val="00B52D72"/>
    <w:rsid w:val="00B52F88"/>
    <w:rsid w:val="00B53009"/>
    <w:rsid w:val="00B5338F"/>
    <w:rsid w:val="00B53B7B"/>
    <w:rsid w:val="00B53E24"/>
    <w:rsid w:val="00B540ED"/>
    <w:rsid w:val="00B54526"/>
    <w:rsid w:val="00B54A21"/>
    <w:rsid w:val="00B54C4D"/>
    <w:rsid w:val="00B54F0A"/>
    <w:rsid w:val="00B54F8D"/>
    <w:rsid w:val="00B551CC"/>
    <w:rsid w:val="00B551EC"/>
    <w:rsid w:val="00B5527B"/>
    <w:rsid w:val="00B552AF"/>
    <w:rsid w:val="00B55BD5"/>
    <w:rsid w:val="00B55C68"/>
    <w:rsid w:val="00B55D6B"/>
    <w:rsid w:val="00B55D92"/>
    <w:rsid w:val="00B56336"/>
    <w:rsid w:val="00B56AA0"/>
    <w:rsid w:val="00B56D4F"/>
    <w:rsid w:val="00B56F6A"/>
    <w:rsid w:val="00B57450"/>
    <w:rsid w:val="00B57674"/>
    <w:rsid w:val="00B5769F"/>
    <w:rsid w:val="00B576EA"/>
    <w:rsid w:val="00B603D7"/>
    <w:rsid w:val="00B606C2"/>
    <w:rsid w:val="00B607D6"/>
    <w:rsid w:val="00B60D6E"/>
    <w:rsid w:val="00B61DD5"/>
    <w:rsid w:val="00B62080"/>
    <w:rsid w:val="00B621D6"/>
    <w:rsid w:val="00B6225B"/>
    <w:rsid w:val="00B622EF"/>
    <w:rsid w:val="00B62618"/>
    <w:rsid w:val="00B626DD"/>
    <w:rsid w:val="00B627D3"/>
    <w:rsid w:val="00B62C74"/>
    <w:rsid w:val="00B62CF0"/>
    <w:rsid w:val="00B6361A"/>
    <w:rsid w:val="00B63854"/>
    <w:rsid w:val="00B64B1E"/>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67B"/>
    <w:rsid w:val="00B72C0C"/>
    <w:rsid w:val="00B72E03"/>
    <w:rsid w:val="00B73E36"/>
    <w:rsid w:val="00B740C1"/>
    <w:rsid w:val="00B7423A"/>
    <w:rsid w:val="00B744F1"/>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15D"/>
    <w:rsid w:val="00B802AD"/>
    <w:rsid w:val="00B803E6"/>
    <w:rsid w:val="00B8061B"/>
    <w:rsid w:val="00B80676"/>
    <w:rsid w:val="00B810DC"/>
    <w:rsid w:val="00B81226"/>
    <w:rsid w:val="00B81967"/>
    <w:rsid w:val="00B81A53"/>
    <w:rsid w:val="00B81CCB"/>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2A5"/>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6ED"/>
    <w:rsid w:val="00B927B6"/>
    <w:rsid w:val="00B92D4B"/>
    <w:rsid w:val="00B930C2"/>
    <w:rsid w:val="00B93254"/>
    <w:rsid w:val="00B93597"/>
    <w:rsid w:val="00B936AB"/>
    <w:rsid w:val="00B93B24"/>
    <w:rsid w:val="00B9605E"/>
    <w:rsid w:val="00B964F9"/>
    <w:rsid w:val="00B96D36"/>
    <w:rsid w:val="00B97016"/>
    <w:rsid w:val="00B97148"/>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556"/>
    <w:rsid w:val="00BA49B2"/>
    <w:rsid w:val="00BA4A86"/>
    <w:rsid w:val="00BA4D35"/>
    <w:rsid w:val="00BA4D58"/>
    <w:rsid w:val="00BA4E0F"/>
    <w:rsid w:val="00BA4E46"/>
    <w:rsid w:val="00BA54C3"/>
    <w:rsid w:val="00BA56BF"/>
    <w:rsid w:val="00BA570B"/>
    <w:rsid w:val="00BA621B"/>
    <w:rsid w:val="00BA64AB"/>
    <w:rsid w:val="00BA652F"/>
    <w:rsid w:val="00BA6DAD"/>
    <w:rsid w:val="00BA6F7D"/>
    <w:rsid w:val="00BA748E"/>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8B0"/>
    <w:rsid w:val="00BB7949"/>
    <w:rsid w:val="00BC005E"/>
    <w:rsid w:val="00BC09B1"/>
    <w:rsid w:val="00BC0BDA"/>
    <w:rsid w:val="00BC0C5F"/>
    <w:rsid w:val="00BC0CA6"/>
    <w:rsid w:val="00BC0F98"/>
    <w:rsid w:val="00BC0FBC"/>
    <w:rsid w:val="00BC1BB3"/>
    <w:rsid w:val="00BC1F5D"/>
    <w:rsid w:val="00BC219E"/>
    <w:rsid w:val="00BC2AF8"/>
    <w:rsid w:val="00BC3769"/>
    <w:rsid w:val="00BC3994"/>
    <w:rsid w:val="00BC3D6B"/>
    <w:rsid w:val="00BC3EF3"/>
    <w:rsid w:val="00BC4976"/>
    <w:rsid w:val="00BC4B55"/>
    <w:rsid w:val="00BC4C7F"/>
    <w:rsid w:val="00BC50B0"/>
    <w:rsid w:val="00BC51EA"/>
    <w:rsid w:val="00BC5EA0"/>
    <w:rsid w:val="00BC6088"/>
    <w:rsid w:val="00BC677E"/>
    <w:rsid w:val="00BC6F10"/>
    <w:rsid w:val="00BC7D1C"/>
    <w:rsid w:val="00BD0052"/>
    <w:rsid w:val="00BD0195"/>
    <w:rsid w:val="00BD023A"/>
    <w:rsid w:val="00BD0393"/>
    <w:rsid w:val="00BD07E6"/>
    <w:rsid w:val="00BD0A95"/>
    <w:rsid w:val="00BD0B9A"/>
    <w:rsid w:val="00BD0D43"/>
    <w:rsid w:val="00BD0E41"/>
    <w:rsid w:val="00BD11FB"/>
    <w:rsid w:val="00BD131B"/>
    <w:rsid w:val="00BD161E"/>
    <w:rsid w:val="00BD19E8"/>
    <w:rsid w:val="00BD2205"/>
    <w:rsid w:val="00BD247E"/>
    <w:rsid w:val="00BD2A84"/>
    <w:rsid w:val="00BD2AFB"/>
    <w:rsid w:val="00BD2C2A"/>
    <w:rsid w:val="00BD33DC"/>
    <w:rsid w:val="00BD3482"/>
    <w:rsid w:val="00BD358A"/>
    <w:rsid w:val="00BD359E"/>
    <w:rsid w:val="00BD3606"/>
    <w:rsid w:val="00BD3ABF"/>
    <w:rsid w:val="00BD3FE5"/>
    <w:rsid w:val="00BD49FB"/>
    <w:rsid w:val="00BD4D15"/>
    <w:rsid w:val="00BD5984"/>
    <w:rsid w:val="00BD6ADE"/>
    <w:rsid w:val="00BD6BBC"/>
    <w:rsid w:val="00BD6C2D"/>
    <w:rsid w:val="00BD6F39"/>
    <w:rsid w:val="00BD7038"/>
    <w:rsid w:val="00BD7278"/>
    <w:rsid w:val="00BD7280"/>
    <w:rsid w:val="00BD740E"/>
    <w:rsid w:val="00BD7812"/>
    <w:rsid w:val="00BD7BD4"/>
    <w:rsid w:val="00BD7C63"/>
    <w:rsid w:val="00BD7D55"/>
    <w:rsid w:val="00BE00F5"/>
    <w:rsid w:val="00BE02D5"/>
    <w:rsid w:val="00BE0A8F"/>
    <w:rsid w:val="00BE108D"/>
    <w:rsid w:val="00BE1807"/>
    <w:rsid w:val="00BE1A0A"/>
    <w:rsid w:val="00BE1C87"/>
    <w:rsid w:val="00BE1EDD"/>
    <w:rsid w:val="00BE2AC6"/>
    <w:rsid w:val="00BE3596"/>
    <w:rsid w:val="00BE3764"/>
    <w:rsid w:val="00BE483A"/>
    <w:rsid w:val="00BE48B6"/>
    <w:rsid w:val="00BE498E"/>
    <w:rsid w:val="00BE506B"/>
    <w:rsid w:val="00BE5084"/>
    <w:rsid w:val="00BE51A0"/>
    <w:rsid w:val="00BE5380"/>
    <w:rsid w:val="00BE5EEE"/>
    <w:rsid w:val="00BE5FAD"/>
    <w:rsid w:val="00BE60B0"/>
    <w:rsid w:val="00BE610B"/>
    <w:rsid w:val="00BE62A5"/>
    <w:rsid w:val="00BE77EF"/>
    <w:rsid w:val="00BE7BC1"/>
    <w:rsid w:val="00BF02C1"/>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A89"/>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26A"/>
    <w:rsid w:val="00C0065D"/>
    <w:rsid w:val="00C0082A"/>
    <w:rsid w:val="00C0116C"/>
    <w:rsid w:val="00C01191"/>
    <w:rsid w:val="00C01777"/>
    <w:rsid w:val="00C01832"/>
    <w:rsid w:val="00C018CC"/>
    <w:rsid w:val="00C01FC3"/>
    <w:rsid w:val="00C01FE0"/>
    <w:rsid w:val="00C0241E"/>
    <w:rsid w:val="00C02A45"/>
    <w:rsid w:val="00C02A47"/>
    <w:rsid w:val="00C02DE2"/>
    <w:rsid w:val="00C02F7F"/>
    <w:rsid w:val="00C038C8"/>
    <w:rsid w:val="00C03D60"/>
    <w:rsid w:val="00C040DA"/>
    <w:rsid w:val="00C04406"/>
    <w:rsid w:val="00C0497C"/>
    <w:rsid w:val="00C04DE9"/>
    <w:rsid w:val="00C050FE"/>
    <w:rsid w:val="00C057AC"/>
    <w:rsid w:val="00C05986"/>
    <w:rsid w:val="00C05C4F"/>
    <w:rsid w:val="00C065F2"/>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3A5"/>
    <w:rsid w:val="00C133D2"/>
    <w:rsid w:val="00C13605"/>
    <w:rsid w:val="00C13EFF"/>
    <w:rsid w:val="00C147EB"/>
    <w:rsid w:val="00C14A0B"/>
    <w:rsid w:val="00C14FD6"/>
    <w:rsid w:val="00C15540"/>
    <w:rsid w:val="00C1558C"/>
    <w:rsid w:val="00C158F5"/>
    <w:rsid w:val="00C15B75"/>
    <w:rsid w:val="00C15D93"/>
    <w:rsid w:val="00C15E5F"/>
    <w:rsid w:val="00C16FA3"/>
    <w:rsid w:val="00C17A40"/>
    <w:rsid w:val="00C17B85"/>
    <w:rsid w:val="00C17C06"/>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23"/>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3012"/>
    <w:rsid w:val="00C33373"/>
    <w:rsid w:val="00C3390C"/>
    <w:rsid w:val="00C33B17"/>
    <w:rsid w:val="00C33BAD"/>
    <w:rsid w:val="00C340FD"/>
    <w:rsid w:val="00C3480F"/>
    <w:rsid w:val="00C34838"/>
    <w:rsid w:val="00C34F54"/>
    <w:rsid w:val="00C352DE"/>
    <w:rsid w:val="00C3558F"/>
    <w:rsid w:val="00C35C57"/>
    <w:rsid w:val="00C3607F"/>
    <w:rsid w:val="00C360D4"/>
    <w:rsid w:val="00C364F6"/>
    <w:rsid w:val="00C36842"/>
    <w:rsid w:val="00C36D88"/>
    <w:rsid w:val="00C373DF"/>
    <w:rsid w:val="00C373FA"/>
    <w:rsid w:val="00C37610"/>
    <w:rsid w:val="00C376A2"/>
    <w:rsid w:val="00C4014C"/>
    <w:rsid w:val="00C407AB"/>
    <w:rsid w:val="00C41D3D"/>
    <w:rsid w:val="00C41DB2"/>
    <w:rsid w:val="00C42194"/>
    <w:rsid w:val="00C427E1"/>
    <w:rsid w:val="00C42B30"/>
    <w:rsid w:val="00C42EA5"/>
    <w:rsid w:val="00C430D0"/>
    <w:rsid w:val="00C4344C"/>
    <w:rsid w:val="00C43745"/>
    <w:rsid w:val="00C438D3"/>
    <w:rsid w:val="00C43A0D"/>
    <w:rsid w:val="00C443AD"/>
    <w:rsid w:val="00C448B1"/>
    <w:rsid w:val="00C4749D"/>
    <w:rsid w:val="00C47B01"/>
    <w:rsid w:val="00C47D3D"/>
    <w:rsid w:val="00C50920"/>
    <w:rsid w:val="00C50F1B"/>
    <w:rsid w:val="00C50FAA"/>
    <w:rsid w:val="00C513F8"/>
    <w:rsid w:val="00C51683"/>
    <w:rsid w:val="00C517F5"/>
    <w:rsid w:val="00C51A62"/>
    <w:rsid w:val="00C51B9D"/>
    <w:rsid w:val="00C51E8E"/>
    <w:rsid w:val="00C52871"/>
    <w:rsid w:val="00C52F60"/>
    <w:rsid w:val="00C53198"/>
    <w:rsid w:val="00C539C0"/>
    <w:rsid w:val="00C53C92"/>
    <w:rsid w:val="00C543D6"/>
    <w:rsid w:val="00C54459"/>
    <w:rsid w:val="00C54787"/>
    <w:rsid w:val="00C54F61"/>
    <w:rsid w:val="00C55052"/>
    <w:rsid w:val="00C55383"/>
    <w:rsid w:val="00C55398"/>
    <w:rsid w:val="00C5539B"/>
    <w:rsid w:val="00C55935"/>
    <w:rsid w:val="00C559C7"/>
    <w:rsid w:val="00C561AA"/>
    <w:rsid w:val="00C56463"/>
    <w:rsid w:val="00C565BD"/>
    <w:rsid w:val="00C5678F"/>
    <w:rsid w:val="00C56E5A"/>
    <w:rsid w:val="00C57282"/>
    <w:rsid w:val="00C57333"/>
    <w:rsid w:val="00C57694"/>
    <w:rsid w:val="00C57E50"/>
    <w:rsid w:val="00C57F3B"/>
    <w:rsid w:val="00C604BA"/>
    <w:rsid w:val="00C6098B"/>
    <w:rsid w:val="00C61A2B"/>
    <w:rsid w:val="00C61EFF"/>
    <w:rsid w:val="00C61F81"/>
    <w:rsid w:val="00C62636"/>
    <w:rsid w:val="00C62889"/>
    <w:rsid w:val="00C62AA5"/>
    <w:rsid w:val="00C63004"/>
    <w:rsid w:val="00C639EA"/>
    <w:rsid w:val="00C63A2E"/>
    <w:rsid w:val="00C63FA6"/>
    <w:rsid w:val="00C63FB6"/>
    <w:rsid w:val="00C6418E"/>
    <w:rsid w:val="00C64442"/>
    <w:rsid w:val="00C64C77"/>
    <w:rsid w:val="00C64CC2"/>
    <w:rsid w:val="00C651C7"/>
    <w:rsid w:val="00C65580"/>
    <w:rsid w:val="00C656F1"/>
    <w:rsid w:val="00C659F6"/>
    <w:rsid w:val="00C65CED"/>
    <w:rsid w:val="00C65EF5"/>
    <w:rsid w:val="00C66A00"/>
    <w:rsid w:val="00C66B80"/>
    <w:rsid w:val="00C66BBF"/>
    <w:rsid w:val="00C67522"/>
    <w:rsid w:val="00C675F1"/>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DB9"/>
    <w:rsid w:val="00C73F85"/>
    <w:rsid w:val="00C740B1"/>
    <w:rsid w:val="00C7436D"/>
    <w:rsid w:val="00C74577"/>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1FC9"/>
    <w:rsid w:val="00C824F9"/>
    <w:rsid w:val="00C82816"/>
    <w:rsid w:val="00C8292D"/>
    <w:rsid w:val="00C82C51"/>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4DD"/>
    <w:rsid w:val="00CA26DD"/>
    <w:rsid w:val="00CA27FC"/>
    <w:rsid w:val="00CA2B55"/>
    <w:rsid w:val="00CA2EB1"/>
    <w:rsid w:val="00CA30D7"/>
    <w:rsid w:val="00CA3634"/>
    <w:rsid w:val="00CA39D8"/>
    <w:rsid w:val="00CA56C2"/>
    <w:rsid w:val="00CA59B6"/>
    <w:rsid w:val="00CA5F46"/>
    <w:rsid w:val="00CA60B7"/>
    <w:rsid w:val="00CA6A98"/>
    <w:rsid w:val="00CA6DE6"/>
    <w:rsid w:val="00CA6FB4"/>
    <w:rsid w:val="00CA7438"/>
    <w:rsid w:val="00CA7756"/>
    <w:rsid w:val="00CA7A04"/>
    <w:rsid w:val="00CA7B19"/>
    <w:rsid w:val="00CA7D7E"/>
    <w:rsid w:val="00CA7FA6"/>
    <w:rsid w:val="00CB010C"/>
    <w:rsid w:val="00CB0155"/>
    <w:rsid w:val="00CB0BC8"/>
    <w:rsid w:val="00CB0CD6"/>
    <w:rsid w:val="00CB1391"/>
    <w:rsid w:val="00CB14A5"/>
    <w:rsid w:val="00CB14B7"/>
    <w:rsid w:val="00CB161A"/>
    <w:rsid w:val="00CB1C39"/>
    <w:rsid w:val="00CB21D4"/>
    <w:rsid w:val="00CB271F"/>
    <w:rsid w:val="00CB3022"/>
    <w:rsid w:val="00CB3833"/>
    <w:rsid w:val="00CB3EB9"/>
    <w:rsid w:val="00CB4D74"/>
    <w:rsid w:val="00CB55C8"/>
    <w:rsid w:val="00CB59C9"/>
    <w:rsid w:val="00CB5BD3"/>
    <w:rsid w:val="00CB602A"/>
    <w:rsid w:val="00CB65BE"/>
    <w:rsid w:val="00CB6731"/>
    <w:rsid w:val="00CB6ADA"/>
    <w:rsid w:val="00CB6DEC"/>
    <w:rsid w:val="00CB6E73"/>
    <w:rsid w:val="00CB732B"/>
    <w:rsid w:val="00CB7CCB"/>
    <w:rsid w:val="00CB7E06"/>
    <w:rsid w:val="00CC0B3F"/>
    <w:rsid w:val="00CC0DD1"/>
    <w:rsid w:val="00CC1028"/>
    <w:rsid w:val="00CC1372"/>
    <w:rsid w:val="00CC1996"/>
    <w:rsid w:val="00CC1D02"/>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D03"/>
    <w:rsid w:val="00CC5F70"/>
    <w:rsid w:val="00CC62A2"/>
    <w:rsid w:val="00CC7097"/>
    <w:rsid w:val="00CC7275"/>
    <w:rsid w:val="00CC7A84"/>
    <w:rsid w:val="00CC7AD6"/>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335"/>
    <w:rsid w:val="00CD4342"/>
    <w:rsid w:val="00CD447E"/>
    <w:rsid w:val="00CD44C6"/>
    <w:rsid w:val="00CD47D7"/>
    <w:rsid w:val="00CD49F9"/>
    <w:rsid w:val="00CD4DB8"/>
    <w:rsid w:val="00CD592F"/>
    <w:rsid w:val="00CD59F9"/>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0C1"/>
    <w:rsid w:val="00CF010E"/>
    <w:rsid w:val="00CF1212"/>
    <w:rsid w:val="00CF127C"/>
    <w:rsid w:val="00CF13D3"/>
    <w:rsid w:val="00CF15E5"/>
    <w:rsid w:val="00CF15FA"/>
    <w:rsid w:val="00CF18D0"/>
    <w:rsid w:val="00CF1F85"/>
    <w:rsid w:val="00CF2448"/>
    <w:rsid w:val="00CF465F"/>
    <w:rsid w:val="00CF4944"/>
    <w:rsid w:val="00CF4D65"/>
    <w:rsid w:val="00CF5407"/>
    <w:rsid w:val="00CF562A"/>
    <w:rsid w:val="00CF5C3F"/>
    <w:rsid w:val="00CF5DA8"/>
    <w:rsid w:val="00CF670C"/>
    <w:rsid w:val="00CF6786"/>
    <w:rsid w:val="00CF6846"/>
    <w:rsid w:val="00CF69AC"/>
    <w:rsid w:val="00CF6F49"/>
    <w:rsid w:val="00CF739C"/>
    <w:rsid w:val="00D00358"/>
    <w:rsid w:val="00D004E0"/>
    <w:rsid w:val="00D00FE2"/>
    <w:rsid w:val="00D01065"/>
    <w:rsid w:val="00D01381"/>
    <w:rsid w:val="00D02061"/>
    <w:rsid w:val="00D020A0"/>
    <w:rsid w:val="00D02462"/>
    <w:rsid w:val="00D02672"/>
    <w:rsid w:val="00D0296A"/>
    <w:rsid w:val="00D029BE"/>
    <w:rsid w:val="00D02DC8"/>
    <w:rsid w:val="00D031CC"/>
    <w:rsid w:val="00D03583"/>
    <w:rsid w:val="00D0373A"/>
    <w:rsid w:val="00D03E9B"/>
    <w:rsid w:val="00D042C8"/>
    <w:rsid w:val="00D042EB"/>
    <w:rsid w:val="00D048DA"/>
    <w:rsid w:val="00D04EAD"/>
    <w:rsid w:val="00D0517B"/>
    <w:rsid w:val="00D052E7"/>
    <w:rsid w:val="00D05A90"/>
    <w:rsid w:val="00D0642D"/>
    <w:rsid w:val="00D079C2"/>
    <w:rsid w:val="00D07D93"/>
    <w:rsid w:val="00D07E02"/>
    <w:rsid w:val="00D10220"/>
    <w:rsid w:val="00D10B69"/>
    <w:rsid w:val="00D10E30"/>
    <w:rsid w:val="00D10F70"/>
    <w:rsid w:val="00D1123C"/>
    <w:rsid w:val="00D11270"/>
    <w:rsid w:val="00D12018"/>
    <w:rsid w:val="00D12117"/>
    <w:rsid w:val="00D1211D"/>
    <w:rsid w:val="00D1268E"/>
    <w:rsid w:val="00D126E9"/>
    <w:rsid w:val="00D12E54"/>
    <w:rsid w:val="00D13D40"/>
    <w:rsid w:val="00D13DCD"/>
    <w:rsid w:val="00D13E39"/>
    <w:rsid w:val="00D14827"/>
    <w:rsid w:val="00D149AE"/>
    <w:rsid w:val="00D15032"/>
    <w:rsid w:val="00D1608B"/>
    <w:rsid w:val="00D16163"/>
    <w:rsid w:val="00D16865"/>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15"/>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22E2"/>
    <w:rsid w:val="00D326A0"/>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2D1"/>
    <w:rsid w:val="00D36CA6"/>
    <w:rsid w:val="00D3703C"/>
    <w:rsid w:val="00D3770B"/>
    <w:rsid w:val="00D37A90"/>
    <w:rsid w:val="00D37DDB"/>
    <w:rsid w:val="00D402EB"/>
    <w:rsid w:val="00D40314"/>
    <w:rsid w:val="00D40B0A"/>
    <w:rsid w:val="00D40C2C"/>
    <w:rsid w:val="00D412F5"/>
    <w:rsid w:val="00D4140F"/>
    <w:rsid w:val="00D41783"/>
    <w:rsid w:val="00D422EF"/>
    <w:rsid w:val="00D426AB"/>
    <w:rsid w:val="00D42B3A"/>
    <w:rsid w:val="00D42B4A"/>
    <w:rsid w:val="00D437B1"/>
    <w:rsid w:val="00D43F30"/>
    <w:rsid w:val="00D44491"/>
    <w:rsid w:val="00D446C6"/>
    <w:rsid w:val="00D44FDD"/>
    <w:rsid w:val="00D45854"/>
    <w:rsid w:val="00D45AAB"/>
    <w:rsid w:val="00D45AC8"/>
    <w:rsid w:val="00D4601C"/>
    <w:rsid w:val="00D467A9"/>
    <w:rsid w:val="00D4688A"/>
    <w:rsid w:val="00D46FCA"/>
    <w:rsid w:val="00D47253"/>
    <w:rsid w:val="00D47CBE"/>
    <w:rsid w:val="00D47EE6"/>
    <w:rsid w:val="00D5016F"/>
    <w:rsid w:val="00D506BE"/>
    <w:rsid w:val="00D5070D"/>
    <w:rsid w:val="00D50964"/>
    <w:rsid w:val="00D509CC"/>
    <w:rsid w:val="00D50FB5"/>
    <w:rsid w:val="00D5171C"/>
    <w:rsid w:val="00D51AAB"/>
    <w:rsid w:val="00D51E4E"/>
    <w:rsid w:val="00D520FE"/>
    <w:rsid w:val="00D527BD"/>
    <w:rsid w:val="00D52E31"/>
    <w:rsid w:val="00D52F42"/>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1A05"/>
    <w:rsid w:val="00D61DFE"/>
    <w:rsid w:val="00D61E62"/>
    <w:rsid w:val="00D6215C"/>
    <w:rsid w:val="00D62205"/>
    <w:rsid w:val="00D6238D"/>
    <w:rsid w:val="00D62531"/>
    <w:rsid w:val="00D6271D"/>
    <w:rsid w:val="00D627C1"/>
    <w:rsid w:val="00D62C80"/>
    <w:rsid w:val="00D62E52"/>
    <w:rsid w:val="00D63AF9"/>
    <w:rsid w:val="00D63B0F"/>
    <w:rsid w:val="00D646C2"/>
    <w:rsid w:val="00D6486E"/>
    <w:rsid w:val="00D6497F"/>
    <w:rsid w:val="00D64BEF"/>
    <w:rsid w:val="00D65437"/>
    <w:rsid w:val="00D6560A"/>
    <w:rsid w:val="00D657FE"/>
    <w:rsid w:val="00D65905"/>
    <w:rsid w:val="00D65D99"/>
    <w:rsid w:val="00D66885"/>
    <w:rsid w:val="00D66B8A"/>
    <w:rsid w:val="00D66E22"/>
    <w:rsid w:val="00D67241"/>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2F3"/>
    <w:rsid w:val="00D726F0"/>
    <w:rsid w:val="00D728E9"/>
    <w:rsid w:val="00D72946"/>
    <w:rsid w:val="00D72B8A"/>
    <w:rsid w:val="00D74FC6"/>
    <w:rsid w:val="00D7583B"/>
    <w:rsid w:val="00D75B3E"/>
    <w:rsid w:val="00D75E05"/>
    <w:rsid w:val="00D75F87"/>
    <w:rsid w:val="00D762DF"/>
    <w:rsid w:val="00D7630D"/>
    <w:rsid w:val="00D76E9F"/>
    <w:rsid w:val="00D76F8E"/>
    <w:rsid w:val="00D7709A"/>
    <w:rsid w:val="00D778D3"/>
    <w:rsid w:val="00D77B2D"/>
    <w:rsid w:val="00D77F59"/>
    <w:rsid w:val="00D80C37"/>
    <w:rsid w:val="00D8148D"/>
    <w:rsid w:val="00D81509"/>
    <w:rsid w:val="00D81A0A"/>
    <w:rsid w:val="00D81D95"/>
    <w:rsid w:val="00D82083"/>
    <w:rsid w:val="00D822D1"/>
    <w:rsid w:val="00D8261B"/>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399F"/>
    <w:rsid w:val="00D94042"/>
    <w:rsid w:val="00D947EA"/>
    <w:rsid w:val="00D9494C"/>
    <w:rsid w:val="00D94A57"/>
    <w:rsid w:val="00D94BF1"/>
    <w:rsid w:val="00D954D7"/>
    <w:rsid w:val="00D95CB4"/>
    <w:rsid w:val="00D9620E"/>
    <w:rsid w:val="00D96396"/>
    <w:rsid w:val="00D96970"/>
    <w:rsid w:val="00D96D8C"/>
    <w:rsid w:val="00D972E4"/>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2DD6"/>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E59"/>
    <w:rsid w:val="00DC0F1C"/>
    <w:rsid w:val="00DC0FE0"/>
    <w:rsid w:val="00DC1DC6"/>
    <w:rsid w:val="00DC236E"/>
    <w:rsid w:val="00DC2EA5"/>
    <w:rsid w:val="00DC2FFC"/>
    <w:rsid w:val="00DC37E3"/>
    <w:rsid w:val="00DC39B4"/>
    <w:rsid w:val="00DC40B5"/>
    <w:rsid w:val="00DC48E4"/>
    <w:rsid w:val="00DC51A7"/>
    <w:rsid w:val="00DC55ED"/>
    <w:rsid w:val="00DC577E"/>
    <w:rsid w:val="00DC688A"/>
    <w:rsid w:val="00DC7CA0"/>
    <w:rsid w:val="00DC7D6F"/>
    <w:rsid w:val="00DD0464"/>
    <w:rsid w:val="00DD0AF1"/>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4D30"/>
    <w:rsid w:val="00DD6A6F"/>
    <w:rsid w:val="00DD6DFC"/>
    <w:rsid w:val="00DD6F45"/>
    <w:rsid w:val="00DD7095"/>
    <w:rsid w:val="00DD72B8"/>
    <w:rsid w:val="00DD7412"/>
    <w:rsid w:val="00DD7708"/>
    <w:rsid w:val="00DD794D"/>
    <w:rsid w:val="00DE04C0"/>
    <w:rsid w:val="00DE05C4"/>
    <w:rsid w:val="00DE0813"/>
    <w:rsid w:val="00DE10B8"/>
    <w:rsid w:val="00DE125D"/>
    <w:rsid w:val="00DE1927"/>
    <w:rsid w:val="00DE1985"/>
    <w:rsid w:val="00DE2821"/>
    <w:rsid w:val="00DE2B85"/>
    <w:rsid w:val="00DE2EAB"/>
    <w:rsid w:val="00DE2F9F"/>
    <w:rsid w:val="00DE330B"/>
    <w:rsid w:val="00DE3319"/>
    <w:rsid w:val="00DE3ACB"/>
    <w:rsid w:val="00DE3ADF"/>
    <w:rsid w:val="00DE42D0"/>
    <w:rsid w:val="00DE43AB"/>
    <w:rsid w:val="00DE4E8E"/>
    <w:rsid w:val="00DE52DE"/>
    <w:rsid w:val="00DE537E"/>
    <w:rsid w:val="00DE596A"/>
    <w:rsid w:val="00DE5AC0"/>
    <w:rsid w:val="00DE5E3C"/>
    <w:rsid w:val="00DE62D1"/>
    <w:rsid w:val="00DE65F8"/>
    <w:rsid w:val="00DE69E3"/>
    <w:rsid w:val="00DE72C3"/>
    <w:rsid w:val="00DE740F"/>
    <w:rsid w:val="00DF0040"/>
    <w:rsid w:val="00DF05F2"/>
    <w:rsid w:val="00DF0AAD"/>
    <w:rsid w:val="00DF0B5F"/>
    <w:rsid w:val="00DF103A"/>
    <w:rsid w:val="00DF1271"/>
    <w:rsid w:val="00DF16EB"/>
    <w:rsid w:val="00DF1CF5"/>
    <w:rsid w:val="00DF2013"/>
    <w:rsid w:val="00DF2432"/>
    <w:rsid w:val="00DF2A00"/>
    <w:rsid w:val="00DF2B3E"/>
    <w:rsid w:val="00DF2BD9"/>
    <w:rsid w:val="00DF323B"/>
    <w:rsid w:val="00DF3A44"/>
    <w:rsid w:val="00DF3B08"/>
    <w:rsid w:val="00DF3EF7"/>
    <w:rsid w:val="00DF3F06"/>
    <w:rsid w:val="00DF46B7"/>
    <w:rsid w:val="00DF559E"/>
    <w:rsid w:val="00DF57D7"/>
    <w:rsid w:val="00DF58D6"/>
    <w:rsid w:val="00DF5AC1"/>
    <w:rsid w:val="00DF5D8F"/>
    <w:rsid w:val="00DF6925"/>
    <w:rsid w:val="00DF69D4"/>
    <w:rsid w:val="00DF6D66"/>
    <w:rsid w:val="00DF7295"/>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56C"/>
    <w:rsid w:val="00E03D6A"/>
    <w:rsid w:val="00E03E78"/>
    <w:rsid w:val="00E03F5A"/>
    <w:rsid w:val="00E044FB"/>
    <w:rsid w:val="00E045EF"/>
    <w:rsid w:val="00E04E1B"/>
    <w:rsid w:val="00E05191"/>
    <w:rsid w:val="00E057FE"/>
    <w:rsid w:val="00E05D4F"/>
    <w:rsid w:val="00E062ED"/>
    <w:rsid w:val="00E06DDF"/>
    <w:rsid w:val="00E06DEB"/>
    <w:rsid w:val="00E07377"/>
    <w:rsid w:val="00E073DD"/>
    <w:rsid w:val="00E075D9"/>
    <w:rsid w:val="00E077D0"/>
    <w:rsid w:val="00E07AC1"/>
    <w:rsid w:val="00E07D72"/>
    <w:rsid w:val="00E07DC2"/>
    <w:rsid w:val="00E07E1C"/>
    <w:rsid w:val="00E07EC6"/>
    <w:rsid w:val="00E1099B"/>
    <w:rsid w:val="00E10B7D"/>
    <w:rsid w:val="00E10B96"/>
    <w:rsid w:val="00E10C74"/>
    <w:rsid w:val="00E11977"/>
    <w:rsid w:val="00E11AFB"/>
    <w:rsid w:val="00E11D92"/>
    <w:rsid w:val="00E1288A"/>
    <w:rsid w:val="00E12A77"/>
    <w:rsid w:val="00E12CD6"/>
    <w:rsid w:val="00E12CF3"/>
    <w:rsid w:val="00E1385B"/>
    <w:rsid w:val="00E1386F"/>
    <w:rsid w:val="00E13AB7"/>
    <w:rsid w:val="00E13C91"/>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CB"/>
    <w:rsid w:val="00E262AD"/>
    <w:rsid w:val="00E26852"/>
    <w:rsid w:val="00E269D1"/>
    <w:rsid w:val="00E26A50"/>
    <w:rsid w:val="00E278E1"/>
    <w:rsid w:val="00E27A13"/>
    <w:rsid w:val="00E27B0B"/>
    <w:rsid w:val="00E27E5A"/>
    <w:rsid w:val="00E30030"/>
    <w:rsid w:val="00E30533"/>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0A4"/>
    <w:rsid w:val="00E3725D"/>
    <w:rsid w:val="00E375CA"/>
    <w:rsid w:val="00E379D2"/>
    <w:rsid w:val="00E37D94"/>
    <w:rsid w:val="00E401AF"/>
    <w:rsid w:val="00E408D8"/>
    <w:rsid w:val="00E40A68"/>
    <w:rsid w:val="00E40B36"/>
    <w:rsid w:val="00E412C5"/>
    <w:rsid w:val="00E4131B"/>
    <w:rsid w:val="00E414CC"/>
    <w:rsid w:val="00E41957"/>
    <w:rsid w:val="00E42357"/>
    <w:rsid w:val="00E424C6"/>
    <w:rsid w:val="00E42F7E"/>
    <w:rsid w:val="00E4410D"/>
    <w:rsid w:val="00E443CD"/>
    <w:rsid w:val="00E44623"/>
    <w:rsid w:val="00E446EB"/>
    <w:rsid w:val="00E44E00"/>
    <w:rsid w:val="00E44ED3"/>
    <w:rsid w:val="00E45166"/>
    <w:rsid w:val="00E451D4"/>
    <w:rsid w:val="00E455BE"/>
    <w:rsid w:val="00E4609E"/>
    <w:rsid w:val="00E46114"/>
    <w:rsid w:val="00E46288"/>
    <w:rsid w:val="00E465CB"/>
    <w:rsid w:val="00E47070"/>
    <w:rsid w:val="00E472CA"/>
    <w:rsid w:val="00E4740D"/>
    <w:rsid w:val="00E47C7F"/>
    <w:rsid w:val="00E503B6"/>
    <w:rsid w:val="00E506A3"/>
    <w:rsid w:val="00E508F5"/>
    <w:rsid w:val="00E50CF6"/>
    <w:rsid w:val="00E512F9"/>
    <w:rsid w:val="00E520D5"/>
    <w:rsid w:val="00E526ED"/>
    <w:rsid w:val="00E52932"/>
    <w:rsid w:val="00E52A82"/>
    <w:rsid w:val="00E52E36"/>
    <w:rsid w:val="00E53163"/>
    <w:rsid w:val="00E534D2"/>
    <w:rsid w:val="00E5360F"/>
    <w:rsid w:val="00E539A1"/>
    <w:rsid w:val="00E53AC8"/>
    <w:rsid w:val="00E53C35"/>
    <w:rsid w:val="00E540AB"/>
    <w:rsid w:val="00E54705"/>
    <w:rsid w:val="00E54885"/>
    <w:rsid w:val="00E54BA0"/>
    <w:rsid w:val="00E5501D"/>
    <w:rsid w:val="00E5573F"/>
    <w:rsid w:val="00E557EA"/>
    <w:rsid w:val="00E56013"/>
    <w:rsid w:val="00E56C5F"/>
    <w:rsid w:val="00E56FCA"/>
    <w:rsid w:val="00E56FE3"/>
    <w:rsid w:val="00E576E0"/>
    <w:rsid w:val="00E5786B"/>
    <w:rsid w:val="00E57EA9"/>
    <w:rsid w:val="00E604F6"/>
    <w:rsid w:val="00E60C55"/>
    <w:rsid w:val="00E61699"/>
    <w:rsid w:val="00E618BD"/>
    <w:rsid w:val="00E61B64"/>
    <w:rsid w:val="00E62244"/>
    <w:rsid w:val="00E6249D"/>
    <w:rsid w:val="00E6257F"/>
    <w:rsid w:val="00E62800"/>
    <w:rsid w:val="00E6341E"/>
    <w:rsid w:val="00E6372D"/>
    <w:rsid w:val="00E64AA9"/>
    <w:rsid w:val="00E64C38"/>
    <w:rsid w:val="00E64DEC"/>
    <w:rsid w:val="00E64F51"/>
    <w:rsid w:val="00E654E2"/>
    <w:rsid w:val="00E65ABD"/>
    <w:rsid w:val="00E65AF3"/>
    <w:rsid w:val="00E660D2"/>
    <w:rsid w:val="00E66465"/>
    <w:rsid w:val="00E66CAE"/>
    <w:rsid w:val="00E6757B"/>
    <w:rsid w:val="00E67C97"/>
    <w:rsid w:val="00E67CA6"/>
    <w:rsid w:val="00E67E99"/>
    <w:rsid w:val="00E70A02"/>
    <w:rsid w:val="00E711DF"/>
    <w:rsid w:val="00E7151E"/>
    <w:rsid w:val="00E722B7"/>
    <w:rsid w:val="00E72B2B"/>
    <w:rsid w:val="00E72B79"/>
    <w:rsid w:val="00E72CE1"/>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BB9"/>
    <w:rsid w:val="00E82FC2"/>
    <w:rsid w:val="00E82FD4"/>
    <w:rsid w:val="00E83086"/>
    <w:rsid w:val="00E8350F"/>
    <w:rsid w:val="00E83916"/>
    <w:rsid w:val="00E8394B"/>
    <w:rsid w:val="00E83C4D"/>
    <w:rsid w:val="00E840AB"/>
    <w:rsid w:val="00E84178"/>
    <w:rsid w:val="00E84DAB"/>
    <w:rsid w:val="00E8527E"/>
    <w:rsid w:val="00E852E0"/>
    <w:rsid w:val="00E85522"/>
    <w:rsid w:val="00E8599F"/>
    <w:rsid w:val="00E85C9F"/>
    <w:rsid w:val="00E86168"/>
    <w:rsid w:val="00E86218"/>
    <w:rsid w:val="00E871A3"/>
    <w:rsid w:val="00E871B4"/>
    <w:rsid w:val="00E8742D"/>
    <w:rsid w:val="00E87D88"/>
    <w:rsid w:val="00E87F35"/>
    <w:rsid w:val="00E90069"/>
    <w:rsid w:val="00E90C00"/>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7D1"/>
    <w:rsid w:val="00E95A11"/>
    <w:rsid w:val="00E960AC"/>
    <w:rsid w:val="00E961E0"/>
    <w:rsid w:val="00E9630A"/>
    <w:rsid w:val="00E963FB"/>
    <w:rsid w:val="00E964A0"/>
    <w:rsid w:val="00E96827"/>
    <w:rsid w:val="00E96D6D"/>
    <w:rsid w:val="00E96E52"/>
    <w:rsid w:val="00EA050E"/>
    <w:rsid w:val="00EA06AA"/>
    <w:rsid w:val="00EA113E"/>
    <w:rsid w:val="00EA1D4D"/>
    <w:rsid w:val="00EA1E0C"/>
    <w:rsid w:val="00EA209F"/>
    <w:rsid w:val="00EA2AD9"/>
    <w:rsid w:val="00EA2BF2"/>
    <w:rsid w:val="00EA2CAF"/>
    <w:rsid w:val="00EA2DCB"/>
    <w:rsid w:val="00EA2E8C"/>
    <w:rsid w:val="00EA3106"/>
    <w:rsid w:val="00EA32AB"/>
    <w:rsid w:val="00EA355A"/>
    <w:rsid w:val="00EA3C97"/>
    <w:rsid w:val="00EA4090"/>
    <w:rsid w:val="00EA5114"/>
    <w:rsid w:val="00EA547F"/>
    <w:rsid w:val="00EA5C08"/>
    <w:rsid w:val="00EA6599"/>
    <w:rsid w:val="00EA65C6"/>
    <w:rsid w:val="00EA6CF7"/>
    <w:rsid w:val="00EA6E86"/>
    <w:rsid w:val="00EA6F43"/>
    <w:rsid w:val="00EA768D"/>
    <w:rsid w:val="00EA789A"/>
    <w:rsid w:val="00EA7C62"/>
    <w:rsid w:val="00EA7E0F"/>
    <w:rsid w:val="00EB0707"/>
    <w:rsid w:val="00EB1962"/>
    <w:rsid w:val="00EB2B7D"/>
    <w:rsid w:val="00EB3860"/>
    <w:rsid w:val="00EB3ECA"/>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2B59"/>
    <w:rsid w:val="00EC3650"/>
    <w:rsid w:val="00EC3E0C"/>
    <w:rsid w:val="00EC3F1F"/>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3B3"/>
    <w:rsid w:val="00ED2861"/>
    <w:rsid w:val="00ED2C96"/>
    <w:rsid w:val="00ED2EB5"/>
    <w:rsid w:val="00ED3AC6"/>
    <w:rsid w:val="00ED3B9A"/>
    <w:rsid w:val="00ED4062"/>
    <w:rsid w:val="00ED48BC"/>
    <w:rsid w:val="00ED490E"/>
    <w:rsid w:val="00ED496A"/>
    <w:rsid w:val="00ED4B74"/>
    <w:rsid w:val="00ED4DD0"/>
    <w:rsid w:val="00ED506B"/>
    <w:rsid w:val="00ED55F8"/>
    <w:rsid w:val="00ED5701"/>
    <w:rsid w:val="00ED57AB"/>
    <w:rsid w:val="00ED5F08"/>
    <w:rsid w:val="00ED5F7B"/>
    <w:rsid w:val="00ED65FB"/>
    <w:rsid w:val="00ED676C"/>
    <w:rsid w:val="00ED67E9"/>
    <w:rsid w:val="00ED6A9D"/>
    <w:rsid w:val="00ED6D89"/>
    <w:rsid w:val="00ED72FB"/>
    <w:rsid w:val="00ED7742"/>
    <w:rsid w:val="00ED7CAD"/>
    <w:rsid w:val="00ED7E71"/>
    <w:rsid w:val="00EE0353"/>
    <w:rsid w:val="00EE0399"/>
    <w:rsid w:val="00EE040D"/>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18"/>
    <w:rsid w:val="00EE4D70"/>
    <w:rsid w:val="00EE5755"/>
    <w:rsid w:val="00EE588F"/>
    <w:rsid w:val="00EE5C17"/>
    <w:rsid w:val="00EE5CB6"/>
    <w:rsid w:val="00EE5F74"/>
    <w:rsid w:val="00EE5FF7"/>
    <w:rsid w:val="00EE6084"/>
    <w:rsid w:val="00EE6087"/>
    <w:rsid w:val="00EE661A"/>
    <w:rsid w:val="00EE679B"/>
    <w:rsid w:val="00EE69EA"/>
    <w:rsid w:val="00EE709A"/>
    <w:rsid w:val="00EE7726"/>
    <w:rsid w:val="00EE7AE1"/>
    <w:rsid w:val="00EE7D42"/>
    <w:rsid w:val="00EF01A9"/>
    <w:rsid w:val="00EF06E5"/>
    <w:rsid w:val="00EF1A95"/>
    <w:rsid w:val="00EF1BFB"/>
    <w:rsid w:val="00EF1DB0"/>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64A2"/>
    <w:rsid w:val="00EF6B6F"/>
    <w:rsid w:val="00EF792A"/>
    <w:rsid w:val="00F00829"/>
    <w:rsid w:val="00F00B83"/>
    <w:rsid w:val="00F013EC"/>
    <w:rsid w:val="00F01B17"/>
    <w:rsid w:val="00F01EB6"/>
    <w:rsid w:val="00F02514"/>
    <w:rsid w:val="00F02705"/>
    <w:rsid w:val="00F02884"/>
    <w:rsid w:val="00F02A46"/>
    <w:rsid w:val="00F02AE6"/>
    <w:rsid w:val="00F034A7"/>
    <w:rsid w:val="00F034B5"/>
    <w:rsid w:val="00F03815"/>
    <w:rsid w:val="00F039CB"/>
    <w:rsid w:val="00F03A5C"/>
    <w:rsid w:val="00F03EFD"/>
    <w:rsid w:val="00F04190"/>
    <w:rsid w:val="00F042B9"/>
    <w:rsid w:val="00F044D0"/>
    <w:rsid w:val="00F047C6"/>
    <w:rsid w:val="00F04953"/>
    <w:rsid w:val="00F04A64"/>
    <w:rsid w:val="00F0534D"/>
    <w:rsid w:val="00F053CA"/>
    <w:rsid w:val="00F0562A"/>
    <w:rsid w:val="00F059DA"/>
    <w:rsid w:val="00F05B64"/>
    <w:rsid w:val="00F05D78"/>
    <w:rsid w:val="00F05E61"/>
    <w:rsid w:val="00F05EF1"/>
    <w:rsid w:val="00F05FF0"/>
    <w:rsid w:val="00F06692"/>
    <w:rsid w:val="00F077CF"/>
    <w:rsid w:val="00F078A8"/>
    <w:rsid w:val="00F07E31"/>
    <w:rsid w:val="00F104FD"/>
    <w:rsid w:val="00F10A05"/>
    <w:rsid w:val="00F10A3C"/>
    <w:rsid w:val="00F10BF0"/>
    <w:rsid w:val="00F10E58"/>
    <w:rsid w:val="00F110BB"/>
    <w:rsid w:val="00F11F73"/>
    <w:rsid w:val="00F12054"/>
    <w:rsid w:val="00F1209D"/>
    <w:rsid w:val="00F126B0"/>
    <w:rsid w:val="00F12AAF"/>
    <w:rsid w:val="00F12E09"/>
    <w:rsid w:val="00F13114"/>
    <w:rsid w:val="00F13556"/>
    <w:rsid w:val="00F1383F"/>
    <w:rsid w:val="00F13866"/>
    <w:rsid w:val="00F138F6"/>
    <w:rsid w:val="00F138FA"/>
    <w:rsid w:val="00F13AFD"/>
    <w:rsid w:val="00F14711"/>
    <w:rsid w:val="00F14957"/>
    <w:rsid w:val="00F14A27"/>
    <w:rsid w:val="00F1504A"/>
    <w:rsid w:val="00F1539B"/>
    <w:rsid w:val="00F16AE1"/>
    <w:rsid w:val="00F17528"/>
    <w:rsid w:val="00F175A4"/>
    <w:rsid w:val="00F176E7"/>
    <w:rsid w:val="00F17C26"/>
    <w:rsid w:val="00F17EBE"/>
    <w:rsid w:val="00F20181"/>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ACF"/>
    <w:rsid w:val="00F25FC6"/>
    <w:rsid w:val="00F26932"/>
    <w:rsid w:val="00F26BD4"/>
    <w:rsid w:val="00F27294"/>
    <w:rsid w:val="00F27415"/>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F0"/>
    <w:rsid w:val="00F35682"/>
    <w:rsid w:val="00F35B6A"/>
    <w:rsid w:val="00F35C33"/>
    <w:rsid w:val="00F366E5"/>
    <w:rsid w:val="00F367FF"/>
    <w:rsid w:val="00F369E1"/>
    <w:rsid w:val="00F36E8F"/>
    <w:rsid w:val="00F37641"/>
    <w:rsid w:val="00F4033A"/>
    <w:rsid w:val="00F40438"/>
    <w:rsid w:val="00F406BB"/>
    <w:rsid w:val="00F407AA"/>
    <w:rsid w:val="00F40DD1"/>
    <w:rsid w:val="00F40E9D"/>
    <w:rsid w:val="00F40F96"/>
    <w:rsid w:val="00F414B9"/>
    <w:rsid w:val="00F41A65"/>
    <w:rsid w:val="00F42A32"/>
    <w:rsid w:val="00F42BED"/>
    <w:rsid w:val="00F42EC1"/>
    <w:rsid w:val="00F43519"/>
    <w:rsid w:val="00F435B1"/>
    <w:rsid w:val="00F43F97"/>
    <w:rsid w:val="00F44838"/>
    <w:rsid w:val="00F44AAF"/>
    <w:rsid w:val="00F44E59"/>
    <w:rsid w:val="00F44F7E"/>
    <w:rsid w:val="00F45674"/>
    <w:rsid w:val="00F460BF"/>
    <w:rsid w:val="00F4654F"/>
    <w:rsid w:val="00F4738D"/>
    <w:rsid w:val="00F47C21"/>
    <w:rsid w:val="00F50399"/>
    <w:rsid w:val="00F50741"/>
    <w:rsid w:val="00F50A2B"/>
    <w:rsid w:val="00F50E19"/>
    <w:rsid w:val="00F51184"/>
    <w:rsid w:val="00F516B2"/>
    <w:rsid w:val="00F516E6"/>
    <w:rsid w:val="00F518AE"/>
    <w:rsid w:val="00F51AF2"/>
    <w:rsid w:val="00F52127"/>
    <w:rsid w:val="00F524D9"/>
    <w:rsid w:val="00F52E6A"/>
    <w:rsid w:val="00F52FF0"/>
    <w:rsid w:val="00F53393"/>
    <w:rsid w:val="00F5353F"/>
    <w:rsid w:val="00F53715"/>
    <w:rsid w:val="00F53A90"/>
    <w:rsid w:val="00F53B23"/>
    <w:rsid w:val="00F53F8B"/>
    <w:rsid w:val="00F54493"/>
    <w:rsid w:val="00F5453A"/>
    <w:rsid w:val="00F545F1"/>
    <w:rsid w:val="00F54B4B"/>
    <w:rsid w:val="00F55396"/>
    <w:rsid w:val="00F55780"/>
    <w:rsid w:val="00F55991"/>
    <w:rsid w:val="00F55E29"/>
    <w:rsid w:val="00F567BB"/>
    <w:rsid w:val="00F56864"/>
    <w:rsid w:val="00F56885"/>
    <w:rsid w:val="00F568B2"/>
    <w:rsid w:val="00F56BFA"/>
    <w:rsid w:val="00F56C64"/>
    <w:rsid w:val="00F56E58"/>
    <w:rsid w:val="00F571D0"/>
    <w:rsid w:val="00F571E3"/>
    <w:rsid w:val="00F573B8"/>
    <w:rsid w:val="00F57780"/>
    <w:rsid w:val="00F57AF6"/>
    <w:rsid w:val="00F6034D"/>
    <w:rsid w:val="00F6067D"/>
    <w:rsid w:val="00F608BD"/>
    <w:rsid w:val="00F61739"/>
    <w:rsid w:val="00F619C8"/>
    <w:rsid w:val="00F630FD"/>
    <w:rsid w:val="00F6333E"/>
    <w:rsid w:val="00F648FE"/>
    <w:rsid w:val="00F649C3"/>
    <w:rsid w:val="00F64CA9"/>
    <w:rsid w:val="00F64CCC"/>
    <w:rsid w:val="00F6549E"/>
    <w:rsid w:val="00F65698"/>
    <w:rsid w:val="00F65B7C"/>
    <w:rsid w:val="00F65D35"/>
    <w:rsid w:val="00F65D45"/>
    <w:rsid w:val="00F66BB5"/>
    <w:rsid w:val="00F67058"/>
    <w:rsid w:val="00F67165"/>
    <w:rsid w:val="00F67BD1"/>
    <w:rsid w:val="00F7034C"/>
    <w:rsid w:val="00F7042F"/>
    <w:rsid w:val="00F70435"/>
    <w:rsid w:val="00F70C70"/>
    <w:rsid w:val="00F71B32"/>
    <w:rsid w:val="00F71BEA"/>
    <w:rsid w:val="00F71CB9"/>
    <w:rsid w:val="00F7234C"/>
    <w:rsid w:val="00F72469"/>
    <w:rsid w:val="00F731F2"/>
    <w:rsid w:val="00F73681"/>
    <w:rsid w:val="00F736AE"/>
    <w:rsid w:val="00F73BF9"/>
    <w:rsid w:val="00F73C17"/>
    <w:rsid w:val="00F73C49"/>
    <w:rsid w:val="00F73C99"/>
    <w:rsid w:val="00F73EDC"/>
    <w:rsid w:val="00F744EB"/>
    <w:rsid w:val="00F746F8"/>
    <w:rsid w:val="00F74736"/>
    <w:rsid w:val="00F7492E"/>
    <w:rsid w:val="00F74CAE"/>
    <w:rsid w:val="00F75148"/>
    <w:rsid w:val="00F753F8"/>
    <w:rsid w:val="00F755FE"/>
    <w:rsid w:val="00F75928"/>
    <w:rsid w:val="00F75B1A"/>
    <w:rsid w:val="00F75C9A"/>
    <w:rsid w:val="00F75E83"/>
    <w:rsid w:val="00F75FA5"/>
    <w:rsid w:val="00F76550"/>
    <w:rsid w:val="00F76B70"/>
    <w:rsid w:val="00F76E09"/>
    <w:rsid w:val="00F77043"/>
    <w:rsid w:val="00F771FF"/>
    <w:rsid w:val="00F7742F"/>
    <w:rsid w:val="00F776E2"/>
    <w:rsid w:val="00F779B8"/>
    <w:rsid w:val="00F77C2B"/>
    <w:rsid w:val="00F80443"/>
    <w:rsid w:val="00F805EA"/>
    <w:rsid w:val="00F80E28"/>
    <w:rsid w:val="00F812A4"/>
    <w:rsid w:val="00F816C4"/>
    <w:rsid w:val="00F817C4"/>
    <w:rsid w:val="00F81909"/>
    <w:rsid w:val="00F82436"/>
    <w:rsid w:val="00F825CC"/>
    <w:rsid w:val="00F8289E"/>
    <w:rsid w:val="00F82A79"/>
    <w:rsid w:val="00F82CCA"/>
    <w:rsid w:val="00F82D52"/>
    <w:rsid w:val="00F82E22"/>
    <w:rsid w:val="00F83184"/>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384E"/>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DAB"/>
    <w:rsid w:val="00FA72D0"/>
    <w:rsid w:val="00FA76E4"/>
    <w:rsid w:val="00FA7EAA"/>
    <w:rsid w:val="00FB0653"/>
    <w:rsid w:val="00FB065E"/>
    <w:rsid w:val="00FB0D2F"/>
    <w:rsid w:val="00FB169D"/>
    <w:rsid w:val="00FB177B"/>
    <w:rsid w:val="00FB1A26"/>
    <w:rsid w:val="00FB2375"/>
    <w:rsid w:val="00FB298E"/>
    <w:rsid w:val="00FB2B02"/>
    <w:rsid w:val="00FB2C43"/>
    <w:rsid w:val="00FB2EBE"/>
    <w:rsid w:val="00FB3233"/>
    <w:rsid w:val="00FB358C"/>
    <w:rsid w:val="00FB3920"/>
    <w:rsid w:val="00FB4028"/>
    <w:rsid w:val="00FB5172"/>
    <w:rsid w:val="00FB53D4"/>
    <w:rsid w:val="00FB5A4F"/>
    <w:rsid w:val="00FB5C98"/>
    <w:rsid w:val="00FB5CC0"/>
    <w:rsid w:val="00FB5D76"/>
    <w:rsid w:val="00FB6425"/>
    <w:rsid w:val="00FB69F7"/>
    <w:rsid w:val="00FB6B03"/>
    <w:rsid w:val="00FB6E00"/>
    <w:rsid w:val="00FB6E22"/>
    <w:rsid w:val="00FB75A8"/>
    <w:rsid w:val="00FB75C0"/>
    <w:rsid w:val="00FB7677"/>
    <w:rsid w:val="00FB77B9"/>
    <w:rsid w:val="00FB78B8"/>
    <w:rsid w:val="00FB7CF7"/>
    <w:rsid w:val="00FB7EBC"/>
    <w:rsid w:val="00FC045D"/>
    <w:rsid w:val="00FC05B4"/>
    <w:rsid w:val="00FC07BD"/>
    <w:rsid w:val="00FC1003"/>
    <w:rsid w:val="00FC105D"/>
    <w:rsid w:val="00FC105E"/>
    <w:rsid w:val="00FC10E5"/>
    <w:rsid w:val="00FC233C"/>
    <w:rsid w:val="00FC2B46"/>
    <w:rsid w:val="00FC3CA2"/>
    <w:rsid w:val="00FC4144"/>
    <w:rsid w:val="00FC4145"/>
    <w:rsid w:val="00FC4626"/>
    <w:rsid w:val="00FC4A9A"/>
    <w:rsid w:val="00FC4BC5"/>
    <w:rsid w:val="00FC52EE"/>
    <w:rsid w:val="00FC55EB"/>
    <w:rsid w:val="00FC5703"/>
    <w:rsid w:val="00FC6151"/>
    <w:rsid w:val="00FC6A16"/>
    <w:rsid w:val="00FC6C0A"/>
    <w:rsid w:val="00FC7143"/>
    <w:rsid w:val="00FC7327"/>
    <w:rsid w:val="00FC7C24"/>
    <w:rsid w:val="00FD032F"/>
    <w:rsid w:val="00FD057D"/>
    <w:rsid w:val="00FD068E"/>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6CE"/>
    <w:rsid w:val="00FD46D2"/>
    <w:rsid w:val="00FD4F74"/>
    <w:rsid w:val="00FD4FB1"/>
    <w:rsid w:val="00FD5613"/>
    <w:rsid w:val="00FD6C58"/>
    <w:rsid w:val="00FD7078"/>
    <w:rsid w:val="00FD7108"/>
    <w:rsid w:val="00FD736A"/>
    <w:rsid w:val="00FD7423"/>
    <w:rsid w:val="00FD7A34"/>
    <w:rsid w:val="00FE0060"/>
    <w:rsid w:val="00FE01E0"/>
    <w:rsid w:val="00FE049C"/>
    <w:rsid w:val="00FE053C"/>
    <w:rsid w:val="00FE0789"/>
    <w:rsid w:val="00FE0921"/>
    <w:rsid w:val="00FE0DC0"/>
    <w:rsid w:val="00FE1B15"/>
    <w:rsid w:val="00FE1C83"/>
    <w:rsid w:val="00FE21A4"/>
    <w:rsid w:val="00FE2425"/>
    <w:rsid w:val="00FE2D0D"/>
    <w:rsid w:val="00FE325D"/>
    <w:rsid w:val="00FE369B"/>
    <w:rsid w:val="00FE4688"/>
    <w:rsid w:val="00FE4D0B"/>
    <w:rsid w:val="00FE4D23"/>
    <w:rsid w:val="00FE54A9"/>
    <w:rsid w:val="00FE5DE8"/>
    <w:rsid w:val="00FE5F49"/>
    <w:rsid w:val="00FE5FDF"/>
    <w:rsid w:val="00FE6142"/>
    <w:rsid w:val="00FE6DC1"/>
    <w:rsid w:val="00FE6DCA"/>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970"/>
    <w:rsid w:val="00FF2BBD"/>
    <w:rsid w:val="00FF32D1"/>
    <w:rsid w:val="00FF33C3"/>
    <w:rsid w:val="00FF34BF"/>
    <w:rsid w:val="00FF3C93"/>
    <w:rsid w:val="00FF3C9C"/>
    <w:rsid w:val="00FF4202"/>
    <w:rsid w:val="00FF4649"/>
    <w:rsid w:val="00FF4E4F"/>
    <w:rsid w:val="00FF532E"/>
    <w:rsid w:val="00FF548A"/>
    <w:rsid w:val="00FF6091"/>
    <w:rsid w:val="00FF60CD"/>
    <w:rsid w:val="00FF61BC"/>
    <w:rsid w:val="00FF651A"/>
    <w:rsid w:val="00FF6713"/>
    <w:rsid w:val="00FF6B4D"/>
    <w:rsid w:val="00FF6D7B"/>
    <w:rsid w:val="00FF6E00"/>
    <w:rsid w:val="00FF70C6"/>
    <w:rsid w:val="00FF733D"/>
    <w:rsid w:val="00FF7B75"/>
  </w:rsids>
  <m:mathPr>
    <m:mathFont m:val="Cambria Math"/>
    <m:brkBin m:val="before"/>
    <m:brkBinSub m:val="--"/>
    <m:smallFrac m:val="0"/>
    <m:dispDef/>
    <m:lMargin m:val="0"/>
    <m:rMargin m:val="0"/>
    <m:defJc m:val="centerGroup"/>
    <m:wrapIndent m:val="1440"/>
    <m:intLim m:val="subSup"/>
    <m:naryLim m:val="undOvr"/>
  </m:mathPr>
  <w:themeFontLang w:val="en-IN"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E4B"/>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uiPriority w:val="99"/>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uiPriority w:val="99"/>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Figuretitle">
    <w:name w:val="Figure title"/>
    <w:basedOn w:val="Normal"/>
    <w:qFormat/>
    <w:rsid w:val="00267262"/>
    <w:pPr>
      <w:tabs>
        <w:tab w:val="left" w:pos="1080"/>
      </w:tabs>
      <w:spacing w:after="0" w:line="240" w:lineRule="auto"/>
    </w:pPr>
    <w:rPr>
      <w:rFonts w:ascii="Times New Roman" w:eastAsia="Calibri" w:hAnsi="Times New Roman" w:cs="Times New Roman"/>
      <w:sz w:val="24"/>
      <w:szCs w:val="22"/>
    </w:rPr>
  </w:style>
  <w:style w:type="paragraph" w:customStyle="1" w:styleId="Tabletitle">
    <w:name w:val="Table title"/>
    <w:basedOn w:val="Normal"/>
    <w:qFormat/>
    <w:rsid w:val="00282FB1"/>
    <w:pPr>
      <w:tabs>
        <w:tab w:val="left" w:pos="1080"/>
      </w:tabs>
      <w:spacing w:after="240" w:line="240" w:lineRule="auto"/>
    </w:pPr>
    <w:rPr>
      <w:rFonts w:ascii="Times New Roman" w:eastAsia="Calibri" w:hAnsi="Times New Roman" w:cs="Times New Roman"/>
      <w:sz w:val="24"/>
      <w:szCs w:val="22"/>
    </w:rPr>
  </w:style>
  <w:style w:type="paragraph" w:customStyle="1" w:styleId="Tablenote">
    <w:name w:val="Table note"/>
    <w:basedOn w:val="Normal"/>
    <w:qFormat/>
    <w:rsid w:val="00282FB1"/>
    <w:pPr>
      <w:spacing w:after="360" w:line="240" w:lineRule="auto"/>
    </w:pPr>
    <w:rPr>
      <w:rFonts w:ascii="Times New Roman" w:eastAsia="Calibri" w:hAnsi="Times New Roman" w:cs="Times New Roman"/>
      <w:sz w:val="24"/>
      <w:szCs w:val="22"/>
    </w:rPr>
  </w:style>
  <w:style w:type="paragraph" w:customStyle="1" w:styleId="BodyDoubleSpace05FirstLine">
    <w:name w:val="Body Double Space 0.5 First Line"/>
    <w:basedOn w:val="Normal"/>
    <w:qFormat/>
    <w:rsid w:val="008E066D"/>
    <w:pPr>
      <w:spacing w:after="0" w:line="480" w:lineRule="auto"/>
      <w:ind w:firstLine="720"/>
    </w:pPr>
    <w:rPr>
      <w:rFonts w:ascii="Times New Roman" w:eastAsia="Calibri" w:hAnsi="Times New Roman" w:cs="Times New Roman"/>
      <w:sz w:val="24"/>
      <w:szCs w:val="22"/>
    </w:rPr>
  </w:style>
  <w:style w:type="character" w:customStyle="1" w:styleId="math-inline">
    <w:name w:val="math-inline"/>
    <w:basedOn w:val="DefaultParagraphFont"/>
    <w:rsid w:val="00531FB5"/>
  </w:style>
  <w:style w:type="character" w:customStyle="1" w:styleId="anchor-text">
    <w:name w:val="anchor-text"/>
    <w:basedOn w:val="DefaultParagraphFont"/>
    <w:rsid w:val="00531FB5"/>
  </w:style>
  <w:style w:type="paragraph" w:customStyle="1" w:styleId="Strong1">
    <w:name w:val="Strong1"/>
    <w:qFormat/>
    <w:rsid w:val="00657733"/>
    <w:pPr>
      <w:spacing w:after="0" w:line="240" w:lineRule="auto"/>
    </w:pPr>
    <w:rPr>
      <w:rFonts w:ascii="Times New Roman" w:eastAsia="Times New Roman" w:hAnsi="Times New Roman" w:cs="Times New Roman"/>
      <w:b/>
      <w:bCs/>
      <w:sz w:val="20"/>
      <w:szCs w:val="20"/>
      <w:lang w:val="fr-FR"/>
    </w:rPr>
  </w:style>
  <w:style w:type="character" w:styleId="FootnoteReference">
    <w:name w:val="footnote reference"/>
    <w:uiPriority w:val="99"/>
    <w:semiHidden/>
    <w:unhideWhenUsed/>
    <w:rsid w:val="00657733"/>
    <w:rPr>
      <w:vertAlign w:val="superscript"/>
    </w:rPr>
  </w:style>
  <w:style w:type="paragraph" w:customStyle="1" w:styleId="MDPI21heading1">
    <w:name w:val="MDPI_2.1_heading1"/>
    <w:basedOn w:val="Normal"/>
    <w:qFormat/>
    <w:rsid w:val="00F05E61"/>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szCs w:val="22"/>
      <w:lang w:eastAsia="de-DE" w:bidi="en-US"/>
    </w:rPr>
  </w:style>
  <w:style w:type="paragraph" w:customStyle="1" w:styleId="MDPI62Acknowledgments">
    <w:name w:val="MDPI_6.2_Acknowledgments"/>
    <w:qFormat/>
    <w:rsid w:val="00F05E61"/>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4CoI">
    <w:name w:val="MDPI_6.4_CoI"/>
    <w:basedOn w:val="Normal"/>
    <w:qFormat/>
    <w:rsid w:val="00F05E61"/>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hyperlink" Target="http://creativecommons.org/licenses/by/4.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1182</TotalTime>
  <Pages>17</Pages>
  <Words>5917</Words>
  <Characters>33727</Characters>
  <Application>Microsoft Office Word</Application>
  <DocSecurity>0</DocSecurity>
  <Lines>281</Lines>
  <Paragraphs>79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39565</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435</cp:revision>
  <cp:lastPrinted>2023-05-30T11:26:00Z</cp:lastPrinted>
  <dcterms:created xsi:type="dcterms:W3CDTF">2026-05-15T08:08:00Z</dcterms:created>
  <dcterms:modified xsi:type="dcterms:W3CDTF">2026-09-16T09:18:00Z</dcterms:modified>
  <cp:contentStatus/>
</cp:coreProperties>
</file>