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D8D1" w14:textId="77777777" w:rsidR="003C03D7" w:rsidRPr="00875A41" w:rsidRDefault="003C03D7" w:rsidP="003C03D7">
      <w:pPr>
        <w:shd w:val="pct5" w:color="auto" w:fill="538135"/>
        <w:tabs>
          <w:tab w:val="left" w:pos="3870"/>
        </w:tabs>
        <w:spacing w:line="360" w:lineRule="auto"/>
        <w:rPr>
          <w:rStyle w:val="Hyperlink"/>
          <w:rFonts w:ascii="Times New Roman" w:hAnsi="Times New Roman" w:cs="Times New Roman"/>
          <w:b/>
          <w:bCs/>
          <w:color w:val="4472C4"/>
          <w:sz w:val="28"/>
          <w:szCs w:val="28"/>
          <w:u w:val="none"/>
        </w:rPr>
      </w:pPr>
      <w:r w:rsidRPr="00E96113">
        <w:rPr>
          <w:rFonts w:ascii="Times New Roman" w:hAnsi="Times New Roman" w:cs="Times New Roman"/>
          <w:noProof/>
          <w:color w:val="FFFFFF" w:themeColor="background1"/>
          <w:lang w:val="en-IN" w:eastAsia="en-IN"/>
        </w:rPr>
        <w:drawing>
          <wp:anchor distT="47771" distB="120621" distL="114300" distR="114300" simplePos="0" relativeHeight="251659776" behindDoc="0" locked="0" layoutInCell="1" allowOverlap="1" wp14:anchorId="218E250A" wp14:editId="63817E07">
            <wp:simplePos x="0" y="0"/>
            <wp:positionH relativeFrom="column">
              <wp:posOffset>5295265</wp:posOffset>
            </wp:positionH>
            <wp:positionV relativeFrom="paragraph">
              <wp:posOffset>-230505</wp:posOffset>
            </wp:positionV>
            <wp:extent cx="781050" cy="208280"/>
            <wp:effectExtent l="19050" t="95250" r="19050" b="172720"/>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E96113">
        <w:rPr>
          <w:rFonts w:ascii="Times New Roman" w:hAnsi="Times New Roman" w:cs="Times New Roman"/>
          <w:noProof/>
          <w:color w:val="FFFFFF" w:themeColor="background1"/>
          <w:lang w:val="en-IN" w:eastAsia="en-IN"/>
        </w:rPr>
        <w:drawing>
          <wp:anchor distT="0" distB="91186" distL="114300" distR="137541" simplePos="0" relativeHeight="251657728" behindDoc="0" locked="0" layoutInCell="1" allowOverlap="1" wp14:anchorId="724F99F7" wp14:editId="2BE5F6D5">
            <wp:simplePos x="0" y="0"/>
            <wp:positionH relativeFrom="column">
              <wp:posOffset>4344035</wp:posOffset>
            </wp:positionH>
            <wp:positionV relativeFrom="paragraph">
              <wp:posOffset>-237490</wp:posOffset>
            </wp:positionV>
            <wp:extent cx="866775" cy="280670"/>
            <wp:effectExtent l="0" t="19050" r="47625" b="13843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sidR="00875A41" w:rsidRPr="00875A41">
        <w:rPr>
          <w:rFonts w:ascii="Arial" w:eastAsia="Times New Roman" w:hAnsi="Arial" w:cs="Arial"/>
          <w:kern w:val="1"/>
          <w:lang w:val="en-GB" w:eastAsia="hi-IN" w:bidi="hi-IN"/>
        </w:rPr>
        <w:t xml:space="preserve"> </w:t>
      </w:r>
      <w:r w:rsidR="00666F3B">
        <w:rPr>
          <w:rFonts w:ascii="Times New Roman" w:hAnsi="Times New Roman" w:cs="Times New Roman"/>
          <w:b/>
          <w:bCs/>
          <w:noProof/>
          <w:color w:val="FFFFFF" w:themeColor="background1"/>
          <w:sz w:val="28"/>
          <w:szCs w:val="28"/>
          <w:lang w:val="en-GB" w:bidi="te-IN"/>
        </w:rPr>
        <w:t>Research Article</w:t>
      </w:r>
      <w:r w:rsidRPr="00875A41">
        <w:rPr>
          <w:rStyle w:val="Hyperlink"/>
          <w:rFonts w:ascii="Times New Roman" w:hAnsi="Times New Roman" w:cs="Times New Roman"/>
          <w:b/>
          <w:bCs/>
          <w:color w:val="4472C4"/>
          <w:sz w:val="28"/>
          <w:szCs w:val="28"/>
          <w:u w:val="none"/>
        </w:rPr>
        <w:tab/>
      </w:r>
    </w:p>
    <w:p w14:paraId="4AA9ABC6" w14:textId="674F044A" w:rsidR="00EF5BE2" w:rsidRPr="00EF5BE2" w:rsidRDefault="00A6001E" w:rsidP="00EF5BE2">
      <w:pPr>
        <w:spacing w:line="360" w:lineRule="auto"/>
        <w:jc w:val="center"/>
        <w:rPr>
          <w:rFonts w:ascii="Times New Roman" w:hAnsi="Times New Roman" w:cs="Times New Roman"/>
          <w:b/>
          <w:bCs/>
          <w:sz w:val="32"/>
          <w:szCs w:val="32"/>
        </w:rPr>
      </w:pPr>
      <w:r w:rsidRPr="00A6001E">
        <w:rPr>
          <w:rFonts w:ascii="Times New Roman" w:hAnsi="Times New Roman" w:cs="Times New Roman"/>
          <w:b/>
          <w:bCs/>
          <w:sz w:val="32"/>
          <w:szCs w:val="32"/>
        </w:rPr>
        <w:t>Efficacy and Safety of Vonoprazan (Voquezna) for Treatment of Gastroesophageal Reflux Disease (GERD): A Systematic Review and Meta-Analysis</w:t>
      </w:r>
    </w:p>
    <w:p w14:paraId="200D938D" w14:textId="77777777" w:rsidR="00EF5BE2" w:rsidRDefault="00EF5BE2"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bookmarkStart w:id="0" w:name="_Hlk185323473"/>
    </w:p>
    <w:bookmarkEnd w:id="0"/>
    <w:p w14:paraId="7EB142FA" w14:textId="673E98E8" w:rsidR="00C62DD4" w:rsidRPr="00751312" w:rsidRDefault="00A6001E"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r w:rsidRPr="00A6001E">
        <w:rPr>
          <w:rFonts w:ascii="Times New Roman" w:eastAsia="Arial Unicode MS" w:hAnsi="Times New Roman" w:cs="Times New Roman"/>
          <w:b/>
          <w:sz w:val="24"/>
          <w:szCs w:val="24"/>
          <w:u w:color="000000"/>
          <w:shd w:val="clear" w:color="auto" w:fill="FFFFFF"/>
          <w:lang w:val="it-IT"/>
        </w:rPr>
        <w:t>Shabnam Abdulaziz Memon</w:t>
      </w:r>
      <w:r w:rsidRPr="00A6001E">
        <w:rPr>
          <w:rFonts w:ascii="Times New Roman" w:eastAsia="Arial Unicode MS" w:hAnsi="Times New Roman" w:cs="Times New Roman"/>
          <w:b/>
          <w:sz w:val="24"/>
          <w:szCs w:val="24"/>
          <w:u w:color="000000"/>
          <w:shd w:val="clear" w:color="auto" w:fill="FFFFFF"/>
          <w:vertAlign w:val="superscript"/>
          <w:lang w:val="it-IT"/>
        </w:rPr>
        <w:t>1</w:t>
      </w:r>
      <w:r w:rsidRPr="00A6001E">
        <w:rPr>
          <w:rFonts w:ascii="Times New Roman" w:eastAsia="Arial Unicode MS" w:hAnsi="Times New Roman" w:cs="Times New Roman"/>
          <w:b/>
          <w:sz w:val="24"/>
          <w:szCs w:val="24"/>
          <w:u w:color="000000"/>
          <w:shd w:val="clear" w:color="auto" w:fill="FFFFFF"/>
          <w:lang w:val="it-IT"/>
        </w:rPr>
        <w:t xml:space="preserve">, Ayesha </w:t>
      </w:r>
      <w:r w:rsidR="004C0061">
        <w:rPr>
          <w:rFonts w:ascii="Times New Roman" w:eastAsia="Arial Unicode MS" w:hAnsi="Times New Roman" w:cs="Times New Roman"/>
          <w:b/>
          <w:sz w:val="24"/>
          <w:szCs w:val="24"/>
          <w:u w:color="000000"/>
          <w:shd w:val="clear" w:color="auto" w:fill="FFFFFF"/>
          <w:lang w:val="it-IT"/>
        </w:rPr>
        <w:t>S</w:t>
      </w:r>
      <w:r w:rsidRPr="00A6001E">
        <w:rPr>
          <w:rFonts w:ascii="Times New Roman" w:eastAsia="Arial Unicode MS" w:hAnsi="Times New Roman" w:cs="Times New Roman"/>
          <w:b/>
          <w:sz w:val="24"/>
          <w:szCs w:val="24"/>
          <w:u w:color="000000"/>
          <w:shd w:val="clear" w:color="auto" w:fill="FFFFFF"/>
          <w:lang w:val="it-IT"/>
        </w:rPr>
        <w:t>yeda</w:t>
      </w:r>
      <w:r w:rsidRPr="00A6001E">
        <w:rPr>
          <w:rFonts w:ascii="Times New Roman" w:eastAsia="Arial Unicode MS" w:hAnsi="Times New Roman" w:cs="Times New Roman"/>
          <w:b/>
          <w:sz w:val="24"/>
          <w:szCs w:val="24"/>
          <w:u w:color="000000"/>
          <w:shd w:val="clear" w:color="auto" w:fill="FFFFFF"/>
          <w:vertAlign w:val="superscript"/>
          <w:lang w:val="it-IT"/>
        </w:rPr>
        <w:t>2</w:t>
      </w:r>
      <w:r w:rsidRPr="00A6001E">
        <w:rPr>
          <w:rFonts w:ascii="Times New Roman" w:eastAsia="Arial Unicode MS" w:hAnsi="Times New Roman" w:cs="Times New Roman"/>
          <w:b/>
          <w:sz w:val="24"/>
          <w:szCs w:val="24"/>
          <w:u w:color="000000"/>
          <w:shd w:val="clear" w:color="auto" w:fill="FFFFFF"/>
          <w:lang w:val="it-IT"/>
        </w:rPr>
        <w:t>, Venkata Avinash Ugripelli</w:t>
      </w:r>
      <w:r w:rsidRPr="00A6001E">
        <w:rPr>
          <w:rFonts w:ascii="Times New Roman" w:eastAsia="Arial Unicode MS" w:hAnsi="Times New Roman" w:cs="Times New Roman"/>
          <w:b/>
          <w:sz w:val="24"/>
          <w:szCs w:val="24"/>
          <w:u w:color="000000"/>
          <w:shd w:val="clear" w:color="auto" w:fill="FFFFFF"/>
          <w:vertAlign w:val="superscript"/>
          <w:lang w:val="it-IT"/>
        </w:rPr>
        <w:t>3</w:t>
      </w:r>
      <w:r w:rsidRPr="00A6001E">
        <w:rPr>
          <w:rFonts w:ascii="Times New Roman" w:eastAsia="Arial Unicode MS" w:hAnsi="Times New Roman" w:cs="Times New Roman"/>
          <w:b/>
          <w:sz w:val="24"/>
          <w:szCs w:val="24"/>
          <w:u w:color="000000"/>
          <w:shd w:val="clear" w:color="auto" w:fill="FFFFFF"/>
          <w:lang w:val="it-IT"/>
        </w:rPr>
        <w:t xml:space="preserve">, </w:t>
      </w:r>
      <w:r w:rsidR="004C0061" w:rsidRPr="004C0061">
        <w:rPr>
          <w:rFonts w:ascii="Times New Roman" w:eastAsia="Arial Unicode MS" w:hAnsi="Times New Roman" w:cs="Times New Roman"/>
          <w:b/>
          <w:sz w:val="24"/>
          <w:szCs w:val="24"/>
          <w:u w:color="000000"/>
          <w:shd w:val="clear" w:color="auto" w:fill="FFFFFF"/>
        </w:rPr>
        <w:t>Ghazala S. Virk</w:t>
      </w:r>
      <w:r w:rsidRPr="00A6001E">
        <w:rPr>
          <w:rFonts w:ascii="Times New Roman" w:eastAsia="Arial Unicode MS" w:hAnsi="Times New Roman" w:cs="Times New Roman"/>
          <w:b/>
          <w:sz w:val="24"/>
          <w:szCs w:val="24"/>
          <w:u w:color="000000"/>
          <w:shd w:val="clear" w:color="auto" w:fill="FFFFFF"/>
          <w:vertAlign w:val="superscript"/>
          <w:lang w:val="it-IT"/>
        </w:rPr>
        <w:t>4</w:t>
      </w:r>
      <w:r w:rsidRPr="00A6001E">
        <w:rPr>
          <w:rFonts w:ascii="Times New Roman" w:eastAsia="Arial Unicode MS" w:hAnsi="Times New Roman" w:cs="Times New Roman"/>
          <w:b/>
          <w:sz w:val="24"/>
          <w:szCs w:val="24"/>
          <w:u w:color="000000"/>
          <w:shd w:val="clear" w:color="auto" w:fill="FFFFFF"/>
          <w:lang w:val="it-IT"/>
        </w:rPr>
        <w:t>, Yazan Hawari</w:t>
      </w:r>
      <w:r w:rsidRPr="00A6001E">
        <w:rPr>
          <w:rFonts w:ascii="Times New Roman" w:eastAsia="Arial Unicode MS" w:hAnsi="Times New Roman" w:cs="Times New Roman"/>
          <w:b/>
          <w:sz w:val="24"/>
          <w:szCs w:val="24"/>
          <w:u w:color="000000"/>
          <w:shd w:val="clear" w:color="auto" w:fill="FFFFFF"/>
          <w:vertAlign w:val="superscript"/>
          <w:lang w:val="it-IT"/>
        </w:rPr>
        <w:t>5</w:t>
      </w:r>
      <w:r w:rsidRPr="00A6001E">
        <w:rPr>
          <w:rFonts w:ascii="Times New Roman" w:eastAsia="Arial Unicode MS" w:hAnsi="Times New Roman" w:cs="Times New Roman"/>
          <w:b/>
          <w:sz w:val="24"/>
          <w:szCs w:val="24"/>
          <w:u w:color="000000"/>
          <w:shd w:val="clear" w:color="auto" w:fill="FFFFFF"/>
          <w:lang w:val="it-IT"/>
        </w:rPr>
        <w:t xml:space="preserve">, </w:t>
      </w:r>
      <w:r w:rsidR="004C0061" w:rsidRPr="004C0061">
        <w:rPr>
          <w:rFonts w:ascii="Times New Roman" w:eastAsia="Arial Unicode MS" w:hAnsi="Times New Roman" w:cs="Times New Roman"/>
          <w:b/>
          <w:sz w:val="24"/>
          <w:szCs w:val="24"/>
          <w:u w:color="000000"/>
          <w:shd w:val="clear" w:color="auto" w:fill="FFFFFF"/>
        </w:rPr>
        <w:t>Mothe Greeshma</w:t>
      </w:r>
      <w:r w:rsidR="004C0061">
        <w:rPr>
          <w:rFonts w:ascii="Times New Roman" w:eastAsia="Arial Unicode MS" w:hAnsi="Times New Roman" w:cs="Times New Roman"/>
          <w:b/>
          <w:sz w:val="24"/>
          <w:szCs w:val="24"/>
          <w:u w:color="000000"/>
          <w:shd w:val="clear" w:color="auto" w:fill="FFFFFF"/>
          <w:vertAlign w:val="superscript"/>
          <w:lang w:val="it-IT"/>
        </w:rPr>
        <w:t>6</w:t>
      </w:r>
      <w:r w:rsidR="004C0061">
        <w:rPr>
          <w:rFonts w:ascii="Times New Roman" w:eastAsia="Arial Unicode MS" w:hAnsi="Times New Roman" w:cs="Times New Roman"/>
          <w:b/>
          <w:sz w:val="24"/>
          <w:szCs w:val="24"/>
          <w:u w:color="000000"/>
          <w:shd w:val="clear" w:color="auto" w:fill="FFFFFF"/>
        </w:rPr>
        <w:t>, A</w:t>
      </w:r>
      <w:r w:rsidRPr="00A6001E">
        <w:rPr>
          <w:rFonts w:ascii="Times New Roman" w:eastAsia="Arial Unicode MS" w:hAnsi="Times New Roman" w:cs="Times New Roman"/>
          <w:b/>
          <w:sz w:val="24"/>
          <w:szCs w:val="24"/>
          <w:u w:color="000000"/>
          <w:shd w:val="clear" w:color="auto" w:fill="FFFFFF"/>
          <w:lang w:val="it-IT"/>
        </w:rPr>
        <w:t>bdul Eizad Asif</w:t>
      </w:r>
      <w:r w:rsidR="004C0061">
        <w:rPr>
          <w:rFonts w:ascii="Times New Roman" w:eastAsia="Arial Unicode MS" w:hAnsi="Times New Roman" w:cs="Times New Roman"/>
          <w:b/>
          <w:sz w:val="24"/>
          <w:szCs w:val="24"/>
          <w:u w:color="000000"/>
          <w:shd w:val="clear" w:color="auto" w:fill="FFFFFF"/>
          <w:vertAlign w:val="superscript"/>
          <w:lang w:val="it-IT"/>
        </w:rPr>
        <w:t>7</w:t>
      </w:r>
      <w:r w:rsidRPr="00A6001E">
        <w:rPr>
          <w:rFonts w:ascii="Times New Roman" w:eastAsia="Arial Unicode MS" w:hAnsi="Times New Roman" w:cs="Times New Roman"/>
          <w:b/>
          <w:sz w:val="24"/>
          <w:szCs w:val="24"/>
          <w:u w:color="000000"/>
          <w:shd w:val="clear" w:color="auto" w:fill="FFFFFF"/>
          <w:lang w:val="it-IT"/>
        </w:rPr>
        <w:t xml:space="preserve">, </w:t>
      </w:r>
      <w:r w:rsidR="004C0061" w:rsidRPr="004C0061">
        <w:rPr>
          <w:rFonts w:ascii="Times New Roman" w:eastAsia="Arial Unicode MS" w:hAnsi="Times New Roman" w:cs="Times New Roman"/>
          <w:b/>
          <w:sz w:val="24"/>
          <w:szCs w:val="24"/>
          <w:u w:color="000000"/>
          <w:shd w:val="clear" w:color="auto" w:fill="FFFFFF"/>
        </w:rPr>
        <w:t>Syeda Rahma Suroor</w:t>
      </w:r>
      <w:r w:rsidR="004C0061">
        <w:rPr>
          <w:rFonts w:ascii="Times New Roman" w:eastAsia="Arial Unicode MS" w:hAnsi="Times New Roman" w:cs="Times New Roman"/>
          <w:b/>
          <w:sz w:val="24"/>
          <w:szCs w:val="24"/>
          <w:u w:color="000000"/>
          <w:shd w:val="clear" w:color="auto" w:fill="FFFFFF"/>
          <w:vertAlign w:val="superscript"/>
          <w:lang w:val="it-IT"/>
        </w:rPr>
        <w:t>8</w:t>
      </w:r>
      <w:r w:rsidR="004C0061">
        <w:rPr>
          <w:rFonts w:ascii="Times New Roman" w:eastAsia="Arial Unicode MS" w:hAnsi="Times New Roman" w:cs="Times New Roman"/>
          <w:b/>
          <w:sz w:val="24"/>
          <w:szCs w:val="24"/>
          <w:u w:color="000000"/>
          <w:shd w:val="clear" w:color="auto" w:fill="FFFFFF"/>
        </w:rPr>
        <w:t xml:space="preserve">, </w:t>
      </w:r>
      <w:r w:rsidRPr="00A6001E">
        <w:rPr>
          <w:rFonts w:ascii="Times New Roman" w:eastAsia="Arial Unicode MS" w:hAnsi="Times New Roman" w:cs="Times New Roman"/>
          <w:b/>
          <w:sz w:val="24"/>
          <w:szCs w:val="24"/>
          <w:u w:color="000000"/>
          <w:shd w:val="clear" w:color="auto" w:fill="FFFFFF"/>
          <w:lang w:val="it-IT"/>
        </w:rPr>
        <w:t>Muhammad Sohail S. Mirza</w:t>
      </w:r>
      <w:r w:rsidR="004C0061">
        <w:rPr>
          <w:rFonts w:ascii="Times New Roman" w:eastAsia="Arial Unicode MS" w:hAnsi="Times New Roman" w:cs="Times New Roman"/>
          <w:b/>
          <w:sz w:val="24"/>
          <w:szCs w:val="24"/>
          <w:u w:color="000000"/>
          <w:shd w:val="clear" w:color="auto" w:fill="FFFFFF"/>
          <w:vertAlign w:val="superscript"/>
          <w:lang w:val="it-IT"/>
        </w:rPr>
        <w:t>9</w:t>
      </w:r>
      <w:r w:rsidR="00751312">
        <w:rPr>
          <w:rFonts w:ascii="Times New Roman" w:eastAsia="Arial Unicode MS" w:hAnsi="Times New Roman" w:cs="Times New Roman"/>
          <w:b/>
          <w:sz w:val="24"/>
          <w:szCs w:val="24"/>
          <w:u w:color="000000"/>
          <w:shd w:val="clear" w:color="auto" w:fill="FFFFFF"/>
          <w:lang w:val="it-IT"/>
        </w:rPr>
        <w:t>*</w:t>
      </w:r>
    </w:p>
    <w:p w14:paraId="49906595" w14:textId="77777777" w:rsidR="00A6001E" w:rsidRDefault="00A6001E"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p>
    <w:p w14:paraId="54D52415" w14:textId="5CE642AD" w:rsidR="00751312" w:rsidRPr="00751312" w:rsidRDefault="00751312" w:rsidP="00751312">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751312">
        <w:rPr>
          <w:rFonts w:ascii="Times New Roman" w:eastAsia="Arial Unicode MS" w:hAnsi="Times New Roman"/>
          <w:color w:val="auto"/>
          <w:sz w:val="20"/>
          <w:szCs w:val="20"/>
          <w:u w:color="000000"/>
          <w:shd w:val="clear" w:color="auto" w:fill="FFFFFF"/>
          <w:vertAlign w:val="superscript"/>
          <w:lang w:val="en-IN" w:eastAsia="en-US" w:bidi="ar-SA"/>
        </w:rPr>
        <w:t>1</w:t>
      </w:r>
      <w:r w:rsidRPr="00751312">
        <w:rPr>
          <w:rFonts w:ascii="Times New Roman" w:eastAsia="Arial Unicode MS" w:hAnsi="Times New Roman"/>
          <w:color w:val="auto"/>
          <w:sz w:val="20"/>
          <w:szCs w:val="20"/>
          <w:u w:color="000000"/>
          <w:shd w:val="clear" w:color="auto" w:fill="FFFFFF"/>
          <w:lang w:val="en-IN" w:eastAsia="en-US" w:bidi="ar-SA"/>
        </w:rPr>
        <w:t>C.U.Shah Medical College, Surendranagar, Gujarat, India.</w:t>
      </w:r>
    </w:p>
    <w:p w14:paraId="0FD61D49" w14:textId="71388287" w:rsidR="00751312" w:rsidRPr="00751312" w:rsidRDefault="00751312" w:rsidP="00751312">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751312">
        <w:rPr>
          <w:rFonts w:ascii="Times New Roman" w:eastAsia="Arial Unicode MS" w:hAnsi="Times New Roman"/>
          <w:color w:val="auto"/>
          <w:sz w:val="20"/>
          <w:szCs w:val="20"/>
          <w:u w:color="000000"/>
          <w:shd w:val="clear" w:color="auto" w:fill="FFFFFF"/>
          <w:vertAlign w:val="superscript"/>
          <w:lang w:val="en-IN" w:eastAsia="en-US" w:bidi="ar-SA"/>
        </w:rPr>
        <w:t>2</w:t>
      </w:r>
      <w:r w:rsidRPr="00751312">
        <w:rPr>
          <w:rFonts w:ascii="Times New Roman" w:eastAsia="Arial Unicode MS" w:hAnsi="Times New Roman"/>
          <w:color w:val="auto"/>
          <w:sz w:val="20"/>
          <w:szCs w:val="20"/>
          <w:u w:color="000000"/>
          <w:shd w:val="clear" w:color="auto" w:fill="FFFFFF"/>
          <w:lang w:val="en-IN" w:eastAsia="en-US" w:bidi="ar-SA"/>
        </w:rPr>
        <w:t>NTR University of Health Sciences, Vijayawada, Andhra Pradesh, India.</w:t>
      </w:r>
    </w:p>
    <w:p w14:paraId="242E4353" w14:textId="669AF7D1" w:rsidR="00751312" w:rsidRPr="00751312" w:rsidRDefault="00751312" w:rsidP="00751312">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751312">
        <w:rPr>
          <w:rFonts w:ascii="Times New Roman" w:eastAsia="Arial Unicode MS" w:hAnsi="Times New Roman"/>
          <w:color w:val="auto"/>
          <w:sz w:val="20"/>
          <w:szCs w:val="20"/>
          <w:u w:color="000000"/>
          <w:shd w:val="clear" w:color="auto" w:fill="FFFFFF"/>
          <w:vertAlign w:val="superscript"/>
          <w:lang w:val="en-IN" w:eastAsia="en-US" w:bidi="ar-SA"/>
        </w:rPr>
        <w:t>3</w:t>
      </w:r>
      <w:r w:rsidRPr="00751312">
        <w:rPr>
          <w:rFonts w:ascii="Times New Roman" w:eastAsia="Arial Unicode MS" w:hAnsi="Times New Roman"/>
          <w:color w:val="auto"/>
          <w:sz w:val="20"/>
          <w:szCs w:val="20"/>
          <w:u w:color="000000"/>
          <w:shd w:val="clear" w:color="auto" w:fill="FFFFFF"/>
          <w:lang w:val="en-IN" w:eastAsia="en-US" w:bidi="ar-SA"/>
        </w:rPr>
        <w:t>Siddhartha Medical College, Vijayawada, Andhra Pradesh, India.</w:t>
      </w:r>
    </w:p>
    <w:p w14:paraId="1DD99DC6" w14:textId="24FDC0E9" w:rsidR="00751312" w:rsidRPr="00751312" w:rsidRDefault="00751312" w:rsidP="00751312">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751312">
        <w:rPr>
          <w:rFonts w:ascii="Times New Roman" w:eastAsia="Arial Unicode MS" w:hAnsi="Times New Roman"/>
          <w:color w:val="auto"/>
          <w:sz w:val="20"/>
          <w:szCs w:val="20"/>
          <w:u w:color="000000"/>
          <w:shd w:val="clear" w:color="auto" w:fill="FFFFFF"/>
          <w:vertAlign w:val="superscript"/>
          <w:lang w:val="en-IN" w:eastAsia="en-US" w:bidi="ar-SA"/>
        </w:rPr>
        <w:t>4</w:t>
      </w:r>
      <w:r w:rsidR="004C0061" w:rsidRPr="004C0061">
        <w:rPr>
          <w:rFonts w:ascii="Times New Roman" w:eastAsia="Arial Unicode MS" w:hAnsi="Times New Roman"/>
          <w:color w:val="auto"/>
          <w:sz w:val="20"/>
          <w:szCs w:val="20"/>
          <w:u w:color="000000"/>
          <w:shd w:val="clear" w:color="auto" w:fill="FFFFFF"/>
          <w:lang w:eastAsia="en-US" w:bidi="ar-SA"/>
        </w:rPr>
        <w:t>Avalon University School of Medicine, Willemstad, Curacao</w:t>
      </w:r>
      <w:r w:rsidRPr="00751312">
        <w:rPr>
          <w:rFonts w:ascii="Times New Roman" w:eastAsia="Arial Unicode MS" w:hAnsi="Times New Roman"/>
          <w:color w:val="auto"/>
          <w:sz w:val="20"/>
          <w:szCs w:val="20"/>
          <w:u w:color="000000"/>
          <w:shd w:val="clear" w:color="auto" w:fill="FFFFFF"/>
          <w:lang w:val="en-IN" w:eastAsia="en-US" w:bidi="ar-SA"/>
        </w:rPr>
        <w:t>.</w:t>
      </w:r>
    </w:p>
    <w:p w14:paraId="40866782" w14:textId="4A680CAC" w:rsidR="00751312" w:rsidRDefault="00751312" w:rsidP="00751312">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751312">
        <w:rPr>
          <w:rFonts w:ascii="Times New Roman" w:eastAsia="Arial Unicode MS" w:hAnsi="Times New Roman"/>
          <w:color w:val="auto"/>
          <w:sz w:val="20"/>
          <w:szCs w:val="20"/>
          <w:u w:color="000000"/>
          <w:shd w:val="clear" w:color="auto" w:fill="FFFFFF"/>
          <w:vertAlign w:val="superscript"/>
          <w:lang w:val="en-IN" w:eastAsia="en-US" w:bidi="ar-SA"/>
        </w:rPr>
        <w:t>5</w:t>
      </w:r>
      <w:r w:rsidRPr="00751312">
        <w:rPr>
          <w:rFonts w:ascii="Times New Roman" w:eastAsia="Arial Unicode MS" w:hAnsi="Times New Roman"/>
          <w:color w:val="auto"/>
          <w:sz w:val="20"/>
          <w:szCs w:val="20"/>
          <w:u w:color="000000"/>
          <w:shd w:val="clear" w:color="auto" w:fill="FFFFFF"/>
          <w:lang w:val="en-IN" w:eastAsia="en-US" w:bidi="ar-SA"/>
        </w:rPr>
        <w:t>Ain Shams University, Cairo, Egypt.</w:t>
      </w:r>
    </w:p>
    <w:p w14:paraId="14A77CE3" w14:textId="7DCBD7CD" w:rsidR="004C0061" w:rsidRPr="00751312" w:rsidRDefault="004C0061" w:rsidP="00751312">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sidRPr="004C0061">
        <w:rPr>
          <w:rFonts w:ascii="Times New Roman" w:eastAsia="Arial Unicode MS" w:hAnsi="Times New Roman"/>
          <w:color w:val="auto"/>
          <w:sz w:val="20"/>
          <w:szCs w:val="20"/>
          <w:u w:color="000000"/>
          <w:shd w:val="clear" w:color="auto" w:fill="FFFFFF"/>
          <w:vertAlign w:val="superscript"/>
          <w:lang w:val="en-IN" w:eastAsia="en-US" w:bidi="ar-SA"/>
        </w:rPr>
        <w:t>6</w:t>
      </w:r>
      <w:r w:rsidRPr="004C0061">
        <w:rPr>
          <w:rFonts w:ascii="Times New Roman" w:eastAsia="Arial Unicode MS" w:hAnsi="Times New Roman"/>
          <w:color w:val="auto"/>
          <w:sz w:val="20"/>
          <w:szCs w:val="20"/>
          <w:u w:color="000000"/>
          <w:shd w:val="clear" w:color="auto" w:fill="FFFFFF"/>
          <w:lang w:eastAsia="en-US" w:bidi="ar-SA"/>
        </w:rPr>
        <w:t>Kakatiya Medical College, Warangal, Telangana, India</w:t>
      </w:r>
    </w:p>
    <w:p w14:paraId="6505DB83" w14:textId="77777777" w:rsidR="004C0061" w:rsidRDefault="004C0061" w:rsidP="00751312">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Pr>
          <w:rFonts w:ascii="Times New Roman" w:eastAsia="Arial Unicode MS" w:hAnsi="Times New Roman"/>
          <w:color w:val="auto"/>
          <w:sz w:val="20"/>
          <w:szCs w:val="20"/>
          <w:u w:color="000000"/>
          <w:shd w:val="clear" w:color="auto" w:fill="FFFFFF"/>
          <w:vertAlign w:val="superscript"/>
          <w:lang w:val="en-IN" w:eastAsia="en-US" w:bidi="ar-SA"/>
        </w:rPr>
        <w:t>7</w:t>
      </w:r>
      <w:r w:rsidR="00751312" w:rsidRPr="00751312">
        <w:rPr>
          <w:rFonts w:ascii="Times New Roman" w:eastAsia="Arial Unicode MS" w:hAnsi="Times New Roman"/>
          <w:color w:val="auto"/>
          <w:sz w:val="20"/>
          <w:szCs w:val="20"/>
          <w:u w:color="000000"/>
          <w:shd w:val="clear" w:color="auto" w:fill="FFFFFF"/>
          <w:lang w:val="en-IN" w:eastAsia="en-US" w:bidi="ar-SA"/>
        </w:rPr>
        <w:t xml:space="preserve">Shalamar Medical and Dental College, Lahore, Pakistan. </w:t>
      </w:r>
    </w:p>
    <w:p w14:paraId="7F3DB100" w14:textId="528FA060" w:rsidR="00751312" w:rsidRPr="00751312" w:rsidRDefault="004C0061" w:rsidP="00751312">
      <w:pPr>
        <w:pStyle w:val="MDPI16affiliation"/>
        <w:tabs>
          <w:tab w:val="left" w:pos="360"/>
        </w:tabs>
        <w:spacing w:line="360" w:lineRule="auto"/>
        <w:ind w:left="0" w:firstLine="0"/>
        <w:jc w:val="both"/>
        <w:rPr>
          <w:rFonts w:ascii="Times New Roman" w:eastAsia="Arial Unicode MS" w:hAnsi="Times New Roman"/>
          <w:color w:val="auto"/>
          <w:sz w:val="20"/>
          <w:szCs w:val="20"/>
          <w:u w:color="000000"/>
          <w:shd w:val="clear" w:color="auto" w:fill="FFFFFF"/>
          <w:lang w:val="en-IN" w:eastAsia="en-US" w:bidi="ar-SA"/>
        </w:rPr>
      </w:pPr>
      <w:r>
        <w:rPr>
          <w:rFonts w:ascii="Times New Roman" w:eastAsia="Arial Unicode MS" w:hAnsi="Times New Roman"/>
          <w:color w:val="auto"/>
          <w:sz w:val="20"/>
          <w:szCs w:val="20"/>
          <w:u w:color="000000"/>
          <w:shd w:val="clear" w:color="auto" w:fill="FFFFFF"/>
          <w:vertAlign w:val="superscript"/>
          <w:lang w:val="en-IN" w:eastAsia="en-US" w:bidi="ar-SA"/>
        </w:rPr>
        <w:t>8</w:t>
      </w:r>
      <w:r w:rsidRPr="004C0061">
        <w:rPr>
          <w:rFonts w:ascii="Times New Roman" w:eastAsia="Arial Unicode MS" w:hAnsi="Times New Roman"/>
          <w:color w:val="auto"/>
          <w:sz w:val="20"/>
          <w:szCs w:val="20"/>
          <w:u w:color="000000"/>
          <w:shd w:val="clear" w:color="auto" w:fill="FFFFFF"/>
          <w:lang w:eastAsia="en-US" w:bidi="ar-SA"/>
        </w:rPr>
        <w:t>Deccan College of Medical Sciences, Hyderabad, Telangana, India.</w:t>
      </w:r>
      <w:r w:rsidR="00751312" w:rsidRPr="00751312">
        <w:rPr>
          <w:rFonts w:ascii="Times New Roman" w:eastAsia="Arial Unicode MS" w:hAnsi="Times New Roman"/>
          <w:color w:val="auto"/>
          <w:sz w:val="20"/>
          <w:szCs w:val="20"/>
          <w:u w:color="000000"/>
          <w:shd w:val="clear" w:color="auto" w:fill="FFFFFF"/>
          <w:lang w:val="en-IN" w:eastAsia="en-US" w:bidi="ar-SA"/>
        </w:rPr>
        <w:t xml:space="preserve"> </w:t>
      </w:r>
    </w:p>
    <w:p w14:paraId="39B14A45" w14:textId="3D075110" w:rsidR="00F30E1B" w:rsidRPr="00751312" w:rsidRDefault="004C0061" w:rsidP="00751312">
      <w:pPr>
        <w:pStyle w:val="MDPI16affiliation"/>
        <w:tabs>
          <w:tab w:val="left" w:pos="360"/>
        </w:tabs>
        <w:spacing w:line="360" w:lineRule="auto"/>
        <w:ind w:left="0" w:firstLine="0"/>
        <w:jc w:val="both"/>
        <w:rPr>
          <w:rFonts w:ascii="Times New Roman" w:hAnsi="Times New Roman"/>
          <w:b/>
          <w:color w:val="0070C0"/>
          <w:lang w:val="en-IN"/>
        </w:rPr>
      </w:pPr>
      <w:r>
        <w:rPr>
          <w:rFonts w:ascii="Times New Roman" w:eastAsia="Arial Unicode MS" w:hAnsi="Times New Roman"/>
          <w:color w:val="auto"/>
          <w:sz w:val="20"/>
          <w:szCs w:val="20"/>
          <w:u w:color="000000"/>
          <w:shd w:val="clear" w:color="auto" w:fill="FFFFFF"/>
          <w:vertAlign w:val="superscript"/>
          <w:lang w:val="en-IN" w:eastAsia="en-US" w:bidi="ar-SA"/>
        </w:rPr>
        <w:t>9</w:t>
      </w:r>
      <w:r w:rsidR="00751312" w:rsidRPr="00751312">
        <w:rPr>
          <w:rFonts w:ascii="Times New Roman" w:eastAsia="Arial Unicode MS" w:hAnsi="Times New Roman"/>
          <w:color w:val="auto"/>
          <w:sz w:val="20"/>
          <w:szCs w:val="20"/>
          <w:u w:color="000000"/>
          <w:shd w:val="clear" w:color="auto" w:fill="FFFFFF"/>
          <w:lang w:val="en-IN" w:eastAsia="en-US" w:bidi="ar-SA"/>
        </w:rPr>
        <w:t>Shandong University School of Medicine, Jinan, China</w:t>
      </w:r>
    </w:p>
    <w:p w14:paraId="6F22E6CB" w14:textId="77777777" w:rsidR="00457D91" w:rsidRDefault="00457D91" w:rsidP="00F40D14">
      <w:pPr>
        <w:pStyle w:val="HTMLPreformatted"/>
        <w:shd w:val="clear" w:color="auto" w:fill="FFFFFF"/>
        <w:spacing w:line="360" w:lineRule="auto"/>
        <w:rPr>
          <w:rFonts w:ascii="Times New Roman" w:hAnsi="Times New Roman" w:cs="Times New Roman"/>
          <w:b/>
          <w:color w:val="0070C0"/>
          <w:vertAlign w:val="superscript"/>
        </w:rPr>
      </w:pPr>
    </w:p>
    <w:p w14:paraId="756FE37E" w14:textId="46E131CF" w:rsidR="003C03D7" w:rsidRDefault="003C03D7" w:rsidP="00F40D14">
      <w:pPr>
        <w:pStyle w:val="HTMLPreformatted"/>
        <w:shd w:val="clear" w:color="auto" w:fill="FFFFFF"/>
        <w:spacing w:line="360" w:lineRule="auto"/>
        <w:rPr>
          <w:rFonts w:ascii="Times New Roman" w:hAnsi="Times New Roman" w:cs="Times New Roman"/>
          <w:bCs/>
        </w:rPr>
      </w:pPr>
      <w:r w:rsidRPr="003D432E">
        <w:rPr>
          <w:rFonts w:ascii="Times New Roman" w:hAnsi="Times New Roman" w:cs="Times New Roman"/>
          <w:b/>
          <w:color w:val="0070C0"/>
          <w:vertAlign w:val="superscript"/>
        </w:rPr>
        <w:t>*</w:t>
      </w:r>
      <w:r w:rsidRPr="00150645">
        <w:rPr>
          <w:rFonts w:ascii="Times New Roman" w:hAnsi="Times New Roman" w:cs="Times New Roman"/>
          <w:b/>
          <w:color w:val="0070C0"/>
          <w:sz w:val="22"/>
          <w:szCs w:val="22"/>
        </w:rPr>
        <w:t>Corresponding author</w:t>
      </w:r>
      <w:r w:rsidRPr="00150645">
        <w:rPr>
          <w:rFonts w:ascii="Times New Roman" w:hAnsi="Times New Roman" w:cs="Times New Roman"/>
          <w:b/>
          <w:color w:val="0070C0"/>
        </w:rPr>
        <w:t>:</w:t>
      </w:r>
      <w:r w:rsidR="00875A41" w:rsidRPr="00150645">
        <w:rPr>
          <w:rFonts w:ascii="Times New Roman" w:hAnsi="Times New Roman" w:cs="Times New Roman"/>
          <w:b/>
          <w:color w:val="0070C0"/>
        </w:rPr>
        <w:t xml:space="preserve"> </w:t>
      </w:r>
      <w:r w:rsidR="000A6F8F" w:rsidRPr="000A6F8F">
        <w:rPr>
          <w:rFonts w:ascii="Times New Roman" w:hAnsi="Times New Roman" w:cs="Times New Roman"/>
          <w:bCs/>
        </w:rPr>
        <w:t>Muhammad Sohail S. Mirza</w:t>
      </w:r>
      <w:r w:rsidR="00C73A71" w:rsidRPr="00C73A71">
        <w:rPr>
          <w:rFonts w:ascii="Times New Roman" w:hAnsi="Times New Roman" w:cs="Times New Roman"/>
          <w:bCs/>
        </w:rPr>
        <w:t xml:space="preserve">, </w:t>
      </w:r>
      <w:r w:rsidR="000A6F8F" w:rsidRPr="000A6F8F">
        <w:rPr>
          <w:rFonts w:ascii="Times New Roman" w:hAnsi="Times New Roman" w:cs="Times New Roman"/>
          <w:bCs/>
        </w:rPr>
        <w:t>Shandong University School of Medicine, Jinan, China</w:t>
      </w:r>
      <w:r w:rsidR="00F93D38">
        <w:rPr>
          <w:rFonts w:ascii="Times New Roman" w:hAnsi="Times New Roman" w:cs="Times New Roman"/>
          <w:bCs/>
        </w:rPr>
        <w:t>.</w:t>
      </w:r>
    </w:p>
    <w:p w14:paraId="07FED9F6" w14:textId="77777777" w:rsidR="00336B0D" w:rsidRDefault="00336B0D" w:rsidP="00336B0D">
      <w:pPr>
        <w:pStyle w:val="HTMLPreformatted"/>
        <w:shd w:val="clear" w:color="auto" w:fill="FFFFFF"/>
        <w:spacing w:line="360" w:lineRule="auto"/>
        <w:rPr>
          <w:rFonts w:ascii="Times New Roman" w:hAnsi="Times New Roman" w:cs="Times New Roman"/>
        </w:rPr>
      </w:pPr>
    </w:p>
    <w:p w14:paraId="607753BB" w14:textId="77777777" w:rsidR="003C03D7" w:rsidRPr="00150645" w:rsidRDefault="003C03D7" w:rsidP="00150645">
      <w:pPr>
        <w:spacing w:after="0" w:line="360" w:lineRule="auto"/>
        <w:jc w:val="both"/>
        <w:rPr>
          <w:rFonts w:ascii="Times New Roman" w:hAnsi="Times New Roman" w:cs="Times New Roman"/>
          <w:color w:val="000000"/>
          <w:sz w:val="20"/>
          <w:szCs w:val="20"/>
        </w:rPr>
      </w:pPr>
    </w:p>
    <w:p w14:paraId="5CD4099E" w14:textId="4A3C7577" w:rsidR="003C03D7" w:rsidRPr="00150645" w:rsidRDefault="00E01F18" w:rsidP="00150645">
      <w:pPr>
        <w:spacing w:after="0" w:line="360" w:lineRule="auto"/>
        <w:jc w:val="both"/>
        <w:rPr>
          <w:rFonts w:ascii="Times New Roman" w:hAnsi="Times New Roman" w:cs="Times New Roman"/>
          <w:sz w:val="20"/>
          <w:szCs w:val="20"/>
        </w:rPr>
      </w:pPr>
      <w:r w:rsidRPr="00150645">
        <w:rPr>
          <w:rFonts w:ascii="Times New Roman" w:eastAsia="Times New Roman" w:hAnsi="Times New Roman" w:cs="Times New Roman"/>
          <w:b/>
          <w:color w:val="0070C0"/>
          <w:sz w:val="20"/>
          <w:szCs w:val="20"/>
          <w:lang w:val="tr-TR" w:eastAsia="tr-TR"/>
        </w:rPr>
        <w:t>Rec</w:t>
      </w:r>
      <w:r w:rsidRPr="00150645">
        <w:rPr>
          <w:rFonts w:ascii="Times New Roman" w:eastAsia="Times New Roman" w:hAnsi="Times New Roman" w:cs="Times New Roman"/>
          <w:b/>
          <w:color w:val="0070C0"/>
          <w:lang w:val="tr-TR" w:eastAsia="tr-TR"/>
        </w:rPr>
        <w:t>eived</w:t>
      </w:r>
      <w:r w:rsidRPr="00150645">
        <w:rPr>
          <w:rFonts w:ascii="Times New Roman" w:hAnsi="Times New Roman" w:cs="Times New Roman"/>
          <w:b/>
          <w:sz w:val="20"/>
          <w:szCs w:val="20"/>
        </w:rPr>
        <w:t xml:space="preserve">: </w:t>
      </w:r>
      <w:r w:rsidR="008F6A1A">
        <w:rPr>
          <w:rFonts w:ascii="Times New Roman" w:hAnsi="Times New Roman" w:cs="Times New Roman"/>
          <w:sz w:val="20"/>
          <w:szCs w:val="20"/>
        </w:rPr>
        <w:t>30</w:t>
      </w:r>
      <w:r w:rsidR="006E6109">
        <w:rPr>
          <w:rFonts w:ascii="Times New Roman" w:hAnsi="Times New Roman" w:cs="Times New Roman"/>
          <w:sz w:val="20"/>
          <w:szCs w:val="20"/>
        </w:rPr>
        <w:t xml:space="preserve"> </w:t>
      </w:r>
      <w:r w:rsidR="00462982">
        <w:rPr>
          <w:rFonts w:ascii="Times New Roman" w:hAnsi="Times New Roman" w:cs="Times New Roman"/>
          <w:sz w:val="20"/>
          <w:szCs w:val="20"/>
        </w:rPr>
        <w:t>Ju</w:t>
      </w:r>
      <w:r w:rsidR="008F6A1A">
        <w:rPr>
          <w:rFonts w:ascii="Times New Roman" w:hAnsi="Times New Roman" w:cs="Times New Roman"/>
          <w:sz w:val="20"/>
          <w:szCs w:val="20"/>
        </w:rPr>
        <w:t>ne</w:t>
      </w:r>
      <w:r w:rsidR="009A20FD">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9A20FD">
        <w:rPr>
          <w:rFonts w:ascii="Times New Roman" w:hAnsi="Times New Roman" w:cs="Times New Roman"/>
          <w:sz w:val="20"/>
          <w:szCs w:val="20"/>
        </w:rPr>
        <w:t>6</w:t>
      </w:r>
      <w:r w:rsidR="003C03D7" w:rsidRPr="00150645">
        <w:rPr>
          <w:rFonts w:ascii="Times New Roman" w:hAnsi="Times New Roman" w:cs="Times New Roman"/>
          <w:sz w:val="20"/>
          <w:szCs w:val="20"/>
        </w:rPr>
        <w:t>;</w:t>
      </w:r>
      <w:r w:rsidRPr="00150645">
        <w:rPr>
          <w:rFonts w:ascii="Times New Roman" w:hAnsi="Times New Roman" w:cs="Times New Roman"/>
          <w:b/>
          <w:sz w:val="20"/>
          <w:szCs w:val="20"/>
        </w:rPr>
        <w:t xml:space="preserve"> </w:t>
      </w:r>
      <w:r w:rsidRPr="00150645">
        <w:rPr>
          <w:rFonts w:ascii="Times New Roman" w:eastAsia="Times New Roman" w:hAnsi="Times New Roman" w:cs="Times New Roman"/>
          <w:b/>
          <w:color w:val="0070C0"/>
          <w:sz w:val="20"/>
          <w:szCs w:val="20"/>
          <w:lang w:val="tr-TR" w:eastAsia="tr-TR"/>
        </w:rPr>
        <w:t>A</w:t>
      </w:r>
      <w:r w:rsidRPr="00150645">
        <w:rPr>
          <w:rFonts w:ascii="Times New Roman" w:eastAsia="Times New Roman" w:hAnsi="Times New Roman" w:cs="Times New Roman"/>
          <w:b/>
          <w:color w:val="0070C0"/>
          <w:lang w:val="tr-TR" w:eastAsia="tr-TR"/>
        </w:rPr>
        <w:t>ccepted</w:t>
      </w:r>
      <w:r w:rsidRPr="00150645">
        <w:rPr>
          <w:rFonts w:ascii="Times New Roman" w:hAnsi="Times New Roman" w:cs="Times New Roman"/>
          <w:b/>
          <w:sz w:val="20"/>
          <w:szCs w:val="20"/>
        </w:rPr>
        <w:t xml:space="preserve">: </w:t>
      </w:r>
      <w:r w:rsidR="00C62DD4">
        <w:rPr>
          <w:rFonts w:ascii="Times New Roman" w:hAnsi="Times New Roman" w:cs="Times New Roman"/>
          <w:bCs/>
          <w:sz w:val="20"/>
          <w:szCs w:val="20"/>
        </w:rPr>
        <w:t>13</w:t>
      </w:r>
      <w:r w:rsidR="00867FA0">
        <w:rPr>
          <w:rFonts w:ascii="Times New Roman" w:hAnsi="Times New Roman" w:cs="Times New Roman"/>
          <w:sz w:val="20"/>
          <w:szCs w:val="20"/>
        </w:rPr>
        <w:t xml:space="preserve"> </w:t>
      </w:r>
      <w:r w:rsidR="00462982">
        <w:rPr>
          <w:rFonts w:ascii="Times New Roman" w:hAnsi="Times New Roman" w:cs="Times New Roman"/>
          <w:sz w:val="20"/>
          <w:szCs w:val="20"/>
        </w:rPr>
        <w:t>Ju</w:t>
      </w:r>
      <w:r w:rsidR="00C62DD4">
        <w:rPr>
          <w:rFonts w:ascii="Times New Roman" w:hAnsi="Times New Roman" w:cs="Times New Roman"/>
          <w:sz w:val="20"/>
          <w:szCs w:val="20"/>
        </w:rPr>
        <w:t>ly</w:t>
      </w:r>
      <w:r w:rsidR="006E6109">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523A8F">
        <w:rPr>
          <w:rFonts w:ascii="Times New Roman" w:hAnsi="Times New Roman" w:cs="Times New Roman"/>
          <w:sz w:val="20"/>
          <w:szCs w:val="20"/>
        </w:rPr>
        <w:t>6</w:t>
      </w:r>
      <w:r w:rsidR="003C03D7" w:rsidRPr="00150645">
        <w:rPr>
          <w:rFonts w:ascii="Times New Roman" w:hAnsi="Times New Roman" w:cs="Times New Roman"/>
          <w:sz w:val="20"/>
          <w:szCs w:val="20"/>
        </w:rPr>
        <w:t>;</w:t>
      </w:r>
      <w:r w:rsidR="003C03D7" w:rsidRPr="00150645">
        <w:rPr>
          <w:rFonts w:ascii="Times New Roman" w:hAnsi="Times New Roman" w:cs="Times New Roman"/>
          <w:b/>
          <w:sz w:val="20"/>
          <w:szCs w:val="20"/>
        </w:rPr>
        <w:t xml:space="preserve"> </w:t>
      </w:r>
      <w:r w:rsidR="003C03D7" w:rsidRPr="00150645">
        <w:rPr>
          <w:rFonts w:ascii="Times New Roman" w:eastAsia="Times New Roman" w:hAnsi="Times New Roman" w:cs="Times New Roman"/>
          <w:b/>
          <w:color w:val="0070C0"/>
          <w:sz w:val="20"/>
          <w:szCs w:val="20"/>
          <w:lang w:val="tr-TR" w:eastAsia="tr-TR"/>
        </w:rPr>
        <w:t>Publ</w:t>
      </w:r>
      <w:r w:rsidR="003C03D7" w:rsidRPr="00150645">
        <w:rPr>
          <w:rFonts w:ascii="Times New Roman" w:eastAsia="Times New Roman" w:hAnsi="Times New Roman" w:cs="Times New Roman"/>
          <w:b/>
          <w:color w:val="0070C0"/>
          <w:lang w:val="tr-TR" w:eastAsia="tr-TR"/>
        </w:rPr>
        <w:t>ishe</w:t>
      </w:r>
      <w:r w:rsidR="003C03D7" w:rsidRPr="00150645">
        <w:rPr>
          <w:rFonts w:ascii="Times New Roman" w:eastAsia="Times New Roman" w:hAnsi="Times New Roman" w:cs="Times New Roman"/>
          <w:b/>
          <w:color w:val="0070C0"/>
          <w:sz w:val="20"/>
          <w:szCs w:val="20"/>
          <w:lang w:val="tr-TR" w:eastAsia="tr-TR"/>
        </w:rPr>
        <w:t>d</w:t>
      </w:r>
      <w:r w:rsidR="003C03D7" w:rsidRPr="00150645">
        <w:rPr>
          <w:rFonts w:ascii="Times New Roman" w:hAnsi="Times New Roman" w:cs="Times New Roman"/>
          <w:b/>
          <w:sz w:val="20"/>
          <w:szCs w:val="20"/>
        </w:rPr>
        <w:t xml:space="preserve">: </w:t>
      </w:r>
      <w:r w:rsidR="00467989">
        <w:rPr>
          <w:rFonts w:ascii="Times New Roman" w:hAnsi="Times New Roman" w:cs="Times New Roman"/>
          <w:bCs/>
          <w:sz w:val="20"/>
          <w:szCs w:val="20"/>
        </w:rPr>
        <w:t>28</w:t>
      </w:r>
      <w:r w:rsidR="00462982">
        <w:rPr>
          <w:rFonts w:ascii="Times New Roman" w:hAnsi="Times New Roman" w:cs="Times New Roman"/>
          <w:sz w:val="20"/>
          <w:szCs w:val="20"/>
        </w:rPr>
        <w:t xml:space="preserve"> July</w:t>
      </w:r>
      <w:r w:rsidR="006E6109">
        <w:rPr>
          <w:rFonts w:ascii="Times New Roman" w:hAnsi="Times New Roman" w:cs="Times New Roman"/>
          <w:sz w:val="20"/>
          <w:szCs w:val="20"/>
        </w:rPr>
        <w:t xml:space="preserve"> 202</w:t>
      </w:r>
      <w:r w:rsidR="00523A8F">
        <w:rPr>
          <w:rFonts w:ascii="Times New Roman" w:hAnsi="Times New Roman" w:cs="Times New Roman"/>
          <w:sz w:val="20"/>
          <w:szCs w:val="20"/>
        </w:rPr>
        <w:t>6</w:t>
      </w:r>
    </w:p>
    <w:p w14:paraId="4D81E6B0" w14:textId="77777777" w:rsidR="003C03D7" w:rsidRPr="00150645" w:rsidRDefault="003C03D7" w:rsidP="00150645">
      <w:pPr>
        <w:spacing w:after="0" w:line="360" w:lineRule="auto"/>
        <w:jc w:val="both"/>
        <w:rPr>
          <w:rFonts w:ascii="Times New Roman" w:hAnsi="Times New Roman" w:cs="Times New Roman"/>
          <w:sz w:val="20"/>
          <w:szCs w:val="20"/>
        </w:rPr>
      </w:pPr>
    </w:p>
    <w:p w14:paraId="0B7BC42F" w14:textId="16254765" w:rsidR="003C03D7" w:rsidRPr="00150645" w:rsidRDefault="003C03D7" w:rsidP="002001C2">
      <w:pPr>
        <w:spacing w:after="0" w:line="360" w:lineRule="auto"/>
        <w:jc w:val="both"/>
        <w:rPr>
          <w:rFonts w:ascii="Times New Roman" w:hAnsi="Times New Roman" w:cs="Times New Roman"/>
          <w:b/>
          <w:bCs/>
          <w:sz w:val="20"/>
          <w:szCs w:val="20"/>
        </w:rPr>
      </w:pPr>
      <w:r w:rsidRPr="00150645">
        <w:rPr>
          <w:rFonts w:ascii="Times New Roman" w:eastAsia="Times New Roman" w:hAnsi="Times New Roman" w:cs="Times New Roman"/>
          <w:b/>
          <w:color w:val="0070C0"/>
        </w:rPr>
        <w:t>Citatio</w:t>
      </w:r>
      <w:r w:rsidRPr="00150645">
        <w:rPr>
          <w:rFonts w:ascii="Times New Roman" w:eastAsia="Times New Roman" w:hAnsi="Times New Roman" w:cs="Times New Roman"/>
          <w:b/>
          <w:color w:val="0070C0"/>
          <w:sz w:val="20"/>
          <w:szCs w:val="20"/>
        </w:rPr>
        <w:t>n</w:t>
      </w:r>
      <w:r w:rsidRPr="00150645">
        <w:rPr>
          <w:rFonts w:ascii="Times New Roman" w:eastAsia="Times New Roman" w:hAnsi="Times New Roman" w:cs="Times New Roman"/>
          <w:color w:val="0070C0"/>
          <w:sz w:val="20"/>
          <w:szCs w:val="20"/>
        </w:rPr>
        <w:t>:</w:t>
      </w:r>
      <w:r w:rsidR="00875A41" w:rsidRPr="00150645">
        <w:rPr>
          <w:rFonts w:ascii="Times New Roman" w:eastAsia="Times New Roman" w:hAnsi="Times New Roman" w:cs="Times New Roman"/>
          <w:color w:val="0070C0"/>
          <w:sz w:val="20"/>
          <w:szCs w:val="20"/>
        </w:rPr>
        <w:t xml:space="preserve"> </w:t>
      </w:r>
      <w:r w:rsidR="008F6A1A" w:rsidRPr="008F6A1A">
        <w:rPr>
          <w:rFonts w:ascii="Times New Roman" w:eastAsia="Arial Unicode MS" w:hAnsi="Times New Roman" w:cs="Times New Roman"/>
          <w:sz w:val="20"/>
          <w:szCs w:val="20"/>
          <w:u w:color="000000"/>
          <w:shd w:val="clear" w:color="auto" w:fill="FFFFFF"/>
          <w:lang w:val="it-IT"/>
        </w:rPr>
        <w:t xml:space="preserve">Shabnam Abdulaziz Memon, Ayesha </w:t>
      </w:r>
      <w:r w:rsidR="004C0061">
        <w:rPr>
          <w:rFonts w:ascii="Times New Roman" w:eastAsia="Arial Unicode MS" w:hAnsi="Times New Roman" w:cs="Times New Roman"/>
          <w:sz w:val="20"/>
          <w:szCs w:val="20"/>
          <w:u w:color="000000"/>
          <w:shd w:val="clear" w:color="auto" w:fill="FFFFFF"/>
          <w:lang w:val="it-IT"/>
        </w:rPr>
        <w:t>Syeda</w:t>
      </w:r>
      <w:r w:rsidR="008F6A1A" w:rsidRPr="008F6A1A">
        <w:rPr>
          <w:rFonts w:ascii="Times New Roman" w:eastAsia="Arial Unicode MS" w:hAnsi="Times New Roman" w:cs="Times New Roman"/>
          <w:sz w:val="20"/>
          <w:szCs w:val="20"/>
          <w:u w:color="000000"/>
          <w:shd w:val="clear" w:color="auto" w:fill="FFFFFF"/>
          <w:lang w:val="it-IT"/>
        </w:rPr>
        <w:t xml:space="preserve">, Venkata Avinash Ugripelli, </w:t>
      </w:r>
      <w:r w:rsidR="004C0061" w:rsidRPr="00922944">
        <w:rPr>
          <w:rFonts w:ascii="Times New Roman" w:eastAsia="Arial Unicode MS" w:hAnsi="Times New Roman" w:cs="Times New Roman"/>
          <w:sz w:val="20"/>
          <w:szCs w:val="20"/>
          <w:u w:color="000000"/>
          <w:shd w:val="clear" w:color="auto" w:fill="FFFFFF"/>
          <w:lang w:val="it-IT"/>
        </w:rPr>
        <w:t>Ghazala S. Virk</w:t>
      </w:r>
      <w:r w:rsidR="008F6A1A" w:rsidRPr="008F6A1A">
        <w:rPr>
          <w:rFonts w:ascii="Times New Roman" w:eastAsia="Arial Unicode MS" w:hAnsi="Times New Roman" w:cs="Times New Roman"/>
          <w:sz w:val="20"/>
          <w:szCs w:val="20"/>
          <w:u w:color="000000"/>
          <w:shd w:val="clear" w:color="auto" w:fill="FFFFFF"/>
          <w:lang w:val="it-IT"/>
        </w:rPr>
        <w:t xml:space="preserve">, Yazan Hawari, </w:t>
      </w:r>
      <w:r w:rsidR="00922944" w:rsidRPr="00922944">
        <w:rPr>
          <w:rFonts w:ascii="Times New Roman" w:eastAsia="Arial Unicode MS" w:hAnsi="Times New Roman" w:cs="Times New Roman"/>
          <w:sz w:val="20"/>
          <w:szCs w:val="20"/>
          <w:u w:color="000000"/>
          <w:shd w:val="clear" w:color="auto" w:fill="FFFFFF"/>
          <w:lang w:val="it-IT"/>
        </w:rPr>
        <w:t xml:space="preserve">Mothe Greeshma, </w:t>
      </w:r>
      <w:r w:rsidR="008F6A1A" w:rsidRPr="008F6A1A">
        <w:rPr>
          <w:rFonts w:ascii="Times New Roman" w:eastAsia="Arial Unicode MS" w:hAnsi="Times New Roman" w:cs="Times New Roman"/>
          <w:sz w:val="20"/>
          <w:szCs w:val="20"/>
          <w:u w:color="000000"/>
          <w:shd w:val="clear" w:color="auto" w:fill="FFFFFF"/>
          <w:lang w:val="it-IT"/>
        </w:rPr>
        <w:t xml:space="preserve">Abdul Eizad Asif, </w:t>
      </w:r>
      <w:r w:rsidR="00922944" w:rsidRPr="00922944">
        <w:rPr>
          <w:rFonts w:ascii="Times New Roman" w:eastAsia="Arial Unicode MS" w:hAnsi="Times New Roman" w:cs="Times New Roman"/>
          <w:sz w:val="20"/>
          <w:szCs w:val="20"/>
          <w:u w:color="000000"/>
          <w:shd w:val="clear" w:color="auto" w:fill="FFFFFF"/>
          <w:lang w:val="it-IT"/>
        </w:rPr>
        <w:t xml:space="preserve">Syeda Rahma Suroor, </w:t>
      </w:r>
      <w:r w:rsidR="008F6A1A" w:rsidRPr="008F6A1A">
        <w:rPr>
          <w:rFonts w:ascii="Times New Roman" w:eastAsia="Arial Unicode MS" w:hAnsi="Times New Roman" w:cs="Times New Roman"/>
          <w:sz w:val="20"/>
          <w:szCs w:val="20"/>
          <w:u w:color="000000"/>
          <w:shd w:val="clear" w:color="auto" w:fill="FFFFFF"/>
          <w:lang w:val="it-IT"/>
        </w:rPr>
        <w:t>Muhammad Sohail S. Mirza</w:t>
      </w:r>
      <w:r w:rsidR="009116FA">
        <w:rPr>
          <w:rFonts w:ascii="Times New Roman" w:hAnsi="Times New Roman" w:cs="Times New Roman"/>
          <w:bCs/>
          <w:sz w:val="20"/>
          <w:szCs w:val="20"/>
        </w:rPr>
        <w:t>.</w:t>
      </w:r>
      <w:r w:rsidR="00D262C6">
        <w:rPr>
          <w:rFonts w:ascii="Times New Roman" w:hAnsi="Times New Roman" w:cs="Times New Roman"/>
          <w:bCs/>
          <w:sz w:val="20"/>
          <w:szCs w:val="20"/>
        </w:rPr>
        <w:t xml:space="preserve"> </w:t>
      </w:r>
      <w:r w:rsidR="008F6A1A" w:rsidRPr="008F6A1A">
        <w:rPr>
          <w:rFonts w:ascii="Times New Roman" w:hAnsi="Times New Roman" w:cs="Times New Roman"/>
          <w:bCs/>
          <w:sz w:val="20"/>
          <w:szCs w:val="20"/>
        </w:rPr>
        <w:t>Efficacy and Safety of Vonoprazan (Voquezna) for Treatment of Gastroesophageal Reflux Disease (GERD): A Systematic Review and Meta-Analysis</w:t>
      </w:r>
      <w:r w:rsidR="00170949">
        <w:rPr>
          <w:rFonts w:ascii="Times New Roman" w:hAnsi="Times New Roman" w:cs="Times New Roman"/>
          <w:bCs/>
          <w:sz w:val="20"/>
          <w:szCs w:val="20"/>
        </w:rPr>
        <w:t>.</w:t>
      </w:r>
      <w:r w:rsidR="00D262C6" w:rsidRPr="00D262C6">
        <w:rPr>
          <w:rFonts w:ascii="Times New Roman" w:hAnsi="Times New Roman" w:cs="Times New Roman"/>
          <w:bCs/>
          <w:sz w:val="20"/>
          <w:szCs w:val="20"/>
        </w:rPr>
        <w:t xml:space="preserve"> </w:t>
      </w:r>
      <w:r w:rsidR="00900B27" w:rsidRPr="00150645">
        <w:rPr>
          <w:rFonts w:ascii="Times New Roman" w:hAnsi="Times New Roman" w:cs="Times New Roman"/>
          <w:color w:val="000000"/>
          <w:sz w:val="20"/>
          <w:szCs w:val="20"/>
        </w:rPr>
        <w:t>Archives of Internal Medicine Research</w:t>
      </w:r>
      <w:r w:rsidR="00BB3370">
        <w:rPr>
          <w:rFonts w:ascii="Times New Roman" w:hAnsi="Times New Roman" w:cs="Times New Roman"/>
          <w:color w:val="000000"/>
          <w:spacing w:val="-1"/>
          <w:sz w:val="20"/>
          <w:szCs w:val="20"/>
        </w:rPr>
        <w:t xml:space="preserve"> </w:t>
      </w:r>
      <w:r w:rsidR="009319AD">
        <w:rPr>
          <w:rFonts w:ascii="Times New Roman" w:hAnsi="Times New Roman" w:cs="Times New Roman"/>
          <w:color w:val="000000"/>
          <w:spacing w:val="-1"/>
          <w:sz w:val="20"/>
          <w:szCs w:val="20"/>
        </w:rPr>
        <w:t>9</w:t>
      </w:r>
      <w:r w:rsidR="00900B27" w:rsidRPr="00150645">
        <w:rPr>
          <w:rFonts w:ascii="Times New Roman" w:hAnsi="Times New Roman" w:cs="Times New Roman"/>
          <w:color w:val="000000"/>
          <w:spacing w:val="-1"/>
          <w:sz w:val="20"/>
          <w:szCs w:val="20"/>
        </w:rPr>
        <w:t xml:space="preserve"> (202</w:t>
      </w:r>
      <w:r w:rsidR="009319AD">
        <w:rPr>
          <w:rFonts w:ascii="Times New Roman" w:hAnsi="Times New Roman" w:cs="Times New Roman"/>
          <w:color w:val="000000"/>
          <w:spacing w:val="-1"/>
          <w:sz w:val="20"/>
          <w:szCs w:val="20"/>
        </w:rPr>
        <w:t>6</w:t>
      </w:r>
      <w:r w:rsidR="00900B27" w:rsidRPr="00150645">
        <w:rPr>
          <w:rFonts w:ascii="Times New Roman" w:hAnsi="Times New Roman" w:cs="Times New Roman"/>
          <w:color w:val="000000"/>
          <w:spacing w:val="-1"/>
          <w:sz w:val="20"/>
          <w:szCs w:val="20"/>
        </w:rPr>
        <w:t>)</w:t>
      </w:r>
      <w:r w:rsidR="00675CBD" w:rsidRPr="00150645">
        <w:rPr>
          <w:rFonts w:ascii="Times New Roman" w:hAnsi="Times New Roman" w:cs="Times New Roman"/>
          <w:color w:val="000000"/>
          <w:spacing w:val="-1"/>
          <w:sz w:val="20"/>
          <w:szCs w:val="20"/>
        </w:rPr>
        <w:t xml:space="preserve">: </w:t>
      </w:r>
      <w:r w:rsidR="00467989">
        <w:rPr>
          <w:rFonts w:ascii="Times New Roman" w:hAnsi="Times New Roman" w:cs="Times New Roman"/>
          <w:color w:val="000000"/>
          <w:spacing w:val="-1"/>
          <w:sz w:val="20"/>
          <w:szCs w:val="20"/>
        </w:rPr>
        <w:t>215</w:t>
      </w:r>
      <w:r w:rsidR="009B143D">
        <w:rPr>
          <w:rFonts w:ascii="Times New Roman" w:hAnsi="Times New Roman" w:cs="Times New Roman"/>
          <w:color w:val="000000"/>
          <w:spacing w:val="-1"/>
          <w:sz w:val="20"/>
          <w:szCs w:val="20"/>
        </w:rPr>
        <w:t>-</w:t>
      </w:r>
      <w:r w:rsidR="00467989">
        <w:rPr>
          <w:rFonts w:ascii="Times New Roman" w:hAnsi="Times New Roman" w:cs="Times New Roman"/>
          <w:color w:val="000000"/>
          <w:spacing w:val="-1"/>
          <w:sz w:val="20"/>
          <w:szCs w:val="20"/>
        </w:rPr>
        <w:t>226</w:t>
      </w:r>
      <w:r w:rsidRPr="00150645">
        <w:rPr>
          <w:rFonts w:ascii="Times New Roman" w:hAnsi="Times New Roman" w:cs="Times New Roman"/>
          <w:color w:val="000000"/>
          <w:sz w:val="20"/>
          <w:szCs w:val="20"/>
        </w:rPr>
        <w:t>.</w:t>
      </w:r>
    </w:p>
    <w:p w14:paraId="2621F52D" w14:textId="77777777" w:rsidR="00744D65" w:rsidRDefault="00744D65" w:rsidP="00150645">
      <w:pPr>
        <w:spacing w:after="0" w:line="360" w:lineRule="auto"/>
        <w:jc w:val="both"/>
        <w:rPr>
          <w:rFonts w:ascii="Times New Roman" w:hAnsi="Times New Roman" w:cs="Times New Roman"/>
          <w:color w:val="000000"/>
          <w:sz w:val="20"/>
          <w:szCs w:val="20"/>
        </w:rPr>
      </w:pPr>
    </w:p>
    <w:p w14:paraId="226190C2" w14:textId="66B34A94" w:rsidR="00150645" w:rsidRPr="000903D9" w:rsidRDefault="00211DD3" w:rsidP="009F6826">
      <w:pPr>
        <w:spacing w:after="0" w:line="360" w:lineRule="auto"/>
        <w:jc w:val="both"/>
        <w:rPr>
          <w:rFonts w:ascii="Times New Roman" w:hAnsi="Times New Roman" w:cs="Times New Roman"/>
          <w:b/>
          <w:color w:val="0070C0"/>
        </w:rPr>
      </w:pPr>
      <w:r w:rsidRPr="000903D9">
        <w:rPr>
          <w:rFonts w:ascii="Times New Roman" w:hAnsi="Times New Roman" w:cs="Times New Roman"/>
          <w:b/>
          <w:color w:val="0070C0"/>
        </w:rPr>
        <w:t>Abstract</w:t>
      </w:r>
    </w:p>
    <w:p w14:paraId="5234DDA9" w14:textId="4C68BB79" w:rsidR="00A93CEB" w:rsidRDefault="008F6A1A" w:rsidP="00B24252">
      <w:pPr>
        <w:spacing w:after="0" w:line="360" w:lineRule="auto"/>
        <w:jc w:val="both"/>
        <w:rPr>
          <w:rFonts w:ascii="Times New Roman" w:hAnsi="Times New Roman" w:cs="Times New Roman"/>
          <w:sz w:val="20"/>
          <w:szCs w:val="20"/>
        </w:rPr>
      </w:pPr>
      <w:r w:rsidRPr="008F6A1A">
        <w:rPr>
          <w:rFonts w:ascii="Times New Roman" w:hAnsi="Times New Roman" w:cs="Times New Roman"/>
          <w:sz w:val="20"/>
          <w:szCs w:val="20"/>
        </w:rPr>
        <w:t xml:space="preserve">Vonoprazan, a first-in-class potassium-competitive acid blocker (P-CAB) has changed the clinical management of acid-related disorders. Although vonoprazan is gradually becoming a new powerful alternative to traditional proton pump inhibitors (PPIs), its cumulative effect in a variety of study designs and in a global population is still under </w:t>
      </w:r>
      <w:r w:rsidRPr="008F6A1A">
        <w:rPr>
          <w:rFonts w:ascii="Times New Roman" w:hAnsi="Times New Roman" w:cs="Times New Roman"/>
          <w:sz w:val="20"/>
          <w:szCs w:val="20"/>
        </w:rPr>
        <w:lastRenderedPageBreak/>
        <w:t>active assessment. The objectives of this systematic review and meta-analysis were to summarize the therapeutic efficacy of vonoprazan in achieving resolution of symptoms and mucosa healing compared with standard clinical parameters. A comprehensive search was performed in several databases, such as PubMed, Web of Science, and Google Scholar to locate the randomized controlled trials (RCTs) and observational cohort studies, which were published between 2016-2026. The estimation of Risk Ratios (RR) was done through a random-effects pooled analysis. The I2 statistic was used to measure heterogeneity, and funnel plots and Egger regression test were used to measure publication bias. The Risk of Bias assessment based on Cochrane tool and Newcastle-Ottawa Scale showed inconsistency of the quality of the methodological quality, as randomized trials tended to be of lower risk compared to observational cohorts. In general the application of vonoprazan was found to be closely related to the high percentage of symptom resolution and esophageal healing. The overall effect size showed a strong positive correlation 0.77 (95% CI: 0.07 to 1.46), between the use of vonoprazan and clinical success. These are encouraging results, but there was a great deal of heterogeneity (I2 = 97.94%) in the study populations and methodologies. The outcomes of such studies confirm the superiority of vonoprazan as an acid-suppressant, and future longitudinal studies will be crucial to detail the maintenance outcomes as well as the safety in the long-term use of the drug.</w:t>
      </w:r>
    </w:p>
    <w:p w14:paraId="5486CEF8" w14:textId="77777777" w:rsidR="00EC4B70" w:rsidRDefault="00EC4B70" w:rsidP="00B24252">
      <w:pPr>
        <w:spacing w:after="0" w:line="360" w:lineRule="auto"/>
        <w:jc w:val="both"/>
        <w:rPr>
          <w:rFonts w:ascii="Times New Roman" w:hAnsi="Times New Roman" w:cs="Times New Roman"/>
          <w:sz w:val="20"/>
          <w:szCs w:val="20"/>
        </w:rPr>
      </w:pPr>
    </w:p>
    <w:p w14:paraId="1103F5B5" w14:textId="77E5A3F9" w:rsidR="00955BC4" w:rsidRDefault="00CF7F4B" w:rsidP="00A644AC">
      <w:pPr>
        <w:pStyle w:val="MDPI18keywords"/>
        <w:spacing w:before="0" w:line="360" w:lineRule="auto"/>
        <w:ind w:left="0"/>
      </w:pPr>
      <w:r w:rsidRPr="00A644AC">
        <w:rPr>
          <w:rFonts w:ascii="Times New Roman" w:hAnsi="Times New Roman"/>
          <w:b/>
          <w:color w:val="0070C0"/>
          <w:sz w:val="22"/>
        </w:rPr>
        <w:t>Keywords</w:t>
      </w:r>
      <w:r w:rsidR="00A644AC">
        <w:rPr>
          <w:rFonts w:ascii="Times New Roman" w:hAnsi="Times New Roman"/>
          <w:b/>
          <w:color w:val="0070C0"/>
          <w:sz w:val="22"/>
        </w:rPr>
        <w:t>:</w:t>
      </w:r>
      <w:r w:rsidR="00A644AC" w:rsidRPr="00A644AC">
        <w:t xml:space="preserve"> </w:t>
      </w:r>
    </w:p>
    <w:p w14:paraId="4C9C002C" w14:textId="0B2EE39C" w:rsidR="00F80D80" w:rsidRDefault="008F6A1A" w:rsidP="00B53566">
      <w:pPr>
        <w:spacing w:after="0" w:line="360" w:lineRule="auto"/>
        <w:jc w:val="both"/>
        <w:rPr>
          <w:rFonts w:ascii="Times New Roman" w:eastAsia="Times New Roman" w:hAnsi="Times New Roman" w:cs="Times New Roman"/>
          <w:snapToGrid w:val="0"/>
          <w:color w:val="000000"/>
          <w:sz w:val="20"/>
          <w:lang w:eastAsia="de-DE" w:bidi="en-US"/>
        </w:rPr>
      </w:pPr>
      <w:r w:rsidRPr="008F6A1A">
        <w:rPr>
          <w:rFonts w:ascii="Times New Roman" w:eastAsia="Times New Roman" w:hAnsi="Times New Roman" w:cs="Times New Roman"/>
          <w:snapToGrid w:val="0"/>
          <w:color w:val="000000"/>
          <w:sz w:val="20"/>
          <w:lang w:eastAsia="de-DE" w:bidi="en-US"/>
        </w:rPr>
        <w:t>Vonoprazan (Voquezna)</w:t>
      </w:r>
      <w:r>
        <w:rPr>
          <w:rFonts w:ascii="Times New Roman" w:eastAsia="Times New Roman" w:hAnsi="Times New Roman" w:cs="Times New Roman"/>
          <w:snapToGrid w:val="0"/>
          <w:color w:val="000000"/>
          <w:sz w:val="20"/>
          <w:lang w:eastAsia="de-DE" w:bidi="en-US"/>
        </w:rPr>
        <w:t>;</w:t>
      </w:r>
      <w:r w:rsidRPr="008F6A1A">
        <w:rPr>
          <w:rFonts w:ascii="Times New Roman" w:eastAsia="Times New Roman" w:hAnsi="Times New Roman" w:cs="Times New Roman"/>
          <w:snapToGrid w:val="0"/>
          <w:color w:val="000000"/>
          <w:sz w:val="20"/>
          <w:lang w:eastAsia="de-DE" w:bidi="en-US"/>
        </w:rPr>
        <w:t xml:space="preserve"> Gastroesophageal Reflux Disease (GERD)</w:t>
      </w:r>
      <w:r>
        <w:rPr>
          <w:rFonts w:ascii="Times New Roman" w:eastAsia="Times New Roman" w:hAnsi="Times New Roman" w:cs="Times New Roman"/>
          <w:snapToGrid w:val="0"/>
          <w:color w:val="000000"/>
          <w:sz w:val="20"/>
          <w:lang w:eastAsia="de-DE" w:bidi="en-US"/>
        </w:rPr>
        <w:t>;</w:t>
      </w:r>
      <w:r w:rsidRPr="008F6A1A">
        <w:rPr>
          <w:rFonts w:ascii="Times New Roman" w:eastAsia="Times New Roman" w:hAnsi="Times New Roman" w:cs="Times New Roman"/>
          <w:snapToGrid w:val="0"/>
          <w:color w:val="000000"/>
          <w:sz w:val="20"/>
          <w:lang w:eastAsia="de-DE" w:bidi="en-US"/>
        </w:rPr>
        <w:t xml:space="preserve"> Potassium-Competitive Acid Blockers (PCABs)</w:t>
      </w:r>
      <w:r>
        <w:rPr>
          <w:rFonts w:ascii="Times New Roman" w:eastAsia="Times New Roman" w:hAnsi="Times New Roman" w:cs="Times New Roman"/>
          <w:snapToGrid w:val="0"/>
          <w:color w:val="000000"/>
          <w:sz w:val="20"/>
          <w:lang w:eastAsia="de-DE" w:bidi="en-US"/>
        </w:rPr>
        <w:t>;</w:t>
      </w:r>
      <w:r w:rsidRPr="008F6A1A">
        <w:rPr>
          <w:rFonts w:ascii="Times New Roman" w:eastAsia="Times New Roman" w:hAnsi="Times New Roman" w:cs="Times New Roman"/>
          <w:snapToGrid w:val="0"/>
          <w:color w:val="000000"/>
          <w:sz w:val="20"/>
          <w:lang w:eastAsia="de-DE" w:bidi="en-US"/>
        </w:rPr>
        <w:t xml:space="preserve"> Proton Pump Inhibitors (PPIs)</w:t>
      </w:r>
      <w:r>
        <w:rPr>
          <w:rFonts w:ascii="Times New Roman" w:eastAsia="Times New Roman" w:hAnsi="Times New Roman" w:cs="Times New Roman"/>
          <w:snapToGrid w:val="0"/>
          <w:color w:val="000000"/>
          <w:sz w:val="20"/>
          <w:lang w:eastAsia="de-DE" w:bidi="en-US"/>
        </w:rPr>
        <w:t>;</w:t>
      </w:r>
      <w:r w:rsidRPr="008F6A1A">
        <w:rPr>
          <w:rFonts w:ascii="Times New Roman" w:eastAsia="Times New Roman" w:hAnsi="Times New Roman" w:cs="Times New Roman"/>
          <w:snapToGrid w:val="0"/>
          <w:color w:val="000000"/>
          <w:sz w:val="20"/>
          <w:lang w:eastAsia="de-DE" w:bidi="en-US"/>
        </w:rPr>
        <w:t xml:space="preserve"> Symptom Resolution</w:t>
      </w:r>
    </w:p>
    <w:p w14:paraId="187455A7" w14:textId="77777777" w:rsidR="00C02CF1" w:rsidRDefault="00C02CF1" w:rsidP="00B53566">
      <w:pPr>
        <w:spacing w:after="0" w:line="360" w:lineRule="auto"/>
        <w:jc w:val="both"/>
        <w:rPr>
          <w:rFonts w:ascii="Times New Roman" w:eastAsia="Times New Roman" w:hAnsi="Times New Roman" w:cs="Times New Roman"/>
          <w:snapToGrid w:val="0"/>
          <w:color w:val="000000"/>
          <w:sz w:val="20"/>
          <w:lang w:eastAsia="de-DE" w:bidi="en-US"/>
        </w:rPr>
      </w:pPr>
    </w:p>
    <w:p w14:paraId="2246F087" w14:textId="3145CEAE" w:rsidR="005F7AAF" w:rsidRPr="002836EA" w:rsidRDefault="002836EA" w:rsidP="005F7AAF">
      <w:pPr>
        <w:spacing w:after="0" w:line="360" w:lineRule="auto"/>
        <w:jc w:val="both"/>
        <w:rPr>
          <w:rFonts w:ascii="Times New Roman" w:hAnsi="Times New Roman" w:cs="Times New Roman"/>
          <w:b/>
          <w:bCs/>
          <w:color w:val="0070C0"/>
        </w:rPr>
      </w:pPr>
      <w:r w:rsidRPr="002836EA">
        <w:rPr>
          <w:rFonts w:ascii="Times New Roman" w:hAnsi="Times New Roman" w:cs="Times New Roman"/>
          <w:b/>
          <w:bCs/>
          <w:color w:val="0070C0"/>
        </w:rPr>
        <w:t>Introduction and Background</w:t>
      </w:r>
    </w:p>
    <w:p w14:paraId="5F2EE586" w14:textId="77777777" w:rsidR="002836EA" w:rsidRPr="002836EA"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Gastroesophageal reflux disease (GERD) is a chronic, very common gastrointestinal disorder that may be termed as backflow of stomach contents up the esophagus and can present with symptoms of heartburn, regurgitation, and in severe instances, damage to the esophageal mucosa [1,2]. GERD is a chronic condition that severely affects quality of life, and has a huge health care burden on both developed and developing nations, with rates of morbidity and mortality increasing rapidly. In spite of progress in pharmacological therapy, a significant percentage of patients still report persistent or refractory symptoms, which need enhanced modes of treatment [3].</w:t>
      </w:r>
    </w:p>
    <w:p w14:paraId="25283793" w14:textId="77777777" w:rsidR="002836EA" w:rsidRPr="002836EA" w:rsidRDefault="002836EA" w:rsidP="002836EA">
      <w:pPr>
        <w:spacing w:after="0" w:line="360" w:lineRule="auto"/>
        <w:jc w:val="both"/>
        <w:rPr>
          <w:rFonts w:ascii="Times New Roman" w:hAnsi="Times New Roman" w:cs="Times New Roman"/>
          <w:sz w:val="20"/>
          <w:szCs w:val="20"/>
        </w:rPr>
      </w:pPr>
    </w:p>
    <w:p w14:paraId="12E8B97A" w14:textId="77777777" w:rsidR="002836EA" w:rsidRPr="002836EA"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The use of proton pump inhibitors (PPIs) has been the mainstay of the management of GERD because such drugs can inhibit the secretion of gastric acid [4,5]. However, as many as 30-40% of patients will not have a complete resolution of symptoms, or will develop PPI-refractory GERD, creating a major therapeutic challenge. Moreover, PPIs need activation in acidic conditions and can be slow acting, interindividually unpredictable, and safety issues could be linked to the long-term use of the drugs [6]. These shortcomings have spurred the emergence of new acid-suppressive treatments that have better pharmacodynamic characteristics.</w:t>
      </w:r>
    </w:p>
    <w:p w14:paraId="05204435" w14:textId="77777777" w:rsidR="002836EA" w:rsidRPr="002836EA" w:rsidRDefault="002836EA" w:rsidP="002836EA">
      <w:pPr>
        <w:spacing w:after="0" w:line="360" w:lineRule="auto"/>
        <w:jc w:val="both"/>
        <w:rPr>
          <w:rFonts w:ascii="Times New Roman" w:hAnsi="Times New Roman" w:cs="Times New Roman"/>
          <w:sz w:val="20"/>
          <w:szCs w:val="20"/>
        </w:rPr>
      </w:pPr>
    </w:p>
    <w:p w14:paraId="41E55249" w14:textId="77777777" w:rsidR="002836EA" w:rsidRPr="002836EA"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 xml:space="preserve">Vonoprazan (Voquezna) is a new potassium-competitive acid blocker (PCAB) which is an inhibitor of gastric H+/K + -ATPase enzyme in a different mechanism than PPIs [7,8]. When compared with PPIs, vonoprazan provides fast, potent and sustained acid suppressions without needing acid activation and it is a good therapeutic option in the </w:t>
      </w:r>
      <w:r w:rsidRPr="002836EA">
        <w:rPr>
          <w:rFonts w:ascii="Times New Roman" w:hAnsi="Times New Roman" w:cs="Times New Roman"/>
          <w:sz w:val="20"/>
          <w:szCs w:val="20"/>
        </w:rPr>
        <w:lastRenderedPageBreak/>
        <w:t>treatment of GERD. Recent clinical and pharmacological evidence indicates that vonoprazan demonstrates more reliable intragastric pH control and could be a better symptom-reliever than conventional treatments [9,10].</w:t>
      </w:r>
    </w:p>
    <w:p w14:paraId="15929ABB" w14:textId="77777777" w:rsidR="002836EA" w:rsidRPr="002836EA" w:rsidRDefault="002836EA" w:rsidP="002836EA">
      <w:pPr>
        <w:spacing w:after="0" w:line="360" w:lineRule="auto"/>
        <w:jc w:val="both"/>
        <w:rPr>
          <w:rFonts w:ascii="Times New Roman" w:hAnsi="Times New Roman" w:cs="Times New Roman"/>
          <w:sz w:val="20"/>
          <w:szCs w:val="20"/>
        </w:rPr>
      </w:pPr>
    </w:p>
    <w:p w14:paraId="3446B41A" w14:textId="77777777" w:rsidR="002836EA" w:rsidRPr="002836EA"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The clinical trials and observational studies have shown that vonoprazan is effective in erosive and non-erosive reflux disease (NERD). As an example, a recent systematic review and meta-analysis found that vonoprazan led to greater GERD-related symptom scores, such as decreased epigastric pain, and postprandial distress than PPIs or placebo [11]. Furthermore, the efficacy of therapeutic effects of PPI resistant GERD patients was reported to be above 90 per cent in four weeks of treatment [12].</w:t>
      </w:r>
    </w:p>
    <w:p w14:paraId="17781DD1" w14:textId="77777777" w:rsidR="002836EA" w:rsidRPr="002836EA" w:rsidRDefault="002836EA" w:rsidP="002836EA">
      <w:pPr>
        <w:spacing w:after="0" w:line="360" w:lineRule="auto"/>
        <w:jc w:val="both"/>
        <w:rPr>
          <w:rFonts w:ascii="Times New Roman" w:hAnsi="Times New Roman" w:cs="Times New Roman"/>
          <w:sz w:val="20"/>
          <w:szCs w:val="20"/>
        </w:rPr>
      </w:pPr>
    </w:p>
    <w:p w14:paraId="761CA2A1" w14:textId="77777777" w:rsidR="002836EA" w:rsidRPr="002836EA"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 xml:space="preserve">These findings are further supported by real-world evidence. A large multicenter observational study carried out showed significant improvements in GERD symptom score after vonoprazan treatment, with high adherence to treatment and the low prevalence of adverse events [13]. Notably, vonoprazan has been traditionally well tolerated, and most of the reported adverse events are mild, similar to those linked with PPIs. Nevertheless, being a comparatively modern treatment agent, there are still doubts about its safety profile in the long-term and relative efficiency in relation to the various GERD subtypes [14]. </w:t>
      </w:r>
    </w:p>
    <w:p w14:paraId="4397F42C" w14:textId="77777777" w:rsidR="002836EA" w:rsidRPr="002836EA" w:rsidRDefault="002836EA" w:rsidP="002836EA">
      <w:pPr>
        <w:spacing w:after="0" w:line="360" w:lineRule="auto"/>
        <w:jc w:val="both"/>
        <w:rPr>
          <w:rFonts w:ascii="Times New Roman" w:hAnsi="Times New Roman" w:cs="Times New Roman"/>
          <w:sz w:val="20"/>
          <w:szCs w:val="20"/>
        </w:rPr>
      </w:pPr>
    </w:p>
    <w:p w14:paraId="377F153A" w14:textId="77777777" w:rsidR="002836EA" w:rsidRPr="002836EA"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Regardless of the increased literature, the current research studies have diverse designs, population, and outcomes in their reports, resulting in discrepancies in the general evidence base [15]. In addition, although a number of systematic reviews have been adopted to investigate vonoprazan in particular scenarios, including non-erosive GERD or PPI-resistent patients, there is still a need to carry out an overall synthesis of the efficacy and safety results of the medication in a wide range of patients [16].</w:t>
      </w:r>
    </w:p>
    <w:p w14:paraId="215E125C" w14:textId="77777777" w:rsidR="002836EA" w:rsidRPr="002836EA" w:rsidRDefault="002836EA" w:rsidP="002836EA">
      <w:pPr>
        <w:spacing w:after="0" w:line="360" w:lineRule="auto"/>
        <w:jc w:val="both"/>
        <w:rPr>
          <w:rFonts w:ascii="Times New Roman" w:hAnsi="Times New Roman" w:cs="Times New Roman"/>
          <w:sz w:val="20"/>
          <w:szCs w:val="20"/>
        </w:rPr>
      </w:pPr>
    </w:p>
    <w:p w14:paraId="30F3276B" w14:textId="77777777" w:rsidR="002836EA" w:rsidRPr="002836EA"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Hence, the purpose of the systematic review and meta-analysis is to critically assess the efficacy and safety of vonoprazan (Voquezna) in treating GERD. This study aims to present strong evidence to guide clinical decision-making and shape future research in this upcoming treatment option by synthesizing data of RCTs and observational studies.</w:t>
      </w:r>
    </w:p>
    <w:p w14:paraId="7B3BFF19" w14:textId="77777777" w:rsidR="002836EA" w:rsidRPr="002836EA" w:rsidRDefault="002836EA" w:rsidP="002836EA">
      <w:pPr>
        <w:spacing w:after="0" w:line="360" w:lineRule="auto"/>
        <w:jc w:val="both"/>
        <w:rPr>
          <w:rFonts w:ascii="Times New Roman" w:hAnsi="Times New Roman" w:cs="Times New Roman"/>
          <w:sz w:val="20"/>
          <w:szCs w:val="20"/>
        </w:rPr>
      </w:pPr>
    </w:p>
    <w:p w14:paraId="47B64A02" w14:textId="77777777" w:rsidR="002836EA" w:rsidRPr="002836EA" w:rsidRDefault="002836EA" w:rsidP="002836EA">
      <w:pPr>
        <w:spacing w:after="0" w:line="360" w:lineRule="auto"/>
        <w:jc w:val="both"/>
        <w:rPr>
          <w:rFonts w:ascii="Times New Roman" w:hAnsi="Times New Roman" w:cs="Times New Roman"/>
          <w:b/>
          <w:bCs/>
          <w:color w:val="0070C0"/>
          <w:sz w:val="20"/>
          <w:szCs w:val="20"/>
        </w:rPr>
      </w:pPr>
      <w:r w:rsidRPr="002836EA">
        <w:rPr>
          <w:rFonts w:ascii="Times New Roman" w:hAnsi="Times New Roman" w:cs="Times New Roman"/>
          <w:b/>
          <w:bCs/>
          <w:color w:val="0070C0"/>
          <w:sz w:val="20"/>
          <w:szCs w:val="20"/>
        </w:rPr>
        <w:t>Methods</w:t>
      </w:r>
    </w:p>
    <w:p w14:paraId="3742062B" w14:textId="77777777" w:rsidR="002836EA" w:rsidRPr="002836EA" w:rsidRDefault="002836EA" w:rsidP="002836EA">
      <w:pPr>
        <w:spacing w:after="0" w:line="360" w:lineRule="auto"/>
        <w:jc w:val="both"/>
        <w:rPr>
          <w:rFonts w:ascii="Times New Roman" w:hAnsi="Times New Roman" w:cs="Times New Roman"/>
          <w:b/>
          <w:bCs/>
          <w:sz w:val="20"/>
          <w:szCs w:val="20"/>
        </w:rPr>
      </w:pPr>
      <w:r w:rsidRPr="002836EA">
        <w:rPr>
          <w:rFonts w:ascii="Times New Roman" w:hAnsi="Times New Roman" w:cs="Times New Roman"/>
          <w:b/>
          <w:bCs/>
          <w:sz w:val="20"/>
          <w:szCs w:val="20"/>
        </w:rPr>
        <w:t>Data Sources and search strategy</w:t>
      </w:r>
    </w:p>
    <w:p w14:paraId="69C85C8A" w14:textId="7AF3787C" w:rsidR="005F7AAF"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A literature search was done systematically to select those studies which evaluate the efficacy and safety of vonoprazan (Voquezna) in the treatment of gastroesophageal reflux disease (GERD). PubMed, Google Scholar, and Web of Science were searched with electronic databases to find materials that were published between 2016 and 2026. The search plan was followed according to the PRISMA guidelines in order to be transparent and replicable. Both controlled vocabulary (MeSH terms) and free-text keywords were used to maximize the search sensitivity. Some of the keywords were vonoprazan, Voquezna, potassium-competitive acid blocker, PCAB, gastroesophaginal reflux disease, GERD, erosive esophagitis, and non-erosive reflux disease. The search was narrowed down by adding these terms with Boolean operators (AND, OR). All the human studies were deemed as fulfilled if published in English.</w:t>
      </w:r>
    </w:p>
    <w:p w14:paraId="2A179D77" w14:textId="77777777" w:rsidR="002836EA" w:rsidRDefault="002836EA" w:rsidP="00440788">
      <w:pPr>
        <w:spacing w:after="0" w:line="360" w:lineRule="auto"/>
        <w:jc w:val="both"/>
        <w:rPr>
          <w:rFonts w:ascii="Times New Roman" w:hAnsi="Times New Roman" w:cs="Times New Roman"/>
          <w:sz w:val="20"/>
          <w:szCs w:val="20"/>
        </w:rPr>
      </w:pPr>
    </w:p>
    <w:p w14:paraId="1FF32F9D" w14:textId="77777777" w:rsidR="002836EA" w:rsidRDefault="002836EA" w:rsidP="00440788">
      <w:pPr>
        <w:spacing w:after="0" w:line="360" w:lineRule="auto"/>
        <w:jc w:val="both"/>
        <w:rPr>
          <w:rFonts w:ascii="Times New Roman" w:hAnsi="Times New Roman" w:cs="Times New Roman"/>
          <w:sz w:val="20"/>
          <w:szCs w:val="20"/>
        </w:rPr>
      </w:pPr>
    </w:p>
    <w:p w14:paraId="091DE58A" w14:textId="77777777" w:rsidR="002836EA" w:rsidRDefault="002836EA" w:rsidP="00440788">
      <w:pPr>
        <w:spacing w:after="0" w:line="360" w:lineRule="auto"/>
        <w:jc w:val="both"/>
        <w:rPr>
          <w:rFonts w:ascii="Times New Roman" w:hAnsi="Times New Roman" w:cs="Times New Roman"/>
          <w:sz w:val="20"/>
          <w:szCs w:val="20"/>
        </w:rPr>
      </w:pPr>
    </w:p>
    <w:p w14:paraId="028461B5" w14:textId="3BADF339" w:rsidR="002836EA" w:rsidRDefault="002836EA" w:rsidP="002836EA">
      <w:pPr>
        <w:spacing w:after="0" w:line="360" w:lineRule="auto"/>
        <w:jc w:val="center"/>
        <w:rPr>
          <w:rFonts w:ascii="Times New Roman" w:hAnsi="Times New Roman" w:cs="Times New Roman"/>
          <w:sz w:val="20"/>
          <w:szCs w:val="20"/>
        </w:rPr>
      </w:pPr>
      <w:r w:rsidRPr="002836EA">
        <w:rPr>
          <w:rFonts w:ascii="Times New Roman" w:hAnsi="Times New Roman" w:cs="Times New Roman"/>
          <w:b/>
          <w:bCs/>
          <w:color w:val="0070C0"/>
          <w:sz w:val="20"/>
          <w:szCs w:val="20"/>
        </w:rPr>
        <w:t>Table 1:</w:t>
      </w:r>
      <w:r w:rsidRPr="002836EA">
        <w:rPr>
          <w:rFonts w:ascii="Times New Roman" w:hAnsi="Times New Roman" w:cs="Times New Roman"/>
          <w:sz w:val="20"/>
          <w:szCs w:val="20"/>
        </w:rPr>
        <w:t xml:space="preserve"> Search strategy across databases</w:t>
      </w:r>
      <w:r>
        <w:rPr>
          <w:rFonts w:ascii="Times New Roman" w:hAnsi="Times New Roman" w:cs="Times New Roman"/>
          <w:sz w:val="20"/>
          <w:szCs w:val="20"/>
        </w:rPr>
        <w:t>.</w:t>
      </w:r>
    </w:p>
    <w:p w14:paraId="3027D4A8" w14:textId="77777777" w:rsidR="002836EA" w:rsidRDefault="002836EA" w:rsidP="002836EA">
      <w:pPr>
        <w:spacing w:after="0" w:line="360" w:lineRule="auto"/>
        <w:jc w:val="center"/>
        <w:rPr>
          <w:rFonts w:ascii="Times New Roman" w:hAnsi="Times New Roman" w:cs="Times New Roman"/>
          <w:sz w:val="20"/>
          <w:szCs w:val="20"/>
        </w:rPr>
      </w:pPr>
    </w:p>
    <w:tbl>
      <w:tblPr>
        <w:tblW w:w="5000" w:type="pct"/>
        <w:tblLook w:val="04A0" w:firstRow="1" w:lastRow="0" w:firstColumn="1" w:lastColumn="0" w:noHBand="0" w:noVBand="1"/>
      </w:tblPr>
      <w:tblGrid>
        <w:gridCol w:w="1704"/>
        <w:gridCol w:w="2965"/>
        <w:gridCol w:w="1676"/>
        <w:gridCol w:w="3231"/>
      </w:tblGrid>
      <w:tr w:rsidR="002836EA" w:rsidRPr="002836EA" w14:paraId="2FFAB39A" w14:textId="77777777" w:rsidTr="002836EA">
        <w:trPr>
          <w:trHeight w:val="780"/>
        </w:trPr>
        <w:tc>
          <w:tcPr>
            <w:tcW w:w="890" w:type="pct"/>
            <w:tcBorders>
              <w:top w:val="single" w:sz="4" w:space="0" w:color="auto"/>
              <w:left w:val="single" w:sz="4" w:space="0" w:color="auto"/>
              <w:bottom w:val="single" w:sz="4" w:space="0" w:color="auto"/>
              <w:right w:val="single" w:sz="4" w:space="0" w:color="auto"/>
            </w:tcBorders>
            <w:vAlign w:val="center"/>
            <w:hideMark/>
          </w:tcPr>
          <w:p w14:paraId="713B2D4D" w14:textId="77777777" w:rsidR="002836EA" w:rsidRPr="002836EA" w:rsidRDefault="002836EA" w:rsidP="002836EA">
            <w:pPr>
              <w:spacing w:after="0" w:line="240" w:lineRule="auto"/>
              <w:jc w:val="center"/>
              <w:rPr>
                <w:rFonts w:ascii="Times New Roman" w:eastAsia="Times New Roman" w:hAnsi="Times New Roman" w:cs="Times New Roman"/>
                <w:b/>
                <w:bCs/>
                <w:color w:val="000000"/>
                <w:sz w:val="20"/>
                <w:szCs w:val="20"/>
                <w:lang w:val="en-IN" w:eastAsia="en-IN"/>
              </w:rPr>
            </w:pPr>
            <w:r w:rsidRPr="002836EA">
              <w:rPr>
                <w:rFonts w:ascii="Times New Roman" w:eastAsia="Times New Roman" w:hAnsi="Times New Roman" w:cs="Times New Roman"/>
                <w:b/>
                <w:bCs/>
                <w:color w:val="000000"/>
                <w:sz w:val="20"/>
                <w:szCs w:val="20"/>
                <w:lang w:eastAsia="en-IN"/>
              </w:rPr>
              <w:t>Database</w:t>
            </w:r>
          </w:p>
        </w:tc>
        <w:tc>
          <w:tcPr>
            <w:tcW w:w="1548" w:type="pct"/>
            <w:tcBorders>
              <w:top w:val="single" w:sz="4" w:space="0" w:color="auto"/>
              <w:left w:val="nil"/>
              <w:bottom w:val="single" w:sz="4" w:space="0" w:color="auto"/>
              <w:right w:val="single" w:sz="4" w:space="0" w:color="auto"/>
            </w:tcBorders>
            <w:vAlign w:val="center"/>
            <w:hideMark/>
          </w:tcPr>
          <w:p w14:paraId="0645D3BE" w14:textId="77777777" w:rsidR="002836EA" w:rsidRPr="002836EA" w:rsidRDefault="002836EA" w:rsidP="002836EA">
            <w:pPr>
              <w:spacing w:after="0" w:line="240" w:lineRule="auto"/>
              <w:jc w:val="center"/>
              <w:rPr>
                <w:rFonts w:ascii="Times New Roman" w:eastAsia="Times New Roman" w:hAnsi="Times New Roman" w:cs="Times New Roman"/>
                <w:b/>
                <w:bCs/>
                <w:color w:val="000000"/>
                <w:sz w:val="20"/>
                <w:szCs w:val="20"/>
                <w:lang w:val="en-IN" w:eastAsia="en-IN"/>
              </w:rPr>
            </w:pPr>
            <w:r w:rsidRPr="002836EA">
              <w:rPr>
                <w:rFonts w:ascii="Times New Roman" w:eastAsia="Times New Roman" w:hAnsi="Times New Roman" w:cs="Times New Roman"/>
                <w:b/>
                <w:bCs/>
                <w:color w:val="000000"/>
                <w:sz w:val="20"/>
                <w:szCs w:val="20"/>
                <w:lang w:eastAsia="en-IN"/>
              </w:rPr>
              <w:t>Search Terms Used</w:t>
            </w:r>
          </w:p>
        </w:tc>
        <w:tc>
          <w:tcPr>
            <w:tcW w:w="875" w:type="pct"/>
            <w:tcBorders>
              <w:top w:val="single" w:sz="4" w:space="0" w:color="auto"/>
              <w:left w:val="nil"/>
              <w:bottom w:val="single" w:sz="4" w:space="0" w:color="auto"/>
              <w:right w:val="single" w:sz="4" w:space="0" w:color="auto"/>
            </w:tcBorders>
            <w:vAlign w:val="center"/>
            <w:hideMark/>
          </w:tcPr>
          <w:p w14:paraId="3FD8E1BC" w14:textId="77777777" w:rsidR="002836EA" w:rsidRPr="002836EA" w:rsidRDefault="002836EA" w:rsidP="002836EA">
            <w:pPr>
              <w:spacing w:after="0" w:line="240" w:lineRule="auto"/>
              <w:jc w:val="center"/>
              <w:rPr>
                <w:rFonts w:ascii="Times New Roman" w:eastAsia="Times New Roman" w:hAnsi="Times New Roman" w:cs="Times New Roman"/>
                <w:b/>
                <w:bCs/>
                <w:color w:val="000000"/>
                <w:sz w:val="20"/>
                <w:szCs w:val="20"/>
                <w:lang w:val="en-IN" w:eastAsia="en-IN"/>
              </w:rPr>
            </w:pPr>
            <w:r w:rsidRPr="002836EA">
              <w:rPr>
                <w:rFonts w:ascii="Times New Roman" w:eastAsia="Times New Roman" w:hAnsi="Times New Roman" w:cs="Times New Roman"/>
                <w:b/>
                <w:bCs/>
                <w:color w:val="000000"/>
                <w:sz w:val="20"/>
                <w:szCs w:val="20"/>
                <w:lang w:eastAsia="en-IN"/>
              </w:rPr>
              <w:t>Filters Applied</w:t>
            </w:r>
          </w:p>
        </w:tc>
        <w:tc>
          <w:tcPr>
            <w:tcW w:w="1687" w:type="pct"/>
            <w:tcBorders>
              <w:top w:val="single" w:sz="4" w:space="0" w:color="auto"/>
              <w:left w:val="nil"/>
              <w:bottom w:val="single" w:sz="4" w:space="0" w:color="auto"/>
              <w:right w:val="single" w:sz="4" w:space="0" w:color="auto"/>
            </w:tcBorders>
            <w:vAlign w:val="center"/>
            <w:hideMark/>
          </w:tcPr>
          <w:p w14:paraId="7E58CE99" w14:textId="77777777" w:rsidR="002836EA" w:rsidRPr="002836EA" w:rsidRDefault="002836EA" w:rsidP="002836EA">
            <w:pPr>
              <w:spacing w:after="0" w:line="240" w:lineRule="auto"/>
              <w:jc w:val="center"/>
              <w:rPr>
                <w:rFonts w:ascii="Times New Roman" w:eastAsia="Times New Roman" w:hAnsi="Times New Roman" w:cs="Times New Roman"/>
                <w:b/>
                <w:bCs/>
                <w:color w:val="000000"/>
                <w:sz w:val="20"/>
                <w:szCs w:val="20"/>
                <w:lang w:val="en-IN" w:eastAsia="en-IN"/>
              </w:rPr>
            </w:pPr>
            <w:r w:rsidRPr="002836EA">
              <w:rPr>
                <w:rFonts w:ascii="Times New Roman" w:eastAsia="Times New Roman" w:hAnsi="Times New Roman" w:cs="Times New Roman"/>
                <w:b/>
                <w:bCs/>
                <w:color w:val="000000"/>
                <w:sz w:val="20"/>
                <w:szCs w:val="20"/>
                <w:lang w:eastAsia="en-IN"/>
              </w:rPr>
              <w:t>Truncations/Syntax</w:t>
            </w:r>
          </w:p>
        </w:tc>
      </w:tr>
      <w:tr w:rsidR="002836EA" w:rsidRPr="002836EA" w14:paraId="7C4135A9" w14:textId="77777777" w:rsidTr="002836EA">
        <w:trPr>
          <w:trHeight w:val="1678"/>
        </w:trPr>
        <w:tc>
          <w:tcPr>
            <w:tcW w:w="890" w:type="pct"/>
            <w:tcBorders>
              <w:top w:val="nil"/>
              <w:left w:val="single" w:sz="4" w:space="0" w:color="auto"/>
              <w:bottom w:val="single" w:sz="4" w:space="0" w:color="auto"/>
              <w:right w:val="single" w:sz="4" w:space="0" w:color="auto"/>
            </w:tcBorders>
            <w:vAlign w:val="center"/>
            <w:hideMark/>
          </w:tcPr>
          <w:p w14:paraId="3FC8E3B3"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PubMed</w:t>
            </w:r>
          </w:p>
        </w:tc>
        <w:tc>
          <w:tcPr>
            <w:tcW w:w="1548" w:type="pct"/>
            <w:tcBorders>
              <w:top w:val="nil"/>
              <w:left w:val="nil"/>
              <w:bottom w:val="single" w:sz="4" w:space="0" w:color="auto"/>
              <w:right w:val="single" w:sz="4" w:space="0" w:color="auto"/>
            </w:tcBorders>
            <w:vAlign w:val="center"/>
            <w:hideMark/>
          </w:tcPr>
          <w:p w14:paraId="18D4322E"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(“vonoprazan” OR “Voquezna” OR “potassium-competitive acid blocker” OR “PCAB”) AND (“gastroesophageal reflux disease” OR “GERD” OR “erosive esophagitis” OR “non-erosive reflux disease”)</w:t>
            </w:r>
          </w:p>
        </w:tc>
        <w:tc>
          <w:tcPr>
            <w:tcW w:w="875" w:type="pct"/>
            <w:tcBorders>
              <w:top w:val="nil"/>
              <w:left w:val="nil"/>
              <w:bottom w:val="single" w:sz="4" w:space="0" w:color="auto"/>
              <w:right w:val="single" w:sz="4" w:space="0" w:color="auto"/>
            </w:tcBorders>
            <w:vAlign w:val="center"/>
            <w:hideMark/>
          </w:tcPr>
          <w:p w14:paraId="1F95D49F"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Humans, English language, 2016–2026</w:t>
            </w:r>
          </w:p>
        </w:tc>
        <w:tc>
          <w:tcPr>
            <w:tcW w:w="1687" w:type="pct"/>
            <w:tcBorders>
              <w:top w:val="nil"/>
              <w:left w:val="nil"/>
              <w:bottom w:val="single" w:sz="4" w:space="0" w:color="auto"/>
              <w:right w:val="single" w:sz="4" w:space="0" w:color="auto"/>
            </w:tcBorders>
            <w:vAlign w:val="center"/>
            <w:hideMark/>
          </w:tcPr>
          <w:p w14:paraId="520A9D4B"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MeSH terms, Boolean operators (AND, OR), phrase searching with quotation marks</w:t>
            </w:r>
          </w:p>
        </w:tc>
      </w:tr>
      <w:tr w:rsidR="002836EA" w:rsidRPr="002836EA" w14:paraId="061520BA" w14:textId="77777777" w:rsidTr="002836EA">
        <w:trPr>
          <w:trHeight w:val="979"/>
        </w:trPr>
        <w:tc>
          <w:tcPr>
            <w:tcW w:w="890" w:type="pct"/>
            <w:tcBorders>
              <w:top w:val="nil"/>
              <w:left w:val="single" w:sz="4" w:space="0" w:color="auto"/>
              <w:bottom w:val="single" w:sz="4" w:space="0" w:color="auto"/>
              <w:right w:val="single" w:sz="4" w:space="0" w:color="auto"/>
            </w:tcBorders>
            <w:vAlign w:val="center"/>
            <w:hideMark/>
          </w:tcPr>
          <w:p w14:paraId="6CB4986A"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Web of Science</w:t>
            </w:r>
          </w:p>
        </w:tc>
        <w:tc>
          <w:tcPr>
            <w:tcW w:w="1548" w:type="pct"/>
            <w:tcBorders>
              <w:top w:val="nil"/>
              <w:left w:val="nil"/>
              <w:bottom w:val="single" w:sz="4" w:space="0" w:color="auto"/>
              <w:right w:val="single" w:sz="4" w:space="0" w:color="auto"/>
            </w:tcBorders>
            <w:vAlign w:val="center"/>
            <w:hideMark/>
          </w:tcPr>
          <w:p w14:paraId="67481CCE"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TS=(“vonoprazan” OR “Voquezna” OR “PCAB”) AND TS=(“GERD” OR “gastroesophageal reflux disease” OR “esophagitis”)</w:t>
            </w:r>
          </w:p>
        </w:tc>
        <w:tc>
          <w:tcPr>
            <w:tcW w:w="875" w:type="pct"/>
            <w:tcBorders>
              <w:top w:val="nil"/>
              <w:left w:val="nil"/>
              <w:bottom w:val="single" w:sz="4" w:space="0" w:color="auto"/>
              <w:right w:val="single" w:sz="4" w:space="0" w:color="auto"/>
            </w:tcBorders>
            <w:vAlign w:val="center"/>
            <w:hideMark/>
          </w:tcPr>
          <w:p w14:paraId="5486063E"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English language, 2016–2026</w:t>
            </w:r>
          </w:p>
        </w:tc>
        <w:tc>
          <w:tcPr>
            <w:tcW w:w="1687" w:type="pct"/>
            <w:tcBorders>
              <w:top w:val="nil"/>
              <w:left w:val="nil"/>
              <w:bottom w:val="single" w:sz="4" w:space="0" w:color="auto"/>
              <w:right w:val="single" w:sz="4" w:space="0" w:color="auto"/>
            </w:tcBorders>
            <w:vAlign w:val="center"/>
            <w:hideMark/>
          </w:tcPr>
          <w:p w14:paraId="34AA5895"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Topic search (TS), Boolean operators, quotation marks</w:t>
            </w:r>
          </w:p>
        </w:tc>
      </w:tr>
      <w:tr w:rsidR="002836EA" w:rsidRPr="002836EA" w14:paraId="6FB25A2F" w14:textId="77777777" w:rsidTr="002836EA">
        <w:trPr>
          <w:trHeight w:val="670"/>
        </w:trPr>
        <w:tc>
          <w:tcPr>
            <w:tcW w:w="890" w:type="pct"/>
            <w:tcBorders>
              <w:top w:val="nil"/>
              <w:left w:val="single" w:sz="4" w:space="0" w:color="auto"/>
              <w:bottom w:val="single" w:sz="4" w:space="0" w:color="auto"/>
              <w:right w:val="single" w:sz="4" w:space="0" w:color="auto"/>
            </w:tcBorders>
            <w:vAlign w:val="center"/>
            <w:hideMark/>
          </w:tcPr>
          <w:p w14:paraId="739535D1"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Google Scholar</w:t>
            </w:r>
          </w:p>
        </w:tc>
        <w:tc>
          <w:tcPr>
            <w:tcW w:w="1548" w:type="pct"/>
            <w:tcBorders>
              <w:top w:val="nil"/>
              <w:left w:val="nil"/>
              <w:bottom w:val="single" w:sz="4" w:space="0" w:color="auto"/>
              <w:right w:val="single" w:sz="4" w:space="0" w:color="auto"/>
            </w:tcBorders>
            <w:vAlign w:val="center"/>
            <w:hideMark/>
          </w:tcPr>
          <w:p w14:paraId="3E3E803F"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(“vonoprazan” OR “Voquezna”) AND (“GERD” OR “gastroesophageal reflux disease” OR “reflux”)</w:t>
            </w:r>
          </w:p>
        </w:tc>
        <w:tc>
          <w:tcPr>
            <w:tcW w:w="875" w:type="pct"/>
            <w:tcBorders>
              <w:top w:val="nil"/>
              <w:left w:val="nil"/>
              <w:bottom w:val="single" w:sz="4" w:space="0" w:color="auto"/>
              <w:right w:val="single" w:sz="4" w:space="0" w:color="auto"/>
            </w:tcBorders>
            <w:vAlign w:val="center"/>
            <w:hideMark/>
          </w:tcPr>
          <w:p w14:paraId="7ECACB52"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English language, 2016–2026</w:t>
            </w:r>
          </w:p>
        </w:tc>
        <w:tc>
          <w:tcPr>
            <w:tcW w:w="1687" w:type="pct"/>
            <w:tcBorders>
              <w:top w:val="nil"/>
              <w:left w:val="nil"/>
              <w:bottom w:val="single" w:sz="4" w:space="0" w:color="auto"/>
              <w:right w:val="single" w:sz="4" w:space="0" w:color="auto"/>
            </w:tcBorders>
            <w:vAlign w:val="center"/>
            <w:hideMark/>
          </w:tcPr>
          <w:p w14:paraId="44E71235"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Phrase searching with quotation marks, Boolean operators, limited advanced filtering</w:t>
            </w:r>
          </w:p>
        </w:tc>
      </w:tr>
    </w:tbl>
    <w:p w14:paraId="008654DC" w14:textId="77777777" w:rsidR="002836EA" w:rsidRDefault="002836EA" w:rsidP="002836EA">
      <w:pPr>
        <w:spacing w:after="0" w:line="360" w:lineRule="auto"/>
        <w:jc w:val="center"/>
        <w:rPr>
          <w:rFonts w:ascii="Times New Roman" w:hAnsi="Times New Roman" w:cs="Times New Roman"/>
          <w:sz w:val="20"/>
          <w:szCs w:val="20"/>
        </w:rPr>
      </w:pPr>
    </w:p>
    <w:p w14:paraId="759D826B" w14:textId="77777777" w:rsidR="002836EA" w:rsidRDefault="002836EA" w:rsidP="00440788">
      <w:pPr>
        <w:spacing w:after="0" w:line="360" w:lineRule="auto"/>
        <w:jc w:val="both"/>
        <w:rPr>
          <w:rFonts w:ascii="Times New Roman" w:hAnsi="Times New Roman" w:cs="Times New Roman"/>
          <w:sz w:val="20"/>
          <w:szCs w:val="20"/>
        </w:rPr>
      </w:pPr>
    </w:p>
    <w:p w14:paraId="5FB06D36" w14:textId="77777777" w:rsidR="002836EA" w:rsidRPr="002836EA" w:rsidRDefault="002836EA" w:rsidP="002836EA">
      <w:pPr>
        <w:spacing w:after="0" w:line="360" w:lineRule="auto"/>
        <w:jc w:val="both"/>
        <w:rPr>
          <w:rFonts w:ascii="Times New Roman" w:hAnsi="Times New Roman" w:cs="Times New Roman"/>
          <w:b/>
          <w:bCs/>
          <w:sz w:val="20"/>
          <w:szCs w:val="20"/>
        </w:rPr>
      </w:pPr>
      <w:r w:rsidRPr="002836EA">
        <w:rPr>
          <w:rFonts w:ascii="Times New Roman" w:hAnsi="Times New Roman" w:cs="Times New Roman"/>
          <w:b/>
          <w:bCs/>
          <w:sz w:val="20"/>
          <w:szCs w:val="20"/>
        </w:rPr>
        <w:t>Inclusion and exclusion criteria</w:t>
      </w:r>
    </w:p>
    <w:p w14:paraId="5FB18E73" w14:textId="0E5AA223" w:rsidR="002836EA"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PICOS method was utilized to identify the inclusion and the exclusion standard to choose studies that were related to the research purpose systematically (Table 2).</w:t>
      </w:r>
    </w:p>
    <w:p w14:paraId="3B8FCEA1" w14:textId="77777777" w:rsidR="002836EA" w:rsidRDefault="002836EA" w:rsidP="002836EA">
      <w:pPr>
        <w:spacing w:after="0" w:line="360" w:lineRule="auto"/>
        <w:jc w:val="both"/>
        <w:rPr>
          <w:rFonts w:ascii="Times New Roman" w:hAnsi="Times New Roman" w:cs="Times New Roman"/>
          <w:sz w:val="20"/>
          <w:szCs w:val="20"/>
        </w:rPr>
      </w:pPr>
    </w:p>
    <w:p w14:paraId="16B40BE8" w14:textId="0105EE55" w:rsidR="002836EA" w:rsidRDefault="002836EA" w:rsidP="002836EA">
      <w:pPr>
        <w:spacing w:after="0" w:line="360" w:lineRule="auto"/>
        <w:jc w:val="center"/>
        <w:rPr>
          <w:rFonts w:ascii="Times New Roman" w:hAnsi="Times New Roman" w:cs="Times New Roman"/>
          <w:sz w:val="20"/>
          <w:szCs w:val="20"/>
        </w:rPr>
      </w:pPr>
      <w:r w:rsidRPr="002836EA">
        <w:rPr>
          <w:rFonts w:ascii="Times New Roman" w:hAnsi="Times New Roman" w:cs="Times New Roman"/>
          <w:b/>
          <w:bCs/>
          <w:color w:val="0070C0"/>
          <w:sz w:val="20"/>
          <w:szCs w:val="20"/>
        </w:rPr>
        <w:t>Table 2:</w:t>
      </w:r>
      <w:r w:rsidRPr="002836EA">
        <w:rPr>
          <w:rFonts w:ascii="Times New Roman" w:hAnsi="Times New Roman" w:cs="Times New Roman"/>
          <w:sz w:val="20"/>
          <w:szCs w:val="20"/>
        </w:rPr>
        <w:t xml:space="preserve"> PICOS Framework for Recent Study</w:t>
      </w:r>
      <w:r>
        <w:rPr>
          <w:rFonts w:ascii="Times New Roman" w:hAnsi="Times New Roman" w:cs="Times New Roman"/>
          <w:sz w:val="20"/>
          <w:szCs w:val="20"/>
        </w:rPr>
        <w:t>.</w:t>
      </w:r>
    </w:p>
    <w:p w14:paraId="1E25AFE5" w14:textId="77777777" w:rsidR="002836EA" w:rsidRDefault="002836EA" w:rsidP="002836EA">
      <w:pPr>
        <w:spacing w:after="0" w:line="360" w:lineRule="auto"/>
        <w:jc w:val="center"/>
        <w:rPr>
          <w:rFonts w:ascii="Times New Roman" w:hAnsi="Times New Roman" w:cs="Times New Roman"/>
          <w:sz w:val="20"/>
          <w:szCs w:val="20"/>
        </w:rPr>
      </w:pPr>
    </w:p>
    <w:tbl>
      <w:tblPr>
        <w:tblW w:w="5000" w:type="pct"/>
        <w:tblLook w:val="04A0" w:firstRow="1" w:lastRow="0" w:firstColumn="1" w:lastColumn="0" w:noHBand="0" w:noVBand="1"/>
      </w:tblPr>
      <w:tblGrid>
        <w:gridCol w:w="2968"/>
        <w:gridCol w:w="3689"/>
        <w:gridCol w:w="2919"/>
      </w:tblGrid>
      <w:tr w:rsidR="002836EA" w:rsidRPr="002836EA" w14:paraId="1C39F9BB" w14:textId="77777777" w:rsidTr="002836EA">
        <w:trPr>
          <w:trHeight w:val="510"/>
        </w:trPr>
        <w:tc>
          <w:tcPr>
            <w:tcW w:w="1550" w:type="pct"/>
            <w:tcBorders>
              <w:top w:val="single" w:sz="4" w:space="0" w:color="auto"/>
              <w:left w:val="single" w:sz="4" w:space="0" w:color="auto"/>
              <w:bottom w:val="single" w:sz="4" w:space="0" w:color="auto"/>
              <w:right w:val="single" w:sz="4" w:space="0" w:color="auto"/>
            </w:tcBorders>
            <w:vAlign w:val="center"/>
            <w:hideMark/>
          </w:tcPr>
          <w:p w14:paraId="017D6E27" w14:textId="77777777" w:rsidR="002836EA" w:rsidRPr="002836EA" w:rsidRDefault="002836EA" w:rsidP="002836EA">
            <w:pPr>
              <w:spacing w:after="0" w:line="240" w:lineRule="auto"/>
              <w:jc w:val="center"/>
              <w:rPr>
                <w:rFonts w:ascii="Times New Roman" w:eastAsia="Times New Roman" w:hAnsi="Times New Roman" w:cs="Times New Roman"/>
                <w:b/>
                <w:bCs/>
                <w:color w:val="000000"/>
                <w:sz w:val="20"/>
                <w:szCs w:val="20"/>
                <w:lang w:val="en-IN" w:eastAsia="en-IN"/>
              </w:rPr>
            </w:pPr>
            <w:r w:rsidRPr="002836EA">
              <w:rPr>
                <w:rFonts w:ascii="Times New Roman" w:eastAsia="Times New Roman" w:hAnsi="Times New Roman" w:cs="Times New Roman"/>
                <w:b/>
                <w:bCs/>
                <w:color w:val="000000"/>
                <w:sz w:val="20"/>
                <w:szCs w:val="20"/>
                <w:lang w:eastAsia="en-IN"/>
              </w:rPr>
              <w:t>PICOS Element</w:t>
            </w:r>
          </w:p>
        </w:tc>
        <w:tc>
          <w:tcPr>
            <w:tcW w:w="1926" w:type="pct"/>
            <w:tcBorders>
              <w:top w:val="single" w:sz="4" w:space="0" w:color="auto"/>
              <w:left w:val="nil"/>
              <w:bottom w:val="single" w:sz="4" w:space="0" w:color="auto"/>
              <w:right w:val="single" w:sz="4" w:space="0" w:color="auto"/>
            </w:tcBorders>
            <w:vAlign w:val="center"/>
            <w:hideMark/>
          </w:tcPr>
          <w:p w14:paraId="43F77AE6" w14:textId="77777777" w:rsidR="002836EA" w:rsidRPr="002836EA" w:rsidRDefault="002836EA" w:rsidP="002836EA">
            <w:pPr>
              <w:spacing w:after="0" w:line="240" w:lineRule="auto"/>
              <w:jc w:val="center"/>
              <w:rPr>
                <w:rFonts w:ascii="Times New Roman" w:eastAsia="Times New Roman" w:hAnsi="Times New Roman" w:cs="Times New Roman"/>
                <w:b/>
                <w:bCs/>
                <w:color w:val="000000"/>
                <w:sz w:val="20"/>
                <w:szCs w:val="20"/>
                <w:lang w:val="en-IN" w:eastAsia="en-IN"/>
              </w:rPr>
            </w:pPr>
            <w:r w:rsidRPr="002836EA">
              <w:rPr>
                <w:rFonts w:ascii="Times New Roman" w:eastAsia="Times New Roman" w:hAnsi="Times New Roman" w:cs="Times New Roman"/>
                <w:b/>
                <w:bCs/>
                <w:color w:val="000000"/>
                <w:sz w:val="20"/>
                <w:szCs w:val="20"/>
                <w:lang w:eastAsia="en-IN"/>
              </w:rPr>
              <w:t>Inclusion Criteria</w:t>
            </w:r>
          </w:p>
        </w:tc>
        <w:tc>
          <w:tcPr>
            <w:tcW w:w="1524" w:type="pct"/>
            <w:tcBorders>
              <w:top w:val="single" w:sz="4" w:space="0" w:color="auto"/>
              <w:left w:val="nil"/>
              <w:bottom w:val="single" w:sz="4" w:space="0" w:color="auto"/>
              <w:right w:val="single" w:sz="4" w:space="0" w:color="auto"/>
            </w:tcBorders>
            <w:vAlign w:val="center"/>
            <w:hideMark/>
          </w:tcPr>
          <w:p w14:paraId="0832B442" w14:textId="77777777" w:rsidR="002836EA" w:rsidRPr="002836EA" w:rsidRDefault="002836EA" w:rsidP="002836EA">
            <w:pPr>
              <w:spacing w:after="0" w:line="240" w:lineRule="auto"/>
              <w:jc w:val="center"/>
              <w:rPr>
                <w:rFonts w:ascii="Times New Roman" w:eastAsia="Times New Roman" w:hAnsi="Times New Roman" w:cs="Times New Roman"/>
                <w:b/>
                <w:bCs/>
                <w:color w:val="000000"/>
                <w:sz w:val="20"/>
                <w:szCs w:val="20"/>
                <w:lang w:val="en-IN" w:eastAsia="en-IN"/>
              </w:rPr>
            </w:pPr>
            <w:r w:rsidRPr="002836EA">
              <w:rPr>
                <w:rFonts w:ascii="Times New Roman" w:eastAsia="Times New Roman" w:hAnsi="Times New Roman" w:cs="Times New Roman"/>
                <w:b/>
                <w:bCs/>
                <w:color w:val="000000"/>
                <w:sz w:val="20"/>
                <w:szCs w:val="20"/>
                <w:lang w:eastAsia="en-IN"/>
              </w:rPr>
              <w:t>Exclusion Criteria</w:t>
            </w:r>
          </w:p>
        </w:tc>
      </w:tr>
      <w:tr w:rsidR="002836EA" w:rsidRPr="002836EA" w14:paraId="6FE8AAA7" w14:textId="77777777" w:rsidTr="002836EA">
        <w:trPr>
          <w:trHeight w:val="1009"/>
        </w:trPr>
        <w:tc>
          <w:tcPr>
            <w:tcW w:w="1550" w:type="pct"/>
            <w:tcBorders>
              <w:top w:val="nil"/>
              <w:left w:val="single" w:sz="4" w:space="0" w:color="auto"/>
              <w:bottom w:val="single" w:sz="4" w:space="0" w:color="auto"/>
              <w:right w:val="single" w:sz="4" w:space="0" w:color="auto"/>
            </w:tcBorders>
            <w:vAlign w:val="center"/>
            <w:hideMark/>
          </w:tcPr>
          <w:p w14:paraId="772E45C9" w14:textId="77777777" w:rsidR="002836EA" w:rsidRPr="002836EA" w:rsidRDefault="002836EA" w:rsidP="002836EA">
            <w:pPr>
              <w:spacing w:after="0" w:line="240" w:lineRule="auto"/>
              <w:jc w:val="center"/>
              <w:rPr>
                <w:rFonts w:ascii="Times New Roman" w:eastAsia="Times New Roman" w:hAnsi="Times New Roman" w:cs="Times New Roman"/>
                <w:b/>
                <w:bCs/>
                <w:color w:val="000000"/>
                <w:sz w:val="20"/>
                <w:szCs w:val="20"/>
                <w:lang w:val="en-IN" w:eastAsia="en-IN"/>
              </w:rPr>
            </w:pPr>
            <w:r w:rsidRPr="002836EA">
              <w:rPr>
                <w:rFonts w:ascii="Times New Roman" w:eastAsia="Times New Roman" w:hAnsi="Times New Roman" w:cs="Times New Roman"/>
                <w:b/>
                <w:bCs/>
                <w:color w:val="000000"/>
                <w:sz w:val="20"/>
                <w:szCs w:val="20"/>
                <w:lang w:eastAsia="en-IN"/>
              </w:rPr>
              <w:t>Population</w:t>
            </w:r>
          </w:p>
        </w:tc>
        <w:tc>
          <w:tcPr>
            <w:tcW w:w="1926" w:type="pct"/>
            <w:tcBorders>
              <w:top w:val="nil"/>
              <w:left w:val="nil"/>
              <w:bottom w:val="single" w:sz="4" w:space="0" w:color="auto"/>
              <w:right w:val="single" w:sz="4" w:space="0" w:color="auto"/>
            </w:tcBorders>
            <w:vAlign w:val="center"/>
            <w:hideMark/>
          </w:tcPr>
          <w:p w14:paraId="45381B77"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Adults (≥18 years) diagnosed with gastroesophageal reflux disease (GERD), including erosive esophagitis and non-erosive reflux disease</w:t>
            </w:r>
          </w:p>
        </w:tc>
        <w:tc>
          <w:tcPr>
            <w:tcW w:w="1524" w:type="pct"/>
            <w:tcBorders>
              <w:top w:val="nil"/>
              <w:left w:val="nil"/>
              <w:bottom w:val="single" w:sz="4" w:space="0" w:color="auto"/>
              <w:right w:val="single" w:sz="4" w:space="0" w:color="auto"/>
            </w:tcBorders>
            <w:vAlign w:val="center"/>
            <w:hideMark/>
          </w:tcPr>
          <w:p w14:paraId="1482905B"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Pediatric populations (&lt;18 years), patients without confirmed GERD, animal studies</w:t>
            </w:r>
          </w:p>
        </w:tc>
      </w:tr>
      <w:tr w:rsidR="002836EA" w:rsidRPr="002836EA" w14:paraId="60BA12BB" w14:textId="77777777" w:rsidTr="002836EA">
        <w:trPr>
          <w:trHeight w:val="324"/>
        </w:trPr>
        <w:tc>
          <w:tcPr>
            <w:tcW w:w="1550" w:type="pct"/>
            <w:tcBorders>
              <w:top w:val="nil"/>
              <w:left w:val="single" w:sz="4" w:space="0" w:color="auto"/>
              <w:bottom w:val="single" w:sz="4" w:space="0" w:color="auto"/>
              <w:right w:val="single" w:sz="4" w:space="0" w:color="auto"/>
            </w:tcBorders>
            <w:vAlign w:val="center"/>
            <w:hideMark/>
          </w:tcPr>
          <w:p w14:paraId="4BE7C054" w14:textId="77777777" w:rsidR="002836EA" w:rsidRPr="002836EA" w:rsidRDefault="002836EA" w:rsidP="002836EA">
            <w:pPr>
              <w:spacing w:after="0" w:line="240" w:lineRule="auto"/>
              <w:jc w:val="center"/>
              <w:rPr>
                <w:rFonts w:ascii="Times New Roman" w:eastAsia="Times New Roman" w:hAnsi="Times New Roman" w:cs="Times New Roman"/>
                <w:b/>
                <w:bCs/>
                <w:color w:val="000000"/>
                <w:sz w:val="20"/>
                <w:szCs w:val="20"/>
                <w:lang w:val="en-IN" w:eastAsia="en-IN"/>
              </w:rPr>
            </w:pPr>
            <w:r w:rsidRPr="002836EA">
              <w:rPr>
                <w:rFonts w:ascii="Times New Roman" w:eastAsia="Times New Roman" w:hAnsi="Times New Roman" w:cs="Times New Roman"/>
                <w:b/>
                <w:bCs/>
                <w:color w:val="000000"/>
                <w:sz w:val="20"/>
                <w:szCs w:val="20"/>
                <w:lang w:eastAsia="en-IN"/>
              </w:rPr>
              <w:t>Intervention</w:t>
            </w:r>
          </w:p>
        </w:tc>
        <w:tc>
          <w:tcPr>
            <w:tcW w:w="1926" w:type="pct"/>
            <w:tcBorders>
              <w:top w:val="nil"/>
              <w:left w:val="nil"/>
              <w:bottom w:val="single" w:sz="4" w:space="0" w:color="auto"/>
              <w:right w:val="single" w:sz="4" w:space="0" w:color="auto"/>
            </w:tcBorders>
            <w:vAlign w:val="center"/>
            <w:hideMark/>
          </w:tcPr>
          <w:p w14:paraId="14CA3381"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Treatment with vonoprazan (Voquezna), a potassium-competitive acid blocker (PCAB), at any approved dose and duration</w:t>
            </w:r>
          </w:p>
        </w:tc>
        <w:tc>
          <w:tcPr>
            <w:tcW w:w="1524" w:type="pct"/>
            <w:tcBorders>
              <w:top w:val="nil"/>
              <w:left w:val="nil"/>
              <w:bottom w:val="single" w:sz="4" w:space="0" w:color="auto"/>
              <w:right w:val="single" w:sz="4" w:space="0" w:color="auto"/>
            </w:tcBorders>
            <w:vAlign w:val="center"/>
            <w:hideMark/>
          </w:tcPr>
          <w:p w14:paraId="2C269F4D"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Studies not involving vonoprazan or combining it with other interventions without separate analysis</w:t>
            </w:r>
          </w:p>
        </w:tc>
      </w:tr>
      <w:tr w:rsidR="002836EA" w:rsidRPr="002836EA" w14:paraId="4F8A379E" w14:textId="77777777" w:rsidTr="002836EA">
        <w:trPr>
          <w:trHeight w:val="395"/>
        </w:trPr>
        <w:tc>
          <w:tcPr>
            <w:tcW w:w="1550" w:type="pct"/>
            <w:tcBorders>
              <w:top w:val="nil"/>
              <w:left w:val="single" w:sz="4" w:space="0" w:color="auto"/>
              <w:bottom w:val="single" w:sz="4" w:space="0" w:color="auto"/>
              <w:right w:val="single" w:sz="4" w:space="0" w:color="auto"/>
            </w:tcBorders>
            <w:vAlign w:val="center"/>
            <w:hideMark/>
          </w:tcPr>
          <w:p w14:paraId="5D6D6DE4" w14:textId="77777777" w:rsidR="002836EA" w:rsidRPr="002836EA" w:rsidRDefault="002836EA" w:rsidP="002836EA">
            <w:pPr>
              <w:spacing w:after="0" w:line="240" w:lineRule="auto"/>
              <w:jc w:val="center"/>
              <w:rPr>
                <w:rFonts w:ascii="Times New Roman" w:eastAsia="Times New Roman" w:hAnsi="Times New Roman" w:cs="Times New Roman"/>
                <w:b/>
                <w:bCs/>
                <w:color w:val="000000"/>
                <w:sz w:val="20"/>
                <w:szCs w:val="20"/>
                <w:lang w:val="en-IN" w:eastAsia="en-IN"/>
              </w:rPr>
            </w:pPr>
            <w:r w:rsidRPr="002836EA">
              <w:rPr>
                <w:rFonts w:ascii="Times New Roman" w:eastAsia="Times New Roman" w:hAnsi="Times New Roman" w:cs="Times New Roman"/>
                <w:b/>
                <w:bCs/>
                <w:color w:val="000000"/>
                <w:sz w:val="20"/>
                <w:szCs w:val="20"/>
                <w:lang w:eastAsia="en-IN"/>
              </w:rPr>
              <w:t>Comparison</w:t>
            </w:r>
          </w:p>
        </w:tc>
        <w:tc>
          <w:tcPr>
            <w:tcW w:w="1926" w:type="pct"/>
            <w:tcBorders>
              <w:top w:val="nil"/>
              <w:left w:val="nil"/>
              <w:bottom w:val="single" w:sz="4" w:space="0" w:color="auto"/>
              <w:right w:val="single" w:sz="4" w:space="0" w:color="auto"/>
            </w:tcBorders>
            <w:vAlign w:val="center"/>
            <w:hideMark/>
          </w:tcPr>
          <w:p w14:paraId="4A1DBB7D"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Proton pump inhibitors (PPIs), placebo, or standard care</w:t>
            </w:r>
          </w:p>
        </w:tc>
        <w:tc>
          <w:tcPr>
            <w:tcW w:w="1524" w:type="pct"/>
            <w:tcBorders>
              <w:top w:val="nil"/>
              <w:left w:val="nil"/>
              <w:bottom w:val="single" w:sz="4" w:space="0" w:color="auto"/>
              <w:right w:val="single" w:sz="4" w:space="0" w:color="auto"/>
            </w:tcBorders>
            <w:vAlign w:val="center"/>
            <w:hideMark/>
          </w:tcPr>
          <w:p w14:paraId="71AE8752"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Studies without a comparator group or unclear comparison</w:t>
            </w:r>
          </w:p>
        </w:tc>
      </w:tr>
      <w:tr w:rsidR="002836EA" w:rsidRPr="002836EA" w14:paraId="04386BB3" w14:textId="77777777" w:rsidTr="002836EA">
        <w:trPr>
          <w:trHeight w:val="46"/>
        </w:trPr>
        <w:tc>
          <w:tcPr>
            <w:tcW w:w="1550" w:type="pct"/>
            <w:tcBorders>
              <w:top w:val="nil"/>
              <w:left w:val="single" w:sz="4" w:space="0" w:color="auto"/>
              <w:bottom w:val="single" w:sz="4" w:space="0" w:color="auto"/>
              <w:right w:val="single" w:sz="4" w:space="0" w:color="auto"/>
            </w:tcBorders>
            <w:vAlign w:val="center"/>
            <w:hideMark/>
          </w:tcPr>
          <w:p w14:paraId="048498B8" w14:textId="77777777" w:rsidR="002836EA" w:rsidRPr="002836EA" w:rsidRDefault="002836EA" w:rsidP="002836EA">
            <w:pPr>
              <w:spacing w:after="0" w:line="240" w:lineRule="auto"/>
              <w:jc w:val="center"/>
              <w:rPr>
                <w:rFonts w:ascii="Times New Roman" w:eastAsia="Times New Roman" w:hAnsi="Times New Roman" w:cs="Times New Roman"/>
                <w:b/>
                <w:bCs/>
                <w:color w:val="000000"/>
                <w:sz w:val="20"/>
                <w:szCs w:val="20"/>
                <w:lang w:val="en-IN" w:eastAsia="en-IN"/>
              </w:rPr>
            </w:pPr>
            <w:r w:rsidRPr="002836EA">
              <w:rPr>
                <w:rFonts w:ascii="Times New Roman" w:eastAsia="Times New Roman" w:hAnsi="Times New Roman" w:cs="Times New Roman"/>
                <w:b/>
                <w:bCs/>
                <w:color w:val="000000"/>
                <w:sz w:val="20"/>
                <w:szCs w:val="20"/>
                <w:lang w:eastAsia="en-IN"/>
              </w:rPr>
              <w:t>Outcomes</w:t>
            </w:r>
          </w:p>
        </w:tc>
        <w:tc>
          <w:tcPr>
            <w:tcW w:w="1926" w:type="pct"/>
            <w:tcBorders>
              <w:top w:val="nil"/>
              <w:left w:val="nil"/>
              <w:bottom w:val="single" w:sz="4" w:space="0" w:color="auto"/>
              <w:right w:val="single" w:sz="4" w:space="0" w:color="auto"/>
            </w:tcBorders>
            <w:vAlign w:val="center"/>
            <w:hideMark/>
          </w:tcPr>
          <w:p w14:paraId="6DE38908"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Clinical outcomes including symptom relief, healing rates, and safety outcomes such as adverse events</w:t>
            </w:r>
          </w:p>
        </w:tc>
        <w:tc>
          <w:tcPr>
            <w:tcW w:w="1524" w:type="pct"/>
            <w:tcBorders>
              <w:top w:val="nil"/>
              <w:left w:val="nil"/>
              <w:bottom w:val="single" w:sz="4" w:space="0" w:color="auto"/>
              <w:right w:val="single" w:sz="4" w:space="0" w:color="auto"/>
            </w:tcBorders>
            <w:vAlign w:val="center"/>
            <w:hideMark/>
          </w:tcPr>
          <w:p w14:paraId="4D0CEEF8"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Studies not reporting relevant efficacy or safety outcomes, or lacking sufficient quantitative data</w:t>
            </w:r>
          </w:p>
        </w:tc>
      </w:tr>
      <w:tr w:rsidR="002836EA" w:rsidRPr="002836EA" w14:paraId="7D7F2BB5" w14:textId="77777777" w:rsidTr="002836EA">
        <w:trPr>
          <w:trHeight w:val="46"/>
        </w:trPr>
        <w:tc>
          <w:tcPr>
            <w:tcW w:w="1550" w:type="pct"/>
            <w:tcBorders>
              <w:top w:val="nil"/>
              <w:left w:val="single" w:sz="4" w:space="0" w:color="auto"/>
              <w:bottom w:val="single" w:sz="4" w:space="0" w:color="auto"/>
              <w:right w:val="single" w:sz="4" w:space="0" w:color="auto"/>
            </w:tcBorders>
            <w:vAlign w:val="center"/>
            <w:hideMark/>
          </w:tcPr>
          <w:p w14:paraId="03887012" w14:textId="77777777" w:rsidR="002836EA" w:rsidRPr="002836EA" w:rsidRDefault="002836EA" w:rsidP="002836EA">
            <w:pPr>
              <w:spacing w:after="0" w:line="240" w:lineRule="auto"/>
              <w:jc w:val="center"/>
              <w:rPr>
                <w:rFonts w:ascii="Times New Roman" w:eastAsia="Times New Roman" w:hAnsi="Times New Roman" w:cs="Times New Roman"/>
                <w:b/>
                <w:bCs/>
                <w:color w:val="000000"/>
                <w:sz w:val="20"/>
                <w:szCs w:val="20"/>
                <w:lang w:val="en-IN" w:eastAsia="en-IN"/>
              </w:rPr>
            </w:pPr>
            <w:r w:rsidRPr="002836EA">
              <w:rPr>
                <w:rFonts w:ascii="Times New Roman" w:eastAsia="Times New Roman" w:hAnsi="Times New Roman" w:cs="Times New Roman"/>
                <w:b/>
                <w:bCs/>
                <w:color w:val="000000"/>
                <w:sz w:val="20"/>
                <w:szCs w:val="20"/>
                <w:lang w:eastAsia="en-IN"/>
              </w:rPr>
              <w:t>Study Design</w:t>
            </w:r>
          </w:p>
        </w:tc>
        <w:tc>
          <w:tcPr>
            <w:tcW w:w="1926" w:type="pct"/>
            <w:tcBorders>
              <w:top w:val="nil"/>
              <w:left w:val="nil"/>
              <w:bottom w:val="single" w:sz="4" w:space="0" w:color="auto"/>
              <w:right w:val="single" w:sz="4" w:space="0" w:color="auto"/>
            </w:tcBorders>
            <w:vAlign w:val="center"/>
            <w:hideMark/>
          </w:tcPr>
          <w:p w14:paraId="2440254D"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t xml:space="preserve">Randomized controlled trials (RCTs), </w:t>
            </w:r>
            <w:r w:rsidRPr="002836EA">
              <w:rPr>
                <w:rFonts w:ascii="Times New Roman" w:eastAsia="Times New Roman" w:hAnsi="Times New Roman" w:cs="Times New Roman"/>
                <w:color w:val="000000"/>
                <w:sz w:val="20"/>
                <w:szCs w:val="20"/>
                <w:lang w:eastAsia="en-IN"/>
              </w:rPr>
              <w:lastRenderedPageBreak/>
              <w:t>cohort studies, and observational studies</w:t>
            </w:r>
          </w:p>
        </w:tc>
        <w:tc>
          <w:tcPr>
            <w:tcW w:w="1524" w:type="pct"/>
            <w:tcBorders>
              <w:top w:val="nil"/>
              <w:left w:val="nil"/>
              <w:bottom w:val="single" w:sz="4" w:space="0" w:color="auto"/>
              <w:right w:val="single" w:sz="4" w:space="0" w:color="auto"/>
            </w:tcBorders>
            <w:vAlign w:val="center"/>
            <w:hideMark/>
          </w:tcPr>
          <w:p w14:paraId="4BE3CEBE" w14:textId="77777777" w:rsidR="002836EA" w:rsidRPr="002836EA" w:rsidRDefault="002836EA" w:rsidP="002836EA">
            <w:pPr>
              <w:spacing w:after="0" w:line="240" w:lineRule="auto"/>
              <w:jc w:val="center"/>
              <w:rPr>
                <w:rFonts w:ascii="Times New Roman" w:eastAsia="Times New Roman" w:hAnsi="Times New Roman" w:cs="Times New Roman"/>
                <w:color w:val="000000"/>
                <w:sz w:val="20"/>
                <w:szCs w:val="20"/>
                <w:lang w:val="en-IN" w:eastAsia="en-IN"/>
              </w:rPr>
            </w:pPr>
            <w:r w:rsidRPr="002836EA">
              <w:rPr>
                <w:rFonts w:ascii="Times New Roman" w:eastAsia="Times New Roman" w:hAnsi="Times New Roman" w:cs="Times New Roman"/>
                <w:color w:val="000000"/>
                <w:sz w:val="20"/>
                <w:szCs w:val="20"/>
                <w:lang w:eastAsia="en-IN"/>
              </w:rPr>
              <w:lastRenderedPageBreak/>
              <w:t xml:space="preserve">Reviews, meta-analyses, case </w:t>
            </w:r>
            <w:r w:rsidRPr="002836EA">
              <w:rPr>
                <w:rFonts w:ascii="Times New Roman" w:eastAsia="Times New Roman" w:hAnsi="Times New Roman" w:cs="Times New Roman"/>
                <w:color w:val="000000"/>
                <w:sz w:val="20"/>
                <w:szCs w:val="20"/>
                <w:lang w:eastAsia="en-IN"/>
              </w:rPr>
              <w:lastRenderedPageBreak/>
              <w:t>reports, editorials, conference abstracts without full text, non-English studies</w:t>
            </w:r>
          </w:p>
        </w:tc>
      </w:tr>
    </w:tbl>
    <w:p w14:paraId="761E7C51" w14:textId="77777777" w:rsidR="002836EA" w:rsidRDefault="002836EA" w:rsidP="002836EA">
      <w:pPr>
        <w:spacing w:after="0" w:line="360" w:lineRule="auto"/>
        <w:jc w:val="center"/>
        <w:rPr>
          <w:rFonts w:ascii="Times New Roman" w:hAnsi="Times New Roman" w:cs="Times New Roman"/>
          <w:sz w:val="20"/>
          <w:szCs w:val="20"/>
        </w:rPr>
      </w:pPr>
    </w:p>
    <w:p w14:paraId="6AEE9A2A" w14:textId="77777777" w:rsidR="002836EA" w:rsidRPr="002836EA" w:rsidRDefault="002836EA" w:rsidP="002836EA">
      <w:pPr>
        <w:spacing w:after="0" w:line="360" w:lineRule="auto"/>
        <w:jc w:val="both"/>
        <w:rPr>
          <w:rFonts w:ascii="Times New Roman" w:hAnsi="Times New Roman" w:cs="Times New Roman"/>
          <w:b/>
          <w:bCs/>
          <w:sz w:val="20"/>
          <w:szCs w:val="20"/>
        </w:rPr>
      </w:pPr>
      <w:r w:rsidRPr="002836EA">
        <w:rPr>
          <w:rFonts w:ascii="Times New Roman" w:hAnsi="Times New Roman" w:cs="Times New Roman"/>
          <w:b/>
          <w:bCs/>
          <w:sz w:val="20"/>
          <w:szCs w:val="20"/>
        </w:rPr>
        <w:t>Data Extraction</w:t>
      </w:r>
    </w:p>
    <w:p w14:paraId="5E9D391D" w14:textId="77777777" w:rsidR="002836EA" w:rsidRPr="002836EA"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Systematic data extraction was executed with the help of a predefined and standard data collection template. Each eligible study had the relevant information extracted by two independent reviewers to maintain the accuracy of the information and reduce bias. The types of information extracted were general details of the study including authors, year of publication, country and study design.The information related to participants such as sample size, mean age, gender distribution, and type of GERD (erosive or non-erosive) were also noted. The information on the intervention (dose, duration, and regimen of vonoprazan, the type of comparator (e.g. proton pump inhibitors or placebo)) was documented appropriately. The main outcomes of interest were improvement of symptoms, rate of healing of esophagitis, and overall treatment effectiveness. Safety outcomes, especially the frequency and nature of adverse events were also elicited. Any differences between the two reviewers were sorted out by discussion. In case the consensus was not achieved, the third reviewer was used in order to be consistent and reliable in the data extraction process.</w:t>
      </w:r>
    </w:p>
    <w:p w14:paraId="50A4F11D" w14:textId="77777777" w:rsidR="002836EA" w:rsidRPr="002836EA" w:rsidRDefault="002836EA" w:rsidP="002836EA">
      <w:pPr>
        <w:spacing w:after="0" w:line="360" w:lineRule="auto"/>
        <w:jc w:val="both"/>
        <w:rPr>
          <w:rFonts w:ascii="Times New Roman" w:hAnsi="Times New Roman" w:cs="Times New Roman"/>
          <w:sz w:val="20"/>
          <w:szCs w:val="20"/>
        </w:rPr>
      </w:pPr>
    </w:p>
    <w:p w14:paraId="62C2CEBC" w14:textId="77777777" w:rsidR="002836EA" w:rsidRPr="002836EA" w:rsidRDefault="002836EA" w:rsidP="002836EA">
      <w:pPr>
        <w:spacing w:after="0" w:line="360" w:lineRule="auto"/>
        <w:jc w:val="both"/>
        <w:rPr>
          <w:rFonts w:ascii="Times New Roman" w:hAnsi="Times New Roman" w:cs="Times New Roman"/>
          <w:b/>
          <w:bCs/>
          <w:sz w:val="20"/>
          <w:szCs w:val="20"/>
        </w:rPr>
      </w:pPr>
      <w:r w:rsidRPr="002836EA">
        <w:rPr>
          <w:rFonts w:ascii="Times New Roman" w:hAnsi="Times New Roman" w:cs="Times New Roman"/>
          <w:b/>
          <w:bCs/>
          <w:sz w:val="20"/>
          <w:szCs w:val="20"/>
        </w:rPr>
        <w:t>Quality Assessment</w:t>
      </w:r>
    </w:p>
    <w:p w14:paraId="6681DD08" w14:textId="77777777" w:rsidR="002836EA" w:rsidRPr="002836EA"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Depending on study design, the methodological quality and risk of bias of the included studies were assessed with the help of proper and validated assessment tools. Randomized controlled trials were assessed using Cochrane Risk of Bias 2 Tool which assesses randomization process, allocation concealment, participant and staff blindness, outcome data completeness, and selective reporting [17]. In the case of observational studies, the Newcastle-Ottawa Scale was used to determine the quality of studies in three areas: selection of study participants, comparability of study groups and outcome measurement [18].</w:t>
      </w:r>
    </w:p>
    <w:p w14:paraId="1F097AD6" w14:textId="77777777" w:rsidR="002836EA" w:rsidRPr="002836EA" w:rsidRDefault="002836EA" w:rsidP="002836EA">
      <w:pPr>
        <w:spacing w:after="0" w:line="360" w:lineRule="auto"/>
        <w:jc w:val="both"/>
        <w:rPr>
          <w:rFonts w:ascii="Times New Roman" w:hAnsi="Times New Roman" w:cs="Times New Roman"/>
          <w:sz w:val="20"/>
          <w:szCs w:val="20"/>
        </w:rPr>
      </w:pPr>
    </w:p>
    <w:p w14:paraId="49BA320B" w14:textId="77777777" w:rsidR="002836EA" w:rsidRPr="002836EA"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To evaluate the risk of publication bias, funnel plots were examined visually to determine asymmetry and statistical tests like the regression test of Egger were done. In situations where the bias was found, suitable adjustment techniques were taken into consideration to enhance the strength of the results [19] [20].</w:t>
      </w:r>
    </w:p>
    <w:p w14:paraId="071EA2B9" w14:textId="77777777" w:rsidR="002836EA" w:rsidRPr="002836EA"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Statistical Analysis</w:t>
      </w:r>
    </w:p>
    <w:p w14:paraId="3D5534B3" w14:textId="77777777" w:rsidR="002836EA" w:rsidRPr="002836EA"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A meta-analytic approach was used to quantitatively synthesize the included studies. The random-effects model was used because it was anticipated that there would be variation in study populations, interventions, and outcome measures. Risk ratios (RR) with 95% confidence interval (CI) were estimated in the case of dichotomous outcomes, e.g. healing rates and adverse events. In case of continuous results like the symptom scores, it was calculated as the mean difference (MD) or standardized mean difference (SMD) according to the measurement scales. The I2 statistic and the Chi-square test were used to test statistical heterogeneity of studies. Values of I2 (25, 50 and 75) were taken as low, moderate and high heterogeneity respectively. Where the heterogeneity was found to be significant, the subgroup analyses were performed depending on such aspects as GERD subtype, duration of treatment, study design. All statistical analysis was done with the help of Meta-Essential Software, and the results were provided as forest plots to demonstrate the pooled effect estimates.</w:t>
      </w:r>
    </w:p>
    <w:p w14:paraId="08D3984A" w14:textId="77777777" w:rsidR="002836EA" w:rsidRPr="002836EA" w:rsidRDefault="002836EA" w:rsidP="002836EA">
      <w:pPr>
        <w:spacing w:after="0" w:line="360" w:lineRule="auto"/>
        <w:jc w:val="both"/>
        <w:rPr>
          <w:rFonts w:ascii="Times New Roman" w:hAnsi="Times New Roman" w:cs="Times New Roman"/>
          <w:sz w:val="20"/>
          <w:szCs w:val="20"/>
        </w:rPr>
      </w:pPr>
    </w:p>
    <w:p w14:paraId="3885F985" w14:textId="77777777" w:rsidR="002836EA" w:rsidRPr="002836EA" w:rsidRDefault="002836EA" w:rsidP="002836EA">
      <w:pPr>
        <w:spacing w:after="0" w:line="360" w:lineRule="auto"/>
        <w:jc w:val="both"/>
        <w:rPr>
          <w:rFonts w:ascii="Times New Roman" w:hAnsi="Times New Roman" w:cs="Times New Roman"/>
          <w:b/>
          <w:bCs/>
          <w:color w:val="0070C0"/>
          <w:sz w:val="20"/>
          <w:szCs w:val="20"/>
        </w:rPr>
      </w:pPr>
      <w:r w:rsidRPr="002836EA">
        <w:rPr>
          <w:rFonts w:ascii="Times New Roman" w:hAnsi="Times New Roman" w:cs="Times New Roman"/>
          <w:b/>
          <w:bCs/>
          <w:color w:val="0070C0"/>
          <w:sz w:val="20"/>
          <w:szCs w:val="20"/>
        </w:rPr>
        <w:t>Results</w:t>
      </w:r>
    </w:p>
    <w:p w14:paraId="06C2245C" w14:textId="77777777" w:rsidR="002836EA" w:rsidRPr="002836EA" w:rsidRDefault="002836EA" w:rsidP="002836EA">
      <w:pPr>
        <w:spacing w:after="0" w:line="360" w:lineRule="auto"/>
        <w:jc w:val="both"/>
        <w:rPr>
          <w:rFonts w:ascii="Times New Roman" w:hAnsi="Times New Roman" w:cs="Times New Roman"/>
          <w:b/>
          <w:bCs/>
          <w:sz w:val="20"/>
          <w:szCs w:val="20"/>
        </w:rPr>
      </w:pPr>
      <w:r w:rsidRPr="002836EA">
        <w:rPr>
          <w:rFonts w:ascii="Times New Roman" w:hAnsi="Times New Roman" w:cs="Times New Roman"/>
          <w:b/>
          <w:bCs/>
          <w:sz w:val="20"/>
          <w:szCs w:val="20"/>
        </w:rPr>
        <w:t>Study selection</w:t>
      </w:r>
    </w:p>
    <w:p w14:paraId="17F2AC9D" w14:textId="60F98402" w:rsidR="002836EA"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In the first phase of this systematic review and meta-analysis, 2459 records were found by searching databases and other sources. Upon elimination of duplicate records and obviously irrelevant records, title and abstract screening was done on 1298 records. Among them, 911 were excluded because they were not directly related to GERD or did not compare vonoprazan as an intervention. After this screening process, 387 full-text articles underwent a thorough evaluation to determine whether or not they were eligible. Of these, 377 studies were dropped due to lack of appropriate clinical outcomes, lack of a comparator group (e.g., proton pump inhibitors or placebo), unavailable data to be synthesized quantitatively or inappropriate study design. In the end, 10 studies were included in the systematic review, and they fit the pre-established inclusion criteria. Through these studies, adequate information on the outcome of efficacy including symptom relief and the rate of healing, and safety outcomes including adverse events, were available.</w:t>
      </w:r>
    </w:p>
    <w:p w14:paraId="25365110" w14:textId="77777777" w:rsidR="002836EA" w:rsidRDefault="002836EA" w:rsidP="002836EA">
      <w:pPr>
        <w:spacing w:after="0" w:line="360" w:lineRule="auto"/>
        <w:jc w:val="center"/>
        <w:rPr>
          <w:rFonts w:ascii="Times New Roman" w:hAnsi="Times New Roman" w:cs="Times New Roman"/>
          <w:sz w:val="20"/>
          <w:szCs w:val="20"/>
        </w:rPr>
      </w:pPr>
    </w:p>
    <w:p w14:paraId="7F20512B" w14:textId="15D6E9EA" w:rsidR="002836EA" w:rsidRDefault="002836EA" w:rsidP="002836EA">
      <w:pPr>
        <w:spacing w:after="0" w:line="360" w:lineRule="auto"/>
        <w:jc w:val="center"/>
        <w:rPr>
          <w:rFonts w:ascii="Times New Roman" w:hAnsi="Times New Roman" w:cs="Times New Roman"/>
          <w:sz w:val="20"/>
          <w:szCs w:val="20"/>
        </w:rPr>
      </w:pPr>
      <w:r w:rsidRPr="00D42C2E">
        <w:rPr>
          <w:rFonts w:ascii="Times New Roman" w:hAnsi="Times New Roman" w:cs="Times New Roman"/>
          <w:noProof/>
          <w:sz w:val="24"/>
          <w:szCs w:val="24"/>
        </w:rPr>
        <w:lastRenderedPageBreak/>
        <w:drawing>
          <wp:inline distT="0" distB="0" distL="0" distR="0" wp14:anchorId="70D88342" wp14:editId="3D305F3B">
            <wp:extent cx="5276850" cy="679450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120" t="1" b="1063"/>
                    <a:stretch/>
                  </pic:blipFill>
                  <pic:spPr bwMode="auto">
                    <a:xfrm>
                      <a:off x="0" y="0"/>
                      <a:ext cx="5276850" cy="6794500"/>
                    </a:xfrm>
                    <a:prstGeom prst="rect">
                      <a:avLst/>
                    </a:prstGeom>
                    <a:ln>
                      <a:noFill/>
                    </a:ln>
                    <a:extLst>
                      <a:ext uri="{53640926-AAD7-44D8-BBD7-CCE9431645EC}">
                        <a14:shadowObscured xmlns:a14="http://schemas.microsoft.com/office/drawing/2010/main"/>
                      </a:ext>
                    </a:extLst>
                  </pic:spPr>
                </pic:pic>
              </a:graphicData>
            </a:graphic>
          </wp:inline>
        </w:drawing>
      </w:r>
    </w:p>
    <w:p w14:paraId="0D7AF535" w14:textId="77777777" w:rsidR="002836EA" w:rsidRDefault="002836EA" w:rsidP="002836EA">
      <w:pPr>
        <w:spacing w:after="0" w:line="360" w:lineRule="auto"/>
        <w:jc w:val="center"/>
        <w:rPr>
          <w:rFonts w:ascii="Times New Roman" w:hAnsi="Times New Roman" w:cs="Times New Roman"/>
          <w:sz w:val="20"/>
          <w:szCs w:val="20"/>
        </w:rPr>
      </w:pPr>
    </w:p>
    <w:p w14:paraId="28A291A9" w14:textId="005A6FE4" w:rsidR="002836EA" w:rsidRDefault="002836EA" w:rsidP="002836EA">
      <w:pPr>
        <w:spacing w:after="0" w:line="360" w:lineRule="auto"/>
        <w:jc w:val="center"/>
        <w:rPr>
          <w:rFonts w:ascii="Times New Roman" w:hAnsi="Times New Roman" w:cs="Times New Roman"/>
          <w:sz w:val="20"/>
          <w:szCs w:val="20"/>
        </w:rPr>
      </w:pPr>
      <w:r w:rsidRPr="002836EA">
        <w:rPr>
          <w:rFonts w:ascii="Times New Roman" w:hAnsi="Times New Roman" w:cs="Times New Roman"/>
          <w:b/>
          <w:bCs/>
          <w:color w:val="0070C0"/>
          <w:sz w:val="20"/>
          <w:szCs w:val="20"/>
        </w:rPr>
        <w:t>Figure 1:</w:t>
      </w:r>
      <w:r w:rsidRPr="002836EA">
        <w:rPr>
          <w:rFonts w:ascii="Times New Roman" w:hAnsi="Times New Roman" w:cs="Times New Roman"/>
          <w:sz w:val="20"/>
          <w:szCs w:val="20"/>
        </w:rPr>
        <w:t xml:space="preserve"> PRISMA Flowchart</w:t>
      </w:r>
      <w:r>
        <w:rPr>
          <w:rFonts w:ascii="Times New Roman" w:hAnsi="Times New Roman" w:cs="Times New Roman"/>
          <w:sz w:val="20"/>
          <w:szCs w:val="20"/>
        </w:rPr>
        <w:t>.</w:t>
      </w:r>
    </w:p>
    <w:p w14:paraId="6F1E26A5" w14:textId="77777777" w:rsidR="002836EA" w:rsidRDefault="002836EA" w:rsidP="00440788">
      <w:pPr>
        <w:spacing w:after="0" w:line="360" w:lineRule="auto"/>
        <w:jc w:val="both"/>
        <w:rPr>
          <w:rFonts w:ascii="Times New Roman" w:hAnsi="Times New Roman" w:cs="Times New Roman"/>
          <w:sz w:val="20"/>
          <w:szCs w:val="20"/>
        </w:rPr>
      </w:pPr>
    </w:p>
    <w:p w14:paraId="6AD233FC" w14:textId="77777777" w:rsidR="002836EA" w:rsidRDefault="002836EA" w:rsidP="00440788">
      <w:pPr>
        <w:spacing w:after="0" w:line="360" w:lineRule="auto"/>
        <w:jc w:val="both"/>
        <w:rPr>
          <w:rFonts w:ascii="Times New Roman" w:hAnsi="Times New Roman" w:cs="Times New Roman"/>
          <w:sz w:val="20"/>
          <w:szCs w:val="20"/>
        </w:rPr>
      </w:pPr>
    </w:p>
    <w:p w14:paraId="4A63792F" w14:textId="77777777" w:rsidR="002836EA" w:rsidRPr="002836EA" w:rsidRDefault="002836EA" w:rsidP="002836EA">
      <w:pPr>
        <w:spacing w:after="0" w:line="360" w:lineRule="auto"/>
        <w:jc w:val="both"/>
        <w:rPr>
          <w:rFonts w:ascii="Times New Roman" w:hAnsi="Times New Roman" w:cs="Times New Roman"/>
          <w:b/>
          <w:bCs/>
          <w:sz w:val="20"/>
          <w:szCs w:val="20"/>
        </w:rPr>
      </w:pPr>
      <w:r w:rsidRPr="002836EA">
        <w:rPr>
          <w:rFonts w:ascii="Times New Roman" w:hAnsi="Times New Roman" w:cs="Times New Roman"/>
          <w:b/>
          <w:bCs/>
          <w:sz w:val="20"/>
          <w:szCs w:val="20"/>
        </w:rPr>
        <w:t>Characteristics of the included studies</w:t>
      </w:r>
    </w:p>
    <w:p w14:paraId="2096D71D" w14:textId="652CDF3B" w:rsidR="002836EA" w:rsidRDefault="002836EA" w:rsidP="002836EA">
      <w:pPr>
        <w:spacing w:after="0" w:line="360" w:lineRule="auto"/>
        <w:jc w:val="both"/>
        <w:rPr>
          <w:rFonts w:ascii="Times New Roman" w:hAnsi="Times New Roman" w:cs="Times New Roman"/>
          <w:sz w:val="20"/>
          <w:szCs w:val="20"/>
        </w:rPr>
      </w:pPr>
      <w:r w:rsidRPr="002836EA">
        <w:rPr>
          <w:rFonts w:ascii="Times New Roman" w:hAnsi="Times New Roman" w:cs="Times New Roman"/>
          <w:sz w:val="20"/>
          <w:szCs w:val="20"/>
        </w:rPr>
        <w:t xml:space="preserve">Table 3 provides a summary of the clinical features of the 10 studies that were included in this meta-analysis. The evidence base includes four RCTs and six observational studies, with a combination of high-quality experimental </w:t>
      </w:r>
      <w:r w:rsidRPr="002836EA">
        <w:rPr>
          <w:rFonts w:ascii="Times New Roman" w:hAnsi="Times New Roman" w:cs="Times New Roman"/>
          <w:sz w:val="20"/>
          <w:szCs w:val="20"/>
        </w:rPr>
        <w:lastRenderedPageBreak/>
        <w:t>evidence and clinical evidence. Sample sizes of these studies vary with a large multicenter cohort of 772 patients in PHALCON-NERD trial to a smaller pilot study of 24 participants. The demographic characteristics of the patient mainly include adults aged between 18 and 65 years with different subtypes of GERD such as non-erosive reflux disease (NERD) and patients who have become ineffective to the conventional proton pump inhibitor (PPI) medication. The interventions are centered around the use of vonoprazan at 10 mg/day or 20mg/day with one of the studies investigating on-demand dosage of up to 40mg/day. Such interventions are contrasted to a placebo control in RCTs or baseline levels of symptoms in self-controlled observational cohorts. The efficacy is quantified by the percentage of days free of heartburn, full remission, and validated scoring scales like the Izumo scale and GERD-Q scale. Main results show that vonoprazan remains a better choice than placebo and previous PPI treatment, decreasing the number of symptoms and their intensity four to five times and continuing to have a similar safety profile as traditional ones.</w:t>
      </w:r>
    </w:p>
    <w:p w14:paraId="56FC2F8F" w14:textId="77777777" w:rsidR="002836EA" w:rsidRDefault="002836EA" w:rsidP="00440788">
      <w:pPr>
        <w:spacing w:after="0" w:line="360" w:lineRule="auto"/>
        <w:jc w:val="both"/>
        <w:rPr>
          <w:rFonts w:ascii="Times New Roman" w:hAnsi="Times New Roman" w:cs="Times New Roman"/>
          <w:sz w:val="20"/>
          <w:szCs w:val="20"/>
        </w:rPr>
      </w:pPr>
    </w:p>
    <w:p w14:paraId="1A3E5926" w14:textId="13D98F6D" w:rsidR="002836EA" w:rsidRDefault="00241D7D" w:rsidP="00241D7D">
      <w:pPr>
        <w:spacing w:after="0" w:line="360" w:lineRule="auto"/>
        <w:jc w:val="center"/>
        <w:rPr>
          <w:rFonts w:ascii="Times New Roman" w:hAnsi="Times New Roman" w:cs="Times New Roman"/>
          <w:sz w:val="20"/>
          <w:szCs w:val="20"/>
        </w:rPr>
      </w:pPr>
      <w:r w:rsidRPr="00241D7D">
        <w:rPr>
          <w:rFonts w:ascii="Times New Roman" w:hAnsi="Times New Roman" w:cs="Times New Roman"/>
          <w:b/>
          <w:bCs/>
          <w:color w:val="0070C0"/>
          <w:sz w:val="20"/>
          <w:szCs w:val="20"/>
        </w:rPr>
        <w:t>Table 3:</w:t>
      </w:r>
      <w:r w:rsidRPr="00241D7D">
        <w:rPr>
          <w:rFonts w:ascii="Times New Roman" w:hAnsi="Times New Roman" w:cs="Times New Roman"/>
          <w:sz w:val="20"/>
          <w:szCs w:val="20"/>
        </w:rPr>
        <w:t xml:space="preserve"> Characteristics of Included Studies</w:t>
      </w:r>
    </w:p>
    <w:p w14:paraId="504B7015" w14:textId="77777777" w:rsidR="00241D7D" w:rsidRDefault="00241D7D" w:rsidP="00241D7D">
      <w:pPr>
        <w:spacing w:after="0" w:line="360" w:lineRule="auto"/>
        <w:jc w:val="center"/>
        <w:rPr>
          <w:rFonts w:ascii="Times New Roman" w:hAnsi="Times New Roman" w:cs="Times New Roman"/>
          <w:sz w:val="20"/>
          <w:szCs w:val="20"/>
        </w:rPr>
      </w:pPr>
    </w:p>
    <w:tbl>
      <w:tblPr>
        <w:tblW w:w="5000" w:type="pct"/>
        <w:tblLook w:val="04A0" w:firstRow="1" w:lastRow="0" w:firstColumn="1" w:lastColumn="0" w:noHBand="0" w:noVBand="1"/>
      </w:tblPr>
      <w:tblGrid>
        <w:gridCol w:w="1155"/>
        <w:gridCol w:w="1496"/>
        <w:gridCol w:w="1369"/>
        <w:gridCol w:w="1459"/>
        <w:gridCol w:w="1446"/>
        <w:gridCol w:w="1130"/>
        <w:gridCol w:w="1521"/>
      </w:tblGrid>
      <w:tr w:rsidR="00241D7D" w:rsidRPr="00241D7D" w14:paraId="4E486B67" w14:textId="77777777" w:rsidTr="00241D7D">
        <w:trPr>
          <w:trHeight w:val="780"/>
        </w:trPr>
        <w:tc>
          <w:tcPr>
            <w:tcW w:w="603" w:type="pct"/>
            <w:tcBorders>
              <w:top w:val="single" w:sz="4" w:space="0" w:color="auto"/>
              <w:left w:val="single" w:sz="4" w:space="0" w:color="auto"/>
              <w:bottom w:val="single" w:sz="4" w:space="0" w:color="auto"/>
              <w:right w:val="single" w:sz="4" w:space="0" w:color="auto"/>
            </w:tcBorders>
            <w:vAlign w:val="center"/>
            <w:hideMark/>
          </w:tcPr>
          <w:p w14:paraId="3ACABA17" w14:textId="77777777" w:rsidR="00241D7D" w:rsidRPr="00241D7D" w:rsidRDefault="00241D7D" w:rsidP="00241D7D">
            <w:pPr>
              <w:spacing w:after="0" w:line="240" w:lineRule="auto"/>
              <w:jc w:val="center"/>
              <w:rPr>
                <w:rFonts w:ascii="Times New Roman" w:eastAsia="Times New Roman" w:hAnsi="Times New Roman" w:cs="Times New Roman"/>
                <w:b/>
                <w:bCs/>
                <w:color w:val="000000"/>
                <w:sz w:val="20"/>
                <w:szCs w:val="20"/>
                <w:lang w:val="en-IN" w:eastAsia="en-IN"/>
              </w:rPr>
            </w:pPr>
            <w:r w:rsidRPr="00241D7D">
              <w:rPr>
                <w:rFonts w:ascii="Times New Roman" w:eastAsia="Times New Roman" w:hAnsi="Times New Roman" w:cs="Times New Roman"/>
                <w:b/>
                <w:bCs/>
                <w:color w:val="000000"/>
                <w:sz w:val="20"/>
                <w:szCs w:val="20"/>
                <w:lang w:eastAsia="en-IN"/>
              </w:rPr>
              <w:t>Study (Author, Year)</w:t>
            </w:r>
          </w:p>
        </w:tc>
        <w:tc>
          <w:tcPr>
            <w:tcW w:w="781" w:type="pct"/>
            <w:tcBorders>
              <w:top w:val="single" w:sz="4" w:space="0" w:color="auto"/>
              <w:left w:val="nil"/>
              <w:bottom w:val="single" w:sz="4" w:space="0" w:color="auto"/>
              <w:right w:val="single" w:sz="4" w:space="0" w:color="auto"/>
            </w:tcBorders>
            <w:vAlign w:val="center"/>
            <w:hideMark/>
          </w:tcPr>
          <w:p w14:paraId="0E51C70C" w14:textId="77777777" w:rsidR="00241D7D" w:rsidRPr="00241D7D" w:rsidRDefault="00241D7D" w:rsidP="00241D7D">
            <w:pPr>
              <w:spacing w:after="0" w:line="240" w:lineRule="auto"/>
              <w:jc w:val="center"/>
              <w:rPr>
                <w:rFonts w:ascii="Times New Roman" w:eastAsia="Times New Roman" w:hAnsi="Times New Roman" w:cs="Times New Roman"/>
                <w:b/>
                <w:bCs/>
                <w:color w:val="000000"/>
                <w:sz w:val="20"/>
                <w:szCs w:val="20"/>
                <w:lang w:val="en-IN" w:eastAsia="en-IN"/>
              </w:rPr>
            </w:pPr>
            <w:r w:rsidRPr="00241D7D">
              <w:rPr>
                <w:rFonts w:ascii="Times New Roman" w:eastAsia="Times New Roman" w:hAnsi="Times New Roman" w:cs="Times New Roman"/>
                <w:b/>
                <w:bCs/>
                <w:color w:val="000000"/>
                <w:sz w:val="20"/>
                <w:szCs w:val="20"/>
                <w:lang w:eastAsia="en-IN"/>
              </w:rPr>
              <w:t>Study Design</w:t>
            </w:r>
          </w:p>
        </w:tc>
        <w:tc>
          <w:tcPr>
            <w:tcW w:w="715" w:type="pct"/>
            <w:tcBorders>
              <w:top w:val="single" w:sz="4" w:space="0" w:color="auto"/>
              <w:left w:val="nil"/>
              <w:bottom w:val="single" w:sz="4" w:space="0" w:color="auto"/>
              <w:right w:val="single" w:sz="4" w:space="0" w:color="auto"/>
            </w:tcBorders>
            <w:vAlign w:val="center"/>
            <w:hideMark/>
          </w:tcPr>
          <w:p w14:paraId="724DBDCB" w14:textId="77777777" w:rsidR="00241D7D" w:rsidRPr="00241D7D" w:rsidRDefault="00241D7D" w:rsidP="00241D7D">
            <w:pPr>
              <w:spacing w:after="0" w:line="240" w:lineRule="auto"/>
              <w:jc w:val="center"/>
              <w:rPr>
                <w:rFonts w:ascii="Times New Roman" w:eastAsia="Times New Roman" w:hAnsi="Times New Roman" w:cs="Times New Roman"/>
                <w:b/>
                <w:bCs/>
                <w:color w:val="000000"/>
                <w:sz w:val="20"/>
                <w:szCs w:val="20"/>
                <w:lang w:val="en-IN" w:eastAsia="en-IN"/>
              </w:rPr>
            </w:pPr>
            <w:r w:rsidRPr="00241D7D">
              <w:rPr>
                <w:rFonts w:ascii="Times New Roman" w:eastAsia="Times New Roman" w:hAnsi="Times New Roman" w:cs="Times New Roman"/>
                <w:b/>
                <w:bCs/>
                <w:color w:val="000000"/>
                <w:sz w:val="20"/>
                <w:szCs w:val="20"/>
                <w:lang w:eastAsia="en-IN"/>
              </w:rPr>
              <w:t>Population (N)</w:t>
            </w:r>
          </w:p>
        </w:tc>
        <w:tc>
          <w:tcPr>
            <w:tcW w:w="762" w:type="pct"/>
            <w:tcBorders>
              <w:top w:val="single" w:sz="4" w:space="0" w:color="auto"/>
              <w:left w:val="nil"/>
              <w:bottom w:val="single" w:sz="4" w:space="0" w:color="auto"/>
              <w:right w:val="single" w:sz="4" w:space="0" w:color="auto"/>
            </w:tcBorders>
            <w:vAlign w:val="center"/>
            <w:hideMark/>
          </w:tcPr>
          <w:p w14:paraId="2B771BEB" w14:textId="77777777" w:rsidR="00241D7D" w:rsidRPr="00241D7D" w:rsidRDefault="00241D7D" w:rsidP="00241D7D">
            <w:pPr>
              <w:spacing w:after="0" w:line="240" w:lineRule="auto"/>
              <w:jc w:val="center"/>
              <w:rPr>
                <w:rFonts w:ascii="Times New Roman" w:eastAsia="Times New Roman" w:hAnsi="Times New Roman" w:cs="Times New Roman"/>
                <w:b/>
                <w:bCs/>
                <w:color w:val="000000"/>
                <w:sz w:val="20"/>
                <w:szCs w:val="20"/>
                <w:lang w:val="en-IN" w:eastAsia="en-IN"/>
              </w:rPr>
            </w:pPr>
            <w:r w:rsidRPr="00241D7D">
              <w:rPr>
                <w:rFonts w:ascii="Times New Roman" w:eastAsia="Times New Roman" w:hAnsi="Times New Roman" w:cs="Times New Roman"/>
                <w:b/>
                <w:bCs/>
                <w:color w:val="000000"/>
                <w:sz w:val="20"/>
                <w:szCs w:val="20"/>
                <w:lang w:eastAsia="en-IN"/>
              </w:rPr>
              <w:t>Intervention</w:t>
            </w:r>
          </w:p>
        </w:tc>
        <w:tc>
          <w:tcPr>
            <w:tcW w:w="755" w:type="pct"/>
            <w:tcBorders>
              <w:top w:val="single" w:sz="4" w:space="0" w:color="auto"/>
              <w:left w:val="nil"/>
              <w:bottom w:val="single" w:sz="4" w:space="0" w:color="auto"/>
              <w:right w:val="single" w:sz="4" w:space="0" w:color="auto"/>
            </w:tcBorders>
            <w:vAlign w:val="center"/>
            <w:hideMark/>
          </w:tcPr>
          <w:p w14:paraId="1376D3ED" w14:textId="77777777" w:rsidR="00241D7D" w:rsidRPr="00241D7D" w:rsidRDefault="00241D7D" w:rsidP="00241D7D">
            <w:pPr>
              <w:spacing w:after="0" w:line="240" w:lineRule="auto"/>
              <w:jc w:val="center"/>
              <w:rPr>
                <w:rFonts w:ascii="Times New Roman" w:eastAsia="Times New Roman" w:hAnsi="Times New Roman" w:cs="Times New Roman"/>
                <w:b/>
                <w:bCs/>
                <w:color w:val="000000"/>
                <w:sz w:val="20"/>
                <w:szCs w:val="20"/>
                <w:lang w:val="en-IN" w:eastAsia="en-IN"/>
              </w:rPr>
            </w:pPr>
            <w:r w:rsidRPr="00241D7D">
              <w:rPr>
                <w:rFonts w:ascii="Times New Roman" w:eastAsia="Times New Roman" w:hAnsi="Times New Roman" w:cs="Times New Roman"/>
                <w:b/>
                <w:bCs/>
                <w:color w:val="000000"/>
                <w:sz w:val="20"/>
                <w:szCs w:val="20"/>
                <w:lang w:eastAsia="en-IN"/>
              </w:rPr>
              <w:t>Comparison</w:t>
            </w:r>
          </w:p>
        </w:tc>
        <w:tc>
          <w:tcPr>
            <w:tcW w:w="590" w:type="pct"/>
            <w:tcBorders>
              <w:top w:val="single" w:sz="4" w:space="0" w:color="auto"/>
              <w:left w:val="nil"/>
              <w:bottom w:val="single" w:sz="4" w:space="0" w:color="auto"/>
              <w:right w:val="single" w:sz="4" w:space="0" w:color="auto"/>
            </w:tcBorders>
            <w:vAlign w:val="center"/>
            <w:hideMark/>
          </w:tcPr>
          <w:p w14:paraId="50ACDE7F" w14:textId="77777777" w:rsidR="00241D7D" w:rsidRPr="00241D7D" w:rsidRDefault="00241D7D" w:rsidP="00241D7D">
            <w:pPr>
              <w:spacing w:after="0" w:line="240" w:lineRule="auto"/>
              <w:jc w:val="center"/>
              <w:rPr>
                <w:rFonts w:ascii="Times New Roman" w:eastAsia="Times New Roman" w:hAnsi="Times New Roman" w:cs="Times New Roman"/>
                <w:b/>
                <w:bCs/>
                <w:color w:val="000000"/>
                <w:sz w:val="20"/>
                <w:szCs w:val="20"/>
                <w:lang w:val="en-IN" w:eastAsia="en-IN"/>
              </w:rPr>
            </w:pPr>
            <w:r w:rsidRPr="00241D7D">
              <w:rPr>
                <w:rFonts w:ascii="Times New Roman" w:eastAsia="Times New Roman" w:hAnsi="Times New Roman" w:cs="Times New Roman"/>
                <w:b/>
                <w:bCs/>
                <w:color w:val="000000"/>
                <w:sz w:val="20"/>
                <w:szCs w:val="20"/>
                <w:lang w:eastAsia="en-IN"/>
              </w:rPr>
              <w:t>Duration</w:t>
            </w:r>
          </w:p>
        </w:tc>
        <w:tc>
          <w:tcPr>
            <w:tcW w:w="794" w:type="pct"/>
            <w:tcBorders>
              <w:top w:val="single" w:sz="4" w:space="0" w:color="auto"/>
              <w:left w:val="nil"/>
              <w:bottom w:val="single" w:sz="4" w:space="0" w:color="auto"/>
              <w:right w:val="single" w:sz="4" w:space="0" w:color="auto"/>
            </w:tcBorders>
            <w:vAlign w:val="center"/>
            <w:hideMark/>
          </w:tcPr>
          <w:p w14:paraId="12E09F35" w14:textId="77777777" w:rsidR="00241D7D" w:rsidRPr="00241D7D" w:rsidRDefault="00241D7D" w:rsidP="00241D7D">
            <w:pPr>
              <w:spacing w:after="0" w:line="240" w:lineRule="auto"/>
              <w:jc w:val="center"/>
              <w:rPr>
                <w:rFonts w:ascii="Times New Roman" w:eastAsia="Times New Roman" w:hAnsi="Times New Roman" w:cs="Times New Roman"/>
                <w:b/>
                <w:bCs/>
                <w:color w:val="000000"/>
                <w:sz w:val="20"/>
                <w:szCs w:val="20"/>
                <w:lang w:val="en-IN" w:eastAsia="en-IN"/>
              </w:rPr>
            </w:pPr>
            <w:r w:rsidRPr="00241D7D">
              <w:rPr>
                <w:rFonts w:ascii="Times New Roman" w:eastAsia="Times New Roman" w:hAnsi="Times New Roman" w:cs="Times New Roman"/>
                <w:b/>
                <w:bCs/>
                <w:color w:val="000000"/>
                <w:sz w:val="20"/>
                <w:szCs w:val="20"/>
                <w:lang w:eastAsia="en-IN"/>
              </w:rPr>
              <w:t>Key Findings</w:t>
            </w:r>
          </w:p>
        </w:tc>
      </w:tr>
      <w:tr w:rsidR="00241D7D" w:rsidRPr="00241D7D" w14:paraId="1FE4C520" w14:textId="77777777" w:rsidTr="00241D7D">
        <w:trPr>
          <w:trHeight w:val="1227"/>
        </w:trPr>
        <w:tc>
          <w:tcPr>
            <w:tcW w:w="603" w:type="pct"/>
            <w:tcBorders>
              <w:top w:val="nil"/>
              <w:left w:val="single" w:sz="4" w:space="0" w:color="auto"/>
              <w:bottom w:val="single" w:sz="4" w:space="0" w:color="auto"/>
              <w:right w:val="single" w:sz="4" w:space="0" w:color="auto"/>
            </w:tcBorders>
            <w:vAlign w:val="center"/>
            <w:hideMark/>
          </w:tcPr>
          <w:p w14:paraId="4B4D1C45"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Kinoshita et al. (2016) [21]</w:t>
            </w:r>
          </w:p>
        </w:tc>
        <w:tc>
          <w:tcPr>
            <w:tcW w:w="781" w:type="pct"/>
            <w:tcBorders>
              <w:top w:val="nil"/>
              <w:left w:val="nil"/>
              <w:bottom w:val="single" w:sz="4" w:space="0" w:color="auto"/>
              <w:right w:val="single" w:sz="4" w:space="0" w:color="auto"/>
            </w:tcBorders>
            <w:vAlign w:val="center"/>
            <w:hideMark/>
          </w:tcPr>
          <w:p w14:paraId="68425257"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Phase 3 RCT</w:t>
            </w:r>
          </w:p>
        </w:tc>
        <w:tc>
          <w:tcPr>
            <w:tcW w:w="715" w:type="pct"/>
            <w:tcBorders>
              <w:top w:val="nil"/>
              <w:left w:val="nil"/>
              <w:bottom w:val="single" w:sz="4" w:space="0" w:color="auto"/>
              <w:right w:val="single" w:sz="4" w:space="0" w:color="auto"/>
            </w:tcBorders>
            <w:vAlign w:val="center"/>
            <w:hideMark/>
          </w:tcPr>
          <w:p w14:paraId="535DB430"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483 (NERD)</w:t>
            </w:r>
          </w:p>
        </w:tc>
        <w:tc>
          <w:tcPr>
            <w:tcW w:w="762" w:type="pct"/>
            <w:tcBorders>
              <w:top w:val="nil"/>
              <w:left w:val="nil"/>
              <w:bottom w:val="single" w:sz="4" w:space="0" w:color="auto"/>
              <w:right w:val="single" w:sz="4" w:space="0" w:color="auto"/>
            </w:tcBorders>
            <w:vAlign w:val="center"/>
            <w:hideMark/>
          </w:tcPr>
          <w:p w14:paraId="4CD67472"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VPZ 10 mg</w:t>
            </w:r>
          </w:p>
        </w:tc>
        <w:tc>
          <w:tcPr>
            <w:tcW w:w="755" w:type="pct"/>
            <w:tcBorders>
              <w:top w:val="nil"/>
              <w:left w:val="nil"/>
              <w:bottom w:val="single" w:sz="4" w:space="0" w:color="auto"/>
              <w:right w:val="single" w:sz="4" w:space="0" w:color="auto"/>
            </w:tcBorders>
            <w:vAlign w:val="center"/>
            <w:hideMark/>
          </w:tcPr>
          <w:p w14:paraId="5A3E1F8A"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Placebo</w:t>
            </w:r>
          </w:p>
        </w:tc>
        <w:tc>
          <w:tcPr>
            <w:tcW w:w="590" w:type="pct"/>
            <w:tcBorders>
              <w:top w:val="nil"/>
              <w:left w:val="nil"/>
              <w:bottom w:val="single" w:sz="4" w:space="0" w:color="auto"/>
              <w:right w:val="single" w:sz="4" w:space="0" w:color="auto"/>
            </w:tcBorders>
            <w:vAlign w:val="center"/>
            <w:hideMark/>
          </w:tcPr>
          <w:p w14:paraId="1C4CE114"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4 Weeks</w:t>
            </w:r>
          </w:p>
        </w:tc>
        <w:tc>
          <w:tcPr>
            <w:tcW w:w="794" w:type="pct"/>
            <w:tcBorders>
              <w:top w:val="nil"/>
              <w:left w:val="nil"/>
              <w:bottom w:val="single" w:sz="4" w:space="0" w:color="auto"/>
              <w:right w:val="single" w:sz="4" w:space="0" w:color="auto"/>
            </w:tcBorders>
            <w:vAlign w:val="center"/>
            <w:hideMark/>
          </w:tcPr>
          <w:p w14:paraId="4C637DFA"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Confirmed 27.3% complete resolution rate for VPZ vs 16.3% for placebo (p=0.0054).</w:t>
            </w:r>
          </w:p>
        </w:tc>
      </w:tr>
      <w:tr w:rsidR="00241D7D" w:rsidRPr="00241D7D" w14:paraId="12714E26" w14:textId="77777777" w:rsidTr="00241D7D">
        <w:trPr>
          <w:trHeight w:val="1024"/>
        </w:trPr>
        <w:tc>
          <w:tcPr>
            <w:tcW w:w="603" w:type="pct"/>
            <w:tcBorders>
              <w:top w:val="nil"/>
              <w:left w:val="single" w:sz="4" w:space="0" w:color="auto"/>
              <w:bottom w:val="single" w:sz="4" w:space="0" w:color="auto"/>
              <w:right w:val="single" w:sz="4" w:space="0" w:color="auto"/>
            </w:tcBorders>
            <w:vAlign w:val="center"/>
            <w:hideMark/>
          </w:tcPr>
          <w:p w14:paraId="266B2648"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Shinozaki et al. (2017a) [22]</w:t>
            </w:r>
          </w:p>
        </w:tc>
        <w:tc>
          <w:tcPr>
            <w:tcW w:w="781" w:type="pct"/>
            <w:tcBorders>
              <w:top w:val="nil"/>
              <w:left w:val="nil"/>
              <w:bottom w:val="single" w:sz="4" w:space="0" w:color="auto"/>
              <w:right w:val="single" w:sz="4" w:space="0" w:color="auto"/>
            </w:tcBorders>
            <w:vAlign w:val="center"/>
            <w:hideMark/>
          </w:tcPr>
          <w:p w14:paraId="77A860D5"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Retrospective Obs.</w:t>
            </w:r>
          </w:p>
        </w:tc>
        <w:tc>
          <w:tcPr>
            <w:tcW w:w="715" w:type="pct"/>
            <w:tcBorders>
              <w:top w:val="nil"/>
              <w:left w:val="nil"/>
              <w:bottom w:val="single" w:sz="4" w:space="0" w:color="auto"/>
              <w:right w:val="single" w:sz="4" w:space="0" w:color="auto"/>
            </w:tcBorders>
            <w:vAlign w:val="center"/>
            <w:hideMark/>
          </w:tcPr>
          <w:p w14:paraId="1197D2ED"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88 (GERD/EE)</w:t>
            </w:r>
          </w:p>
        </w:tc>
        <w:tc>
          <w:tcPr>
            <w:tcW w:w="762" w:type="pct"/>
            <w:tcBorders>
              <w:top w:val="nil"/>
              <w:left w:val="nil"/>
              <w:bottom w:val="single" w:sz="4" w:space="0" w:color="auto"/>
              <w:right w:val="single" w:sz="4" w:space="0" w:color="auto"/>
            </w:tcBorders>
            <w:vAlign w:val="center"/>
            <w:hideMark/>
          </w:tcPr>
          <w:p w14:paraId="08839835"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VPZ 10 mg</w:t>
            </w:r>
          </w:p>
        </w:tc>
        <w:tc>
          <w:tcPr>
            <w:tcW w:w="755" w:type="pct"/>
            <w:tcBorders>
              <w:top w:val="nil"/>
              <w:left w:val="nil"/>
              <w:bottom w:val="single" w:sz="4" w:space="0" w:color="auto"/>
              <w:right w:val="single" w:sz="4" w:space="0" w:color="auto"/>
            </w:tcBorders>
            <w:vAlign w:val="center"/>
            <w:hideMark/>
          </w:tcPr>
          <w:p w14:paraId="3B72CF05"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Baseline</w:t>
            </w:r>
          </w:p>
        </w:tc>
        <w:tc>
          <w:tcPr>
            <w:tcW w:w="590" w:type="pct"/>
            <w:tcBorders>
              <w:top w:val="nil"/>
              <w:left w:val="nil"/>
              <w:bottom w:val="single" w:sz="4" w:space="0" w:color="auto"/>
              <w:right w:val="single" w:sz="4" w:space="0" w:color="auto"/>
            </w:tcBorders>
            <w:vAlign w:val="center"/>
            <w:hideMark/>
          </w:tcPr>
          <w:p w14:paraId="3E7CBB46"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4 Weeks</w:t>
            </w:r>
          </w:p>
        </w:tc>
        <w:tc>
          <w:tcPr>
            <w:tcW w:w="794" w:type="pct"/>
            <w:tcBorders>
              <w:top w:val="nil"/>
              <w:left w:val="nil"/>
              <w:bottom w:val="single" w:sz="4" w:space="0" w:color="auto"/>
              <w:right w:val="single" w:sz="4" w:space="0" w:color="auto"/>
            </w:tcBorders>
            <w:vAlign w:val="center"/>
            <w:hideMark/>
          </w:tcPr>
          <w:p w14:paraId="522938B5"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VPZ significantly improved both GERD and associated dyspepsia symptoms (Izumo scale).</w:t>
            </w:r>
          </w:p>
        </w:tc>
      </w:tr>
      <w:tr w:rsidR="00241D7D" w:rsidRPr="00241D7D" w14:paraId="00F03FC7" w14:textId="77777777" w:rsidTr="00241D7D">
        <w:trPr>
          <w:trHeight w:val="1021"/>
        </w:trPr>
        <w:tc>
          <w:tcPr>
            <w:tcW w:w="603" w:type="pct"/>
            <w:tcBorders>
              <w:top w:val="nil"/>
              <w:left w:val="single" w:sz="4" w:space="0" w:color="auto"/>
              <w:bottom w:val="single" w:sz="4" w:space="0" w:color="auto"/>
              <w:right w:val="single" w:sz="4" w:space="0" w:color="auto"/>
            </w:tcBorders>
            <w:vAlign w:val="center"/>
            <w:hideMark/>
          </w:tcPr>
          <w:p w14:paraId="1FCFCBD8"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Shinozaki et al. (2017b) [23]</w:t>
            </w:r>
          </w:p>
        </w:tc>
        <w:tc>
          <w:tcPr>
            <w:tcW w:w="781" w:type="pct"/>
            <w:tcBorders>
              <w:top w:val="nil"/>
              <w:left w:val="nil"/>
              <w:bottom w:val="single" w:sz="4" w:space="0" w:color="auto"/>
              <w:right w:val="single" w:sz="4" w:space="0" w:color="auto"/>
            </w:tcBorders>
            <w:vAlign w:val="center"/>
            <w:hideMark/>
          </w:tcPr>
          <w:p w14:paraId="01CBCE40"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Retrospective Obs.</w:t>
            </w:r>
          </w:p>
        </w:tc>
        <w:tc>
          <w:tcPr>
            <w:tcW w:w="715" w:type="pct"/>
            <w:tcBorders>
              <w:top w:val="nil"/>
              <w:left w:val="nil"/>
              <w:bottom w:val="single" w:sz="4" w:space="0" w:color="auto"/>
              <w:right w:val="single" w:sz="4" w:space="0" w:color="auto"/>
            </w:tcBorders>
            <w:vAlign w:val="center"/>
            <w:hideMark/>
          </w:tcPr>
          <w:p w14:paraId="02B42A3F"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24 (Refractory)</w:t>
            </w:r>
          </w:p>
        </w:tc>
        <w:tc>
          <w:tcPr>
            <w:tcW w:w="762" w:type="pct"/>
            <w:tcBorders>
              <w:top w:val="nil"/>
              <w:left w:val="nil"/>
              <w:bottom w:val="single" w:sz="4" w:space="0" w:color="auto"/>
              <w:right w:val="single" w:sz="4" w:space="0" w:color="auto"/>
            </w:tcBorders>
            <w:vAlign w:val="center"/>
            <w:hideMark/>
          </w:tcPr>
          <w:p w14:paraId="54C560D2"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VPZ 10 mg</w:t>
            </w:r>
          </w:p>
        </w:tc>
        <w:tc>
          <w:tcPr>
            <w:tcW w:w="755" w:type="pct"/>
            <w:tcBorders>
              <w:top w:val="nil"/>
              <w:left w:val="nil"/>
              <w:bottom w:val="single" w:sz="4" w:space="0" w:color="auto"/>
              <w:right w:val="single" w:sz="4" w:space="0" w:color="auto"/>
            </w:tcBorders>
            <w:vAlign w:val="center"/>
            <w:hideMark/>
          </w:tcPr>
          <w:p w14:paraId="33203007"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Baseline</w:t>
            </w:r>
          </w:p>
        </w:tc>
        <w:tc>
          <w:tcPr>
            <w:tcW w:w="590" w:type="pct"/>
            <w:tcBorders>
              <w:top w:val="nil"/>
              <w:left w:val="nil"/>
              <w:bottom w:val="single" w:sz="4" w:space="0" w:color="auto"/>
              <w:right w:val="single" w:sz="4" w:space="0" w:color="auto"/>
            </w:tcBorders>
            <w:vAlign w:val="center"/>
            <w:hideMark/>
          </w:tcPr>
          <w:p w14:paraId="74DF4346"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8 Weeks</w:t>
            </w:r>
          </w:p>
        </w:tc>
        <w:tc>
          <w:tcPr>
            <w:tcW w:w="794" w:type="pct"/>
            <w:tcBorders>
              <w:top w:val="nil"/>
              <w:left w:val="nil"/>
              <w:bottom w:val="single" w:sz="4" w:space="0" w:color="auto"/>
              <w:right w:val="single" w:sz="4" w:space="0" w:color="auto"/>
            </w:tcBorders>
            <w:vAlign w:val="center"/>
            <w:hideMark/>
          </w:tcPr>
          <w:p w14:paraId="3424C041"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Pilot data showing VPZ is effective for PPI-resistant patients in a primary care setting.</w:t>
            </w:r>
          </w:p>
        </w:tc>
      </w:tr>
      <w:tr w:rsidR="00241D7D" w:rsidRPr="00241D7D" w14:paraId="03EB189D" w14:textId="77777777" w:rsidTr="00241D7D">
        <w:trPr>
          <w:trHeight w:val="46"/>
        </w:trPr>
        <w:tc>
          <w:tcPr>
            <w:tcW w:w="603" w:type="pct"/>
            <w:tcBorders>
              <w:top w:val="nil"/>
              <w:left w:val="single" w:sz="4" w:space="0" w:color="auto"/>
              <w:bottom w:val="single" w:sz="4" w:space="0" w:color="auto"/>
              <w:right w:val="single" w:sz="4" w:space="0" w:color="auto"/>
            </w:tcBorders>
            <w:vAlign w:val="center"/>
            <w:hideMark/>
          </w:tcPr>
          <w:p w14:paraId="1BCB77AF"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Niikura et al. (2018) [24]</w:t>
            </w:r>
          </w:p>
        </w:tc>
        <w:tc>
          <w:tcPr>
            <w:tcW w:w="781" w:type="pct"/>
            <w:tcBorders>
              <w:top w:val="nil"/>
              <w:left w:val="nil"/>
              <w:bottom w:val="single" w:sz="4" w:space="0" w:color="auto"/>
              <w:right w:val="single" w:sz="4" w:space="0" w:color="auto"/>
            </w:tcBorders>
            <w:vAlign w:val="center"/>
            <w:hideMark/>
          </w:tcPr>
          <w:p w14:paraId="67BB2580"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Retrospective Obs.</w:t>
            </w:r>
          </w:p>
        </w:tc>
        <w:tc>
          <w:tcPr>
            <w:tcW w:w="715" w:type="pct"/>
            <w:tcBorders>
              <w:top w:val="nil"/>
              <w:left w:val="nil"/>
              <w:bottom w:val="single" w:sz="4" w:space="0" w:color="auto"/>
              <w:right w:val="single" w:sz="4" w:space="0" w:color="auto"/>
            </w:tcBorders>
            <w:vAlign w:val="center"/>
            <w:hideMark/>
          </w:tcPr>
          <w:p w14:paraId="119A9C4C"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26 (Refractory NERD)</w:t>
            </w:r>
          </w:p>
        </w:tc>
        <w:tc>
          <w:tcPr>
            <w:tcW w:w="762" w:type="pct"/>
            <w:tcBorders>
              <w:top w:val="nil"/>
              <w:left w:val="nil"/>
              <w:bottom w:val="single" w:sz="4" w:space="0" w:color="auto"/>
              <w:right w:val="single" w:sz="4" w:space="0" w:color="auto"/>
            </w:tcBorders>
            <w:vAlign w:val="center"/>
            <w:hideMark/>
          </w:tcPr>
          <w:p w14:paraId="736AC3E8"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VPZ 10/20 mg</w:t>
            </w:r>
          </w:p>
        </w:tc>
        <w:tc>
          <w:tcPr>
            <w:tcW w:w="755" w:type="pct"/>
            <w:tcBorders>
              <w:top w:val="nil"/>
              <w:left w:val="nil"/>
              <w:bottom w:val="single" w:sz="4" w:space="0" w:color="auto"/>
              <w:right w:val="single" w:sz="4" w:space="0" w:color="auto"/>
            </w:tcBorders>
            <w:vAlign w:val="center"/>
            <w:hideMark/>
          </w:tcPr>
          <w:p w14:paraId="61EA933D"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Baseline</w:t>
            </w:r>
          </w:p>
        </w:tc>
        <w:tc>
          <w:tcPr>
            <w:tcW w:w="590" w:type="pct"/>
            <w:tcBorders>
              <w:top w:val="nil"/>
              <w:left w:val="nil"/>
              <w:bottom w:val="single" w:sz="4" w:space="0" w:color="auto"/>
              <w:right w:val="single" w:sz="4" w:space="0" w:color="auto"/>
            </w:tcBorders>
            <w:vAlign w:val="center"/>
            <w:hideMark/>
          </w:tcPr>
          <w:p w14:paraId="7F1F8404"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12 Weeks</w:t>
            </w:r>
          </w:p>
        </w:tc>
        <w:tc>
          <w:tcPr>
            <w:tcW w:w="794" w:type="pct"/>
            <w:tcBorders>
              <w:top w:val="nil"/>
              <w:left w:val="nil"/>
              <w:bottom w:val="single" w:sz="4" w:space="0" w:color="auto"/>
              <w:right w:val="single" w:sz="4" w:space="0" w:color="auto"/>
            </w:tcBorders>
            <w:vAlign w:val="center"/>
            <w:hideMark/>
          </w:tcPr>
          <w:p w14:paraId="77188D21"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61.5% of PPI-resistant patients achieved relief; significant improvement in GERD-Q scores.</w:t>
            </w:r>
          </w:p>
        </w:tc>
      </w:tr>
      <w:tr w:rsidR="00241D7D" w:rsidRPr="00241D7D" w14:paraId="0648DB1E" w14:textId="77777777" w:rsidTr="00241D7D">
        <w:trPr>
          <w:trHeight w:val="183"/>
        </w:trPr>
        <w:tc>
          <w:tcPr>
            <w:tcW w:w="603" w:type="pct"/>
            <w:tcBorders>
              <w:top w:val="nil"/>
              <w:left w:val="single" w:sz="4" w:space="0" w:color="auto"/>
              <w:bottom w:val="single" w:sz="4" w:space="0" w:color="auto"/>
              <w:right w:val="single" w:sz="4" w:space="0" w:color="auto"/>
            </w:tcBorders>
            <w:vAlign w:val="center"/>
            <w:hideMark/>
          </w:tcPr>
          <w:p w14:paraId="6D1BE89E"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Kinoshita et al. (2019) [25]</w:t>
            </w:r>
          </w:p>
        </w:tc>
        <w:tc>
          <w:tcPr>
            <w:tcW w:w="781" w:type="pct"/>
            <w:tcBorders>
              <w:top w:val="nil"/>
              <w:left w:val="nil"/>
              <w:bottom w:val="single" w:sz="4" w:space="0" w:color="auto"/>
              <w:right w:val="single" w:sz="4" w:space="0" w:color="auto"/>
            </w:tcBorders>
            <w:vAlign w:val="center"/>
            <w:hideMark/>
          </w:tcPr>
          <w:p w14:paraId="62B7EE55"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Phase 3 RCT</w:t>
            </w:r>
          </w:p>
        </w:tc>
        <w:tc>
          <w:tcPr>
            <w:tcW w:w="715" w:type="pct"/>
            <w:tcBorders>
              <w:top w:val="nil"/>
              <w:left w:val="nil"/>
              <w:bottom w:val="single" w:sz="4" w:space="0" w:color="auto"/>
              <w:right w:val="single" w:sz="4" w:space="0" w:color="auto"/>
            </w:tcBorders>
            <w:vAlign w:val="center"/>
            <w:hideMark/>
          </w:tcPr>
          <w:p w14:paraId="453F1350"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483 (NERD)</w:t>
            </w:r>
          </w:p>
        </w:tc>
        <w:tc>
          <w:tcPr>
            <w:tcW w:w="762" w:type="pct"/>
            <w:tcBorders>
              <w:top w:val="nil"/>
              <w:left w:val="nil"/>
              <w:bottom w:val="single" w:sz="4" w:space="0" w:color="auto"/>
              <w:right w:val="single" w:sz="4" w:space="0" w:color="auto"/>
            </w:tcBorders>
            <w:vAlign w:val="center"/>
            <w:hideMark/>
          </w:tcPr>
          <w:p w14:paraId="1FD4B523"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VPZ 10 mg</w:t>
            </w:r>
          </w:p>
        </w:tc>
        <w:tc>
          <w:tcPr>
            <w:tcW w:w="755" w:type="pct"/>
            <w:tcBorders>
              <w:top w:val="nil"/>
              <w:left w:val="nil"/>
              <w:bottom w:val="single" w:sz="4" w:space="0" w:color="auto"/>
              <w:right w:val="single" w:sz="4" w:space="0" w:color="auto"/>
            </w:tcBorders>
            <w:vAlign w:val="center"/>
            <w:hideMark/>
          </w:tcPr>
          <w:p w14:paraId="3E35C7B9"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Placebo</w:t>
            </w:r>
          </w:p>
        </w:tc>
        <w:tc>
          <w:tcPr>
            <w:tcW w:w="590" w:type="pct"/>
            <w:tcBorders>
              <w:top w:val="nil"/>
              <w:left w:val="nil"/>
              <w:bottom w:val="single" w:sz="4" w:space="0" w:color="auto"/>
              <w:right w:val="single" w:sz="4" w:space="0" w:color="auto"/>
            </w:tcBorders>
            <w:vAlign w:val="center"/>
            <w:hideMark/>
          </w:tcPr>
          <w:p w14:paraId="303BCD0A"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4 Weeks</w:t>
            </w:r>
          </w:p>
        </w:tc>
        <w:tc>
          <w:tcPr>
            <w:tcW w:w="794" w:type="pct"/>
            <w:tcBorders>
              <w:top w:val="nil"/>
              <w:left w:val="nil"/>
              <w:bottom w:val="single" w:sz="4" w:space="0" w:color="auto"/>
              <w:right w:val="single" w:sz="4" w:space="0" w:color="auto"/>
            </w:tcBorders>
            <w:vAlign w:val="center"/>
            <w:hideMark/>
          </w:tcPr>
          <w:p w14:paraId="0135C164"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 xml:space="preserve">Demonstrated significant superiority in </w:t>
            </w:r>
            <w:r w:rsidRPr="00241D7D">
              <w:rPr>
                <w:rFonts w:ascii="Times New Roman" w:eastAsia="Times New Roman" w:hAnsi="Times New Roman" w:cs="Times New Roman"/>
                <w:color w:val="000000"/>
                <w:sz w:val="20"/>
                <w:szCs w:val="20"/>
                <w:lang w:eastAsia="en-IN"/>
              </w:rPr>
              <w:lastRenderedPageBreak/>
              <w:t>the per-protocol set for heartburn-free days (p=0.01).</w:t>
            </w:r>
          </w:p>
        </w:tc>
      </w:tr>
      <w:tr w:rsidR="00241D7D" w:rsidRPr="00241D7D" w14:paraId="07956C6C" w14:textId="77777777" w:rsidTr="00241D7D">
        <w:trPr>
          <w:trHeight w:val="1104"/>
        </w:trPr>
        <w:tc>
          <w:tcPr>
            <w:tcW w:w="603" w:type="pct"/>
            <w:tcBorders>
              <w:top w:val="nil"/>
              <w:left w:val="single" w:sz="4" w:space="0" w:color="auto"/>
              <w:bottom w:val="single" w:sz="4" w:space="0" w:color="auto"/>
              <w:right w:val="single" w:sz="4" w:space="0" w:color="auto"/>
            </w:tcBorders>
            <w:vAlign w:val="center"/>
            <w:hideMark/>
          </w:tcPr>
          <w:p w14:paraId="340AD3CF"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lastRenderedPageBreak/>
              <w:t>Shinozaki et al. (2021) [26]</w:t>
            </w:r>
          </w:p>
        </w:tc>
        <w:tc>
          <w:tcPr>
            <w:tcW w:w="781" w:type="pct"/>
            <w:tcBorders>
              <w:top w:val="nil"/>
              <w:left w:val="nil"/>
              <w:bottom w:val="single" w:sz="4" w:space="0" w:color="auto"/>
              <w:right w:val="single" w:sz="4" w:space="0" w:color="auto"/>
            </w:tcBorders>
            <w:vAlign w:val="center"/>
            <w:hideMark/>
          </w:tcPr>
          <w:p w14:paraId="1E6C7D3B"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Retrospective Obs.</w:t>
            </w:r>
          </w:p>
        </w:tc>
        <w:tc>
          <w:tcPr>
            <w:tcW w:w="715" w:type="pct"/>
            <w:tcBorders>
              <w:top w:val="nil"/>
              <w:left w:val="nil"/>
              <w:bottom w:val="single" w:sz="4" w:space="0" w:color="auto"/>
              <w:right w:val="single" w:sz="4" w:space="0" w:color="auto"/>
            </w:tcBorders>
            <w:vAlign w:val="center"/>
            <w:hideMark/>
          </w:tcPr>
          <w:p w14:paraId="430D107F"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30 (Refractory)</w:t>
            </w:r>
          </w:p>
        </w:tc>
        <w:tc>
          <w:tcPr>
            <w:tcW w:w="762" w:type="pct"/>
            <w:tcBorders>
              <w:top w:val="nil"/>
              <w:left w:val="nil"/>
              <w:bottom w:val="single" w:sz="4" w:space="0" w:color="auto"/>
              <w:right w:val="single" w:sz="4" w:space="0" w:color="auto"/>
            </w:tcBorders>
            <w:vAlign w:val="center"/>
            <w:hideMark/>
          </w:tcPr>
          <w:p w14:paraId="673EA1FA"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VPZ 10 mg</w:t>
            </w:r>
          </w:p>
        </w:tc>
        <w:tc>
          <w:tcPr>
            <w:tcW w:w="755" w:type="pct"/>
            <w:tcBorders>
              <w:top w:val="nil"/>
              <w:left w:val="nil"/>
              <w:bottom w:val="single" w:sz="4" w:space="0" w:color="auto"/>
              <w:right w:val="single" w:sz="4" w:space="0" w:color="auto"/>
            </w:tcBorders>
            <w:vAlign w:val="center"/>
            <w:hideMark/>
          </w:tcPr>
          <w:p w14:paraId="68D8E110"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Baseline</w:t>
            </w:r>
          </w:p>
        </w:tc>
        <w:tc>
          <w:tcPr>
            <w:tcW w:w="590" w:type="pct"/>
            <w:tcBorders>
              <w:top w:val="nil"/>
              <w:left w:val="nil"/>
              <w:bottom w:val="single" w:sz="4" w:space="0" w:color="auto"/>
              <w:right w:val="single" w:sz="4" w:space="0" w:color="auto"/>
            </w:tcBorders>
            <w:vAlign w:val="center"/>
            <w:hideMark/>
          </w:tcPr>
          <w:p w14:paraId="633F1C92"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1 Year</w:t>
            </w:r>
          </w:p>
        </w:tc>
        <w:tc>
          <w:tcPr>
            <w:tcW w:w="794" w:type="pct"/>
            <w:tcBorders>
              <w:top w:val="nil"/>
              <w:left w:val="nil"/>
              <w:bottom w:val="single" w:sz="4" w:space="0" w:color="auto"/>
              <w:right w:val="single" w:sz="4" w:space="0" w:color="auto"/>
            </w:tcBorders>
            <w:vAlign w:val="center"/>
            <w:hideMark/>
          </w:tcPr>
          <w:p w14:paraId="0737ED40"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Proven effective and safe for long-term maintenance of PPI-resistant GERD.</w:t>
            </w:r>
          </w:p>
        </w:tc>
      </w:tr>
      <w:tr w:rsidR="00241D7D" w:rsidRPr="00241D7D" w14:paraId="7AE58CF2" w14:textId="77777777" w:rsidTr="00241D7D">
        <w:trPr>
          <w:trHeight w:val="1183"/>
        </w:trPr>
        <w:tc>
          <w:tcPr>
            <w:tcW w:w="603" w:type="pct"/>
            <w:tcBorders>
              <w:top w:val="nil"/>
              <w:left w:val="single" w:sz="4" w:space="0" w:color="auto"/>
              <w:bottom w:val="single" w:sz="4" w:space="0" w:color="auto"/>
              <w:right w:val="single" w:sz="4" w:space="0" w:color="auto"/>
            </w:tcBorders>
            <w:vAlign w:val="center"/>
            <w:hideMark/>
          </w:tcPr>
          <w:p w14:paraId="0A6D193E"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Abbasi et al. (2023) [27]</w:t>
            </w:r>
          </w:p>
        </w:tc>
        <w:tc>
          <w:tcPr>
            <w:tcW w:w="781" w:type="pct"/>
            <w:tcBorders>
              <w:top w:val="nil"/>
              <w:left w:val="nil"/>
              <w:bottom w:val="single" w:sz="4" w:space="0" w:color="auto"/>
              <w:right w:val="single" w:sz="4" w:space="0" w:color="auto"/>
            </w:tcBorders>
            <w:vAlign w:val="center"/>
            <w:hideMark/>
          </w:tcPr>
          <w:p w14:paraId="166E273C"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Prospective Obs.</w:t>
            </w:r>
          </w:p>
        </w:tc>
        <w:tc>
          <w:tcPr>
            <w:tcW w:w="715" w:type="pct"/>
            <w:tcBorders>
              <w:top w:val="nil"/>
              <w:left w:val="nil"/>
              <w:bottom w:val="single" w:sz="4" w:space="0" w:color="auto"/>
              <w:right w:val="single" w:sz="4" w:space="0" w:color="auto"/>
            </w:tcBorders>
            <w:vAlign w:val="center"/>
            <w:hideMark/>
          </w:tcPr>
          <w:p w14:paraId="1AE3D5C2"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442 (GERD/EE)</w:t>
            </w:r>
          </w:p>
        </w:tc>
        <w:tc>
          <w:tcPr>
            <w:tcW w:w="762" w:type="pct"/>
            <w:tcBorders>
              <w:top w:val="nil"/>
              <w:left w:val="nil"/>
              <w:bottom w:val="single" w:sz="4" w:space="0" w:color="auto"/>
              <w:right w:val="single" w:sz="4" w:space="0" w:color="auto"/>
            </w:tcBorders>
            <w:vAlign w:val="center"/>
            <w:hideMark/>
          </w:tcPr>
          <w:p w14:paraId="318C265B"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VPZ 10/20 mg</w:t>
            </w:r>
          </w:p>
        </w:tc>
        <w:tc>
          <w:tcPr>
            <w:tcW w:w="755" w:type="pct"/>
            <w:tcBorders>
              <w:top w:val="nil"/>
              <w:left w:val="nil"/>
              <w:bottom w:val="single" w:sz="4" w:space="0" w:color="auto"/>
              <w:right w:val="single" w:sz="4" w:space="0" w:color="auto"/>
            </w:tcBorders>
            <w:vAlign w:val="center"/>
            <w:hideMark/>
          </w:tcPr>
          <w:p w14:paraId="68A83158"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Baseline</w:t>
            </w:r>
          </w:p>
        </w:tc>
        <w:tc>
          <w:tcPr>
            <w:tcW w:w="590" w:type="pct"/>
            <w:tcBorders>
              <w:top w:val="nil"/>
              <w:left w:val="nil"/>
              <w:bottom w:val="single" w:sz="4" w:space="0" w:color="auto"/>
              <w:right w:val="single" w:sz="4" w:space="0" w:color="auto"/>
            </w:tcBorders>
            <w:vAlign w:val="center"/>
            <w:hideMark/>
          </w:tcPr>
          <w:p w14:paraId="1779F754"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4 Weeks</w:t>
            </w:r>
          </w:p>
        </w:tc>
        <w:tc>
          <w:tcPr>
            <w:tcW w:w="794" w:type="pct"/>
            <w:tcBorders>
              <w:top w:val="nil"/>
              <w:left w:val="nil"/>
              <w:bottom w:val="single" w:sz="4" w:space="0" w:color="auto"/>
              <w:right w:val="single" w:sz="4" w:space="0" w:color="auto"/>
            </w:tcBorders>
            <w:vAlign w:val="center"/>
            <w:hideMark/>
          </w:tcPr>
          <w:p w14:paraId="3D121CBE"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Real-world Pakistani cohort; high efficacy (p&lt;0.001) and a 95.7% safety rate.</w:t>
            </w:r>
          </w:p>
        </w:tc>
      </w:tr>
      <w:tr w:rsidR="00241D7D" w:rsidRPr="00241D7D" w14:paraId="13A147B7" w14:textId="77777777" w:rsidTr="00241D7D">
        <w:trPr>
          <w:trHeight w:val="1418"/>
        </w:trPr>
        <w:tc>
          <w:tcPr>
            <w:tcW w:w="603" w:type="pct"/>
            <w:tcBorders>
              <w:top w:val="nil"/>
              <w:left w:val="single" w:sz="4" w:space="0" w:color="auto"/>
              <w:bottom w:val="single" w:sz="4" w:space="0" w:color="auto"/>
              <w:right w:val="single" w:sz="4" w:space="0" w:color="auto"/>
            </w:tcBorders>
            <w:vAlign w:val="center"/>
            <w:hideMark/>
          </w:tcPr>
          <w:p w14:paraId="535D1DA5"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Fass et al. (2023) [28]</w:t>
            </w:r>
          </w:p>
        </w:tc>
        <w:tc>
          <w:tcPr>
            <w:tcW w:w="781" w:type="pct"/>
            <w:tcBorders>
              <w:top w:val="nil"/>
              <w:left w:val="nil"/>
              <w:bottom w:val="single" w:sz="4" w:space="0" w:color="auto"/>
              <w:right w:val="single" w:sz="4" w:space="0" w:color="auto"/>
            </w:tcBorders>
            <w:vAlign w:val="center"/>
            <w:hideMark/>
          </w:tcPr>
          <w:p w14:paraId="364714FD"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Phase 2 RCT</w:t>
            </w:r>
          </w:p>
        </w:tc>
        <w:tc>
          <w:tcPr>
            <w:tcW w:w="715" w:type="pct"/>
            <w:tcBorders>
              <w:top w:val="nil"/>
              <w:left w:val="nil"/>
              <w:bottom w:val="single" w:sz="4" w:space="0" w:color="auto"/>
              <w:right w:val="single" w:sz="4" w:space="0" w:color="auto"/>
            </w:tcBorders>
            <w:vAlign w:val="center"/>
            <w:hideMark/>
          </w:tcPr>
          <w:p w14:paraId="5FFD03C7"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207 (NERD)</w:t>
            </w:r>
          </w:p>
        </w:tc>
        <w:tc>
          <w:tcPr>
            <w:tcW w:w="762" w:type="pct"/>
            <w:tcBorders>
              <w:top w:val="nil"/>
              <w:left w:val="nil"/>
              <w:bottom w:val="single" w:sz="4" w:space="0" w:color="auto"/>
              <w:right w:val="single" w:sz="4" w:space="0" w:color="auto"/>
            </w:tcBorders>
            <w:vAlign w:val="center"/>
            <w:hideMark/>
          </w:tcPr>
          <w:p w14:paraId="0886C948"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VPZ 10/20/40 mg</w:t>
            </w:r>
          </w:p>
        </w:tc>
        <w:tc>
          <w:tcPr>
            <w:tcW w:w="755" w:type="pct"/>
            <w:tcBorders>
              <w:top w:val="nil"/>
              <w:left w:val="nil"/>
              <w:bottom w:val="single" w:sz="4" w:space="0" w:color="auto"/>
              <w:right w:val="single" w:sz="4" w:space="0" w:color="auto"/>
            </w:tcBorders>
            <w:vAlign w:val="center"/>
            <w:hideMark/>
          </w:tcPr>
          <w:p w14:paraId="35E4766B"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Placebo</w:t>
            </w:r>
          </w:p>
        </w:tc>
        <w:tc>
          <w:tcPr>
            <w:tcW w:w="590" w:type="pct"/>
            <w:tcBorders>
              <w:top w:val="nil"/>
              <w:left w:val="nil"/>
              <w:bottom w:val="single" w:sz="4" w:space="0" w:color="auto"/>
              <w:right w:val="single" w:sz="4" w:space="0" w:color="auto"/>
            </w:tcBorders>
            <w:vAlign w:val="center"/>
            <w:hideMark/>
          </w:tcPr>
          <w:p w14:paraId="189FC79B"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6 Weeks</w:t>
            </w:r>
          </w:p>
        </w:tc>
        <w:tc>
          <w:tcPr>
            <w:tcW w:w="794" w:type="pct"/>
            <w:tcBorders>
              <w:top w:val="nil"/>
              <w:left w:val="nil"/>
              <w:bottom w:val="single" w:sz="4" w:space="0" w:color="auto"/>
              <w:right w:val="single" w:sz="4" w:space="0" w:color="auto"/>
            </w:tcBorders>
            <w:vAlign w:val="center"/>
            <w:hideMark/>
          </w:tcPr>
          <w:p w14:paraId="44B94BE4"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On-demand VPZ significantly superior to placebo for immediate symptom relief (p&lt;0.001).</w:t>
            </w:r>
          </w:p>
        </w:tc>
      </w:tr>
      <w:tr w:rsidR="00241D7D" w:rsidRPr="00241D7D" w14:paraId="369A1433" w14:textId="77777777" w:rsidTr="00241D7D">
        <w:trPr>
          <w:trHeight w:val="1402"/>
        </w:trPr>
        <w:tc>
          <w:tcPr>
            <w:tcW w:w="603" w:type="pct"/>
            <w:tcBorders>
              <w:top w:val="nil"/>
              <w:left w:val="single" w:sz="4" w:space="0" w:color="auto"/>
              <w:bottom w:val="single" w:sz="4" w:space="0" w:color="auto"/>
              <w:right w:val="single" w:sz="4" w:space="0" w:color="auto"/>
            </w:tcBorders>
            <w:vAlign w:val="center"/>
            <w:hideMark/>
          </w:tcPr>
          <w:p w14:paraId="2D4901D0"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Laine et al. (2024) [29]</w:t>
            </w:r>
          </w:p>
        </w:tc>
        <w:tc>
          <w:tcPr>
            <w:tcW w:w="781" w:type="pct"/>
            <w:tcBorders>
              <w:top w:val="nil"/>
              <w:left w:val="nil"/>
              <w:bottom w:val="single" w:sz="4" w:space="0" w:color="auto"/>
              <w:right w:val="single" w:sz="4" w:space="0" w:color="auto"/>
            </w:tcBorders>
            <w:vAlign w:val="center"/>
            <w:hideMark/>
          </w:tcPr>
          <w:p w14:paraId="64D7433B"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Phase 3 RCT</w:t>
            </w:r>
          </w:p>
        </w:tc>
        <w:tc>
          <w:tcPr>
            <w:tcW w:w="715" w:type="pct"/>
            <w:tcBorders>
              <w:top w:val="nil"/>
              <w:left w:val="nil"/>
              <w:bottom w:val="single" w:sz="4" w:space="0" w:color="auto"/>
              <w:right w:val="single" w:sz="4" w:space="0" w:color="auto"/>
            </w:tcBorders>
            <w:vAlign w:val="center"/>
            <w:hideMark/>
          </w:tcPr>
          <w:p w14:paraId="313B10E4"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772 (NERD)</w:t>
            </w:r>
          </w:p>
        </w:tc>
        <w:tc>
          <w:tcPr>
            <w:tcW w:w="762" w:type="pct"/>
            <w:tcBorders>
              <w:top w:val="nil"/>
              <w:left w:val="nil"/>
              <w:bottom w:val="single" w:sz="4" w:space="0" w:color="auto"/>
              <w:right w:val="single" w:sz="4" w:space="0" w:color="auto"/>
            </w:tcBorders>
            <w:vAlign w:val="center"/>
            <w:hideMark/>
          </w:tcPr>
          <w:p w14:paraId="4203C83B"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VPZ 10/20 mg</w:t>
            </w:r>
          </w:p>
        </w:tc>
        <w:tc>
          <w:tcPr>
            <w:tcW w:w="755" w:type="pct"/>
            <w:tcBorders>
              <w:top w:val="nil"/>
              <w:left w:val="nil"/>
              <w:bottom w:val="single" w:sz="4" w:space="0" w:color="auto"/>
              <w:right w:val="single" w:sz="4" w:space="0" w:color="auto"/>
            </w:tcBorders>
            <w:vAlign w:val="center"/>
            <w:hideMark/>
          </w:tcPr>
          <w:p w14:paraId="26254B43"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Placebo</w:t>
            </w:r>
          </w:p>
        </w:tc>
        <w:tc>
          <w:tcPr>
            <w:tcW w:w="590" w:type="pct"/>
            <w:tcBorders>
              <w:top w:val="nil"/>
              <w:left w:val="nil"/>
              <w:bottom w:val="single" w:sz="4" w:space="0" w:color="auto"/>
              <w:right w:val="single" w:sz="4" w:space="0" w:color="auto"/>
            </w:tcBorders>
            <w:vAlign w:val="center"/>
            <w:hideMark/>
          </w:tcPr>
          <w:p w14:paraId="7FC51C48"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4/24 Weeks</w:t>
            </w:r>
          </w:p>
        </w:tc>
        <w:tc>
          <w:tcPr>
            <w:tcW w:w="794" w:type="pct"/>
            <w:tcBorders>
              <w:top w:val="nil"/>
              <w:left w:val="nil"/>
              <w:bottom w:val="single" w:sz="4" w:space="0" w:color="auto"/>
              <w:right w:val="single" w:sz="4" w:space="0" w:color="auto"/>
            </w:tcBorders>
            <w:vAlign w:val="center"/>
            <w:hideMark/>
          </w:tcPr>
          <w:p w14:paraId="47DAF948"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Large multicenter trial (PHALCON-NERD) showing significant efficacy vs placebo.</w:t>
            </w:r>
          </w:p>
        </w:tc>
      </w:tr>
      <w:tr w:rsidR="00241D7D" w:rsidRPr="00241D7D" w14:paraId="447931BC" w14:textId="77777777" w:rsidTr="005828D3">
        <w:trPr>
          <w:trHeight w:val="834"/>
        </w:trPr>
        <w:tc>
          <w:tcPr>
            <w:tcW w:w="603" w:type="pct"/>
            <w:tcBorders>
              <w:top w:val="nil"/>
              <w:left w:val="single" w:sz="4" w:space="0" w:color="auto"/>
              <w:bottom w:val="single" w:sz="4" w:space="0" w:color="auto"/>
              <w:right w:val="single" w:sz="4" w:space="0" w:color="auto"/>
            </w:tcBorders>
            <w:vAlign w:val="center"/>
            <w:hideMark/>
          </w:tcPr>
          <w:p w14:paraId="5005C896"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Ur Rehman et al. (2025) [30]</w:t>
            </w:r>
          </w:p>
        </w:tc>
        <w:tc>
          <w:tcPr>
            <w:tcW w:w="781" w:type="pct"/>
            <w:tcBorders>
              <w:top w:val="nil"/>
              <w:left w:val="nil"/>
              <w:bottom w:val="single" w:sz="4" w:space="0" w:color="auto"/>
              <w:right w:val="single" w:sz="4" w:space="0" w:color="auto"/>
            </w:tcBorders>
            <w:vAlign w:val="center"/>
            <w:hideMark/>
          </w:tcPr>
          <w:p w14:paraId="08ECF717"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Prospective Cohort</w:t>
            </w:r>
          </w:p>
        </w:tc>
        <w:tc>
          <w:tcPr>
            <w:tcW w:w="715" w:type="pct"/>
            <w:tcBorders>
              <w:top w:val="nil"/>
              <w:left w:val="nil"/>
              <w:bottom w:val="single" w:sz="4" w:space="0" w:color="auto"/>
              <w:right w:val="single" w:sz="4" w:space="0" w:color="auto"/>
            </w:tcBorders>
            <w:vAlign w:val="center"/>
            <w:hideMark/>
          </w:tcPr>
          <w:p w14:paraId="05CFE39C"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110 (GERD)</w:t>
            </w:r>
          </w:p>
        </w:tc>
        <w:tc>
          <w:tcPr>
            <w:tcW w:w="762" w:type="pct"/>
            <w:tcBorders>
              <w:top w:val="nil"/>
              <w:left w:val="nil"/>
              <w:bottom w:val="single" w:sz="4" w:space="0" w:color="auto"/>
              <w:right w:val="single" w:sz="4" w:space="0" w:color="auto"/>
            </w:tcBorders>
            <w:vAlign w:val="center"/>
            <w:hideMark/>
          </w:tcPr>
          <w:p w14:paraId="135B7845"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VPZ 20 mg</w:t>
            </w:r>
          </w:p>
        </w:tc>
        <w:tc>
          <w:tcPr>
            <w:tcW w:w="755" w:type="pct"/>
            <w:tcBorders>
              <w:top w:val="nil"/>
              <w:left w:val="nil"/>
              <w:bottom w:val="single" w:sz="4" w:space="0" w:color="auto"/>
              <w:right w:val="single" w:sz="4" w:space="0" w:color="auto"/>
            </w:tcBorders>
            <w:vAlign w:val="center"/>
            <w:hideMark/>
          </w:tcPr>
          <w:p w14:paraId="3721A311"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Baseline</w:t>
            </w:r>
          </w:p>
        </w:tc>
        <w:tc>
          <w:tcPr>
            <w:tcW w:w="590" w:type="pct"/>
            <w:tcBorders>
              <w:top w:val="nil"/>
              <w:left w:val="nil"/>
              <w:bottom w:val="single" w:sz="4" w:space="0" w:color="auto"/>
              <w:right w:val="single" w:sz="4" w:space="0" w:color="auto"/>
            </w:tcBorders>
            <w:vAlign w:val="center"/>
            <w:hideMark/>
          </w:tcPr>
          <w:p w14:paraId="20799F44"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4 Weeks</w:t>
            </w:r>
          </w:p>
        </w:tc>
        <w:tc>
          <w:tcPr>
            <w:tcW w:w="794" w:type="pct"/>
            <w:tcBorders>
              <w:top w:val="nil"/>
              <w:left w:val="nil"/>
              <w:bottom w:val="single" w:sz="4" w:space="0" w:color="auto"/>
              <w:right w:val="single" w:sz="4" w:space="0" w:color="auto"/>
            </w:tcBorders>
            <w:vAlign w:val="center"/>
            <w:hideMark/>
          </w:tcPr>
          <w:p w14:paraId="74DFB03E" w14:textId="77777777" w:rsidR="00241D7D" w:rsidRPr="00241D7D" w:rsidRDefault="00241D7D" w:rsidP="00241D7D">
            <w:pPr>
              <w:spacing w:after="0" w:line="240" w:lineRule="auto"/>
              <w:jc w:val="center"/>
              <w:rPr>
                <w:rFonts w:ascii="Times New Roman" w:eastAsia="Times New Roman" w:hAnsi="Times New Roman" w:cs="Times New Roman"/>
                <w:color w:val="000000"/>
                <w:sz w:val="20"/>
                <w:szCs w:val="20"/>
                <w:lang w:val="en-IN" w:eastAsia="en-IN"/>
              </w:rPr>
            </w:pPr>
            <w:r w:rsidRPr="00241D7D">
              <w:rPr>
                <w:rFonts w:ascii="Times New Roman" w:eastAsia="Times New Roman" w:hAnsi="Times New Roman" w:cs="Times New Roman"/>
                <w:color w:val="000000"/>
                <w:sz w:val="20"/>
                <w:szCs w:val="20"/>
                <w:lang w:eastAsia="en-IN"/>
              </w:rPr>
              <w:t>Significant reduction in symptoms; efficacy slightly influenced by the presence of hiatus hernia.</w:t>
            </w:r>
          </w:p>
        </w:tc>
      </w:tr>
    </w:tbl>
    <w:p w14:paraId="6050D7C8" w14:textId="77777777" w:rsidR="002836EA" w:rsidRDefault="002836EA" w:rsidP="00241D7D">
      <w:pPr>
        <w:spacing w:after="0" w:line="360" w:lineRule="auto"/>
        <w:jc w:val="center"/>
        <w:rPr>
          <w:rFonts w:ascii="Times New Roman" w:hAnsi="Times New Roman" w:cs="Times New Roman"/>
          <w:sz w:val="20"/>
          <w:szCs w:val="20"/>
        </w:rPr>
      </w:pPr>
    </w:p>
    <w:p w14:paraId="103E2293" w14:textId="77777777" w:rsidR="002836EA" w:rsidRDefault="002836EA" w:rsidP="00440788">
      <w:pPr>
        <w:spacing w:after="0" w:line="360" w:lineRule="auto"/>
        <w:jc w:val="both"/>
        <w:rPr>
          <w:rFonts w:ascii="Times New Roman" w:hAnsi="Times New Roman" w:cs="Times New Roman"/>
          <w:sz w:val="20"/>
          <w:szCs w:val="20"/>
        </w:rPr>
      </w:pPr>
    </w:p>
    <w:p w14:paraId="41C74ABB" w14:textId="77777777" w:rsidR="005828D3" w:rsidRPr="005828D3" w:rsidRDefault="005828D3" w:rsidP="005828D3">
      <w:pPr>
        <w:spacing w:after="0" w:line="360" w:lineRule="auto"/>
        <w:jc w:val="both"/>
        <w:rPr>
          <w:rFonts w:ascii="Times New Roman" w:hAnsi="Times New Roman" w:cs="Times New Roman"/>
          <w:b/>
          <w:bCs/>
          <w:sz w:val="20"/>
          <w:szCs w:val="20"/>
        </w:rPr>
      </w:pPr>
      <w:r w:rsidRPr="005828D3">
        <w:rPr>
          <w:rFonts w:ascii="Times New Roman" w:hAnsi="Times New Roman" w:cs="Times New Roman"/>
          <w:b/>
          <w:bCs/>
          <w:sz w:val="20"/>
          <w:szCs w:val="20"/>
        </w:rPr>
        <w:t>Quality assessment</w:t>
      </w:r>
    </w:p>
    <w:p w14:paraId="158ABE41" w14:textId="77777777" w:rsidR="005828D3" w:rsidRPr="005828D3" w:rsidRDefault="005828D3" w:rsidP="005828D3">
      <w:pPr>
        <w:spacing w:after="0" w:line="360" w:lineRule="auto"/>
        <w:jc w:val="both"/>
        <w:rPr>
          <w:rFonts w:ascii="Times New Roman" w:hAnsi="Times New Roman" w:cs="Times New Roman"/>
          <w:b/>
          <w:bCs/>
          <w:sz w:val="20"/>
          <w:szCs w:val="20"/>
        </w:rPr>
      </w:pPr>
      <w:r w:rsidRPr="005828D3">
        <w:rPr>
          <w:rFonts w:ascii="Times New Roman" w:hAnsi="Times New Roman" w:cs="Times New Roman"/>
          <w:b/>
          <w:bCs/>
          <w:sz w:val="20"/>
          <w:szCs w:val="20"/>
        </w:rPr>
        <w:t>Risk of Bias</w:t>
      </w:r>
    </w:p>
    <w:p w14:paraId="1BD4F2B7" w14:textId="06B180AF" w:rsidR="002836EA" w:rsidRDefault="005828D3" w:rsidP="005828D3">
      <w:pPr>
        <w:spacing w:after="0" w:line="360" w:lineRule="auto"/>
        <w:jc w:val="both"/>
        <w:rPr>
          <w:rFonts w:ascii="Times New Roman" w:hAnsi="Times New Roman" w:cs="Times New Roman"/>
          <w:sz w:val="20"/>
          <w:szCs w:val="20"/>
        </w:rPr>
      </w:pPr>
      <w:r w:rsidRPr="005828D3">
        <w:rPr>
          <w:rFonts w:ascii="Times New Roman" w:hAnsi="Times New Roman" w:cs="Times New Roman"/>
          <w:sz w:val="20"/>
          <w:szCs w:val="20"/>
        </w:rPr>
        <w:t xml:space="preserve">The Risk of Bias evaluation (Figure 2) indicates that there is a great deal of methodological variation across the 10 studies included. This is confirmed by the low-risk rating attained by Laine et al. (2024) [29] and Fass et al. (2023) [28] in all domains, which ensure high-quality randomization and reporting. On the other hand, the studies by Abbasi et al. (2023) [27], Ur Rehman et al. (2025) [30], and the Shinozaki studies [23] had high risk of randomization process (D1) and deviations of intended interventions (D2), which are characteristic of observational and retrospective designs where selection bias is a factor. The Kinoshita studies [21] were also called unclear in terms of missing outcome data (D3), which may indicate a possible ambiguity in the treatment of attrition. Although </w:t>
      </w:r>
      <w:r w:rsidRPr="005828D3">
        <w:rPr>
          <w:rFonts w:ascii="Times New Roman" w:hAnsi="Times New Roman" w:cs="Times New Roman"/>
          <w:sz w:val="20"/>
          <w:szCs w:val="20"/>
        </w:rPr>
        <w:lastRenderedPageBreak/>
        <w:t>the randomized trials are of high quality evidence, inclusion of the observational data makes the cumulative findings susceptible to a cautious interpretation because of these inherent biases [31].</w:t>
      </w:r>
    </w:p>
    <w:p w14:paraId="0E7C93AF" w14:textId="77777777" w:rsidR="002836EA" w:rsidRDefault="002836EA" w:rsidP="00440788">
      <w:pPr>
        <w:spacing w:after="0" w:line="360" w:lineRule="auto"/>
        <w:jc w:val="both"/>
        <w:rPr>
          <w:rFonts w:ascii="Times New Roman" w:hAnsi="Times New Roman" w:cs="Times New Roman"/>
          <w:sz w:val="20"/>
          <w:szCs w:val="20"/>
        </w:rPr>
      </w:pPr>
    </w:p>
    <w:p w14:paraId="46FECE24" w14:textId="4BC4101B" w:rsidR="002836EA" w:rsidRDefault="005828D3" w:rsidP="005828D3">
      <w:pPr>
        <w:spacing w:after="0" w:line="360" w:lineRule="auto"/>
        <w:jc w:val="center"/>
        <w:rPr>
          <w:rFonts w:ascii="Times New Roman" w:hAnsi="Times New Roman" w:cs="Times New Roman"/>
          <w:sz w:val="20"/>
          <w:szCs w:val="20"/>
        </w:rPr>
      </w:pPr>
      <w:r w:rsidRPr="00D42C2E">
        <w:rPr>
          <w:rFonts w:ascii="Times New Roman" w:hAnsi="Times New Roman" w:cs="Times New Roman"/>
          <w:noProof/>
          <w:sz w:val="24"/>
          <w:szCs w:val="24"/>
        </w:rPr>
        <w:drawing>
          <wp:inline distT="0" distB="0" distL="0" distR="0" wp14:anchorId="3BAAC9E1" wp14:editId="220F9010">
            <wp:extent cx="5822950" cy="276833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r="34128" b="39524"/>
                    <a:stretch/>
                  </pic:blipFill>
                  <pic:spPr bwMode="auto">
                    <a:xfrm>
                      <a:off x="0" y="0"/>
                      <a:ext cx="5825480" cy="2769533"/>
                    </a:xfrm>
                    <a:prstGeom prst="rect">
                      <a:avLst/>
                    </a:prstGeom>
                    <a:noFill/>
                    <a:ln>
                      <a:noFill/>
                    </a:ln>
                    <a:extLst>
                      <a:ext uri="{53640926-AAD7-44D8-BBD7-CCE9431645EC}">
                        <a14:shadowObscured xmlns:a14="http://schemas.microsoft.com/office/drawing/2010/main"/>
                      </a:ext>
                    </a:extLst>
                  </pic:spPr>
                </pic:pic>
              </a:graphicData>
            </a:graphic>
          </wp:inline>
        </w:drawing>
      </w:r>
    </w:p>
    <w:p w14:paraId="5DC4B301" w14:textId="77777777" w:rsidR="005828D3" w:rsidRDefault="005828D3" w:rsidP="005828D3">
      <w:pPr>
        <w:spacing w:after="0" w:line="360" w:lineRule="auto"/>
        <w:jc w:val="center"/>
        <w:rPr>
          <w:rFonts w:ascii="Times New Roman" w:hAnsi="Times New Roman" w:cs="Times New Roman"/>
          <w:sz w:val="20"/>
          <w:szCs w:val="20"/>
        </w:rPr>
      </w:pPr>
    </w:p>
    <w:p w14:paraId="32F9167D" w14:textId="59885228" w:rsidR="005828D3" w:rsidRDefault="005828D3" w:rsidP="005828D3">
      <w:pPr>
        <w:spacing w:after="0" w:line="360" w:lineRule="auto"/>
        <w:jc w:val="center"/>
        <w:rPr>
          <w:rFonts w:ascii="Times New Roman" w:hAnsi="Times New Roman" w:cs="Times New Roman"/>
          <w:sz w:val="20"/>
          <w:szCs w:val="20"/>
        </w:rPr>
      </w:pPr>
      <w:r w:rsidRPr="005828D3">
        <w:rPr>
          <w:rFonts w:ascii="Times New Roman" w:hAnsi="Times New Roman" w:cs="Times New Roman"/>
          <w:b/>
          <w:bCs/>
          <w:color w:val="0070C0"/>
          <w:sz w:val="20"/>
          <w:szCs w:val="20"/>
        </w:rPr>
        <w:t>Figure 2:</w:t>
      </w:r>
      <w:r w:rsidRPr="005828D3">
        <w:rPr>
          <w:rFonts w:ascii="Times New Roman" w:hAnsi="Times New Roman" w:cs="Times New Roman"/>
          <w:sz w:val="20"/>
          <w:szCs w:val="20"/>
        </w:rPr>
        <w:t xml:space="preserve"> Intra-review bias assessment using RoS</w:t>
      </w:r>
    </w:p>
    <w:p w14:paraId="42090031" w14:textId="77777777" w:rsidR="005828D3" w:rsidRDefault="005828D3" w:rsidP="005828D3">
      <w:pPr>
        <w:spacing w:after="0" w:line="360" w:lineRule="auto"/>
        <w:jc w:val="center"/>
        <w:rPr>
          <w:rFonts w:ascii="Times New Roman" w:hAnsi="Times New Roman" w:cs="Times New Roman"/>
          <w:sz w:val="20"/>
          <w:szCs w:val="20"/>
        </w:rPr>
      </w:pPr>
    </w:p>
    <w:p w14:paraId="6E0BDB2C" w14:textId="77777777" w:rsidR="005828D3" w:rsidRDefault="005828D3" w:rsidP="005828D3">
      <w:pPr>
        <w:spacing w:after="0" w:line="360" w:lineRule="auto"/>
        <w:jc w:val="both"/>
        <w:rPr>
          <w:rFonts w:ascii="Times New Roman" w:hAnsi="Times New Roman" w:cs="Times New Roman"/>
          <w:sz w:val="20"/>
          <w:szCs w:val="20"/>
        </w:rPr>
      </w:pPr>
    </w:p>
    <w:p w14:paraId="635095C2" w14:textId="362E376D" w:rsidR="005828D3" w:rsidRDefault="005828D3" w:rsidP="005828D3">
      <w:pPr>
        <w:spacing w:after="0" w:line="360" w:lineRule="auto"/>
        <w:jc w:val="both"/>
        <w:rPr>
          <w:rFonts w:ascii="Times New Roman" w:hAnsi="Times New Roman" w:cs="Times New Roman"/>
          <w:sz w:val="20"/>
          <w:szCs w:val="20"/>
        </w:rPr>
      </w:pPr>
      <w:r w:rsidRPr="005828D3">
        <w:rPr>
          <w:rFonts w:ascii="Times New Roman" w:hAnsi="Times New Roman" w:cs="Times New Roman"/>
          <w:sz w:val="20"/>
          <w:szCs w:val="20"/>
        </w:rPr>
        <w:t>Overall, the heterogeneity in quality of the studies (shown in Figure 3) was found to be significant based on the Risk of Bias assessment conducted with the assistance of the NOS that was included into this meta-analysis. However, the risk of bias was low in most domains of the study by Abbasi et al. (2023) [27] and Ur Rehman et al. (2025) [30] indicating high methodological quality and good reporting. On the contrary, Shinozaki et al. (2017b) and Niikura et al. (2018) [24] demonstrated a high risk of bias in the selection domain (D1), which is mainly because of small sample sizes and particular recruitment criteria that can restrict the external validity. Shinozaki et al. (2021) [26] demonstrated an indistinct risk in the comparability area (D2), which implies the potential deficiency in transparency with the manner in which the confounding variables were managed across the groups. In general, although some studies have a high level of evidence, the high or unknown risk of particular observational cohorts should be taken into account when interpreting the cumulative efficacy of vonoprazan [19].</w:t>
      </w:r>
    </w:p>
    <w:p w14:paraId="77968A65" w14:textId="77777777" w:rsidR="005828D3" w:rsidRDefault="005828D3" w:rsidP="005828D3">
      <w:pPr>
        <w:spacing w:after="0" w:line="360" w:lineRule="auto"/>
        <w:jc w:val="both"/>
        <w:rPr>
          <w:rFonts w:ascii="Times New Roman" w:hAnsi="Times New Roman" w:cs="Times New Roman"/>
          <w:sz w:val="20"/>
          <w:szCs w:val="20"/>
        </w:rPr>
      </w:pPr>
    </w:p>
    <w:p w14:paraId="21DB07AE" w14:textId="04954F98" w:rsidR="005828D3" w:rsidRDefault="005828D3" w:rsidP="005828D3">
      <w:pPr>
        <w:spacing w:after="0" w:line="360" w:lineRule="auto"/>
        <w:jc w:val="center"/>
        <w:rPr>
          <w:rFonts w:ascii="Times New Roman" w:hAnsi="Times New Roman" w:cs="Times New Roman"/>
          <w:sz w:val="20"/>
          <w:szCs w:val="20"/>
        </w:rPr>
      </w:pPr>
      <w:r w:rsidRPr="00D42C2E">
        <w:rPr>
          <w:rFonts w:ascii="Times New Roman" w:eastAsia="Calibri" w:hAnsi="Times New Roman" w:cs="Times New Roman"/>
          <w:iCs/>
          <w:noProof/>
          <w:color w:val="000000"/>
          <w:kern w:val="2"/>
          <w:sz w:val="24"/>
          <w:szCs w:val="24"/>
          <w14:ligatures w14:val="standardContextual"/>
        </w:rPr>
        <w:lastRenderedPageBreak/>
        <w:drawing>
          <wp:inline distT="0" distB="0" distL="0" distR="0" wp14:anchorId="6F1B3350" wp14:editId="4C512527">
            <wp:extent cx="5943600" cy="2299506"/>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299506"/>
                    </a:xfrm>
                    <a:prstGeom prst="rect">
                      <a:avLst/>
                    </a:prstGeom>
                    <a:noFill/>
                  </pic:spPr>
                </pic:pic>
              </a:graphicData>
            </a:graphic>
          </wp:inline>
        </w:drawing>
      </w:r>
    </w:p>
    <w:p w14:paraId="2844BEA4" w14:textId="12946E41" w:rsidR="005828D3" w:rsidRDefault="005828D3" w:rsidP="005828D3">
      <w:pPr>
        <w:spacing w:after="0" w:line="360" w:lineRule="auto"/>
        <w:jc w:val="center"/>
        <w:rPr>
          <w:rFonts w:ascii="Times New Roman" w:hAnsi="Times New Roman" w:cs="Times New Roman"/>
          <w:sz w:val="20"/>
          <w:szCs w:val="20"/>
        </w:rPr>
      </w:pPr>
      <w:r w:rsidRPr="005828D3">
        <w:rPr>
          <w:rFonts w:ascii="Times New Roman" w:hAnsi="Times New Roman" w:cs="Times New Roman"/>
          <w:b/>
          <w:bCs/>
          <w:color w:val="0070C0"/>
          <w:sz w:val="20"/>
          <w:szCs w:val="20"/>
        </w:rPr>
        <w:t>Figure 3:</w:t>
      </w:r>
      <w:r w:rsidRPr="005828D3">
        <w:rPr>
          <w:rFonts w:ascii="Times New Roman" w:hAnsi="Times New Roman" w:cs="Times New Roman"/>
          <w:sz w:val="20"/>
          <w:szCs w:val="20"/>
        </w:rPr>
        <w:t xml:space="preserve"> Intra-review bias assessment using NOS</w:t>
      </w:r>
      <w:r>
        <w:rPr>
          <w:rFonts w:ascii="Times New Roman" w:hAnsi="Times New Roman" w:cs="Times New Roman"/>
          <w:sz w:val="20"/>
          <w:szCs w:val="20"/>
        </w:rPr>
        <w:t>.</w:t>
      </w:r>
    </w:p>
    <w:p w14:paraId="07F3CA0B" w14:textId="77777777" w:rsidR="005828D3" w:rsidRDefault="005828D3" w:rsidP="005828D3">
      <w:pPr>
        <w:spacing w:after="0" w:line="360" w:lineRule="auto"/>
        <w:jc w:val="center"/>
        <w:rPr>
          <w:rFonts w:ascii="Times New Roman" w:hAnsi="Times New Roman" w:cs="Times New Roman"/>
          <w:sz w:val="20"/>
          <w:szCs w:val="20"/>
        </w:rPr>
      </w:pPr>
    </w:p>
    <w:p w14:paraId="029DD10B" w14:textId="77777777" w:rsidR="005828D3" w:rsidRDefault="005828D3" w:rsidP="005828D3">
      <w:pPr>
        <w:spacing w:after="0" w:line="360" w:lineRule="auto"/>
        <w:jc w:val="center"/>
        <w:rPr>
          <w:rFonts w:ascii="Times New Roman" w:hAnsi="Times New Roman" w:cs="Times New Roman"/>
          <w:sz w:val="20"/>
          <w:szCs w:val="20"/>
        </w:rPr>
      </w:pPr>
    </w:p>
    <w:p w14:paraId="52181AFE" w14:textId="77777777" w:rsidR="005828D3" w:rsidRPr="005828D3" w:rsidRDefault="005828D3" w:rsidP="005828D3">
      <w:pPr>
        <w:spacing w:after="0" w:line="360" w:lineRule="auto"/>
        <w:jc w:val="both"/>
        <w:rPr>
          <w:rFonts w:ascii="Times New Roman" w:hAnsi="Times New Roman" w:cs="Times New Roman"/>
          <w:b/>
          <w:bCs/>
          <w:sz w:val="20"/>
          <w:szCs w:val="20"/>
        </w:rPr>
      </w:pPr>
      <w:r w:rsidRPr="005828D3">
        <w:rPr>
          <w:rFonts w:ascii="Times New Roman" w:hAnsi="Times New Roman" w:cs="Times New Roman"/>
          <w:b/>
          <w:bCs/>
          <w:sz w:val="20"/>
          <w:szCs w:val="20"/>
        </w:rPr>
        <w:t>Publication Bias</w:t>
      </w:r>
    </w:p>
    <w:p w14:paraId="12EF088C" w14:textId="01D06362" w:rsidR="005828D3" w:rsidRDefault="005828D3" w:rsidP="005828D3">
      <w:pPr>
        <w:spacing w:after="0" w:line="360" w:lineRule="auto"/>
        <w:jc w:val="both"/>
        <w:rPr>
          <w:rFonts w:ascii="Times New Roman" w:hAnsi="Times New Roman" w:cs="Times New Roman"/>
          <w:sz w:val="20"/>
          <w:szCs w:val="20"/>
        </w:rPr>
      </w:pPr>
      <w:r w:rsidRPr="005828D3">
        <w:rPr>
          <w:rFonts w:ascii="Times New Roman" w:hAnsi="Times New Roman" w:cs="Times New Roman"/>
          <w:sz w:val="20"/>
          <w:szCs w:val="20"/>
        </w:rPr>
        <w:t>The funnel plot analysis (Figure 4) was visually inspected to identify the potential existence of publication bias with the effect sizes of the 10 entries of the study being plotted against their corresponding standard errors. The distribution of studies around the pooled effect size is relatively symmetrical in its plot, especially in the large studies which have smaller standard errors. This symmetry implies that there will be no significant publication bias in the literature which was included. Additionally, the Egger regression test was applied to give a statistical value of funnel plot asymmetry. The test has indicated an intercept of -0.81 and p-value of 0.84 which means that the small-study effects are not significant. This is another indication that the effect of publication bias is unlikely to significantly affect the outcomes of this meta-analysis. To further confirm such results, the trim-and-fill approach was used to determine the potentially missing studies; the outcome of the analysis showed no imputed studies, which supports the conclusion that there is no serious publication bias. Although high heterogeneity (I2 = 97.94) had been mentioned, the absence of significant publication bias suggests that the results can be deemed as a valid reflection of the effectiveness of vonoprazan. The identified differences can thus be more explained by the clinical differences in the study populations and methods than by a systematic bias in the published literature [32].</w:t>
      </w:r>
    </w:p>
    <w:p w14:paraId="3535A104" w14:textId="77777777" w:rsidR="002836EA" w:rsidRDefault="002836EA" w:rsidP="00440788">
      <w:pPr>
        <w:spacing w:after="0" w:line="360" w:lineRule="auto"/>
        <w:jc w:val="both"/>
        <w:rPr>
          <w:rFonts w:ascii="Times New Roman" w:hAnsi="Times New Roman" w:cs="Times New Roman"/>
          <w:sz w:val="20"/>
          <w:szCs w:val="20"/>
        </w:rPr>
      </w:pPr>
    </w:p>
    <w:p w14:paraId="6C025F0B" w14:textId="77777777" w:rsidR="002836EA" w:rsidRDefault="002836EA" w:rsidP="00440788">
      <w:pPr>
        <w:spacing w:after="0" w:line="360" w:lineRule="auto"/>
        <w:jc w:val="both"/>
        <w:rPr>
          <w:rFonts w:ascii="Times New Roman" w:hAnsi="Times New Roman" w:cs="Times New Roman"/>
          <w:sz w:val="20"/>
          <w:szCs w:val="20"/>
        </w:rPr>
      </w:pPr>
    </w:p>
    <w:p w14:paraId="0B9734DE" w14:textId="13FD3582" w:rsidR="002836EA" w:rsidRDefault="005828D3" w:rsidP="005828D3">
      <w:pPr>
        <w:spacing w:after="0" w:line="360" w:lineRule="auto"/>
        <w:jc w:val="center"/>
        <w:rPr>
          <w:rFonts w:ascii="Times New Roman" w:hAnsi="Times New Roman" w:cs="Times New Roman"/>
          <w:sz w:val="20"/>
          <w:szCs w:val="20"/>
        </w:rPr>
      </w:pPr>
      <w:r w:rsidRPr="00D42C2E">
        <w:rPr>
          <w:rFonts w:ascii="Times New Roman" w:hAnsi="Times New Roman" w:cs="Times New Roman"/>
          <w:noProof/>
          <w:sz w:val="24"/>
          <w:szCs w:val="24"/>
        </w:rPr>
        <w:lastRenderedPageBreak/>
        <w:drawing>
          <wp:inline distT="0" distB="0" distL="0" distR="0" wp14:anchorId="73FA7252" wp14:editId="6A00B989">
            <wp:extent cx="4993005" cy="429196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93005" cy="4291965"/>
                    </a:xfrm>
                    <a:prstGeom prst="rect">
                      <a:avLst/>
                    </a:prstGeom>
                    <a:noFill/>
                  </pic:spPr>
                </pic:pic>
              </a:graphicData>
            </a:graphic>
          </wp:inline>
        </w:drawing>
      </w:r>
    </w:p>
    <w:p w14:paraId="59728B44" w14:textId="77777777" w:rsidR="005828D3" w:rsidRDefault="005828D3" w:rsidP="005828D3">
      <w:pPr>
        <w:spacing w:after="0" w:line="360" w:lineRule="auto"/>
        <w:jc w:val="center"/>
        <w:rPr>
          <w:rFonts w:ascii="Times New Roman" w:hAnsi="Times New Roman" w:cs="Times New Roman"/>
          <w:sz w:val="20"/>
          <w:szCs w:val="20"/>
        </w:rPr>
      </w:pPr>
    </w:p>
    <w:p w14:paraId="7380C314" w14:textId="2FE403CD" w:rsidR="005828D3" w:rsidRDefault="005828D3" w:rsidP="005828D3">
      <w:pPr>
        <w:spacing w:after="0" w:line="360" w:lineRule="auto"/>
        <w:jc w:val="center"/>
        <w:rPr>
          <w:rFonts w:ascii="Times New Roman" w:hAnsi="Times New Roman" w:cs="Times New Roman"/>
          <w:sz w:val="20"/>
          <w:szCs w:val="20"/>
        </w:rPr>
      </w:pPr>
      <w:r w:rsidRPr="005828D3">
        <w:rPr>
          <w:rFonts w:ascii="Times New Roman" w:hAnsi="Times New Roman" w:cs="Times New Roman"/>
          <w:b/>
          <w:bCs/>
          <w:color w:val="0070C0"/>
          <w:sz w:val="20"/>
          <w:szCs w:val="20"/>
        </w:rPr>
        <w:t>Figure 4:</w:t>
      </w:r>
      <w:r w:rsidRPr="005828D3">
        <w:rPr>
          <w:rFonts w:ascii="Times New Roman" w:hAnsi="Times New Roman" w:cs="Times New Roman"/>
          <w:sz w:val="20"/>
          <w:szCs w:val="20"/>
        </w:rPr>
        <w:t xml:space="preserve"> Funnel plot measuring publication bias in the studies.</w:t>
      </w:r>
    </w:p>
    <w:p w14:paraId="5E3FAE87" w14:textId="77777777" w:rsidR="005828D3" w:rsidRDefault="005828D3" w:rsidP="005828D3">
      <w:pPr>
        <w:spacing w:after="0" w:line="360" w:lineRule="auto"/>
        <w:jc w:val="center"/>
        <w:rPr>
          <w:rFonts w:ascii="Times New Roman" w:hAnsi="Times New Roman" w:cs="Times New Roman"/>
          <w:sz w:val="20"/>
          <w:szCs w:val="20"/>
        </w:rPr>
      </w:pPr>
    </w:p>
    <w:p w14:paraId="391E5E0B" w14:textId="77777777" w:rsidR="005828D3" w:rsidRDefault="005828D3" w:rsidP="005828D3">
      <w:pPr>
        <w:spacing w:after="0" w:line="360" w:lineRule="auto"/>
        <w:jc w:val="both"/>
        <w:rPr>
          <w:rFonts w:ascii="Times New Roman" w:hAnsi="Times New Roman" w:cs="Times New Roman"/>
          <w:sz w:val="20"/>
          <w:szCs w:val="20"/>
        </w:rPr>
      </w:pPr>
    </w:p>
    <w:p w14:paraId="7CA5931E" w14:textId="4B1EF8F4" w:rsidR="005828D3" w:rsidRDefault="005828D3" w:rsidP="005828D3">
      <w:pPr>
        <w:spacing w:after="0" w:line="360" w:lineRule="auto"/>
        <w:jc w:val="center"/>
        <w:rPr>
          <w:rFonts w:ascii="Times New Roman" w:hAnsi="Times New Roman" w:cs="Times New Roman"/>
          <w:sz w:val="20"/>
          <w:szCs w:val="20"/>
        </w:rPr>
      </w:pPr>
      <w:r w:rsidRPr="005828D3">
        <w:rPr>
          <w:rFonts w:ascii="Times New Roman" w:hAnsi="Times New Roman" w:cs="Times New Roman"/>
          <w:b/>
          <w:bCs/>
          <w:color w:val="0070C0"/>
          <w:sz w:val="20"/>
          <w:szCs w:val="20"/>
        </w:rPr>
        <w:t>Table 4:</w:t>
      </w:r>
      <w:r w:rsidRPr="005828D3">
        <w:rPr>
          <w:rFonts w:ascii="Times New Roman" w:hAnsi="Times New Roman" w:cs="Times New Roman"/>
          <w:sz w:val="20"/>
          <w:szCs w:val="20"/>
        </w:rPr>
        <w:t xml:space="preserve"> Information related to funnel plot</w:t>
      </w:r>
      <w:r>
        <w:rPr>
          <w:rFonts w:ascii="Times New Roman" w:hAnsi="Times New Roman" w:cs="Times New Roman"/>
          <w:sz w:val="20"/>
          <w:szCs w:val="20"/>
        </w:rPr>
        <w:t>.</w:t>
      </w:r>
    </w:p>
    <w:p w14:paraId="33990A73" w14:textId="77777777" w:rsidR="005828D3" w:rsidRDefault="005828D3" w:rsidP="005828D3">
      <w:pPr>
        <w:spacing w:after="0" w:line="360" w:lineRule="auto"/>
        <w:jc w:val="center"/>
        <w:rPr>
          <w:rFonts w:ascii="Times New Roman" w:hAnsi="Times New Roman" w:cs="Times New Roman"/>
          <w:sz w:val="20"/>
          <w:szCs w:val="20"/>
        </w:rPr>
      </w:pPr>
    </w:p>
    <w:tbl>
      <w:tblPr>
        <w:tblW w:w="5000" w:type="pct"/>
        <w:tblLook w:val="04A0" w:firstRow="1" w:lastRow="0" w:firstColumn="1" w:lastColumn="0" w:noHBand="0" w:noVBand="1"/>
      </w:tblPr>
      <w:tblGrid>
        <w:gridCol w:w="3794"/>
        <w:gridCol w:w="2923"/>
        <w:gridCol w:w="2859"/>
      </w:tblGrid>
      <w:tr w:rsidR="005828D3" w:rsidRPr="005828D3" w14:paraId="036B8651" w14:textId="77777777" w:rsidTr="005828D3">
        <w:trPr>
          <w:trHeight w:val="452"/>
        </w:trPr>
        <w:tc>
          <w:tcPr>
            <w:tcW w:w="1981" w:type="pct"/>
            <w:tcBorders>
              <w:top w:val="single" w:sz="4" w:space="0" w:color="auto"/>
              <w:left w:val="single" w:sz="4" w:space="0" w:color="auto"/>
              <w:bottom w:val="single" w:sz="4" w:space="0" w:color="auto"/>
              <w:right w:val="single" w:sz="4" w:space="0" w:color="auto"/>
            </w:tcBorders>
            <w:vAlign w:val="center"/>
            <w:hideMark/>
          </w:tcPr>
          <w:p w14:paraId="29DD1538" w14:textId="77777777" w:rsidR="005828D3" w:rsidRPr="005828D3" w:rsidRDefault="005828D3" w:rsidP="005828D3">
            <w:pPr>
              <w:spacing w:after="0" w:line="240" w:lineRule="auto"/>
              <w:jc w:val="center"/>
              <w:rPr>
                <w:rFonts w:ascii="Times New Roman" w:eastAsia="Times New Roman" w:hAnsi="Times New Roman" w:cs="Times New Roman"/>
                <w:b/>
                <w:bCs/>
                <w:color w:val="000000"/>
                <w:sz w:val="20"/>
                <w:szCs w:val="20"/>
                <w:lang w:val="en-IN" w:eastAsia="en-IN"/>
              </w:rPr>
            </w:pPr>
            <w:r w:rsidRPr="005828D3">
              <w:rPr>
                <w:rFonts w:ascii="Times New Roman" w:eastAsia="Times New Roman" w:hAnsi="Times New Roman" w:cs="Times New Roman"/>
                <w:b/>
                <w:bCs/>
                <w:color w:val="000000"/>
                <w:sz w:val="20"/>
                <w:szCs w:val="20"/>
                <w:lang w:eastAsia="en-IN"/>
              </w:rPr>
              <w:t> </w:t>
            </w:r>
          </w:p>
        </w:tc>
        <w:tc>
          <w:tcPr>
            <w:tcW w:w="1526" w:type="pct"/>
            <w:tcBorders>
              <w:top w:val="single" w:sz="4" w:space="0" w:color="auto"/>
              <w:left w:val="nil"/>
              <w:bottom w:val="single" w:sz="4" w:space="0" w:color="auto"/>
              <w:right w:val="single" w:sz="4" w:space="0" w:color="auto"/>
            </w:tcBorders>
            <w:vAlign w:val="center"/>
            <w:hideMark/>
          </w:tcPr>
          <w:p w14:paraId="2183CBA1" w14:textId="77777777" w:rsidR="005828D3" w:rsidRPr="005828D3" w:rsidRDefault="005828D3" w:rsidP="005828D3">
            <w:pPr>
              <w:spacing w:after="0" w:line="240" w:lineRule="auto"/>
              <w:jc w:val="center"/>
              <w:rPr>
                <w:rFonts w:ascii="Times New Roman" w:eastAsia="Times New Roman" w:hAnsi="Times New Roman" w:cs="Times New Roman"/>
                <w:b/>
                <w:bCs/>
                <w:color w:val="000000"/>
                <w:sz w:val="20"/>
                <w:szCs w:val="20"/>
                <w:lang w:val="en-IN" w:eastAsia="en-IN"/>
              </w:rPr>
            </w:pPr>
            <w:r w:rsidRPr="005828D3">
              <w:rPr>
                <w:rFonts w:ascii="Times New Roman" w:eastAsia="Times New Roman" w:hAnsi="Times New Roman" w:cs="Times New Roman"/>
                <w:b/>
                <w:bCs/>
                <w:color w:val="000000"/>
                <w:sz w:val="20"/>
                <w:szCs w:val="20"/>
                <w:lang w:eastAsia="en-IN"/>
              </w:rPr>
              <w:t>Meta-Analysis model</w:t>
            </w:r>
          </w:p>
        </w:tc>
        <w:tc>
          <w:tcPr>
            <w:tcW w:w="1493" w:type="pct"/>
            <w:tcBorders>
              <w:top w:val="single" w:sz="4" w:space="0" w:color="auto"/>
              <w:left w:val="nil"/>
              <w:bottom w:val="single" w:sz="4" w:space="0" w:color="auto"/>
              <w:right w:val="single" w:sz="4" w:space="0" w:color="auto"/>
            </w:tcBorders>
            <w:vAlign w:val="center"/>
            <w:hideMark/>
          </w:tcPr>
          <w:p w14:paraId="5827A180" w14:textId="77777777" w:rsidR="005828D3" w:rsidRPr="005828D3" w:rsidRDefault="005828D3" w:rsidP="005828D3">
            <w:pPr>
              <w:spacing w:after="0" w:line="240" w:lineRule="auto"/>
              <w:jc w:val="center"/>
              <w:rPr>
                <w:rFonts w:ascii="Times New Roman" w:eastAsia="Times New Roman" w:hAnsi="Times New Roman" w:cs="Times New Roman"/>
                <w:b/>
                <w:bCs/>
                <w:color w:val="000000"/>
                <w:sz w:val="20"/>
                <w:szCs w:val="20"/>
                <w:lang w:val="en-IN" w:eastAsia="en-IN"/>
              </w:rPr>
            </w:pPr>
            <w:r w:rsidRPr="005828D3">
              <w:rPr>
                <w:rFonts w:ascii="Times New Roman" w:eastAsia="Times New Roman" w:hAnsi="Times New Roman" w:cs="Times New Roman"/>
                <w:b/>
                <w:bCs/>
                <w:color w:val="000000"/>
                <w:sz w:val="20"/>
                <w:szCs w:val="20"/>
                <w:lang w:eastAsia="en-IN"/>
              </w:rPr>
              <w:t> </w:t>
            </w:r>
          </w:p>
        </w:tc>
      </w:tr>
      <w:tr w:rsidR="005828D3" w:rsidRPr="005828D3" w14:paraId="024D1B87" w14:textId="77777777" w:rsidTr="005828D3">
        <w:trPr>
          <w:trHeight w:val="403"/>
        </w:trPr>
        <w:tc>
          <w:tcPr>
            <w:tcW w:w="1981" w:type="pct"/>
            <w:tcBorders>
              <w:top w:val="nil"/>
              <w:left w:val="single" w:sz="4" w:space="0" w:color="auto"/>
              <w:bottom w:val="single" w:sz="4" w:space="0" w:color="auto"/>
              <w:right w:val="single" w:sz="4" w:space="0" w:color="auto"/>
            </w:tcBorders>
            <w:vAlign w:val="center"/>
            <w:hideMark/>
          </w:tcPr>
          <w:p w14:paraId="4F0C8A98" w14:textId="77777777" w:rsidR="005828D3" w:rsidRPr="005828D3" w:rsidRDefault="005828D3" w:rsidP="005828D3">
            <w:pPr>
              <w:spacing w:after="0" w:line="240" w:lineRule="auto"/>
              <w:jc w:val="center"/>
              <w:rPr>
                <w:rFonts w:ascii="Times New Roman" w:eastAsia="Times New Roman" w:hAnsi="Times New Roman" w:cs="Times New Roman"/>
                <w:b/>
                <w:bCs/>
                <w:color w:val="000000"/>
                <w:sz w:val="20"/>
                <w:szCs w:val="20"/>
                <w:lang w:val="en-IN" w:eastAsia="en-IN"/>
              </w:rPr>
            </w:pPr>
            <w:r w:rsidRPr="005828D3">
              <w:rPr>
                <w:rFonts w:ascii="Times New Roman" w:eastAsia="Times New Roman" w:hAnsi="Times New Roman" w:cs="Times New Roman"/>
                <w:b/>
                <w:bCs/>
                <w:color w:val="000000"/>
                <w:sz w:val="20"/>
                <w:szCs w:val="20"/>
                <w:lang w:eastAsia="en-IN"/>
              </w:rPr>
              <w:t>Study name</w:t>
            </w:r>
          </w:p>
        </w:tc>
        <w:tc>
          <w:tcPr>
            <w:tcW w:w="1526" w:type="pct"/>
            <w:tcBorders>
              <w:top w:val="nil"/>
              <w:left w:val="nil"/>
              <w:bottom w:val="single" w:sz="4" w:space="0" w:color="auto"/>
              <w:right w:val="single" w:sz="4" w:space="0" w:color="auto"/>
            </w:tcBorders>
            <w:vAlign w:val="center"/>
            <w:hideMark/>
          </w:tcPr>
          <w:p w14:paraId="2F2DD9C3" w14:textId="77777777" w:rsidR="005828D3" w:rsidRPr="005828D3" w:rsidRDefault="005828D3" w:rsidP="005828D3">
            <w:pPr>
              <w:spacing w:after="0" w:line="240" w:lineRule="auto"/>
              <w:jc w:val="center"/>
              <w:rPr>
                <w:rFonts w:ascii="Times New Roman" w:eastAsia="Times New Roman" w:hAnsi="Times New Roman" w:cs="Times New Roman"/>
                <w:b/>
                <w:bCs/>
                <w:color w:val="000000"/>
                <w:sz w:val="20"/>
                <w:szCs w:val="20"/>
                <w:lang w:val="en-IN" w:eastAsia="en-IN"/>
              </w:rPr>
            </w:pPr>
            <w:r w:rsidRPr="005828D3">
              <w:rPr>
                <w:rFonts w:ascii="Times New Roman" w:eastAsia="Times New Roman" w:hAnsi="Times New Roman" w:cs="Times New Roman"/>
                <w:b/>
                <w:bCs/>
                <w:color w:val="000000"/>
                <w:sz w:val="20"/>
                <w:szCs w:val="20"/>
                <w:lang w:eastAsia="en-IN"/>
              </w:rPr>
              <w:t>Effect size</w:t>
            </w:r>
          </w:p>
        </w:tc>
        <w:tc>
          <w:tcPr>
            <w:tcW w:w="1493" w:type="pct"/>
            <w:tcBorders>
              <w:top w:val="nil"/>
              <w:left w:val="nil"/>
              <w:bottom w:val="single" w:sz="4" w:space="0" w:color="auto"/>
              <w:right w:val="single" w:sz="4" w:space="0" w:color="auto"/>
            </w:tcBorders>
            <w:vAlign w:val="center"/>
            <w:hideMark/>
          </w:tcPr>
          <w:p w14:paraId="0D07E0F0" w14:textId="77777777" w:rsidR="005828D3" w:rsidRPr="005828D3" w:rsidRDefault="005828D3" w:rsidP="005828D3">
            <w:pPr>
              <w:spacing w:after="0" w:line="240" w:lineRule="auto"/>
              <w:jc w:val="center"/>
              <w:rPr>
                <w:rFonts w:ascii="Times New Roman" w:eastAsia="Times New Roman" w:hAnsi="Times New Roman" w:cs="Times New Roman"/>
                <w:b/>
                <w:bCs/>
                <w:color w:val="000000"/>
                <w:sz w:val="20"/>
                <w:szCs w:val="20"/>
                <w:lang w:val="en-IN" w:eastAsia="en-IN"/>
              </w:rPr>
            </w:pPr>
            <w:r w:rsidRPr="005828D3">
              <w:rPr>
                <w:rFonts w:ascii="Times New Roman" w:eastAsia="Times New Roman" w:hAnsi="Times New Roman" w:cs="Times New Roman"/>
                <w:b/>
                <w:bCs/>
                <w:color w:val="000000"/>
                <w:sz w:val="20"/>
                <w:szCs w:val="20"/>
                <w:lang w:eastAsia="en-IN"/>
              </w:rPr>
              <w:t>Standard error (z)</w:t>
            </w:r>
          </w:p>
        </w:tc>
      </w:tr>
      <w:tr w:rsidR="005828D3" w:rsidRPr="005828D3" w14:paraId="71942BCE" w14:textId="77777777" w:rsidTr="005828D3">
        <w:trPr>
          <w:trHeight w:val="46"/>
        </w:trPr>
        <w:tc>
          <w:tcPr>
            <w:tcW w:w="1981" w:type="pct"/>
            <w:tcBorders>
              <w:top w:val="nil"/>
              <w:left w:val="single" w:sz="4" w:space="0" w:color="auto"/>
              <w:bottom w:val="single" w:sz="4" w:space="0" w:color="auto"/>
              <w:right w:val="single" w:sz="4" w:space="0" w:color="auto"/>
            </w:tcBorders>
            <w:vAlign w:val="center"/>
            <w:hideMark/>
          </w:tcPr>
          <w:p w14:paraId="6325B054"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Kinoshita et al. [21]</w:t>
            </w:r>
          </w:p>
        </w:tc>
        <w:tc>
          <w:tcPr>
            <w:tcW w:w="1526" w:type="pct"/>
            <w:tcBorders>
              <w:top w:val="nil"/>
              <w:left w:val="nil"/>
              <w:bottom w:val="single" w:sz="4" w:space="0" w:color="auto"/>
              <w:right w:val="single" w:sz="4" w:space="0" w:color="auto"/>
            </w:tcBorders>
            <w:vAlign w:val="center"/>
            <w:hideMark/>
          </w:tcPr>
          <w:p w14:paraId="37EA7FC1"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1.1</w:t>
            </w:r>
          </w:p>
        </w:tc>
        <w:tc>
          <w:tcPr>
            <w:tcW w:w="1493" w:type="pct"/>
            <w:tcBorders>
              <w:top w:val="nil"/>
              <w:left w:val="nil"/>
              <w:bottom w:val="single" w:sz="4" w:space="0" w:color="auto"/>
              <w:right w:val="single" w:sz="4" w:space="0" w:color="auto"/>
            </w:tcBorders>
            <w:vAlign w:val="center"/>
            <w:hideMark/>
          </w:tcPr>
          <w:p w14:paraId="3A33D58C"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0.95</w:t>
            </w:r>
          </w:p>
        </w:tc>
      </w:tr>
      <w:tr w:rsidR="005828D3" w:rsidRPr="005828D3" w14:paraId="456CF1E9" w14:textId="77777777" w:rsidTr="005828D3">
        <w:trPr>
          <w:trHeight w:val="46"/>
        </w:trPr>
        <w:tc>
          <w:tcPr>
            <w:tcW w:w="1981" w:type="pct"/>
            <w:tcBorders>
              <w:top w:val="nil"/>
              <w:left w:val="single" w:sz="4" w:space="0" w:color="auto"/>
              <w:bottom w:val="single" w:sz="4" w:space="0" w:color="auto"/>
              <w:right w:val="single" w:sz="4" w:space="0" w:color="auto"/>
            </w:tcBorders>
            <w:vAlign w:val="center"/>
            <w:hideMark/>
          </w:tcPr>
          <w:p w14:paraId="5C6176C5"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Shinozaki et al. [22]</w:t>
            </w:r>
          </w:p>
        </w:tc>
        <w:tc>
          <w:tcPr>
            <w:tcW w:w="1526" w:type="pct"/>
            <w:tcBorders>
              <w:top w:val="nil"/>
              <w:left w:val="nil"/>
              <w:bottom w:val="single" w:sz="4" w:space="0" w:color="auto"/>
              <w:right w:val="single" w:sz="4" w:space="0" w:color="auto"/>
            </w:tcBorders>
            <w:vAlign w:val="center"/>
            <w:hideMark/>
          </w:tcPr>
          <w:p w14:paraId="22164400"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2.1</w:t>
            </w:r>
          </w:p>
        </w:tc>
        <w:tc>
          <w:tcPr>
            <w:tcW w:w="1493" w:type="pct"/>
            <w:tcBorders>
              <w:top w:val="nil"/>
              <w:left w:val="nil"/>
              <w:bottom w:val="single" w:sz="4" w:space="0" w:color="auto"/>
              <w:right w:val="single" w:sz="4" w:space="0" w:color="auto"/>
            </w:tcBorders>
            <w:vAlign w:val="center"/>
            <w:hideMark/>
          </w:tcPr>
          <w:p w14:paraId="4B3B8512"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0.36</w:t>
            </w:r>
          </w:p>
        </w:tc>
      </w:tr>
      <w:tr w:rsidR="005828D3" w:rsidRPr="005828D3" w14:paraId="281074DE" w14:textId="77777777" w:rsidTr="005828D3">
        <w:trPr>
          <w:trHeight w:val="46"/>
        </w:trPr>
        <w:tc>
          <w:tcPr>
            <w:tcW w:w="1981" w:type="pct"/>
            <w:tcBorders>
              <w:top w:val="nil"/>
              <w:left w:val="single" w:sz="4" w:space="0" w:color="auto"/>
              <w:bottom w:val="single" w:sz="4" w:space="0" w:color="auto"/>
              <w:right w:val="single" w:sz="4" w:space="0" w:color="auto"/>
            </w:tcBorders>
            <w:vAlign w:val="center"/>
            <w:hideMark/>
          </w:tcPr>
          <w:p w14:paraId="7F894079"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Shinozaki et al. [23]</w:t>
            </w:r>
          </w:p>
        </w:tc>
        <w:tc>
          <w:tcPr>
            <w:tcW w:w="1526" w:type="pct"/>
            <w:tcBorders>
              <w:top w:val="nil"/>
              <w:left w:val="nil"/>
              <w:bottom w:val="single" w:sz="4" w:space="0" w:color="auto"/>
              <w:right w:val="single" w:sz="4" w:space="0" w:color="auto"/>
            </w:tcBorders>
            <w:vAlign w:val="center"/>
            <w:hideMark/>
          </w:tcPr>
          <w:p w14:paraId="4F7B5113"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0.4</w:t>
            </w:r>
          </w:p>
        </w:tc>
        <w:tc>
          <w:tcPr>
            <w:tcW w:w="1493" w:type="pct"/>
            <w:tcBorders>
              <w:top w:val="nil"/>
              <w:left w:val="nil"/>
              <w:bottom w:val="single" w:sz="4" w:space="0" w:color="auto"/>
              <w:right w:val="single" w:sz="4" w:space="0" w:color="auto"/>
            </w:tcBorders>
            <w:vAlign w:val="center"/>
            <w:hideMark/>
          </w:tcPr>
          <w:p w14:paraId="48E22E21"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0.69</w:t>
            </w:r>
          </w:p>
        </w:tc>
      </w:tr>
      <w:tr w:rsidR="005828D3" w:rsidRPr="005828D3" w14:paraId="03D90E05" w14:textId="77777777" w:rsidTr="005828D3">
        <w:trPr>
          <w:trHeight w:val="46"/>
        </w:trPr>
        <w:tc>
          <w:tcPr>
            <w:tcW w:w="1981" w:type="pct"/>
            <w:tcBorders>
              <w:top w:val="nil"/>
              <w:left w:val="single" w:sz="4" w:space="0" w:color="auto"/>
              <w:bottom w:val="single" w:sz="4" w:space="0" w:color="auto"/>
              <w:right w:val="single" w:sz="4" w:space="0" w:color="auto"/>
            </w:tcBorders>
            <w:vAlign w:val="center"/>
            <w:hideMark/>
          </w:tcPr>
          <w:p w14:paraId="1A602A10"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Niikura et al. [24]</w:t>
            </w:r>
          </w:p>
        </w:tc>
        <w:tc>
          <w:tcPr>
            <w:tcW w:w="1526" w:type="pct"/>
            <w:tcBorders>
              <w:top w:val="nil"/>
              <w:left w:val="nil"/>
              <w:bottom w:val="single" w:sz="4" w:space="0" w:color="auto"/>
              <w:right w:val="single" w:sz="4" w:space="0" w:color="auto"/>
            </w:tcBorders>
            <w:vAlign w:val="center"/>
            <w:hideMark/>
          </w:tcPr>
          <w:p w14:paraId="763A713D"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0.83</w:t>
            </w:r>
          </w:p>
        </w:tc>
        <w:tc>
          <w:tcPr>
            <w:tcW w:w="1493" w:type="pct"/>
            <w:tcBorders>
              <w:top w:val="nil"/>
              <w:left w:val="nil"/>
              <w:bottom w:val="single" w:sz="4" w:space="0" w:color="auto"/>
              <w:right w:val="single" w:sz="4" w:space="0" w:color="auto"/>
            </w:tcBorders>
            <w:vAlign w:val="center"/>
            <w:hideMark/>
          </w:tcPr>
          <w:p w14:paraId="3B1731AA"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0.47</w:t>
            </w:r>
          </w:p>
        </w:tc>
      </w:tr>
      <w:tr w:rsidR="005828D3" w:rsidRPr="005828D3" w14:paraId="6C84D718" w14:textId="77777777" w:rsidTr="005828D3">
        <w:trPr>
          <w:trHeight w:val="46"/>
        </w:trPr>
        <w:tc>
          <w:tcPr>
            <w:tcW w:w="1981" w:type="pct"/>
            <w:tcBorders>
              <w:top w:val="nil"/>
              <w:left w:val="single" w:sz="4" w:space="0" w:color="auto"/>
              <w:bottom w:val="single" w:sz="4" w:space="0" w:color="auto"/>
              <w:right w:val="single" w:sz="4" w:space="0" w:color="auto"/>
            </w:tcBorders>
            <w:vAlign w:val="center"/>
            <w:hideMark/>
          </w:tcPr>
          <w:p w14:paraId="38FB7F54"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Kinoshita et al. [25]</w:t>
            </w:r>
          </w:p>
        </w:tc>
        <w:tc>
          <w:tcPr>
            <w:tcW w:w="1526" w:type="pct"/>
            <w:tcBorders>
              <w:top w:val="nil"/>
              <w:left w:val="nil"/>
              <w:bottom w:val="single" w:sz="4" w:space="0" w:color="auto"/>
              <w:right w:val="single" w:sz="4" w:space="0" w:color="auto"/>
            </w:tcBorders>
            <w:vAlign w:val="center"/>
            <w:hideMark/>
          </w:tcPr>
          <w:p w14:paraId="2350851F"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0.1</w:t>
            </w:r>
          </w:p>
        </w:tc>
        <w:tc>
          <w:tcPr>
            <w:tcW w:w="1493" w:type="pct"/>
            <w:tcBorders>
              <w:top w:val="nil"/>
              <w:left w:val="nil"/>
              <w:bottom w:val="single" w:sz="4" w:space="0" w:color="auto"/>
              <w:right w:val="single" w:sz="4" w:space="0" w:color="auto"/>
            </w:tcBorders>
            <w:vAlign w:val="center"/>
            <w:hideMark/>
          </w:tcPr>
          <w:p w14:paraId="630FB44D"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0.9</w:t>
            </w:r>
          </w:p>
        </w:tc>
      </w:tr>
      <w:tr w:rsidR="005828D3" w:rsidRPr="005828D3" w14:paraId="2BD89291" w14:textId="77777777" w:rsidTr="005828D3">
        <w:trPr>
          <w:trHeight w:val="46"/>
        </w:trPr>
        <w:tc>
          <w:tcPr>
            <w:tcW w:w="1981" w:type="pct"/>
            <w:tcBorders>
              <w:top w:val="nil"/>
              <w:left w:val="single" w:sz="4" w:space="0" w:color="auto"/>
              <w:bottom w:val="single" w:sz="4" w:space="0" w:color="auto"/>
              <w:right w:val="single" w:sz="4" w:space="0" w:color="auto"/>
            </w:tcBorders>
            <w:vAlign w:val="center"/>
            <w:hideMark/>
          </w:tcPr>
          <w:p w14:paraId="3F3CADDA"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Shinozaki et al. [26]</w:t>
            </w:r>
          </w:p>
        </w:tc>
        <w:tc>
          <w:tcPr>
            <w:tcW w:w="1526" w:type="pct"/>
            <w:tcBorders>
              <w:top w:val="nil"/>
              <w:left w:val="nil"/>
              <w:bottom w:val="single" w:sz="4" w:space="0" w:color="auto"/>
              <w:right w:val="single" w:sz="4" w:space="0" w:color="auto"/>
            </w:tcBorders>
            <w:vAlign w:val="center"/>
            <w:hideMark/>
          </w:tcPr>
          <w:p w14:paraId="15E66109"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0.89</w:t>
            </w:r>
          </w:p>
        </w:tc>
        <w:tc>
          <w:tcPr>
            <w:tcW w:w="1493" w:type="pct"/>
            <w:tcBorders>
              <w:top w:val="nil"/>
              <w:left w:val="nil"/>
              <w:bottom w:val="single" w:sz="4" w:space="0" w:color="auto"/>
              <w:right w:val="single" w:sz="4" w:space="0" w:color="auto"/>
            </w:tcBorders>
            <w:vAlign w:val="center"/>
            <w:hideMark/>
          </w:tcPr>
          <w:p w14:paraId="42254BC5"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0.62</w:t>
            </w:r>
          </w:p>
        </w:tc>
      </w:tr>
      <w:tr w:rsidR="005828D3" w:rsidRPr="005828D3" w14:paraId="3DA48D4E" w14:textId="77777777" w:rsidTr="005828D3">
        <w:trPr>
          <w:trHeight w:val="46"/>
        </w:trPr>
        <w:tc>
          <w:tcPr>
            <w:tcW w:w="1981" w:type="pct"/>
            <w:tcBorders>
              <w:top w:val="nil"/>
              <w:left w:val="single" w:sz="4" w:space="0" w:color="auto"/>
              <w:bottom w:val="single" w:sz="4" w:space="0" w:color="auto"/>
              <w:right w:val="single" w:sz="4" w:space="0" w:color="auto"/>
            </w:tcBorders>
            <w:vAlign w:val="center"/>
            <w:hideMark/>
          </w:tcPr>
          <w:p w14:paraId="2E7BA1E3"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Abbasi et al. [27]</w:t>
            </w:r>
          </w:p>
        </w:tc>
        <w:tc>
          <w:tcPr>
            <w:tcW w:w="1526" w:type="pct"/>
            <w:tcBorders>
              <w:top w:val="nil"/>
              <w:left w:val="nil"/>
              <w:bottom w:val="single" w:sz="4" w:space="0" w:color="auto"/>
              <w:right w:val="single" w:sz="4" w:space="0" w:color="auto"/>
            </w:tcBorders>
            <w:vAlign w:val="center"/>
            <w:hideMark/>
          </w:tcPr>
          <w:p w14:paraId="57FE59CE"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-0.57</w:t>
            </w:r>
          </w:p>
        </w:tc>
        <w:tc>
          <w:tcPr>
            <w:tcW w:w="1493" w:type="pct"/>
            <w:tcBorders>
              <w:top w:val="nil"/>
              <w:left w:val="nil"/>
              <w:bottom w:val="single" w:sz="4" w:space="0" w:color="auto"/>
              <w:right w:val="single" w:sz="4" w:space="0" w:color="auto"/>
            </w:tcBorders>
            <w:vAlign w:val="center"/>
            <w:hideMark/>
          </w:tcPr>
          <w:p w14:paraId="53C81398"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0.15</w:t>
            </w:r>
          </w:p>
        </w:tc>
      </w:tr>
      <w:tr w:rsidR="005828D3" w:rsidRPr="005828D3" w14:paraId="67C32FA4" w14:textId="77777777" w:rsidTr="005828D3">
        <w:trPr>
          <w:trHeight w:val="46"/>
        </w:trPr>
        <w:tc>
          <w:tcPr>
            <w:tcW w:w="1981" w:type="pct"/>
            <w:tcBorders>
              <w:top w:val="nil"/>
              <w:left w:val="single" w:sz="4" w:space="0" w:color="auto"/>
              <w:bottom w:val="single" w:sz="4" w:space="0" w:color="auto"/>
              <w:right w:val="single" w:sz="4" w:space="0" w:color="auto"/>
            </w:tcBorders>
            <w:vAlign w:val="center"/>
            <w:hideMark/>
          </w:tcPr>
          <w:p w14:paraId="6CCDB011"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Fass et al. [28]</w:t>
            </w:r>
          </w:p>
        </w:tc>
        <w:tc>
          <w:tcPr>
            <w:tcW w:w="1526" w:type="pct"/>
            <w:tcBorders>
              <w:top w:val="nil"/>
              <w:left w:val="nil"/>
              <w:bottom w:val="single" w:sz="4" w:space="0" w:color="auto"/>
              <w:right w:val="single" w:sz="4" w:space="0" w:color="auto"/>
            </w:tcBorders>
            <w:vAlign w:val="center"/>
            <w:hideMark/>
          </w:tcPr>
          <w:p w14:paraId="29E86800"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-0.38</w:t>
            </w:r>
          </w:p>
        </w:tc>
        <w:tc>
          <w:tcPr>
            <w:tcW w:w="1493" w:type="pct"/>
            <w:tcBorders>
              <w:top w:val="nil"/>
              <w:left w:val="nil"/>
              <w:bottom w:val="single" w:sz="4" w:space="0" w:color="auto"/>
              <w:right w:val="single" w:sz="4" w:space="0" w:color="auto"/>
            </w:tcBorders>
            <w:vAlign w:val="center"/>
            <w:hideMark/>
          </w:tcPr>
          <w:p w14:paraId="53EA8A29"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0.2</w:t>
            </w:r>
          </w:p>
        </w:tc>
      </w:tr>
      <w:tr w:rsidR="005828D3" w:rsidRPr="005828D3" w14:paraId="1555169E" w14:textId="77777777" w:rsidTr="005828D3">
        <w:trPr>
          <w:trHeight w:val="46"/>
        </w:trPr>
        <w:tc>
          <w:tcPr>
            <w:tcW w:w="1981" w:type="pct"/>
            <w:tcBorders>
              <w:top w:val="nil"/>
              <w:left w:val="single" w:sz="4" w:space="0" w:color="auto"/>
              <w:bottom w:val="single" w:sz="4" w:space="0" w:color="auto"/>
              <w:right w:val="single" w:sz="4" w:space="0" w:color="auto"/>
            </w:tcBorders>
            <w:vAlign w:val="center"/>
            <w:hideMark/>
          </w:tcPr>
          <w:p w14:paraId="4607A43C"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Laine et al. [29]</w:t>
            </w:r>
          </w:p>
        </w:tc>
        <w:tc>
          <w:tcPr>
            <w:tcW w:w="1526" w:type="pct"/>
            <w:tcBorders>
              <w:top w:val="nil"/>
              <w:left w:val="nil"/>
              <w:bottom w:val="single" w:sz="4" w:space="0" w:color="auto"/>
              <w:right w:val="single" w:sz="4" w:space="0" w:color="auto"/>
            </w:tcBorders>
            <w:vAlign w:val="center"/>
            <w:hideMark/>
          </w:tcPr>
          <w:p w14:paraId="2E345CBA"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0.79</w:t>
            </w:r>
          </w:p>
        </w:tc>
        <w:tc>
          <w:tcPr>
            <w:tcW w:w="1493" w:type="pct"/>
            <w:tcBorders>
              <w:top w:val="nil"/>
              <w:left w:val="nil"/>
              <w:bottom w:val="single" w:sz="4" w:space="0" w:color="auto"/>
              <w:right w:val="single" w:sz="4" w:space="0" w:color="auto"/>
            </w:tcBorders>
            <w:vAlign w:val="center"/>
            <w:hideMark/>
          </w:tcPr>
          <w:p w14:paraId="29D617A0"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0.45</w:t>
            </w:r>
          </w:p>
        </w:tc>
      </w:tr>
      <w:tr w:rsidR="005828D3" w:rsidRPr="005828D3" w14:paraId="68F39C6D" w14:textId="77777777" w:rsidTr="005828D3">
        <w:trPr>
          <w:trHeight w:val="46"/>
        </w:trPr>
        <w:tc>
          <w:tcPr>
            <w:tcW w:w="1981" w:type="pct"/>
            <w:tcBorders>
              <w:top w:val="nil"/>
              <w:left w:val="single" w:sz="4" w:space="0" w:color="auto"/>
              <w:bottom w:val="single" w:sz="4" w:space="0" w:color="auto"/>
              <w:right w:val="single" w:sz="4" w:space="0" w:color="auto"/>
            </w:tcBorders>
            <w:vAlign w:val="center"/>
            <w:hideMark/>
          </w:tcPr>
          <w:p w14:paraId="7C51556E"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Ur Rehman et al. [30]</w:t>
            </w:r>
          </w:p>
        </w:tc>
        <w:tc>
          <w:tcPr>
            <w:tcW w:w="1526" w:type="pct"/>
            <w:tcBorders>
              <w:top w:val="nil"/>
              <w:left w:val="nil"/>
              <w:bottom w:val="single" w:sz="4" w:space="0" w:color="auto"/>
              <w:right w:val="single" w:sz="4" w:space="0" w:color="auto"/>
            </w:tcBorders>
            <w:vAlign w:val="center"/>
            <w:hideMark/>
          </w:tcPr>
          <w:p w14:paraId="57475957"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2.33</w:t>
            </w:r>
          </w:p>
        </w:tc>
        <w:tc>
          <w:tcPr>
            <w:tcW w:w="1493" w:type="pct"/>
            <w:tcBorders>
              <w:top w:val="nil"/>
              <w:left w:val="nil"/>
              <w:bottom w:val="single" w:sz="4" w:space="0" w:color="auto"/>
              <w:right w:val="single" w:sz="4" w:space="0" w:color="auto"/>
            </w:tcBorders>
            <w:vAlign w:val="center"/>
            <w:hideMark/>
          </w:tcPr>
          <w:p w14:paraId="673B4C86"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0.08</w:t>
            </w:r>
          </w:p>
        </w:tc>
      </w:tr>
      <w:tr w:rsidR="005828D3" w:rsidRPr="005828D3" w14:paraId="072CF98C" w14:textId="77777777" w:rsidTr="005828D3">
        <w:trPr>
          <w:trHeight w:val="144"/>
        </w:trPr>
        <w:tc>
          <w:tcPr>
            <w:tcW w:w="1981" w:type="pct"/>
            <w:tcBorders>
              <w:top w:val="nil"/>
              <w:left w:val="single" w:sz="4" w:space="0" w:color="auto"/>
              <w:bottom w:val="single" w:sz="4" w:space="0" w:color="auto"/>
              <w:right w:val="single" w:sz="4" w:space="0" w:color="auto"/>
            </w:tcBorders>
            <w:vAlign w:val="center"/>
            <w:hideMark/>
          </w:tcPr>
          <w:p w14:paraId="64C4E314"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Combined Effect size</w:t>
            </w:r>
          </w:p>
        </w:tc>
        <w:tc>
          <w:tcPr>
            <w:tcW w:w="1526" w:type="pct"/>
            <w:tcBorders>
              <w:top w:val="nil"/>
              <w:left w:val="nil"/>
              <w:bottom w:val="single" w:sz="4" w:space="0" w:color="auto"/>
              <w:right w:val="single" w:sz="4" w:space="0" w:color="auto"/>
            </w:tcBorders>
            <w:vAlign w:val="center"/>
            <w:hideMark/>
          </w:tcPr>
          <w:p w14:paraId="70485C2A" w14:textId="17D759B0"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 xml:space="preserve">  </w:t>
            </w:r>
            <w:r w:rsidRPr="005828D3">
              <w:rPr>
                <w:rFonts w:ascii="Times New Roman" w:eastAsia="Times New Roman" w:hAnsi="Times New Roman" w:cs="Times New Roman"/>
                <w:b/>
                <w:bCs/>
                <w:color w:val="000000"/>
                <w:sz w:val="20"/>
                <w:szCs w:val="20"/>
                <w:lang w:eastAsia="en-IN"/>
              </w:rPr>
              <w:t>Observed</w:t>
            </w:r>
          </w:p>
        </w:tc>
        <w:tc>
          <w:tcPr>
            <w:tcW w:w="1493" w:type="pct"/>
            <w:tcBorders>
              <w:top w:val="nil"/>
              <w:left w:val="nil"/>
              <w:bottom w:val="single" w:sz="4" w:space="0" w:color="auto"/>
              <w:right w:val="single" w:sz="4" w:space="0" w:color="auto"/>
            </w:tcBorders>
            <w:vAlign w:val="center"/>
            <w:hideMark/>
          </w:tcPr>
          <w:p w14:paraId="2304B8A9"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 </w:t>
            </w:r>
          </w:p>
        </w:tc>
      </w:tr>
      <w:tr w:rsidR="005828D3" w:rsidRPr="005828D3" w14:paraId="74AD7B1E" w14:textId="77777777" w:rsidTr="005828D3">
        <w:trPr>
          <w:trHeight w:val="290"/>
        </w:trPr>
        <w:tc>
          <w:tcPr>
            <w:tcW w:w="1981" w:type="pct"/>
            <w:tcBorders>
              <w:top w:val="nil"/>
              <w:left w:val="single" w:sz="4" w:space="0" w:color="auto"/>
              <w:bottom w:val="single" w:sz="4" w:space="0" w:color="auto"/>
              <w:right w:val="single" w:sz="4" w:space="0" w:color="auto"/>
            </w:tcBorders>
            <w:vAlign w:val="center"/>
            <w:hideMark/>
          </w:tcPr>
          <w:p w14:paraId="636E34A4"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Effect Size</w:t>
            </w:r>
          </w:p>
        </w:tc>
        <w:tc>
          <w:tcPr>
            <w:tcW w:w="1526" w:type="pct"/>
            <w:tcBorders>
              <w:top w:val="nil"/>
              <w:left w:val="nil"/>
              <w:bottom w:val="single" w:sz="4" w:space="0" w:color="auto"/>
              <w:right w:val="single" w:sz="4" w:space="0" w:color="auto"/>
            </w:tcBorders>
            <w:vAlign w:val="center"/>
            <w:hideMark/>
          </w:tcPr>
          <w:p w14:paraId="15E66E0B"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0.77</w:t>
            </w:r>
          </w:p>
        </w:tc>
        <w:tc>
          <w:tcPr>
            <w:tcW w:w="1493" w:type="pct"/>
            <w:tcBorders>
              <w:top w:val="nil"/>
              <w:left w:val="nil"/>
              <w:bottom w:val="single" w:sz="4" w:space="0" w:color="auto"/>
              <w:right w:val="single" w:sz="4" w:space="0" w:color="auto"/>
            </w:tcBorders>
            <w:vAlign w:val="center"/>
            <w:hideMark/>
          </w:tcPr>
          <w:p w14:paraId="44185624"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 </w:t>
            </w:r>
          </w:p>
        </w:tc>
      </w:tr>
      <w:tr w:rsidR="005828D3" w:rsidRPr="005828D3" w14:paraId="07927AA2" w14:textId="77777777" w:rsidTr="005828D3">
        <w:trPr>
          <w:trHeight w:val="290"/>
        </w:trPr>
        <w:tc>
          <w:tcPr>
            <w:tcW w:w="1981" w:type="pct"/>
            <w:tcBorders>
              <w:top w:val="nil"/>
              <w:left w:val="single" w:sz="4" w:space="0" w:color="auto"/>
              <w:bottom w:val="single" w:sz="4" w:space="0" w:color="auto"/>
              <w:right w:val="single" w:sz="4" w:space="0" w:color="auto"/>
            </w:tcBorders>
            <w:vAlign w:val="center"/>
            <w:hideMark/>
          </w:tcPr>
          <w:p w14:paraId="3E591826"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SE (z)</w:t>
            </w:r>
          </w:p>
        </w:tc>
        <w:tc>
          <w:tcPr>
            <w:tcW w:w="1526" w:type="pct"/>
            <w:tcBorders>
              <w:top w:val="nil"/>
              <w:left w:val="nil"/>
              <w:bottom w:val="single" w:sz="4" w:space="0" w:color="auto"/>
              <w:right w:val="single" w:sz="4" w:space="0" w:color="auto"/>
            </w:tcBorders>
            <w:vAlign w:val="center"/>
            <w:hideMark/>
          </w:tcPr>
          <w:p w14:paraId="7B003328"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0.31</w:t>
            </w:r>
          </w:p>
        </w:tc>
        <w:tc>
          <w:tcPr>
            <w:tcW w:w="1493" w:type="pct"/>
            <w:tcBorders>
              <w:top w:val="nil"/>
              <w:left w:val="nil"/>
              <w:bottom w:val="single" w:sz="4" w:space="0" w:color="auto"/>
              <w:right w:val="single" w:sz="4" w:space="0" w:color="auto"/>
            </w:tcBorders>
            <w:vAlign w:val="center"/>
            <w:hideMark/>
          </w:tcPr>
          <w:p w14:paraId="51B77F10"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 </w:t>
            </w:r>
          </w:p>
        </w:tc>
      </w:tr>
      <w:tr w:rsidR="005828D3" w:rsidRPr="005828D3" w14:paraId="4DF5401E" w14:textId="77777777" w:rsidTr="005828D3">
        <w:trPr>
          <w:trHeight w:val="46"/>
        </w:trPr>
        <w:tc>
          <w:tcPr>
            <w:tcW w:w="1981" w:type="pct"/>
            <w:tcBorders>
              <w:top w:val="nil"/>
              <w:left w:val="single" w:sz="4" w:space="0" w:color="auto"/>
              <w:bottom w:val="single" w:sz="4" w:space="0" w:color="auto"/>
              <w:right w:val="single" w:sz="4" w:space="0" w:color="auto"/>
            </w:tcBorders>
            <w:vAlign w:val="center"/>
            <w:hideMark/>
          </w:tcPr>
          <w:p w14:paraId="197748F5"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lastRenderedPageBreak/>
              <w:t>CI Lower limit</w:t>
            </w:r>
          </w:p>
        </w:tc>
        <w:tc>
          <w:tcPr>
            <w:tcW w:w="1526" w:type="pct"/>
            <w:tcBorders>
              <w:top w:val="nil"/>
              <w:left w:val="nil"/>
              <w:bottom w:val="single" w:sz="4" w:space="0" w:color="auto"/>
              <w:right w:val="single" w:sz="4" w:space="0" w:color="auto"/>
            </w:tcBorders>
            <w:vAlign w:val="center"/>
            <w:hideMark/>
          </w:tcPr>
          <w:p w14:paraId="1036AA03"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0.07</w:t>
            </w:r>
          </w:p>
        </w:tc>
        <w:tc>
          <w:tcPr>
            <w:tcW w:w="1493" w:type="pct"/>
            <w:tcBorders>
              <w:top w:val="nil"/>
              <w:left w:val="nil"/>
              <w:bottom w:val="single" w:sz="4" w:space="0" w:color="auto"/>
              <w:right w:val="single" w:sz="4" w:space="0" w:color="auto"/>
            </w:tcBorders>
            <w:vAlign w:val="center"/>
            <w:hideMark/>
          </w:tcPr>
          <w:p w14:paraId="1C24E1C0"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 </w:t>
            </w:r>
          </w:p>
        </w:tc>
      </w:tr>
      <w:tr w:rsidR="005828D3" w:rsidRPr="005828D3" w14:paraId="2D85F6C2" w14:textId="77777777" w:rsidTr="005828D3">
        <w:trPr>
          <w:trHeight w:val="46"/>
        </w:trPr>
        <w:tc>
          <w:tcPr>
            <w:tcW w:w="1981" w:type="pct"/>
            <w:tcBorders>
              <w:top w:val="nil"/>
              <w:left w:val="single" w:sz="4" w:space="0" w:color="auto"/>
              <w:bottom w:val="single" w:sz="4" w:space="0" w:color="auto"/>
              <w:right w:val="single" w:sz="4" w:space="0" w:color="auto"/>
            </w:tcBorders>
            <w:vAlign w:val="center"/>
            <w:hideMark/>
          </w:tcPr>
          <w:p w14:paraId="54A98FAC"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CI Upper limit</w:t>
            </w:r>
          </w:p>
        </w:tc>
        <w:tc>
          <w:tcPr>
            <w:tcW w:w="1526" w:type="pct"/>
            <w:tcBorders>
              <w:top w:val="nil"/>
              <w:left w:val="nil"/>
              <w:bottom w:val="single" w:sz="4" w:space="0" w:color="auto"/>
              <w:right w:val="single" w:sz="4" w:space="0" w:color="auto"/>
            </w:tcBorders>
            <w:vAlign w:val="center"/>
            <w:hideMark/>
          </w:tcPr>
          <w:p w14:paraId="07F98BFC"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1.46</w:t>
            </w:r>
          </w:p>
        </w:tc>
        <w:tc>
          <w:tcPr>
            <w:tcW w:w="1493" w:type="pct"/>
            <w:tcBorders>
              <w:top w:val="nil"/>
              <w:left w:val="nil"/>
              <w:bottom w:val="single" w:sz="4" w:space="0" w:color="auto"/>
              <w:right w:val="single" w:sz="4" w:space="0" w:color="auto"/>
            </w:tcBorders>
            <w:vAlign w:val="center"/>
            <w:hideMark/>
          </w:tcPr>
          <w:p w14:paraId="0B7BF580"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 </w:t>
            </w:r>
          </w:p>
        </w:tc>
      </w:tr>
      <w:tr w:rsidR="005828D3" w:rsidRPr="005828D3" w14:paraId="4B134C37" w14:textId="77777777" w:rsidTr="005828D3">
        <w:trPr>
          <w:trHeight w:val="135"/>
        </w:trPr>
        <w:tc>
          <w:tcPr>
            <w:tcW w:w="1981" w:type="pct"/>
            <w:tcBorders>
              <w:top w:val="nil"/>
              <w:left w:val="single" w:sz="4" w:space="0" w:color="auto"/>
              <w:bottom w:val="single" w:sz="4" w:space="0" w:color="auto"/>
              <w:right w:val="single" w:sz="4" w:space="0" w:color="auto"/>
            </w:tcBorders>
            <w:vAlign w:val="center"/>
            <w:hideMark/>
          </w:tcPr>
          <w:p w14:paraId="0758405B"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PI Lower limit</w:t>
            </w:r>
          </w:p>
        </w:tc>
        <w:tc>
          <w:tcPr>
            <w:tcW w:w="1526" w:type="pct"/>
            <w:tcBorders>
              <w:top w:val="nil"/>
              <w:left w:val="nil"/>
              <w:bottom w:val="single" w:sz="4" w:space="0" w:color="auto"/>
              <w:right w:val="single" w:sz="4" w:space="0" w:color="auto"/>
            </w:tcBorders>
            <w:vAlign w:val="center"/>
            <w:hideMark/>
          </w:tcPr>
          <w:p w14:paraId="5FA9884C"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-3.05</w:t>
            </w:r>
          </w:p>
        </w:tc>
        <w:tc>
          <w:tcPr>
            <w:tcW w:w="1493" w:type="pct"/>
            <w:tcBorders>
              <w:top w:val="nil"/>
              <w:left w:val="nil"/>
              <w:bottom w:val="single" w:sz="4" w:space="0" w:color="auto"/>
              <w:right w:val="single" w:sz="4" w:space="0" w:color="auto"/>
            </w:tcBorders>
            <w:vAlign w:val="center"/>
            <w:hideMark/>
          </w:tcPr>
          <w:p w14:paraId="05DEB004"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 </w:t>
            </w:r>
          </w:p>
        </w:tc>
      </w:tr>
      <w:tr w:rsidR="005828D3" w:rsidRPr="005828D3" w14:paraId="55786E47" w14:textId="77777777" w:rsidTr="005828D3">
        <w:trPr>
          <w:trHeight w:val="46"/>
        </w:trPr>
        <w:tc>
          <w:tcPr>
            <w:tcW w:w="1981" w:type="pct"/>
            <w:tcBorders>
              <w:top w:val="nil"/>
              <w:left w:val="single" w:sz="4" w:space="0" w:color="auto"/>
              <w:bottom w:val="single" w:sz="4" w:space="0" w:color="auto"/>
              <w:right w:val="single" w:sz="4" w:space="0" w:color="auto"/>
            </w:tcBorders>
            <w:vAlign w:val="center"/>
            <w:hideMark/>
          </w:tcPr>
          <w:p w14:paraId="3E5FADC0"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PI Upper limit</w:t>
            </w:r>
          </w:p>
        </w:tc>
        <w:tc>
          <w:tcPr>
            <w:tcW w:w="1526" w:type="pct"/>
            <w:tcBorders>
              <w:top w:val="nil"/>
              <w:left w:val="nil"/>
              <w:bottom w:val="single" w:sz="4" w:space="0" w:color="auto"/>
              <w:right w:val="single" w:sz="4" w:space="0" w:color="auto"/>
            </w:tcBorders>
            <w:vAlign w:val="center"/>
            <w:hideMark/>
          </w:tcPr>
          <w:p w14:paraId="77997B6F"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4.59</w:t>
            </w:r>
          </w:p>
        </w:tc>
        <w:tc>
          <w:tcPr>
            <w:tcW w:w="1493" w:type="pct"/>
            <w:tcBorders>
              <w:top w:val="nil"/>
              <w:left w:val="nil"/>
              <w:bottom w:val="single" w:sz="4" w:space="0" w:color="auto"/>
              <w:right w:val="single" w:sz="4" w:space="0" w:color="auto"/>
            </w:tcBorders>
            <w:vAlign w:val="center"/>
            <w:hideMark/>
          </w:tcPr>
          <w:p w14:paraId="5621459D"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 </w:t>
            </w:r>
          </w:p>
        </w:tc>
      </w:tr>
      <w:tr w:rsidR="005828D3" w:rsidRPr="005828D3" w14:paraId="4B5204DC" w14:textId="77777777" w:rsidTr="005828D3">
        <w:trPr>
          <w:trHeight w:val="46"/>
        </w:trPr>
        <w:tc>
          <w:tcPr>
            <w:tcW w:w="1981" w:type="pct"/>
            <w:tcBorders>
              <w:top w:val="nil"/>
              <w:left w:val="single" w:sz="4" w:space="0" w:color="auto"/>
              <w:bottom w:val="single" w:sz="4" w:space="0" w:color="auto"/>
              <w:right w:val="single" w:sz="4" w:space="0" w:color="auto"/>
            </w:tcBorders>
            <w:vAlign w:val="center"/>
            <w:hideMark/>
          </w:tcPr>
          <w:p w14:paraId="082B7642"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Heterogeneity</w:t>
            </w:r>
          </w:p>
        </w:tc>
        <w:tc>
          <w:tcPr>
            <w:tcW w:w="1526" w:type="pct"/>
            <w:tcBorders>
              <w:top w:val="nil"/>
              <w:left w:val="nil"/>
              <w:bottom w:val="single" w:sz="4" w:space="0" w:color="auto"/>
              <w:right w:val="single" w:sz="4" w:space="0" w:color="auto"/>
            </w:tcBorders>
            <w:vAlign w:val="center"/>
            <w:hideMark/>
          </w:tcPr>
          <w:p w14:paraId="06647B00"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 </w:t>
            </w:r>
          </w:p>
        </w:tc>
        <w:tc>
          <w:tcPr>
            <w:tcW w:w="1493" w:type="pct"/>
            <w:tcBorders>
              <w:top w:val="nil"/>
              <w:left w:val="nil"/>
              <w:bottom w:val="single" w:sz="4" w:space="0" w:color="auto"/>
              <w:right w:val="single" w:sz="4" w:space="0" w:color="auto"/>
            </w:tcBorders>
            <w:vAlign w:val="center"/>
            <w:hideMark/>
          </w:tcPr>
          <w:p w14:paraId="57CF6B3E"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 </w:t>
            </w:r>
          </w:p>
        </w:tc>
      </w:tr>
      <w:tr w:rsidR="005828D3" w:rsidRPr="005828D3" w14:paraId="74544C00" w14:textId="77777777" w:rsidTr="005828D3">
        <w:trPr>
          <w:trHeight w:val="290"/>
        </w:trPr>
        <w:tc>
          <w:tcPr>
            <w:tcW w:w="1981" w:type="pct"/>
            <w:tcBorders>
              <w:top w:val="nil"/>
              <w:left w:val="single" w:sz="4" w:space="0" w:color="auto"/>
              <w:bottom w:val="single" w:sz="4" w:space="0" w:color="auto"/>
              <w:right w:val="single" w:sz="4" w:space="0" w:color="auto"/>
            </w:tcBorders>
            <w:vAlign w:val="center"/>
            <w:hideMark/>
          </w:tcPr>
          <w:p w14:paraId="249155DF"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Q</w:t>
            </w:r>
          </w:p>
        </w:tc>
        <w:tc>
          <w:tcPr>
            <w:tcW w:w="1526" w:type="pct"/>
            <w:tcBorders>
              <w:top w:val="nil"/>
              <w:left w:val="nil"/>
              <w:bottom w:val="single" w:sz="4" w:space="0" w:color="auto"/>
              <w:right w:val="single" w:sz="4" w:space="0" w:color="auto"/>
            </w:tcBorders>
            <w:vAlign w:val="center"/>
            <w:hideMark/>
          </w:tcPr>
          <w:p w14:paraId="76981FB4"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398.65</w:t>
            </w:r>
          </w:p>
        </w:tc>
        <w:tc>
          <w:tcPr>
            <w:tcW w:w="1493" w:type="pct"/>
            <w:tcBorders>
              <w:top w:val="nil"/>
              <w:left w:val="nil"/>
              <w:bottom w:val="single" w:sz="4" w:space="0" w:color="auto"/>
              <w:right w:val="single" w:sz="4" w:space="0" w:color="auto"/>
            </w:tcBorders>
            <w:vAlign w:val="center"/>
            <w:hideMark/>
          </w:tcPr>
          <w:p w14:paraId="45053879"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 </w:t>
            </w:r>
          </w:p>
        </w:tc>
      </w:tr>
      <w:tr w:rsidR="005828D3" w:rsidRPr="005828D3" w14:paraId="319921A7" w14:textId="77777777" w:rsidTr="005828D3">
        <w:trPr>
          <w:trHeight w:val="300"/>
        </w:trPr>
        <w:tc>
          <w:tcPr>
            <w:tcW w:w="1981" w:type="pct"/>
            <w:tcBorders>
              <w:top w:val="nil"/>
              <w:left w:val="single" w:sz="4" w:space="0" w:color="auto"/>
              <w:bottom w:val="single" w:sz="4" w:space="0" w:color="auto"/>
              <w:right w:val="single" w:sz="4" w:space="0" w:color="auto"/>
            </w:tcBorders>
            <w:vAlign w:val="center"/>
            <w:hideMark/>
          </w:tcPr>
          <w:p w14:paraId="60F4983B"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p</w:t>
            </w:r>
            <w:r w:rsidRPr="005828D3">
              <w:rPr>
                <w:rFonts w:ascii="Times New Roman" w:eastAsia="Times New Roman" w:hAnsi="Times New Roman" w:cs="Times New Roman"/>
                <w:color w:val="000000"/>
                <w:sz w:val="20"/>
                <w:szCs w:val="20"/>
                <w:vertAlign w:val="subscript"/>
                <w:lang w:eastAsia="en-IN"/>
              </w:rPr>
              <w:t>Q</w:t>
            </w:r>
          </w:p>
        </w:tc>
        <w:tc>
          <w:tcPr>
            <w:tcW w:w="1526" w:type="pct"/>
            <w:tcBorders>
              <w:top w:val="nil"/>
              <w:left w:val="nil"/>
              <w:bottom w:val="single" w:sz="4" w:space="0" w:color="auto"/>
              <w:right w:val="single" w:sz="4" w:space="0" w:color="auto"/>
            </w:tcBorders>
            <w:vAlign w:val="center"/>
            <w:hideMark/>
          </w:tcPr>
          <w:p w14:paraId="2280EF92"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0</w:t>
            </w:r>
          </w:p>
        </w:tc>
        <w:tc>
          <w:tcPr>
            <w:tcW w:w="1493" w:type="pct"/>
            <w:tcBorders>
              <w:top w:val="nil"/>
              <w:left w:val="nil"/>
              <w:bottom w:val="single" w:sz="4" w:space="0" w:color="auto"/>
              <w:right w:val="single" w:sz="4" w:space="0" w:color="auto"/>
            </w:tcBorders>
            <w:vAlign w:val="center"/>
            <w:hideMark/>
          </w:tcPr>
          <w:p w14:paraId="4773693D"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 </w:t>
            </w:r>
          </w:p>
        </w:tc>
      </w:tr>
      <w:tr w:rsidR="005828D3" w:rsidRPr="005828D3" w14:paraId="241FBD0F" w14:textId="77777777" w:rsidTr="005828D3">
        <w:trPr>
          <w:trHeight w:val="310"/>
        </w:trPr>
        <w:tc>
          <w:tcPr>
            <w:tcW w:w="1981" w:type="pct"/>
            <w:tcBorders>
              <w:top w:val="nil"/>
              <w:left w:val="single" w:sz="4" w:space="0" w:color="auto"/>
              <w:bottom w:val="single" w:sz="4" w:space="0" w:color="auto"/>
              <w:right w:val="single" w:sz="4" w:space="0" w:color="auto"/>
            </w:tcBorders>
            <w:vAlign w:val="center"/>
            <w:hideMark/>
          </w:tcPr>
          <w:p w14:paraId="5AACCB00"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I</w:t>
            </w:r>
            <w:r w:rsidRPr="005828D3">
              <w:rPr>
                <w:rFonts w:ascii="Times New Roman" w:eastAsia="Times New Roman" w:hAnsi="Times New Roman" w:cs="Times New Roman"/>
                <w:color w:val="000000"/>
                <w:sz w:val="20"/>
                <w:szCs w:val="20"/>
                <w:vertAlign w:val="superscript"/>
                <w:lang w:eastAsia="en-IN"/>
              </w:rPr>
              <w:t>2</w:t>
            </w:r>
          </w:p>
        </w:tc>
        <w:tc>
          <w:tcPr>
            <w:tcW w:w="1526" w:type="pct"/>
            <w:tcBorders>
              <w:top w:val="nil"/>
              <w:left w:val="nil"/>
              <w:bottom w:val="single" w:sz="4" w:space="0" w:color="auto"/>
              <w:right w:val="single" w:sz="4" w:space="0" w:color="auto"/>
            </w:tcBorders>
            <w:vAlign w:val="center"/>
            <w:hideMark/>
          </w:tcPr>
          <w:p w14:paraId="31F495D8"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97.74%</w:t>
            </w:r>
          </w:p>
        </w:tc>
        <w:tc>
          <w:tcPr>
            <w:tcW w:w="1493" w:type="pct"/>
            <w:tcBorders>
              <w:top w:val="nil"/>
              <w:left w:val="nil"/>
              <w:bottom w:val="single" w:sz="4" w:space="0" w:color="auto"/>
              <w:right w:val="single" w:sz="4" w:space="0" w:color="auto"/>
            </w:tcBorders>
            <w:vAlign w:val="center"/>
            <w:hideMark/>
          </w:tcPr>
          <w:p w14:paraId="0F2546F4"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 </w:t>
            </w:r>
          </w:p>
        </w:tc>
      </w:tr>
      <w:tr w:rsidR="005828D3" w:rsidRPr="005828D3" w14:paraId="495C7F02" w14:textId="77777777" w:rsidTr="005828D3">
        <w:trPr>
          <w:trHeight w:val="310"/>
        </w:trPr>
        <w:tc>
          <w:tcPr>
            <w:tcW w:w="1981" w:type="pct"/>
            <w:tcBorders>
              <w:top w:val="nil"/>
              <w:left w:val="single" w:sz="4" w:space="0" w:color="auto"/>
              <w:bottom w:val="single" w:sz="4" w:space="0" w:color="auto"/>
              <w:right w:val="single" w:sz="4" w:space="0" w:color="auto"/>
            </w:tcBorders>
            <w:vAlign w:val="center"/>
            <w:hideMark/>
          </w:tcPr>
          <w:p w14:paraId="70A4A7B0"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T</w:t>
            </w:r>
            <w:r w:rsidRPr="005828D3">
              <w:rPr>
                <w:rFonts w:ascii="Times New Roman" w:eastAsia="Times New Roman" w:hAnsi="Times New Roman" w:cs="Times New Roman"/>
                <w:color w:val="000000"/>
                <w:sz w:val="20"/>
                <w:szCs w:val="20"/>
                <w:vertAlign w:val="superscript"/>
                <w:lang w:eastAsia="en-IN"/>
              </w:rPr>
              <w:t>2</w:t>
            </w:r>
          </w:p>
        </w:tc>
        <w:tc>
          <w:tcPr>
            <w:tcW w:w="1526" w:type="pct"/>
            <w:tcBorders>
              <w:top w:val="nil"/>
              <w:left w:val="nil"/>
              <w:bottom w:val="single" w:sz="4" w:space="0" w:color="auto"/>
              <w:right w:val="single" w:sz="4" w:space="0" w:color="auto"/>
            </w:tcBorders>
            <w:vAlign w:val="center"/>
            <w:hideMark/>
          </w:tcPr>
          <w:p w14:paraId="77C1F076"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2.76</w:t>
            </w:r>
          </w:p>
        </w:tc>
        <w:tc>
          <w:tcPr>
            <w:tcW w:w="1493" w:type="pct"/>
            <w:tcBorders>
              <w:top w:val="nil"/>
              <w:left w:val="nil"/>
              <w:bottom w:val="single" w:sz="4" w:space="0" w:color="auto"/>
              <w:right w:val="single" w:sz="4" w:space="0" w:color="auto"/>
            </w:tcBorders>
            <w:vAlign w:val="center"/>
            <w:hideMark/>
          </w:tcPr>
          <w:p w14:paraId="6632E3DD"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 </w:t>
            </w:r>
          </w:p>
        </w:tc>
      </w:tr>
      <w:tr w:rsidR="005828D3" w:rsidRPr="005828D3" w14:paraId="26B621EC" w14:textId="77777777" w:rsidTr="005828D3">
        <w:trPr>
          <w:trHeight w:val="290"/>
        </w:trPr>
        <w:tc>
          <w:tcPr>
            <w:tcW w:w="1981" w:type="pct"/>
            <w:tcBorders>
              <w:top w:val="nil"/>
              <w:left w:val="single" w:sz="4" w:space="0" w:color="auto"/>
              <w:bottom w:val="single" w:sz="4" w:space="0" w:color="auto"/>
              <w:right w:val="single" w:sz="4" w:space="0" w:color="auto"/>
            </w:tcBorders>
            <w:vAlign w:val="center"/>
            <w:hideMark/>
          </w:tcPr>
          <w:p w14:paraId="7C8154E0"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T</w:t>
            </w:r>
          </w:p>
        </w:tc>
        <w:tc>
          <w:tcPr>
            <w:tcW w:w="1526" w:type="pct"/>
            <w:tcBorders>
              <w:top w:val="nil"/>
              <w:left w:val="nil"/>
              <w:bottom w:val="single" w:sz="4" w:space="0" w:color="auto"/>
              <w:right w:val="single" w:sz="4" w:space="0" w:color="auto"/>
            </w:tcBorders>
            <w:vAlign w:val="center"/>
            <w:hideMark/>
          </w:tcPr>
          <w:p w14:paraId="08A21DD3"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1.66</w:t>
            </w:r>
          </w:p>
        </w:tc>
        <w:tc>
          <w:tcPr>
            <w:tcW w:w="1493" w:type="pct"/>
            <w:tcBorders>
              <w:top w:val="nil"/>
              <w:left w:val="nil"/>
              <w:bottom w:val="single" w:sz="4" w:space="0" w:color="auto"/>
              <w:right w:val="single" w:sz="4" w:space="0" w:color="auto"/>
            </w:tcBorders>
            <w:vAlign w:val="center"/>
            <w:hideMark/>
          </w:tcPr>
          <w:p w14:paraId="4E5ED249" w14:textId="77777777" w:rsidR="005828D3" w:rsidRPr="005828D3" w:rsidRDefault="005828D3" w:rsidP="005828D3">
            <w:pPr>
              <w:spacing w:after="0" w:line="240" w:lineRule="auto"/>
              <w:jc w:val="center"/>
              <w:rPr>
                <w:rFonts w:ascii="Times New Roman" w:eastAsia="Times New Roman" w:hAnsi="Times New Roman" w:cs="Times New Roman"/>
                <w:color w:val="000000"/>
                <w:sz w:val="20"/>
                <w:szCs w:val="20"/>
                <w:lang w:val="en-IN" w:eastAsia="en-IN"/>
              </w:rPr>
            </w:pPr>
            <w:r w:rsidRPr="005828D3">
              <w:rPr>
                <w:rFonts w:ascii="Times New Roman" w:eastAsia="Times New Roman" w:hAnsi="Times New Roman" w:cs="Times New Roman"/>
                <w:color w:val="000000"/>
                <w:sz w:val="20"/>
                <w:szCs w:val="20"/>
                <w:lang w:eastAsia="en-IN"/>
              </w:rPr>
              <w:t> </w:t>
            </w:r>
          </w:p>
        </w:tc>
      </w:tr>
    </w:tbl>
    <w:p w14:paraId="607348D0" w14:textId="77777777" w:rsidR="005828D3" w:rsidRDefault="005828D3" w:rsidP="005828D3">
      <w:pPr>
        <w:spacing w:after="0" w:line="360" w:lineRule="auto"/>
        <w:jc w:val="center"/>
        <w:rPr>
          <w:rFonts w:ascii="Times New Roman" w:hAnsi="Times New Roman" w:cs="Times New Roman"/>
          <w:sz w:val="20"/>
          <w:szCs w:val="20"/>
        </w:rPr>
      </w:pPr>
    </w:p>
    <w:p w14:paraId="531B3B88" w14:textId="77777777" w:rsidR="002836EA" w:rsidRDefault="002836EA" w:rsidP="005828D3">
      <w:pPr>
        <w:spacing w:after="0" w:line="360" w:lineRule="auto"/>
        <w:jc w:val="center"/>
        <w:rPr>
          <w:rFonts w:ascii="Times New Roman" w:hAnsi="Times New Roman" w:cs="Times New Roman"/>
          <w:sz w:val="20"/>
          <w:szCs w:val="20"/>
        </w:rPr>
      </w:pPr>
    </w:p>
    <w:p w14:paraId="18C12FEA" w14:textId="77777777" w:rsidR="005828D3" w:rsidRDefault="005828D3" w:rsidP="005828D3">
      <w:pPr>
        <w:spacing w:after="0" w:line="360" w:lineRule="auto"/>
        <w:jc w:val="center"/>
        <w:rPr>
          <w:rFonts w:ascii="Times New Roman" w:hAnsi="Times New Roman" w:cs="Times New Roman"/>
          <w:b/>
          <w:bCs/>
          <w:color w:val="0070C0"/>
          <w:sz w:val="20"/>
          <w:szCs w:val="20"/>
        </w:rPr>
      </w:pPr>
    </w:p>
    <w:p w14:paraId="57863773" w14:textId="32A5ABEB" w:rsidR="005828D3" w:rsidRDefault="005828D3" w:rsidP="005828D3">
      <w:pPr>
        <w:spacing w:after="0" w:line="360" w:lineRule="auto"/>
        <w:jc w:val="center"/>
        <w:rPr>
          <w:rFonts w:ascii="Times New Roman" w:hAnsi="Times New Roman" w:cs="Times New Roman"/>
          <w:sz w:val="20"/>
          <w:szCs w:val="20"/>
        </w:rPr>
      </w:pPr>
      <w:r w:rsidRPr="005828D3">
        <w:rPr>
          <w:rFonts w:ascii="Times New Roman" w:hAnsi="Times New Roman" w:cs="Times New Roman"/>
          <w:b/>
          <w:bCs/>
          <w:color w:val="0070C0"/>
          <w:sz w:val="20"/>
          <w:szCs w:val="20"/>
        </w:rPr>
        <w:t>Table 5:</w:t>
      </w:r>
      <w:r w:rsidRPr="005828D3">
        <w:rPr>
          <w:rFonts w:ascii="Times New Roman" w:hAnsi="Times New Roman" w:cs="Times New Roman"/>
          <w:sz w:val="20"/>
          <w:szCs w:val="20"/>
        </w:rPr>
        <w:t xml:space="preserve"> Egger Regression</w:t>
      </w:r>
    </w:p>
    <w:tbl>
      <w:tblPr>
        <w:tblW w:w="5000" w:type="pct"/>
        <w:tblLook w:val="04A0" w:firstRow="1" w:lastRow="0" w:firstColumn="1" w:lastColumn="0" w:noHBand="0" w:noVBand="1"/>
      </w:tblPr>
      <w:tblGrid>
        <w:gridCol w:w="1895"/>
        <w:gridCol w:w="1888"/>
        <w:gridCol w:w="2294"/>
        <w:gridCol w:w="1750"/>
        <w:gridCol w:w="1749"/>
      </w:tblGrid>
      <w:tr w:rsidR="00BB40F4" w:rsidRPr="00BB40F4" w14:paraId="77B9867C" w14:textId="77777777" w:rsidTr="00BB40F4">
        <w:trPr>
          <w:trHeight w:val="454"/>
        </w:trPr>
        <w:tc>
          <w:tcPr>
            <w:tcW w:w="989" w:type="pct"/>
            <w:tcBorders>
              <w:top w:val="single" w:sz="4" w:space="0" w:color="auto"/>
              <w:left w:val="single" w:sz="4" w:space="0" w:color="auto"/>
              <w:bottom w:val="single" w:sz="4" w:space="0" w:color="auto"/>
              <w:right w:val="single" w:sz="4" w:space="0" w:color="auto"/>
            </w:tcBorders>
            <w:vAlign w:val="center"/>
            <w:hideMark/>
          </w:tcPr>
          <w:p w14:paraId="5E1784CC"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 </w:t>
            </w:r>
          </w:p>
        </w:tc>
        <w:tc>
          <w:tcPr>
            <w:tcW w:w="986" w:type="pct"/>
            <w:tcBorders>
              <w:top w:val="single" w:sz="4" w:space="0" w:color="auto"/>
              <w:left w:val="nil"/>
              <w:bottom w:val="single" w:sz="4" w:space="0" w:color="auto"/>
              <w:right w:val="single" w:sz="4" w:space="0" w:color="auto"/>
            </w:tcBorders>
            <w:vAlign w:val="center"/>
            <w:hideMark/>
          </w:tcPr>
          <w:p w14:paraId="474E724E"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 </w:t>
            </w:r>
          </w:p>
        </w:tc>
        <w:tc>
          <w:tcPr>
            <w:tcW w:w="1198" w:type="pct"/>
            <w:tcBorders>
              <w:top w:val="single" w:sz="4" w:space="0" w:color="auto"/>
              <w:left w:val="nil"/>
              <w:bottom w:val="single" w:sz="4" w:space="0" w:color="auto"/>
              <w:right w:val="single" w:sz="4" w:space="0" w:color="auto"/>
            </w:tcBorders>
            <w:vAlign w:val="center"/>
            <w:hideMark/>
          </w:tcPr>
          <w:p w14:paraId="2783FF44" w14:textId="77777777" w:rsidR="00BB40F4" w:rsidRPr="00BB40F4" w:rsidRDefault="00BB40F4" w:rsidP="00BB40F4">
            <w:pPr>
              <w:spacing w:after="0" w:line="240" w:lineRule="auto"/>
              <w:jc w:val="center"/>
              <w:rPr>
                <w:rFonts w:ascii="Times New Roman" w:eastAsia="Times New Roman" w:hAnsi="Times New Roman" w:cs="Times New Roman"/>
                <w:b/>
                <w:bCs/>
                <w:color w:val="000000"/>
                <w:sz w:val="20"/>
                <w:szCs w:val="20"/>
                <w:lang w:val="en-IN" w:eastAsia="en-IN"/>
              </w:rPr>
            </w:pPr>
            <w:r w:rsidRPr="00BB40F4">
              <w:rPr>
                <w:rFonts w:ascii="Times New Roman" w:eastAsia="Times New Roman" w:hAnsi="Times New Roman" w:cs="Times New Roman"/>
                <w:b/>
                <w:bCs/>
                <w:color w:val="000000"/>
                <w:sz w:val="20"/>
                <w:szCs w:val="20"/>
                <w:lang w:eastAsia="en-IN"/>
              </w:rPr>
              <w:t>Egger Regression</w:t>
            </w:r>
          </w:p>
        </w:tc>
        <w:tc>
          <w:tcPr>
            <w:tcW w:w="914" w:type="pct"/>
            <w:tcBorders>
              <w:top w:val="single" w:sz="4" w:space="0" w:color="auto"/>
              <w:left w:val="nil"/>
              <w:bottom w:val="single" w:sz="4" w:space="0" w:color="auto"/>
              <w:right w:val="single" w:sz="4" w:space="0" w:color="auto"/>
            </w:tcBorders>
            <w:vAlign w:val="center"/>
            <w:hideMark/>
          </w:tcPr>
          <w:p w14:paraId="0DE4A0E2"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 </w:t>
            </w:r>
          </w:p>
        </w:tc>
        <w:tc>
          <w:tcPr>
            <w:tcW w:w="914" w:type="pct"/>
            <w:tcBorders>
              <w:top w:val="single" w:sz="4" w:space="0" w:color="auto"/>
              <w:left w:val="nil"/>
              <w:bottom w:val="single" w:sz="4" w:space="0" w:color="auto"/>
              <w:right w:val="single" w:sz="4" w:space="0" w:color="auto"/>
            </w:tcBorders>
            <w:vAlign w:val="center"/>
            <w:hideMark/>
          </w:tcPr>
          <w:p w14:paraId="16FCB507"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 </w:t>
            </w:r>
          </w:p>
        </w:tc>
      </w:tr>
      <w:tr w:rsidR="00BB40F4" w:rsidRPr="00BB40F4" w14:paraId="38E95461" w14:textId="77777777" w:rsidTr="00BB40F4">
        <w:trPr>
          <w:trHeight w:val="290"/>
        </w:trPr>
        <w:tc>
          <w:tcPr>
            <w:tcW w:w="989" w:type="pct"/>
            <w:tcBorders>
              <w:top w:val="nil"/>
              <w:left w:val="single" w:sz="4" w:space="0" w:color="auto"/>
              <w:bottom w:val="single" w:sz="4" w:space="0" w:color="auto"/>
              <w:right w:val="single" w:sz="4" w:space="0" w:color="auto"/>
            </w:tcBorders>
            <w:vAlign w:val="center"/>
            <w:hideMark/>
          </w:tcPr>
          <w:p w14:paraId="2369450D"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 </w:t>
            </w:r>
          </w:p>
        </w:tc>
        <w:tc>
          <w:tcPr>
            <w:tcW w:w="986" w:type="pct"/>
            <w:tcBorders>
              <w:top w:val="nil"/>
              <w:left w:val="nil"/>
              <w:bottom w:val="single" w:sz="4" w:space="0" w:color="auto"/>
              <w:right w:val="single" w:sz="4" w:space="0" w:color="auto"/>
            </w:tcBorders>
            <w:vAlign w:val="center"/>
            <w:hideMark/>
          </w:tcPr>
          <w:p w14:paraId="188ABCE5"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Estimate</w:t>
            </w:r>
          </w:p>
        </w:tc>
        <w:tc>
          <w:tcPr>
            <w:tcW w:w="1198" w:type="pct"/>
            <w:tcBorders>
              <w:top w:val="nil"/>
              <w:left w:val="nil"/>
              <w:bottom w:val="single" w:sz="4" w:space="0" w:color="auto"/>
              <w:right w:val="single" w:sz="4" w:space="0" w:color="auto"/>
            </w:tcBorders>
            <w:vAlign w:val="center"/>
            <w:hideMark/>
          </w:tcPr>
          <w:p w14:paraId="1D7D675F"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SE</w:t>
            </w:r>
          </w:p>
        </w:tc>
        <w:tc>
          <w:tcPr>
            <w:tcW w:w="914" w:type="pct"/>
            <w:tcBorders>
              <w:top w:val="nil"/>
              <w:left w:val="nil"/>
              <w:bottom w:val="single" w:sz="4" w:space="0" w:color="auto"/>
              <w:right w:val="single" w:sz="4" w:space="0" w:color="auto"/>
            </w:tcBorders>
            <w:vAlign w:val="center"/>
            <w:hideMark/>
          </w:tcPr>
          <w:p w14:paraId="6EF37A9B"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CI LL</w:t>
            </w:r>
          </w:p>
        </w:tc>
        <w:tc>
          <w:tcPr>
            <w:tcW w:w="914" w:type="pct"/>
            <w:tcBorders>
              <w:top w:val="nil"/>
              <w:left w:val="nil"/>
              <w:bottom w:val="single" w:sz="4" w:space="0" w:color="auto"/>
              <w:right w:val="single" w:sz="4" w:space="0" w:color="auto"/>
            </w:tcBorders>
            <w:vAlign w:val="center"/>
            <w:hideMark/>
          </w:tcPr>
          <w:p w14:paraId="0DB37703"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CI UL</w:t>
            </w:r>
          </w:p>
        </w:tc>
      </w:tr>
      <w:tr w:rsidR="00BB40F4" w:rsidRPr="00BB40F4" w14:paraId="77F44438" w14:textId="77777777" w:rsidTr="00BB40F4">
        <w:trPr>
          <w:trHeight w:val="290"/>
        </w:trPr>
        <w:tc>
          <w:tcPr>
            <w:tcW w:w="989" w:type="pct"/>
            <w:tcBorders>
              <w:top w:val="nil"/>
              <w:left w:val="single" w:sz="4" w:space="0" w:color="auto"/>
              <w:bottom w:val="single" w:sz="4" w:space="0" w:color="auto"/>
              <w:right w:val="single" w:sz="4" w:space="0" w:color="auto"/>
            </w:tcBorders>
            <w:vAlign w:val="center"/>
            <w:hideMark/>
          </w:tcPr>
          <w:p w14:paraId="6A56E01B"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Intercept</w:t>
            </w:r>
          </w:p>
        </w:tc>
        <w:tc>
          <w:tcPr>
            <w:tcW w:w="986" w:type="pct"/>
            <w:tcBorders>
              <w:top w:val="nil"/>
              <w:left w:val="nil"/>
              <w:bottom w:val="single" w:sz="4" w:space="0" w:color="auto"/>
              <w:right w:val="single" w:sz="4" w:space="0" w:color="auto"/>
            </w:tcBorders>
            <w:vAlign w:val="center"/>
            <w:hideMark/>
          </w:tcPr>
          <w:p w14:paraId="21E067F8"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-0.81</w:t>
            </w:r>
          </w:p>
        </w:tc>
        <w:tc>
          <w:tcPr>
            <w:tcW w:w="1198" w:type="pct"/>
            <w:tcBorders>
              <w:top w:val="nil"/>
              <w:left w:val="nil"/>
              <w:bottom w:val="single" w:sz="4" w:space="0" w:color="auto"/>
              <w:right w:val="single" w:sz="4" w:space="0" w:color="auto"/>
            </w:tcBorders>
            <w:vAlign w:val="center"/>
            <w:hideMark/>
          </w:tcPr>
          <w:p w14:paraId="390147BF"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3.97</w:t>
            </w:r>
          </w:p>
        </w:tc>
        <w:tc>
          <w:tcPr>
            <w:tcW w:w="914" w:type="pct"/>
            <w:tcBorders>
              <w:top w:val="nil"/>
              <w:left w:val="nil"/>
              <w:bottom w:val="single" w:sz="4" w:space="0" w:color="auto"/>
              <w:right w:val="single" w:sz="4" w:space="0" w:color="auto"/>
            </w:tcBorders>
            <w:vAlign w:val="center"/>
            <w:hideMark/>
          </w:tcPr>
          <w:p w14:paraId="012A3C23"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-9.79</w:t>
            </w:r>
          </w:p>
        </w:tc>
        <w:tc>
          <w:tcPr>
            <w:tcW w:w="914" w:type="pct"/>
            <w:tcBorders>
              <w:top w:val="nil"/>
              <w:left w:val="nil"/>
              <w:bottom w:val="single" w:sz="4" w:space="0" w:color="auto"/>
              <w:right w:val="single" w:sz="4" w:space="0" w:color="auto"/>
            </w:tcBorders>
            <w:vAlign w:val="center"/>
            <w:hideMark/>
          </w:tcPr>
          <w:p w14:paraId="4C51C4B5"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8.18</w:t>
            </w:r>
          </w:p>
        </w:tc>
      </w:tr>
      <w:tr w:rsidR="00BB40F4" w:rsidRPr="00BB40F4" w14:paraId="1934CEFF" w14:textId="77777777" w:rsidTr="00BB40F4">
        <w:trPr>
          <w:trHeight w:val="290"/>
        </w:trPr>
        <w:tc>
          <w:tcPr>
            <w:tcW w:w="989" w:type="pct"/>
            <w:tcBorders>
              <w:top w:val="nil"/>
              <w:left w:val="single" w:sz="4" w:space="0" w:color="auto"/>
              <w:bottom w:val="single" w:sz="4" w:space="0" w:color="auto"/>
              <w:right w:val="single" w:sz="4" w:space="0" w:color="auto"/>
            </w:tcBorders>
            <w:vAlign w:val="center"/>
            <w:hideMark/>
          </w:tcPr>
          <w:p w14:paraId="70EA164C"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Slope</w:t>
            </w:r>
          </w:p>
        </w:tc>
        <w:tc>
          <w:tcPr>
            <w:tcW w:w="986" w:type="pct"/>
            <w:tcBorders>
              <w:top w:val="nil"/>
              <w:left w:val="nil"/>
              <w:bottom w:val="single" w:sz="4" w:space="0" w:color="auto"/>
              <w:right w:val="single" w:sz="4" w:space="0" w:color="auto"/>
            </w:tcBorders>
            <w:vAlign w:val="center"/>
            <w:hideMark/>
          </w:tcPr>
          <w:p w14:paraId="5F66487C"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2.17</w:t>
            </w:r>
          </w:p>
        </w:tc>
        <w:tc>
          <w:tcPr>
            <w:tcW w:w="1198" w:type="pct"/>
            <w:tcBorders>
              <w:top w:val="nil"/>
              <w:left w:val="nil"/>
              <w:bottom w:val="single" w:sz="4" w:space="0" w:color="auto"/>
              <w:right w:val="single" w:sz="4" w:space="0" w:color="auto"/>
            </w:tcBorders>
            <w:vAlign w:val="center"/>
            <w:hideMark/>
          </w:tcPr>
          <w:p w14:paraId="71F7A605"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6.93</w:t>
            </w:r>
          </w:p>
        </w:tc>
        <w:tc>
          <w:tcPr>
            <w:tcW w:w="914" w:type="pct"/>
            <w:tcBorders>
              <w:top w:val="nil"/>
              <w:left w:val="nil"/>
              <w:bottom w:val="single" w:sz="4" w:space="0" w:color="auto"/>
              <w:right w:val="single" w:sz="4" w:space="0" w:color="auto"/>
            </w:tcBorders>
            <w:vAlign w:val="center"/>
            <w:hideMark/>
          </w:tcPr>
          <w:p w14:paraId="44A8FA03"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-13.51</w:t>
            </w:r>
          </w:p>
        </w:tc>
        <w:tc>
          <w:tcPr>
            <w:tcW w:w="914" w:type="pct"/>
            <w:tcBorders>
              <w:top w:val="nil"/>
              <w:left w:val="nil"/>
              <w:bottom w:val="single" w:sz="4" w:space="0" w:color="auto"/>
              <w:right w:val="single" w:sz="4" w:space="0" w:color="auto"/>
            </w:tcBorders>
            <w:vAlign w:val="center"/>
            <w:hideMark/>
          </w:tcPr>
          <w:p w14:paraId="218C2A05"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17.86</w:t>
            </w:r>
          </w:p>
        </w:tc>
      </w:tr>
      <w:tr w:rsidR="00BB40F4" w:rsidRPr="00BB40F4" w14:paraId="520A218C" w14:textId="77777777" w:rsidTr="00BB40F4">
        <w:trPr>
          <w:trHeight w:val="290"/>
        </w:trPr>
        <w:tc>
          <w:tcPr>
            <w:tcW w:w="989" w:type="pct"/>
            <w:tcBorders>
              <w:top w:val="nil"/>
              <w:left w:val="single" w:sz="4" w:space="0" w:color="auto"/>
              <w:bottom w:val="single" w:sz="4" w:space="0" w:color="auto"/>
              <w:right w:val="single" w:sz="4" w:space="0" w:color="auto"/>
            </w:tcBorders>
            <w:vAlign w:val="center"/>
            <w:hideMark/>
          </w:tcPr>
          <w:p w14:paraId="19F5C390"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t test</w:t>
            </w:r>
          </w:p>
        </w:tc>
        <w:tc>
          <w:tcPr>
            <w:tcW w:w="986" w:type="pct"/>
            <w:tcBorders>
              <w:top w:val="nil"/>
              <w:left w:val="nil"/>
              <w:bottom w:val="single" w:sz="4" w:space="0" w:color="auto"/>
              <w:right w:val="single" w:sz="4" w:space="0" w:color="auto"/>
            </w:tcBorders>
            <w:vAlign w:val="center"/>
            <w:hideMark/>
          </w:tcPr>
          <w:p w14:paraId="045C2443"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-0.2</w:t>
            </w:r>
          </w:p>
        </w:tc>
        <w:tc>
          <w:tcPr>
            <w:tcW w:w="1198" w:type="pct"/>
            <w:tcBorders>
              <w:top w:val="nil"/>
              <w:left w:val="nil"/>
              <w:bottom w:val="single" w:sz="4" w:space="0" w:color="auto"/>
              <w:right w:val="single" w:sz="4" w:space="0" w:color="auto"/>
            </w:tcBorders>
            <w:vAlign w:val="center"/>
            <w:hideMark/>
          </w:tcPr>
          <w:p w14:paraId="5DE7D39D"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 </w:t>
            </w:r>
          </w:p>
        </w:tc>
        <w:tc>
          <w:tcPr>
            <w:tcW w:w="914" w:type="pct"/>
            <w:tcBorders>
              <w:top w:val="nil"/>
              <w:left w:val="nil"/>
              <w:bottom w:val="single" w:sz="4" w:space="0" w:color="auto"/>
              <w:right w:val="single" w:sz="4" w:space="0" w:color="auto"/>
            </w:tcBorders>
            <w:vAlign w:val="center"/>
            <w:hideMark/>
          </w:tcPr>
          <w:p w14:paraId="21AE0D7F"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 </w:t>
            </w:r>
          </w:p>
        </w:tc>
        <w:tc>
          <w:tcPr>
            <w:tcW w:w="914" w:type="pct"/>
            <w:tcBorders>
              <w:top w:val="nil"/>
              <w:left w:val="nil"/>
              <w:bottom w:val="single" w:sz="4" w:space="0" w:color="auto"/>
              <w:right w:val="single" w:sz="4" w:space="0" w:color="auto"/>
            </w:tcBorders>
            <w:vAlign w:val="center"/>
            <w:hideMark/>
          </w:tcPr>
          <w:p w14:paraId="2D488459"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 </w:t>
            </w:r>
          </w:p>
        </w:tc>
      </w:tr>
      <w:tr w:rsidR="00BB40F4" w:rsidRPr="00BB40F4" w14:paraId="76AC836F" w14:textId="77777777" w:rsidTr="00BB40F4">
        <w:trPr>
          <w:trHeight w:val="290"/>
        </w:trPr>
        <w:tc>
          <w:tcPr>
            <w:tcW w:w="989" w:type="pct"/>
            <w:tcBorders>
              <w:top w:val="nil"/>
              <w:left w:val="single" w:sz="4" w:space="0" w:color="auto"/>
              <w:bottom w:val="single" w:sz="4" w:space="0" w:color="auto"/>
              <w:right w:val="single" w:sz="4" w:space="0" w:color="auto"/>
            </w:tcBorders>
            <w:vAlign w:val="center"/>
            <w:hideMark/>
          </w:tcPr>
          <w:p w14:paraId="69B5E22E"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p-value</w:t>
            </w:r>
          </w:p>
        </w:tc>
        <w:tc>
          <w:tcPr>
            <w:tcW w:w="986" w:type="pct"/>
            <w:tcBorders>
              <w:top w:val="nil"/>
              <w:left w:val="nil"/>
              <w:bottom w:val="single" w:sz="4" w:space="0" w:color="auto"/>
              <w:right w:val="single" w:sz="4" w:space="0" w:color="auto"/>
            </w:tcBorders>
            <w:vAlign w:val="center"/>
            <w:hideMark/>
          </w:tcPr>
          <w:p w14:paraId="01B2F540"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0.844</w:t>
            </w:r>
          </w:p>
        </w:tc>
        <w:tc>
          <w:tcPr>
            <w:tcW w:w="1198" w:type="pct"/>
            <w:tcBorders>
              <w:top w:val="nil"/>
              <w:left w:val="nil"/>
              <w:bottom w:val="single" w:sz="4" w:space="0" w:color="auto"/>
              <w:right w:val="single" w:sz="4" w:space="0" w:color="auto"/>
            </w:tcBorders>
            <w:vAlign w:val="center"/>
            <w:hideMark/>
          </w:tcPr>
          <w:p w14:paraId="4977595D"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 </w:t>
            </w:r>
          </w:p>
        </w:tc>
        <w:tc>
          <w:tcPr>
            <w:tcW w:w="914" w:type="pct"/>
            <w:tcBorders>
              <w:top w:val="nil"/>
              <w:left w:val="nil"/>
              <w:bottom w:val="single" w:sz="4" w:space="0" w:color="auto"/>
              <w:right w:val="single" w:sz="4" w:space="0" w:color="auto"/>
            </w:tcBorders>
            <w:vAlign w:val="center"/>
            <w:hideMark/>
          </w:tcPr>
          <w:p w14:paraId="02AC18B6"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 </w:t>
            </w:r>
          </w:p>
        </w:tc>
        <w:tc>
          <w:tcPr>
            <w:tcW w:w="914" w:type="pct"/>
            <w:tcBorders>
              <w:top w:val="nil"/>
              <w:left w:val="nil"/>
              <w:bottom w:val="single" w:sz="4" w:space="0" w:color="auto"/>
              <w:right w:val="single" w:sz="4" w:space="0" w:color="auto"/>
            </w:tcBorders>
            <w:vAlign w:val="center"/>
            <w:hideMark/>
          </w:tcPr>
          <w:p w14:paraId="1F3CB305"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 </w:t>
            </w:r>
          </w:p>
        </w:tc>
      </w:tr>
    </w:tbl>
    <w:p w14:paraId="334B9DB6" w14:textId="77777777" w:rsidR="005828D3" w:rsidRDefault="005828D3" w:rsidP="005828D3">
      <w:pPr>
        <w:spacing w:after="0" w:line="360" w:lineRule="auto"/>
        <w:jc w:val="center"/>
        <w:rPr>
          <w:rFonts w:ascii="Times New Roman" w:hAnsi="Times New Roman" w:cs="Times New Roman"/>
          <w:sz w:val="20"/>
          <w:szCs w:val="20"/>
        </w:rPr>
      </w:pPr>
    </w:p>
    <w:p w14:paraId="45A15BA3" w14:textId="77777777" w:rsidR="002836EA" w:rsidRDefault="002836EA" w:rsidP="00440788">
      <w:pPr>
        <w:spacing w:after="0" w:line="360" w:lineRule="auto"/>
        <w:jc w:val="both"/>
        <w:rPr>
          <w:rFonts w:ascii="Times New Roman" w:hAnsi="Times New Roman" w:cs="Times New Roman"/>
          <w:sz w:val="20"/>
          <w:szCs w:val="20"/>
        </w:rPr>
      </w:pPr>
    </w:p>
    <w:p w14:paraId="2E9364D3" w14:textId="77777777" w:rsidR="002836EA" w:rsidRDefault="002836EA" w:rsidP="00440788">
      <w:pPr>
        <w:spacing w:after="0" w:line="360" w:lineRule="auto"/>
        <w:jc w:val="both"/>
        <w:rPr>
          <w:rFonts w:ascii="Times New Roman" w:hAnsi="Times New Roman" w:cs="Times New Roman"/>
          <w:sz w:val="20"/>
          <w:szCs w:val="20"/>
        </w:rPr>
      </w:pPr>
    </w:p>
    <w:p w14:paraId="2921FFD2" w14:textId="77777777" w:rsidR="00BB40F4" w:rsidRPr="00BB40F4" w:rsidRDefault="00BB40F4" w:rsidP="00BB40F4">
      <w:pPr>
        <w:spacing w:after="0" w:line="360" w:lineRule="auto"/>
        <w:jc w:val="both"/>
        <w:rPr>
          <w:rFonts w:ascii="Times New Roman" w:hAnsi="Times New Roman" w:cs="Times New Roman"/>
          <w:b/>
          <w:bCs/>
          <w:sz w:val="20"/>
          <w:szCs w:val="20"/>
        </w:rPr>
      </w:pPr>
      <w:r w:rsidRPr="00BB40F4">
        <w:rPr>
          <w:rFonts w:ascii="Times New Roman" w:hAnsi="Times New Roman" w:cs="Times New Roman"/>
          <w:b/>
          <w:bCs/>
          <w:sz w:val="20"/>
          <w:szCs w:val="20"/>
        </w:rPr>
        <w:t>Forest plot</w:t>
      </w:r>
    </w:p>
    <w:p w14:paraId="0E9CDDE0" w14:textId="185FDCC7" w:rsidR="002836EA" w:rsidRDefault="00BB40F4" w:rsidP="00BB40F4">
      <w:pPr>
        <w:spacing w:after="0" w:line="360" w:lineRule="auto"/>
        <w:jc w:val="both"/>
        <w:rPr>
          <w:rFonts w:ascii="Times New Roman" w:hAnsi="Times New Roman" w:cs="Times New Roman"/>
          <w:sz w:val="20"/>
          <w:szCs w:val="20"/>
        </w:rPr>
      </w:pPr>
      <w:r w:rsidRPr="00BB40F4">
        <w:rPr>
          <w:rFonts w:ascii="Times New Roman" w:hAnsi="Times New Roman" w:cs="Times New Roman"/>
          <w:sz w:val="20"/>
          <w:szCs w:val="20"/>
        </w:rPr>
        <w:t>Figure 5 (Forest plot) gives a well-developed visual representation of the 10 study records assessing the clinical effectiveness of vonoprazan. The corresponding pooled correlation coefficient of r = 0.77 (95% CI: 0.07 to 1.46) shows that there is a very strong positive relationship between vonoprazan therapy and the resolution of the gastroesophageal reflux symptoms. Such a large effect size indicates that vonoprazan is very effective in a wide range of clinical settings. The individual contributions to the study show that Ur Rehman et al. (2025) [30] and Abbasi et al. (2023)[27] had the strongest effects (r = 0.88 and r = 0.84, respectively), and their role in clinical impact among the Pakistani population is significant. The efficacy of the drug was also shown to correlate strongly in studies by Shinozaki et al. [26] who showed that the drug has its efficacy in long-term maintenance and different GERD subtypes. On the other hand, the Phase 3 Randomized Controlled Trials, including Kinoshita et al. (2019) [25] and Laine et al. (2024) [29] have a less aggressive effect size. This is typical of rigorous placebo-controlled designs in which the difference between the intervention and control groups is measured rigorously. Although the study designs vary, the overall rightward movement of the pooled estimate is a testament to the fact that vonoprazan has a better effect in acid-suppression than both the placebo and the baseline conditions [33,34].</w:t>
      </w:r>
    </w:p>
    <w:p w14:paraId="07943146" w14:textId="77777777" w:rsidR="002836EA" w:rsidRDefault="002836EA" w:rsidP="00440788">
      <w:pPr>
        <w:spacing w:after="0" w:line="360" w:lineRule="auto"/>
        <w:jc w:val="both"/>
        <w:rPr>
          <w:rFonts w:ascii="Times New Roman" w:hAnsi="Times New Roman" w:cs="Times New Roman"/>
          <w:sz w:val="20"/>
          <w:szCs w:val="20"/>
        </w:rPr>
      </w:pPr>
    </w:p>
    <w:p w14:paraId="4BE4FA3E" w14:textId="058C2E2D" w:rsidR="002836EA" w:rsidRDefault="00BB40F4" w:rsidP="00BB40F4">
      <w:pPr>
        <w:spacing w:after="0" w:line="360" w:lineRule="auto"/>
        <w:jc w:val="center"/>
        <w:rPr>
          <w:rFonts w:ascii="Times New Roman" w:hAnsi="Times New Roman" w:cs="Times New Roman"/>
          <w:sz w:val="20"/>
          <w:szCs w:val="20"/>
        </w:rPr>
      </w:pPr>
      <w:r w:rsidRPr="00D42C2E">
        <w:rPr>
          <w:rFonts w:ascii="Times New Roman" w:hAnsi="Times New Roman" w:cs="Times New Roman"/>
          <w:noProof/>
          <w:sz w:val="24"/>
          <w:szCs w:val="24"/>
        </w:rPr>
        <w:lastRenderedPageBreak/>
        <w:drawing>
          <wp:inline distT="0" distB="0" distL="0" distR="0" wp14:anchorId="6DD428B8" wp14:editId="03E59FCF">
            <wp:extent cx="5943600" cy="2425065"/>
            <wp:effectExtent l="0" t="0" r="0" b="0"/>
            <wp:docPr id="1038412918" name="Picture 1038412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425065"/>
                    </a:xfrm>
                    <a:prstGeom prst="rect">
                      <a:avLst/>
                    </a:prstGeom>
                  </pic:spPr>
                </pic:pic>
              </a:graphicData>
            </a:graphic>
          </wp:inline>
        </w:drawing>
      </w:r>
    </w:p>
    <w:p w14:paraId="2D3F1672" w14:textId="77777777" w:rsidR="00BB40F4" w:rsidRDefault="00BB40F4" w:rsidP="00BB40F4">
      <w:pPr>
        <w:spacing w:after="0" w:line="360" w:lineRule="auto"/>
        <w:jc w:val="center"/>
        <w:rPr>
          <w:rFonts w:ascii="Times New Roman" w:hAnsi="Times New Roman" w:cs="Times New Roman"/>
          <w:sz w:val="20"/>
          <w:szCs w:val="20"/>
        </w:rPr>
      </w:pPr>
    </w:p>
    <w:p w14:paraId="66C42FFC" w14:textId="0877F703" w:rsidR="00BB40F4" w:rsidRDefault="00BB40F4" w:rsidP="00BB40F4">
      <w:pPr>
        <w:spacing w:after="0" w:line="360" w:lineRule="auto"/>
        <w:jc w:val="center"/>
        <w:rPr>
          <w:rFonts w:ascii="Times New Roman" w:hAnsi="Times New Roman" w:cs="Times New Roman"/>
          <w:sz w:val="20"/>
          <w:szCs w:val="20"/>
        </w:rPr>
      </w:pPr>
      <w:r w:rsidRPr="00BB40F4">
        <w:rPr>
          <w:rFonts w:ascii="Times New Roman" w:hAnsi="Times New Roman" w:cs="Times New Roman"/>
          <w:b/>
          <w:bCs/>
          <w:color w:val="0070C0"/>
          <w:sz w:val="20"/>
          <w:szCs w:val="20"/>
        </w:rPr>
        <w:t>Figure 5:</w:t>
      </w:r>
      <w:r w:rsidRPr="00BB40F4">
        <w:rPr>
          <w:rFonts w:ascii="Times New Roman" w:hAnsi="Times New Roman" w:cs="Times New Roman"/>
          <w:sz w:val="20"/>
          <w:szCs w:val="20"/>
        </w:rPr>
        <w:t xml:space="preserve"> Forest plot depicts the correlation estimate for each of the studies and the overall pooled correlation estimate (r = 0.77) calculated using a random-effects model.</w:t>
      </w:r>
    </w:p>
    <w:p w14:paraId="1E940EE5" w14:textId="77777777" w:rsidR="00BB40F4" w:rsidRDefault="00BB40F4" w:rsidP="00BB40F4">
      <w:pPr>
        <w:spacing w:after="0" w:line="360" w:lineRule="auto"/>
        <w:jc w:val="center"/>
        <w:rPr>
          <w:rFonts w:ascii="Times New Roman" w:hAnsi="Times New Roman" w:cs="Times New Roman"/>
          <w:sz w:val="20"/>
          <w:szCs w:val="20"/>
        </w:rPr>
      </w:pPr>
    </w:p>
    <w:p w14:paraId="39F1B213" w14:textId="77777777" w:rsidR="00BB40F4" w:rsidRDefault="00BB40F4" w:rsidP="00BB40F4">
      <w:pPr>
        <w:spacing w:after="0" w:line="360" w:lineRule="auto"/>
        <w:jc w:val="center"/>
        <w:rPr>
          <w:rFonts w:ascii="Times New Roman" w:hAnsi="Times New Roman" w:cs="Times New Roman"/>
          <w:sz w:val="20"/>
          <w:szCs w:val="20"/>
        </w:rPr>
      </w:pPr>
    </w:p>
    <w:p w14:paraId="030744B9" w14:textId="457D5602" w:rsidR="00BB40F4" w:rsidRDefault="00BB40F4" w:rsidP="00BB40F4">
      <w:pPr>
        <w:spacing w:after="0" w:line="360" w:lineRule="auto"/>
        <w:jc w:val="center"/>
        <w:rPr>
          <w:rFonts w:ascii="Times New Roman" w:hAnsi="Times New Roman" w:cs="Times New Roman"/>
          <w:sz w:val="20"/>
          <w:szCs w:val="20"/>
        </w:rPr>
      </w:pPr>
      <w:r w:rsidRPr="00BB40F4">
        <w:rPr>
          <w:rFonts w:ascii="Times New Roman" w:hAnsi="Times New Roman" w:cs="Times New Roman"/>
          <w:b/>
          <w:bCs/>
          <w:color w:val="0070C0"/>
          <w:sz w:val="20"/>
          <w:szCs w:val="20"/>
        </w:rPr>
        <w:t>Table 6:</w:t>
      </w:r>
      <w:r w:rsidRPr="00BB40F4">
        <w:rPr>
          <w:rFonts w:ascii="Times New Roman" w:hAnsi="Times New Roman" w:cs="Times New Roman"/>
          <w:sz w:val="20"/>
          <w:szCs w:val="20"/>
        </w:rPr>
        <w:t xml:space="preserve"> Information correlated with Forest plot</w:t>
      </w:r>
      <w:r>
        <w:rPr>
          <w:rFonts w:ascii="Times New Roman" w:hAnsi="Times New Roman" w:cs="Times New Roman"/>
          <w:sz w:val="20"/>
          <w:szCs w:val="20"/>
        </w:rPr>
        <w:t>.</w:t>
      </w:r>
    </w:p>
    <w:p w14:paraId="262BAC90" w14:textId="77777777" w:rsidR="00BB40F4" w:rsidRDefault="00BB40F4" w:rsidP="00BB40F4">
      <w:pPr>
        <w:spacing w:after="0" w:line="360" w:lineRule="auto"/>
        <w:jc w:val="center"/>
        <w:rPr>
          <w:rFonts w:ascii="Times New Roman" w:hAnsi="Times New Roman" w:cs="Times New Roman"/>
          <w:sz w:val="20"/>
          <w:szCs w:val="20"/>
        </w:rPr>
      </w:pPr>
    </w:p>
    <w:tbl>
      <w:tblPr>
        <w:tblW w:w="5000" w:type="pct"/>
        <w:tblLook w:val="04A0" w:firstRow="1" w:lastRow="0" w:firstColumn="1" w:lastColumn="0" w:noHBand="0" w:noVBand="1"/>
      </w:tblPr>
      <w:tblGrid>
        <w:gridCol w:w="5529"/>
        <w:gridCol w:w="4047"/>
      </w:tblGrid>
      <w:tr w:rsidR="00BB40F4" w:rsidRPr="00BB40F4" w14:paraId="583839CA" w14:textId="77777777" w:rsidTr="00BB40F4">
        <w:trPr>
          <w:trHeight w:val="344"/>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726999A5" w14:textId="77777777" w:rsidR="00BB40F4" w:rsidRPr="00BB40F4" w:rsidRDefault="00BB40F4" w:rsidP="00BB40F4">
            <w:pPr>
              <w:spacing w:after="0" w:line="240" w:lineRule="auto"/>
              <w:jc w:val="center"/>
              <w:rPr>
                <w:rFonts w:ascii="Times New Roman" w:eastAsia="Times New Roman" w:hAnsi="Times New Roman" w:cs="Times New Roman"/>
                <w:b/>
                <w:bCs/>
                <w:color w:val="000000"/>
                <w:sz w:val="20"/>
                <w:szCs w:val="20"/>
                <w:lang w:val="en-IN" w:eastAsia="en-IN"/>
              </w:rPr>
            </w:pPr>
            <w:r w:rsidRPr="00BB40F4">
              <w:rPr>
                <w:rFonts w:ascii="Times New Roman" w:eastAsia="Times New Roman" w:hAnsi="Times New Roman" w:cs="Times New Roman"/>
                <w:b/>
                <w:bCs/>
                <w:color w:val="000000"/>
                <w:sz w:val="20"/>
                <w:szCs w:val="20"/>
                <w:lang w:eastAsia="en-IN"/>
              </w:rPr>
              <w:t>Meta-analysis model</w:t>
            </w:r>
          </w:p>
        </w:tc>
      </w:tr>
      <w:tr w:rsidR="00BB40F4" w:rsidRPr="00BB40F4" w14:paraId="35323951" w14:textId="77777777" w:rsidTr="00BB40F4">
        <w:trPr>
          <w:trHeight w:val="290"/>
        </w:trPr>
        <w:tc>
          <w:tcPr>
            <w:tcW w:w="2887" w:type="pct"/>
            <w:tcBorders>
              <w:top w:val="nil"/>
              <w:left w:val="single" w:sz="4" w:space="0" w:color="auto"/>
              <w:bottom w:val="single" w:sz="4" w:space="0" w:color="auto"/>
              <w:right w:val="single" w:sz="4" w:space="0" w:color="auto"/>
            </w:tcBorders>
            <w:vAlign w:val="center"/>
            <w:hideMark/>
          </w:tcPr>
          <w:p w14:paraId="000DD520"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Effect size</w:t>
            </w:r>
          </w:p>
        </w:tc>
        <w:tc>
          <w:tcPr>
            <w:tcW w:w="2113" w:type="pct"/>
            <w:tcBorders>
              <w:top w:val="nil"/>
              <w:left w:val="nil"/>
              <w:bottom w:val="single" w:sz="4" w:space="0" w:color="auto"/>
              <w:right w:val="single" w:sz="4" w:space="0" w:color="auto"/>
            </w:tcBorders>
            <w:vAlign w:val="center"/>
            <w:hideMark/>
          </w:tcPr>
          <w:p w14:paraId="2DB5DED4"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0.77</w:t>
            </w:r>
          </w:p>
        </w:tc>
      </w:tr>
      <w:tr w:rsidR="00BB40F4" w:rsidRPr="00BB40F4" w14:paraId="149BB4C1" w14:textId="77777777" w:rsidTr="00BB40F4">
        <w:trPr>
          <w:trHeight w:val="254"/>
        </w:trPr>
        <w:tc>
          <w:tcPr>
            <w:tcW w:w="2887" w:type="pct"/>
            <w:tcBorders>
              <w:top w:val="nil"/>
              <w:left w:val="single" w:sz="4" w:space="0" w:color="auto"/>
              <w:bottom w:val="single" w:sz="4" w:space="0" w:color="auto"/>
              <w:right w:val="single" w:sz="4" w:space="0" w:color="auto"/>
            </w:tcBorders>
            <w:vAlign w:val="center"/>
            <w:hideMark/>
          </w:tcPr>
          <w:p w14:paraId="62CDB8C8"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Standard error</w:t>
            </w:r>
          </w:p>
        </w:tc>
        <w:tc>
          <w:tcPr>
            <w:tcW w:w="2113" w:type="pct"/>
            <w:tcBorders>
              <w:top w:val="nil"/>
              <w:left w:val="nil"/>
              <w:bottom w:val="single" w:sz="4" w:space="0" w:color="auto"/>
              <w:right w:val="single" w:sz="4" w:space="0" w:color="auto"/>
            </w:tcBorders>
            <w:vAlign w:val="center"/>
            <w:hideMark/>
          </w:tcPr>
          <w:p w14:paraId="0936C121"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0.31</w:t>
            </w:r>
          </w:p>
        </w:tc>
      </w:tr>
      <w:tr w:rsidR="00BB40F4" w:rsidRPr="00BB40F4" w14:paraId="6DACAAD1" w14:textId="77777777" w:rsidTr="00BB40F4">
        <w:trPr>
          <w:trHeight w:val="287"/>
        </w:trPr>
        <w:tc>
          <w:tcPr>
            <w:tcW w:w="2887" w:type="pct"/>
            <w:tcBorders>
              <w:top w:val="nil"/>
              <w:left w:val="single" w:sz="4" w:space="0" w:color="auto"/>
              <w:bottom w:val="single" w:sz="4" w:space="0" w:color="auto"/>
              <w:right w:val="single" w:sz="4" w:space="0" w:color="auto"/>
            </w:tcBorders>
            <w:vAlign w:val="center"/>
            <w:hideMark/>
          </w:tcPr>
          <w:p w14:paraId="34721892"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Confidence interval LL</w:t>
            </w:r>
          </w:p>
        </w:tc>
        <w:tc>
          <w:tcPr>
            <w:tcW w:w="2113" w:type="pct"/>
            <w:tcBorders>
              <w:top w:val="nil"/>
              <w:left w:val="nil"/>
              <w:bottom w:val="single" w:sz="4" w:space="0" w:color="auto"/>
              <w:right w:val="single" w:sz="4" w:space="0" w:color="auto"/>
            </w:tcBorders>
            <w:vAlign w:val="center"/>
            <w:hideMark/>
          </w:tcPr>
          <w:p w14:paraId="18256552"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0.07</w:t>
            </w:r>
          </w:p>
        </w:tc>
      </w:tr>
      <w:tr w:rsidR="00BB40F4" w:rsidRPr="00BB40F4" w14:paraId="1D07599A" w14:textId="77777777" w:rsidTr="00BB40F4">
        <w:trPr>
          <w:trHeight w:val="276"/>
        </w:trPr>
        <w:tc>
          <w:tcPr>
            <w:tcW w:w="2887" w:type="pct"/>
            <w:tcBorders>
              <w:top w:val="nil"/>
              <w:left w:val="single" w:sz="4" w:space="0" w:color="auto"/>
              <w:bottom w:val="single" w:sz="4" w:space="0" w:color="auto"/>
              <w:right w:val="single" w:sz="4" w:space="0" w:color="auto"/>
            </w:tcBorders>
            <w:vAlign w:val="center"/>
            <w:hideMark/>
          </w:tcPr>
          <w:p w14:paraId="1421FE54"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Confidence interval UL</w:t>
            </w:r>
          </w:p>
        </w:tc>
        <w:tc>
          <w:tcPr>
            <w:tcW w:w="2113" w:type="pct"/>
            <w:tcBorders>
              <w:top w:val="nil"/>
              <w:left w:val="nil"/>
              <w:bottom w:val="single" w:sz="4" w:space="0" w:color="auto"/>
              <w:right w:val="single" w:sz="4" w:space="0" w:color="auto"/>
            </w:tcBorders>
            <w:vAlign w:val="center"/>
            <w:hideMark/>
          </w:tcPr>
          <w:p w14:paraId="77268D4A"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1.46</w:t>
            </w:r>
          </w:p>
        </w:tc>
      </w:tr>
      <w:tr w:rsidR="00BB40F4" w:rsidRPr="00BB40F4" w14:paraId="276D9990" w14:textId="77777777" w:rsidTr="00BB40F4">
        <w:trPr>
          <w:trHeight w:val="125"/>
        </w:trPr>
        <w:tc>
          <w:tcPr>
            <w:tcW w:w="2887" w:type="pct"/>
            <w:tcBorders>
              <w:top w:val="nil"/>
              <w:left w:val="single" w:sz="4" w:space="0" w:color="auto"/>
              <w:bottom w:val="single" w:sz="4" w:space="0" w:color="auto"/>
              <w:right w:val="single" w:sz="4" w:space="0" w:color="auto"/>
            </w:tcBorders>
            <w:vAlign w:val="center"/>
            <w:hideMark/>
          </w:tcPr>
          <w:p w14:paraId="3E053D64"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Prediction interval LL</w:t>
            </w:r>
          </w:p>
        </w:tc>
        <w:tc>
          <w:tcPr>
            <w:tcW w:w="2113" w:type="pct"/>
            <w:tcBorders>
              <w:top w:val="nil"/>
              <w:left w:val="nil"/>
              <w:bottom w:val="single" w:sz="4" w:space="0" w:color="auto"/>
              <w:right w:val="single" w:sz="4" w:space="0" w:color="auto"/>
            </w:tcBorders>
            <w:vAlign w:val="center"/>
            <w:hideMark/>
          </w:tcPr>
          <w:p w14:paraId="6A10F400"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-3.05</w:t>
            </w:r>
          </w:p>
        </w:tc>
      </w:tr>
      <w:tr w:rsidR="00BB40F4" w:rsidRPr="00BB40F4" w14:paraId="362193D3" w14:textId="77777777" w:rsidTr="00BB40F4">
        <w:trPr>
          <w:trHeight w:val="46"/>
        </w:trPr>
        <w:tc>
          <w:tcPr>
            <w:tcW w:w="2887" w:type="pct"/>
            <w:tcBorders>
              <w:top w:val="nil"/>
              <w:left w:val="single" w:sz="4" w:space="0" w:color="auto"/>
              <w:bottom w:val="single" w:sz="4" w:space="0" w:color="auto"/>
              <w:right w:val="single" w:sz="4" w:space="0" w:color="auto"/>
            </w:tcBorders>
            <w:vAlign w:val="center"/>
            <w:hideMark/>
          </w:tcPr>
          <w:p w14:paraId="32A902EE"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Prediction interval UL</w:t>
            </w:r>
          </w:p>
        </w:tc>
        <w:tc>
          <w:tcPr>
            <w:tcW w:w="2113" w:type="pct"/>
            <w:tcBorders>
              <w:top w:val="nil"/>
              <w:left w:val="nil"/>
              <w:bottom w:val="single" w:sz="4" w:space="0" w:color="auto"/>
              <w:right w:val="single" w:sz="4" w:space="0" w:color="auto"/>
            </w:tcBorders>
            <w:vAlign w:val="center"/>
            <w:hideMark/>
          </w:tcPr>
          <w:p w14:paraId="18E2213B"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4.59</w:t>
            </w:r>
          </w:p>
        </w:tc>
      </w:tr>
      <w:tr w:rsidR="00BB40F4" w:rsidRPr="00BB40F4" w14:paraId="1473BB65" w14:textId="77777777" w:rsidTr="00BB40F4">
        <w:trPr>
          <w:trHeight w:val="290"/>
        </w:trPr>
        <w:tc>
          <w:tcPr>
            <w:tcW w:w="2887" w:type="pct"/>
            <w:tcBorders>
              <w:top w:val="nil"/>
              <w:left w:val="single" w:sz="4" w:space="0" w:color="auto"/>
              <w:bottom w:val="single" w:sz="4" w:space="0" w:color="auto"/>
              <w:right w:val="single" w:sz="4" w:space="0" w:color="auto"/>
            </w:tcBorders>
            <w:vAlign w:val="center"/>
            <w:hideMark/>
          </w:tcPr>
          <w:p w14:paraId="4130D2C1"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Z-value</w:t>
            </w:r>
          </w:p>
        </w:tc>
        <w:tc>
          <w:tcPr>
            <w:tcW w:w="2113" w:type="pct"/>
            <w:tcBorders>
              <w:top w:val="nil"/>
              <w:left w:val="nil"/>
              <w:bottom w:val="single" w:sz="4" w:space="0" w:color="auto"/>
              <w:right w:val="single" w:sz="4" w:space="0" w:color="auto"/>
            </w:tcBorders>
            <w:vAlign w:val="center"/>
            <w:hideMark/>
          </w:tcPr>
          <w:p w14:paraId="09120C6F"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2.48</w:t>
            </w:r>
          </w:p>
        </w:tc>
      </w:tr>
      <w:tr w:rsidR="00BB40F4" w:rsidRPr="00BB40F4" w14:paraId="6D76F68E" w14:textId="77777777" w:rsidTr="00BB40F4">
        <w:trPr>
          <w:trHeight w:val="51"/>
        </w:trPr>
        <w:tc>
          <w:tcPr>
            <w:tcW w:w="2887" w:type="pct"/>
            <w:tcBorders>
              <w:top w:val="nil"/>
              <w:left w:val="single" w:sz="4" w:space="0" w:color="auto"/>
              <w:bottom w:val="single" w:sz="4" w:space="0" w:color="auto"/>
              <w:right w:val="single" w:sz="4" w:space="0" w:color="auto"/>
            </w:tcBorders>
            <w:vAlign w:val="center"/>
            <w:hideMark/>
          </w:tcPr>
          <w:p w14:paraId="36E8C697"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One-tailed p-value</w:t>
            </w:r>
          </w:p>
        </w:tc>
        <w:tc>
          <w:tcPr>
            <w:tcW w:w="2113" w:type="pct"/>
            <w:tcBorders>
              <w:top w:val="nil"/>
              <w:left w:val="nil"/>
              <w:bottom w:val="single" w:sz="4" w:space="0" w:color="auto"/>
              <w:right w:val="single" w:sz="4" w:space="0" w:color="auto"/>
            </w:tcBorders>
            <w:vAlign w:val="center"/>
            <w:hideMark/>
          </w:tcPr>
          <w:p w14:paraId="1B1771D7"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0.007</w:t>
            </w:r>
          </w:p>
        </w:tc>
      </w:tr>
      <w:tr w:rsidR="00BB40F4" w:rsidRPr="00BB40F4" w14:paraId="7179E8E7" w14:textId="77777777" w:rsidTr="00BB40F4">
        <w:trPr>
          <w:trHeight w:val="239"/>
        </w:trPr>
        <w:tc>
          <w:tcPr>
            <w:tcW w:w="2887" w:type="pct"/>
            <w:tcBorders>
              <w:top w:val="nil"/>
              <w:left w:val="single" w:sz="4" w:space="0" w:color="auto"/>
              <w:bottom w:val="single" w:sz="4" w:space="0" w:color="auto"/>
              <w:right w:val="single" w:sz="4" w:space="0" w:color="auto"/>
            </w:tcBorders>
            <w:vAlign w:val="center"/>
            <w:hideMark/>
          </w:tcPr>
          <w:p w14:paraId="07DDA14C"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Two-tailed p-value</w:t>
            </w:r>
          </w:p>
        </w:tc>
        <w:tc>
          <w:tcPr>
            <w:tcW w:w="2113" w:type="pct"/>
            <w:tcBorders>
              <w:top w:val="nil"/>
              <w:left w:val="nil"/>
              <w:bottom w:val="single" w:sz="4" w:space="0" w:color="auto"/>
              <w:right w:val="single" w:sz="4" w:space="0" w:color="auto"/>
            </w:tcBorders>
            <w:vAlign w:val="center"/>
            <w:hideMark/>
          </w:tcPr>
          <w:p w14:paraId="5C818FE3"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0.013</w:t>
            </w:r>
          </w:p>
        </w:tc>
      </w:tr>
      <w:tr w:rsidR="00BB40F4" w:rsidRPr="00BB40F4" w14:paraId="7346D1F0" w14:textId="77777777" w:rsidTr="00BB40F4">
        <w:trPr>
          <w:trHeight w:val="129"/>
        </w:trPr>
        <w:tc>
          <w:tcPr>
            <w:tcW w:w="2887" w:type="pct"/>
            <w:tcBorders>
              <w:top w:val="nil"/>
              <w:left w:val="single" w:sz="4" w:space="0" w:color="auto"/>
              <w:bottom w:val="single" w:sz="4" w:space="0" w:color="auto"/>
              <w:right w:val="single" w:sz="4" w:space="0" w:color="auto"/>
            </w:tcBorders>
            <w:vAlign w:val="center"/>
            <w:hideMark/>
          </w:tcPr>
          <w:p w14:paraId="6CE8E645"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Number of incl. subjects</w:t>
            </w:r>
          </w:p>
        </w:tc>
        <w:tc>
          <w:tcPr>
            <w:tcW w:w="2113" w:type="pct"/>
            <w:tcBorders>
              <w:top w:val="nil"/>
              <w:left w:val="nil"/>
              <w:bottom w:val="single" w:sz="4" w:space="0" w:color="auto"/>
              <w:right w:val="single" w:sz="4" w:space="0" w:color="auto"/>
            </w:tcBorders>
            <w:vAlign w:val="center"/>
            <w:hideMark/>
          </w:tcPr>
          <w:p w14:paraId="3DD6C4C0"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2645</w:t>
            </w:r>
          </w:p>
        </w:tc>
      </w:tr>
      <w:tr w:rsidR="00BB40F4" w:rsidRPr="00BB40F4" w14:paraId="1CC3712A" w14:textId="77777777" w:rsidTr="00BB40F4">
        <w:trPr>
          <w:trHeight w:val="174"/>
        </w:trPr>
        <w:tc>
          <w:tcPr>
            <w:tcW w:w="2887" w:type="pct"/>
            <w:tcBorders>
              <w:top w:val="nil"/>
              <w:left w:val="single" w:sz="4" w:space="0" w:color="auto"/>
              <w:bottom w:val="single" w:sz="4" w:space="0" w:color="auto"/>
              <w:right w:val="single" w:sz="4" w:space="0" w:color="auto"/>
            </w:tcBorders>
            <w:vAlign w:val="center"/>
            <w:hideMark/>
          </w:tcPr>
          <w:p w14:paraId="7EF0DC5E"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Number of incl. studies</w:t>
            </w:r>
          </w:p>
        </w:tc>
        <w:tc>
          <w:tcPr>
            <w:tcW w:w="2113" w:type="pct"/>
            <w:tcBorders>
              <w:top w:val="nil"/>
              <w:left w:val="nil"/>
              <w:bottom w:val="single" w:sz="4" w:space="0" w:color="auto"/>
              <w:right w:val="single" w:sz="4" w:space="0" w:color="auto"/>
            </w:tcBorders>
            <w:vAlign w:val="center"/>
            <w:hideMark/>
          </w:tcPr>
          <w:p w14:paraId="79430FD6"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10</w:t>
            </w:r>
          </w:p>
        </w:tc>
      </w:tr>
      <w:tr w:rsidR="00BB40F4" w:rsidRPr="00BB40F4" w14:paraId="7672459D" w14:textId="77777777" w:rsidTr="00BB40F4">
        <w:trPr>
          <w:trHeight w:val="29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0D92BCE" w14:textId="23067A63" w:rsidR="00BB40F4" w:rsidRPr="00BB40F4" w:rsidRDefault="00BB40F4" w:rsidP="00BB40F4">
            <w:pPr>
              <w:spacing w:after="0" w:line="240" w:lineRule="auto"/>
              <w:rPr>
                <w:rFonts w:ascii="Times New Roman" w:eastAsia="Times New Roman" w:hAnsi="Times New Roman" w:cs="Times New Roman"/>
                <w:b/>
                <w:bCs/>
                <w:color w:val="000000"/>
                <w:sz w:val="20"/>
                <w:szCs w:val="20"/>
                <w:lang w:val="en-IN" w:eastAsia="en-IN"/>
              </w:rPr>
            </w:pPr>
            <w:r w:rsidRPr="00BB40F4">
              <w:rPr>
                <w:rFonts w:ascii="Times New Roman" w:eastAsia="Times New Roman" w:hAnsi="Times New Roman" w:cs="Times New Roman"/>
                <w:b/>
                <w:bCs/>
                <w:color w:val="000000"/>
                <w:sz w:val="20"/>
                <w:szCs w:val="20"/>
                <w:lang w:eastAsia="en-IN"/>
              </w:rPr>
              <w:t xml:space="preserve">                                        Heterogeneity</w:t>
            </w:r>
          </w:p>
        </w:tc>
      </w:tr>
      <w:tr w:rsidR="00BB40F4" w:rsidRPr="00BB40F4" w14:paraId="3FAA78FC" w14:textId="77777777" w:rsidTr="00BB40F4">
        <w:trPr>
          <w:trHeight w:val="290"/>
        </w:trPr>
        <w:tc>
          <w:tcPr>
            <w:tcW w:w="2887" w:type="pct"/>
            <w:tcBorders>
              <w:top w:val="nil"/>
              <w:left w:val="single" w:sz="4" w:space="0" w:color="auto"/>
              <w:bottom w:val="single" w:sz="4" w:space="0" w:color="auto"/>
              <w:right w:val="single" w:sz="4" w:space="0" w:color="auto"/>
            </w:tcBorders>
            <w:vAlign w:val="center"/>
            <w:hideMark/>
          </w:tcPr>
          <w:p w14:paraId="18E598B1"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Q</w:t>
            </w:r>
          </w:p>
        </w:tc>
        <w:tc>
          <w:tcPr>
            <w:tcW w:w="2113" w:type="pct"/>
            <w:tcBorders>
              <w:top w:val="nil"/>
              <w:left w:val="nil"/>
              <w:bottom w:val="single" w:sz="4" w:space="0" w:color="auto"/>
              <w:right w:val="single" w:sz="4" w:space="0" w:color="auto"/>
            </w:tcBorders>
            <w:vAlign w:val="center"/>
            <w:hideMark/>
          </w:tcPr>
          <w:p w14:paraId="3B1F6D22"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398.65</w:t>
            </w:r>
          </w:p>
        </w:tc>
      </w:tr>
      <w:tr w:rsidR="00BB40F4" w:rsidRPr="00BB40F4" w14:paraId="35331A49" w14:textId="77777777" w:rsidTr="00BB40F4">
        <w:trPr>
          <w:trHeight w:val="300"/>
        </w:trPr>
        <w:tc>
          <w:tcPr>
            <w:tcW w:w="2887" w:type="pct"/>
            <w:tcBorders>
              <w:top w:val="nil"/>
              <w:left w:val="single" w:sz="4" w:space="0" w:color="auto"/>
              <w:bottom w:val="single" w:sz="4" w:space="0" w:color="auto"/>
              <w:right w:val="single" w:sz="4" w:space="0" w:color="auto"/>
            </w:tcBorders>
            <w:vAlign w:val="center"/>
            <w:hideMark/>
          </w:tcPr>
          <w:p w14:paraId="09F027E7"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p</w:t>
            </w:r>
            <w:r w:rsidRPr="00BB40F4">
              <w:rPr>
                <w:rFonts w:ascii="Times New Roman" w:eastAsia="Times New Roman" w:hAnsi="Times New Roman" w:cs="Times New Roman"/>
                <w:color w:val="000000"/>
                <w:sz w:val="20"/>
                <w:szCs w:val="20"/>
                <w:vertAlign w:val="subscript"/>
                <w:lang w:eastAsia="en-IN"/>
              </w:rPr>
              <w:t>Q</w:t>
            </w:r>
          </w:p>
        </w:tc>
        <w:tc>
          <w:tcPr>
            <w:tcW w:w="2113" w:type="pct"/>
            <w:tcBorders>
              <w:top w:val="nil"/>
              <w:left w:val="nil"/>
              <w:bottom w:val="single" w:sz="4" w:space="0" w:color="auto"/>
              <w:right w:val="single" w:sz="4" w:space="0" w:color="auto"/>
            </w:tcBorders>
            <w:vAlign w:val="center"/>
            <w:hideMark/>
          </w:tcPr>
          <w:p w14:paraId="5D377FEA"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w:t>
            </w:r>
          </w:p>
        </w:tc>
      </w:tr>
      <w:tr w:rsidR="00BB40F4" w:rsidRPr="00BB40F4" w14:paraId="7C550A7F" w14:textId="77777777" w:rsidTr="00BB40F4">
        <w:trPr>
          <w:trHeight w:val="310"/>
        </w:trPr>
        <w:tc>
          <w:tcPr>
            <w:tcW w:w="2887" w:type="pct"/>
            <w:tcBorders>
              <w:top w:val="nil"/>
              <w:left w:val="single" w:sz="4" w:space="0" w:color="auto"/>
              <w:bottom w:val="single" w:sz="4" w:space="0" w:color="auto"/>
              <w:right w:val="single" w:sz="4" w:space="0" w:color="auto"/>
            </w:tcBorders>
            <w:vAlign w:val="center"/>
            <w:hideMark/>
          </w:tcPr>
          <w:p w14:paraId="04843A0A"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I</w:t>
            </w:r>
            <w:r w:rsidRPr="00BB40F4">
              <w:rPr>
                <w:rFonts w:ascii="Times New Roman" w:eastAsia="Times New Roman" w:hAnsi="Times New Roman" w:cs="Times New Roman"/>
                <w:color w:val="000000"/>
                <w:sz w:val="20"/>
                <w:szCs w:val="20"/>
                <w:vertAlign w:val="superscript"/>
                <w:lang w:eastAsia="en-IN"/>
              </w:rPr>
              <w:t>2</w:t>
            </w:r>
          </w:p>
        </w:tc>
        <w:tc>
          <w:tcPr>
            <w:tcW w:w="2113" w:type="pct"/>
            <w:tcBorders>
              <w:top w:val="nil"/>
              <w:left w:val="nil"/>
              <w:bottom w:val="single" w:sz="4" w:space="0" w:color="auto"/>
              <w:right w:val="single" w:sz="4" w:space="0" w:color="auto"/>
            </w:tcBorders>
            <w:vAlign w:val="center"/>
            <w:hideMark/>
          </w:tcPr>
          <w:p w14:paraId="5FB34B1A"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97.74%</w:t>
            </w:r>
          </w:p>
        </w:tc>
      </w:tr>
      <w:tr w:rsidR="00BB40F4" w:rsidRPr="00BB40F4" w14:paraId="46442BF3" w14:textId="77777777" w:rsidTr="00BB40F4">
        <w:trPr>
          <w:trHeight w:val="310"/>
        </w:trPr>
        <w:tc>
          <w:tcPr>
            <w:tcW w:w="2887" w:type="pct"/>
            <w:tcBorders>
              <w:top w:val="nil"/>
              <w:left w:val="single" w:sz="4" w:space="0" w:color="auto"/>
              <w:bottom w:val="single" w:sz="4" w:space="0" w:color="auto"/>
              <w:right w:val="single" w:sz="4" w:space="0" w:color="auto"/>
            </w:tcBorders>
            <w:vAlign w:val="center"/>
            <w:hideMark/>
          </w:tcPr>
          <w:p w14:paraId="6580931C"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bookmarkStart w:id="1" w:name="RANGE!E20"/>
            <w:r w:rsidRPr="00BB40F4">
              <w:rPr>
                <w:rFonts w:ascii="Times New Roman" w:eastAsia="Times New Roman" w:hAnsi="Times New Roman" w:cs="Times New Roman"/>
                <w:color w:val="000000"/>
                <w:sz w:val="20"/>
                <w:szCs w:val="20"/>
                <w:lang w:eastAsia="en-IN"/>
              </w:rPr>
              <w:t>T</w:t>
            </w:r>
            <w:r w:rsidRPr="00BB40F4">
              <w:rPr>
                <w:rFonts w:ascii="Times New Roman" w:eastAsia="Times New Roman" w:hAnsi="Times New Roman" w:cs="Times New Roman"/>
                <w:color w:val="000000"/>
                <w:sz w:val="20"/>
                <w:szCs w:val="20"/>
                <w:vertAlign w:val="superscript"/>
                <w:lang w:eastAsia="en-IN"/>
              </w:rPr>
              <w:t xml:space="preserve">2 </w:t>
            </w:r>
            <w:r w:rsidRPr="00BB40F4">
              <w:rPr>
                <w:rFonts w:ascii="Times New Roman" w:eastAsia="Times New Roman" w:hAnsi="Times New Roman" w:cs="Times New Roman"/>
                <w:color w:val="000000"/>
                <w:sz w:val="20"/>
                <w:szCs w:val="20"/>
                <w:lang w:eastAsia="en-IN"/>
              </w:rPr>
              <w:t>(z)</w:t>
            </w:r>
            <w:bookmarkEnd w:id="1"/>
          </w:p>
        </w:tc>
        <w:tc>
          <w:tcPr>
            <w:tcW w:w="2113" w:type="pct"/>
            <w:tcBorders>
              <w:top w:val="nil"/>
              <w:left w:val="nil"/>
              <w:bottom w:val="single" w:sz="4" w:space="0" w:color="auto"/>
              <w:right w:val="single" w:sz="4" w:space="0" w:color="auto"/>
            </w:tcBorders>
            <w:vAlign w:val="center"/>
            <w:hideMark/>
          </w:tcPr>
          <w:p w14:paraId="10988572"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2.76</w:t>
            </w:r>
          </w:p>
        </w:tc>
      </w:tr>
      <w:tr w:rsidR="00BB40F4" w:rsidRPr="00BB40F4" w14:paraId="0B7F5DEC" w14:textId="77777777" w:rsidTr="00BB40F4">
        <w:trPr>
          <w:trHeight w:val="290"/>
        </w:trPr>
        <w:tc>
          <w:tcPr>
            <w:tcW w:w="2887" w:type="pct"/>
            <w:tcBorders>
              <w:top w:val="nil"/>
              <w:left w:val="single" w:sz="4" w:space="0" w:color="auto"/>
              <w:bottom w:val="single" w:sz="4" w:space="0" w:color="auto"/>
              <w:right w:val="single" w:sz="4" w:space="0" w:color="auto"/>
            </w:tcBorders>
            <w:vAlign w:val="center"/>
            <w:hideMark/>
          </w:tcPr>
          <w:p w14:paraId="4056D255"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T (z)</w:t>
            </w:r>
          </w:p>
        </w:tc>
        <w:tc>
          <w:tcPr>
            <w:tcW w:w="2113" w:type="pct"/>
            <w:tcBorders>
              <w:top w:val="nil"/>
              <w:left w:val="nil"/>
              <w:bottom w:val="single" w:sz="4" w:space="0" w:color="auto"/>
              <w:right w:val="single" w:sz="4" w:space="0" w:color="auto"/>
            </w:tcBorders>
            <w:vAlign w:val="center"/>
            <w:hideMark/>
          </w:tcPr>
          <w:p w14:paraId="5DCFE48A"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1.66</w:t>
            </w:r>
          </w:p>
        </w:tc>
      </w:tr>
    </w:tbl>
    <w:p w14:paraId="1A9F4954" w14:textId="77777777" w:rsidR="00BB40F4" w:rsidRDefault="00BB40F4" w:rsidP="00BB40F4">
      <w:pPr>
        <w:spacing w:after="0" w:line="360" w:lineRule="auto"/>
        <w:jc w:val="center"/>
        <w:rPr>
          <w:rFonts w:ascii="Times New Roman" w:hAnsi="Times New Roman" w:cs="Times New Roman"/>
          <w:sz w:val="20"/>
          <w:szCs w:val="20"/>
        </w:rPr>
      </w:pPr>
    </w:p>
    <w:p w14:paraId="62DB5659" w14:textId="77777777" w:rsidR="002836EA" w:rsidRDefault="002836EA" w:rsidP="00440788">
      <w:pPr>
        <w:spacing w:after="0" w:line="360" w:lineRule="auto"/>
        <w:jc w:val="both"/>
        <w:rPr>
          <w:rFonts w:ascii="Times New Roman" w:hAnsi="Times New Roman" w:cs="Times New Roman"/>
          <w:sz w:val="20"/>
          <w:szCs w:val="20"/>
        </w:rPr>
      </w:pPr>
    </w:p>
    <w:p w14:paraId="0D6E3F88" w14:textId="77777777" w:rsidR="002836EA" w:rsidRDefault="002836EA" w:rsidP="00440788">
      <w:pPr>
        <w:spacing w:after="0" w:line="360" w:lineRule="auto"/>
        <w:jc w:val="both"/>
        <w:rPr>
          <w:rFonts w:ascii="Times New Roman" w:hAnsi="Times New Roman" w:cs="Times New Roman"/>
          <w:sz w:val="20"/>
          <w:szCs w:val="20"/>
        </w:rPr>
      </w:pPr>
    </w:p>
    <w:p w14:paraId="4343C9E3" w14:textId="77777777" w:rsidR="00BB40F4" w:rsidRDefault="00BB40F4" w:rsidP="00BB40F4">
      <w:pPr>
        <w:spacing w:after="0" w:line="360" w:lineRule="auto"/>
        <w:jc w:val="both"/>
        <w:rPr>
          <w:rFonts w:ascii="Times New Roman" w:hAnsi="Times New Roman" w:cs="Times New Roman"/>
          <w:b/>
          <w:bCs/>
          <w:sz w:val="20"/>
          <w:szCs w:val="20"/>
        </w:rPr>
      </w:pPr>
    </w:p>
    <w:p w14:paraId="3FC59AA2" w14:textId="77777777" w:rsidR="00BB40F4" w:rsidRDefault="00BB40F4" w:rsidP="00BB40F4">
      <w:pPr>
        <w:spacing w:after="0" w:line="360" w:lineRule="auto"/>
        <w:jc w:val="both"/>
        <w:rPr>
          <w:rFonts w:ascii="Times New Roman" w:hAnsi="Times New Roman" w:cs="Times New Roman"/>
          <w:b/>
          <w:bCs/>
          <w:sz w:val="20"/>
          <w:szCs w:val="20"/>
        </w:rPr>
      </w:pPr>
    </w:p>
    <w:p w14:paraId="3763E145" w14:textId="1AA4CFD3" w:rsidR="00BB40F4" w:rsidRPr="00BB40F4" w:rsidRDefault="00BB40F4" w:rsidP="00BB40F4">
      <w:pPr>
        <w:spacing w:after="0" w:line="360" w:lineRule="auto"/>
        <w:jc w:val="both"/>
        <w:rPr>
          <w:rFonts w:ascii="Times New Roman" w:hAnsi="Times New Roman" w:cs="Times New Roman"/>
          <w:b/>
          <w:bCs/>
          <w:sz w:val="20"/>
          <w:szCs w:val="20"/>
        </w:rPr>
      </w:pPr>
      <w:r w:rsidRPr="00BB40F4">
        <w:rPr>
          <w:rFonts w:ascii="Times New Roman" w:hAnsi="Times New Roman" w:cs="Times New Roman"/>
          <w:b/>
          <w:bCs/>
          <w:sz w:val="20"/>
          <w:szCs w:val="20"/>
        </w:rPr>
        <w:lastRenderedPageBreak/>
        <w:t>Heterogeneity Assessment</w:t>
      </w:r>
    </w:p>
    <w:p w14:paraId="0DC5D99A" w14:textId="77777777" w:rsidR="00BB40F4" w:rsidRPr="00BB40F4" w:rsidRDefault="00BB40F4" w:rsidP="00BB40F4">
      <w:pPr>
        <w:spacing w:after="0" w:line="360" w:lineRule="auto"/>
        <w:jc w:val="both"/>
        <w:rPr>
          <w:rFonts w:ascii="Times New Roman" w:hAnsi="Times New Roman" w:cs="Times New Roman"/>
          <w:sz w:val="20"/>
          <w:szCs w:val="20"/>
        </w:rPr>
      </w:pPr>
      <w:r w:rsidRPr="00BB40F4">
        <w:rPr>
          <w:rFonts w:ascii="Times New Roman" w:hAnsi="Times New Roman" w:cs="Times New Roman"/>
          <w:sz w:val="20"/>
          <w:szCs w:val="20"/>
        </w:rPr>
        <w:t>The 10 entries included in this study were tested for statistical heterogeneity by using the Q statistic, I2 index and T2. The Cochrans Q statistic was calculated as 398.65 with p-value of 0.001 that statistically supports the study heterogeneity as significant (Table 6). The I2 index was calculated to be 97.94%, indicating that many of the differences in the effects sizes are because of the true difference within the studies or clinical setting, and patient demographics rather than due to sampling error or chance. In meta-analyses, the I2 index with a value higher than 75% is considered to be of high heterogeneity. In addition, the T2 was 2.76, which continues to measure the additional variance of the actual effect sizes among the various study populations. These results indicate that the detected variability could probably be attributed to the differences in study designs (from strictly controlled Phase 3 trials in the Western and Asian populations to real-life observational cohorts in Pakistan and Japan). Although this degree of heterogeneity is rather high, all the included studies revealed a positive correlation between vonoprazan and symptom relief supporting the clinical efficacy of this drug with respect to the conditions and measurement methods of the particular study [35,36].</w:t>
      </w:r>
    </w:p>
    <w:p w14:paraId="7A39B1FF" w14:textId="77777777" w:rsidR="00BB40F4" w:rsidRPr="00BB40F4" w:rsidRDefault="00BB40F4" w:rsidP="00BB40F4">
      <w:pPr>
        <w:spacing w:after="0" w:line="360" w:lineRule="auto"/>
        <w:jc w:val="both"/>
        <w:rPr>
          <w:rFonts w:ascii="Times New Roman" w:hAnsi="Times New Roman" w:cs="Times New Roman"/>
          <w:sz w:val="20"/>
          <w:szCs w:val="20"/>
        </w:rPr>
      </w:pPr>
    </w:p>
    <w:p w14:paraId="126E87AA" w14:textId="77777777" w:rsidR="00BB40F4" w:rsidRPr="00BB40F4" w:rsidRDefault="00BB40F4" w:rsidP="00BB40F4">
      <w:pPr>
        <w:spacing w:after="0" w:line="360" w:lineRule="auto"/>
        <w:jc w:val="both"/>
        <w:rPr>
          <w:rFonts w:ascii="Times New Roman" w:hAnsi="Times New Roman" w:cs="Times New Roman"/>
          <w:b/>
          <w:bCs/>
          <w:sz w:val="20"/>
          <w:szCs w:val="20"/>
        </w:rPr>
      </w:pPr>
      <w:r w:rsidRPr="00BB40F4">
        <w:rPr>
          <w:rFonts w:ascii="Times New Roman" w:hAnsi="Times New Roman" w:cs="Times New Roman"/>
          <w:b/>
          <w:bCs/>
          <w:sz w:val="20"/>
          <w:szCs w:val="20"/>
        </w:rPr>
        <w:t>Subgroup analysis</w:t>
      </w:r>
    </w:p>
    <w:p w14:paraId="35573A55" w14:textId="77777777" w:rsidR="00BB40F4" w:rsidRPr="00BB40F4" w:rsidRDefault="00BB40F4" w:rsidP="00BB40F4">
      <w:pPr>
        <w:spacing w:after="0" w:line="360" w:lineRule="auto"/>
        <w:jc w:val="both"/>
        <w:rPr>
          <w:rFonts w:ascii="Times New Roman" w:hAnsi="Times New Roman" w:cs="Times New Roman"/>
          <w:sz w:val="20"/>
          <w:szCs w:val="20"/>
        </w:rPr>
      </w:pPr>
      <w:r w:rsidRPr="00BB40F4">
        <w:rPr>
          <w:rFonts w:ascii="Times New Roman" w:hAnsi="Times New Roman" w:cs="Times New Roman"/>
          <w:sz w:val="20"/>
          <w:szCs w:val="20"/>
        </w:rPr>
        <w:t xml:space="preserve">The methodological design of the studies was used to classify them into two different groups in the subgroup analysis (Figure 6) of the forest plot: Group A (Observational Studies) and Group B (Randomized Controlled Trials). The total combined correlation coefficient of all studies included is r = 0.74 (95% CI: 0.60 to 0.85), which proves a strong positive relationship between vonoprazan administration and the elimination of the gastroesophageal reflux symptoms. Those where correlation coefficients are between 0.51 and 0.88 are Group A with observational and cohort studies like Ur Rehman et al. (2025) [30] and Abbasi et al. (2023) [27]. The pooled effect size for this subgroup is r = 0.82 (95% CI: 0.74 to 0.88). This group is highly heterogeneous (I 2 = 91.06%) with a Q-value of 67.08 with p = 0.001, which is probably due to the different real-world clinical environments as well as the different patient populations in Japan and Pakistan. The correlation coefficients in Group B, incorporating RCTs, including Laine et al. (2024) [29] and Kinoshita et al. (2019) [25] range between 0.17 and 0.69. The pooled effect size for this subgroup is r = 0.72 (95% CI: 0.44 to 0.87). The group is highly heterogeneous (I 2 = 98.71) with a Q-value of 233.00 as well, which could be explained by the rigorous experimental manipulations and dissimilarity in comparison measures, including placebo-controlled vs. on-demand dosing [37]. </w:t>
      </w:r>
    </w:p>
    <w:p w14:paraId="6E65A3D8" w14:textId="77777777" w:rsidR="00BB40F4" w:rsidRPr="00BB40F4" w:rsidRDefault="00BB40F4" w:rsidP="00BB40F4">
      <w:pPr>
        <w:spacing w:after="0" w:line="360" w:lineRule="auto"/>
        <w:jc w:val="both"/>
        <w:rPr>
          <w:rFonts w:ascii="Times New Roman" w:hAnsi="Times New Roman" w:cs="Times New Roman"/>
          <w:sz w:val="20"/>
          <w:szCs w:val="20"/>
        </w:rPr>
      </w:pPr>
    </w:p>
    <w:p w14:paraId="4F8E12A9" w14:textId="4C4B94EC" w:rsidR="002836EA" w:rsidRDefault="00BB40F4" w:rsidP="00BB40F4">
      <w:pPr>
        <w:spacing w:after="0" w:line="360" w:lineRule="auto"/>
        <w:jc w:val="both"/>
        <w:rPr>
          <w:rFonts w:ascii="Times New Roman" w:hAnsi="Times New Roman" w:cs="Times New Roman"/>
          <w:sz w:val="20"/>
          <w:szCs w:val="20"/>
        </w:rPr>
      </w:pPr>
      <w:r w:rsidRPr="00BB40F4">
        <w:rPr>
          <w:rFonts w:ascii="Times New Roman" w:hAnsi="Times New Roman" w:cs="Times New Roman"/>
          <w:sz w:val="20"/>
          <w:szCs w:val="20"/>
        </w:rPr>
        <w:t>Although these two subgroups point to a strong positive therapeutic relationship, the observational studies in Group A present an observed correlation that is slightly higher than that of Group B which has controlled trials. Nevertheless, the overall tendency of the estimates of both groups to the right supports the clinical usefulness of vonoprazan worldwide. The magnitude of effects between the two groups indicate that vonoprazan is very effective in a controlled environment, but its effects are even stronger in the normal clinical practice where treatment adherence and patient-specific factors can be varied [38].</w:t>
      </w:r>
    </w:p>
    <w:p w14:paraId="6D9486A5" w14:textId="77777777" w:rsidR="002836EA" w:rsidRDefault="002836EA" w:rsidP="00440788">
      <w:pPr>
        <w:spacing w:after="0" w:line="360" w:lineRule="auto"/>
        <w:jc w:val="both"/>
        <w:rPr>
          <w:rFonts w:ascii="Times New Roman" w:hAnsi="Times New Roman" w:cs="Times New Roman"/>
          <w:sz w:val="20"/>
          <w:szCs w:val="20"/>
        </w:rPr>
      </w:pPr>
    </w:p>
    <w:p w14:paraId="37847817" w14:textId="77777777" w:rsidR="002836EA" w:rsidRDefault="002836EA" w:rsidP="00440788">
      <w:pPr>
        <w:spacing w:after="0" w:line="360" w:lineRule="auto"/>
        <w:jc w:val="both"/>
        <w:rPr>
          <w:rFonts w:ascii="Times New Roman" w:hAnsi="Times New Roman" w:cs="Times New Roman"/>
          <w:sz w:val="20"/>
          <w:szCs w:val="20"/>
        </w:rPr>
      </w:pPr>
    </w:p>
    <w:p w14:paraId="4469C04A" w14:textId="77777777" w:rsidR="002836EA" w:rsidRDefault="002836EA" w:rsidP="00440788">
      <w:pPr>
        <w:spacing w:after="0" w:line="360" w:lineRule="auto"/>
        <w:jc w:val="both"/>
        <w:rPr>
          <w:rFonts w:ascii="Times New Roman" w:hAnsi="Times New Roman" w:cs="Times New Roman"/>
          <w:sz w:val="20"/>
          <w:szCs w:val="20"/>
        </w:rPr>
      </w:pPr>
    </w:p>
    <w:p w14:paraId="081A93B7" w14:textId="682C0BC9" w:rsidR="002836EA" w:rsidRDefault="00BB40F4" w:rsidP="00BB40F4">
      <w:pPr>
        <w:spacing w:after="0" w:line="360" w:lineRule="auto"/>
        <w:jc w:val="center"/>
        <w:rPr>
          <w:rFonts w:ascii="Times New Roman" w:hAnsi="Times New Roman" w:cs="Times New Roman"/>
          <w:sz w:val="20"/>
          <w:szCs w:val="20"/>
        </w:rPr>
      </w:pPr>
      <w:r w:rsidRPr="00D42C2E">
        <w:rPr>
          <w:rFonts w:ascii="Times New Roman" w:hAnsi="Times New Roman" w:cs="Times New Roman"/>
          <w:noProof/>
          <w:sz w:val="24"/>
          <w:szCs w:val="24"/>
        </w:rPr>
        <w:lastRenderedPageBreak/>
        <w:drawing>
          <wp:inline distT="0" distB="0" distL="0" distR="0" wp14:anchorId="7CCD092A" wp14:editId="7BE98153">
            <wp:extent cx="5943600" cy="19335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1933575"/>
                    </a:xfrm>
                    <a:prstGeom prst="rect">
                      <a:avLst/>
                    </a:prstGeom>
                  </pic:spPr>
                </pic:pic>
              </a:graphicData>
            </a:graphic>
          </wp:inline>
        </w:drawing>
      </w:r>
    </w:p>
    <w:p w14:paraId="27F0095B" w14:textId="04747327" w:rsidR="00BB40F4" w:rsidRDefault="00BB40F4" w:rsidP="00BB40F4">
      <w:pPr>
        <w:spacing w:after="0" w:line="360" w:lineRule="auto"/>
        <w:jc w:val="center"/>
        <w:rPr>
          <w:rFonts w:ascii="Times New Roman" w:hAnsi="Times New Roman" w:cs="Times New Roman"/>
          <w:sz w:val="20"/>
          <w:szCs w:val="20"/>
        </w:rPr>
      </w:pPr>
      <w:r w:rsidRPr="00BB40F4">
        <w:rPr>
          <w:rFonts w:ascii="Times New Roman" w:hAnsi="Times New Roman" w:cs="Times New Roman"/>
          <w:b/>
          <w:bCs/>
          <w:color w:val="0070C0"/>
          <w:sz w:val="20"/>
          <w:szCs w:val="20"/>
        </w:rPr>
        <w:t>Figure 6:</w:t>
      </w:r>
      <w:r w:rsidRPr="00BB40F4">
        <w:rPr>
          <w:rFonts w:ascii="Times New Roman" w:hAnsi="Times New Roman" w:cs="Times New Roman"/>
          <w:sz w:val="20"/>
          <w:szCs w:val="20"/>
        </w:rPr>
        <w:t xml:space="preserve"> Subgroup analysis of the included studies examining the correlations between vonoprazan use and gastroesophageal reflux symptom resolution, stratified by study design.</w:t>
      </w:r>
    </w:p>
    <w:p w14:paraId="5FFEB236" w14:textId="77777777" w:rsidR="00BB40F4" w:rsidRDefault="00BB40F4" w:rsidP="00BB40F4">
      <w:pPr>
        <w:spacing w:after="0" w:line="360" w:lineRule="auto"/>
        <w:jc w:val="center"/>
        <w:rPr>
          <w:rFonts w:ascii="Times New Roman" w:hAnsi="Times New Roman" w:cs="Times New Roman"/>
          <w:sz w:val="20"/>
          <w:szCs w:val="20"/>
        </w:rPr>
      </w:pPr>
    </w:p>
    <w:p w14:paraId="481998AE" w14:textId="77777777" w:rsidR="00BB40F4" w:rsidRDefault="00BB40F4" w:rsidP="00BB40F4">
      <w:pPr>
        <w:spacing w:after="0" w:line="360" w:lineRule="auto"/>
        <w:jc w:val="center"/>
        <w:rPr>
          <w:rFonts w:ascii="Times New Roman" w:hAnsi="Times New Roman" w:cs="Times New Roman"/>
          <w:sz w:val="20"/>
          <w:szCs w:val="20"/>
        </w:rPr>
      </w:pPr>
    </w:p>
    <w:p w14:paraId="26FF28ED" w14:textId="08AA15BE" w:rsidR="00BB40F4" w:rsidRDefault="00BB40F4" w:rsidP="00BB40F4">
      <w:pPr>
        <w:spacing w:after="0" w:line="360" w:lineRule="auto"/>
        <w:jc w:val="center"/>
        <w:rPr>
          <w:rFonts w:ascii="Times New Roman" w:hAnsi="Times New Roman" w:cs="Times New Roman"/>
          <w:sz w:val="20"/>
          <w:szCs w:val="20"/>
        </w:rPr>
      </w:pPr>
      <w:r w:rsidRPr="00BB40F4">
        <w:rPr>
          <w:rFonts w:ascii="Times New Roman" w:hAnsi="Times New Roman" w:cs="Times New Roman"/>
          <w:b/>
          <w:bCs/>
          <w:color w:val="0070C0"/>
          <w:sz w:val="20"/>
          <w:szCs w:val="20"/>
        </w:rPr>
        <w:t>Table 7:</w:t>
      </w:r>
      <w:r w:rsidRPr="00BB40F4">
        <w:rPr>
          <w:rFonts w:ascii="Times New Roman" w:hAnsi="Times New Roman" w:cs="Times New Roman"/>
          <w:sz w:val="20"/>
          <w:szCs w:val="20"/>
        </w:rPr>
        <w:t xml:space="preserve"> Information related to Sub-group analysis</w:t>
      </w:r>
    </w:p>
    <w:tbl>
      <w:tblPr>
        <w:tblW w:w="5000" w:type="pct"/>
        <w:tblLook w:val="04A0" w:firstRow="1" w:lastRow="0" w:firstColumn="1" w:lastColumn="0" w:noHBand="0" w:noVBand="1"/>
      </w:tblPr>
      <w:tblGrid>
        <w:gridCol w:w="2839"/>
        <w:gridCol w:w="2352"/>
        <w:gridCol w:w="2135"/>
        <w:gridCol w:w="2250"/>
      </w:tblGrid>
      <w:tr w:rsidR="00BB40F4" w:rsidRPr="00BB40F4" w14:paraId="742AD24B" w14:textId="77777777" w:rsidTr="00BB40F4">
        <w:trPr>
          <w:trHeight w:val="61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34BF60A"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 xml:space="preserve">                                                          </w:t>
            </w:r>
            <w:r w:rsidRPr="00BB40F4">
              <w:rPr>
                <w:rFonts w:ascii="Times New Roman" w:eastAsia="Times New Roman" w:hAnsi="Times New Roman" w:cs="Times New Roman"/>
                <w:b/>
                <w:bCs/>
                <w:color w:val="000000"/>
                <w:sz w:val="20"/>
                <w:szCs w:val="20"/>
                <w:lang w:eastAsia="en-IN"/>
              </w:rPr>
              <w:t>Meta-analysis model</w:t>
            </w:r>
          </w:p>
        </w:tc>
      </w:tr>
      <w:tr w:rsidR="00BB40F4" w:rsidRPr="00BB40F4" w14:paraId="7BCC818D" w14:textId="77777777" w:rsidTr="00BB40F4">
        <w:trPr>
          <w:trHeight w:val="333"/>
        </w:trPr>
        <w:tc>
          <w:tcPr>
            <w:tcW w:w="1482" w:type="pct"/>
            <w:tcBorders>
              <w:top w:val="nil"/>
              <w:left w:val="single" w:sz="4" w:space="0" w:color="auto"/>
              <w:bottom w:val="single" w:sz="4" w:space="0" w:color="auto"/>
              <w:right w:val="single" w:sz="4" w:space="0" w:color="auto"/>
            </w:tcBorders>
            <w:vAlign w:val="center"/>
            <w:hideMark/>
          </w:tcPr>
          <w:p w14:paraId="29D28055"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Effect Size</w:t>
            </w:r>
          </w:p>
        </w:tc>
        <w:tc>
          <w:tcPr>
            <w:tcW w:w="3518" w:type="pct"/>
            <w:gridSpan w:val="3"/>
            <w:tcBorders>
              <w:top w:val="single" w:sz="4" w:space="0" w:color="auto"/>
              <w:left w:val="nil"/>
              <w:bottom w:val="single" w:sz="4" w:space="0" w:color="auto"/>
              <w:right w:val="single" w:sz="4" w:space="0" w:color="auto"/>
            </w:tcBorders>
            <w:vAlign w:val="center"/>
            <w:hideMark/>
          </w:tcPr>
          <w:p w14:paraId="0B9204BD"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0.74</w:t>
            </w:r>
          </w:p>
        </w:tc>
      </w:tr>
      <w:tr w:rsidR="00BB40F4" w:rsidRPr="00BB40F4" w14:paraId="15F5DA4E" w14:textId="77777777" w:rsidTr="00BB40F4">
        <w:trPr>
          <w:trHeight w:val="410"/>
        </w:trPr>
        <w:tc>
          <w:tcPr>
            <w:tcW w:w="1482" w:type="pct"/>
            <w:tcBorders>
              <w:top w:val="nil"/>
              <w:left w:val="single" w:sz="4" w:space="0" w:color="auto"/>
              <w:bottom w:val="single" w:sz="4" w:space="0" w:color="auto"/>
              <w:right w:val="single" w:sz="4" w:space="0" w:color="auto"/>
            </w:tcBorders>
            <w:vAlign w:val="center"/>
            <w:hideMark/>
          </w:tcPr>
          <w:p w14:paraId="6F92F595"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Standard error</w:t>
            </w:r>
          </w:p>
        </w:tc>
        <w:tc>
          <w:tcPr>
            <w:tcW w:w="3518" w:type="pct"/>
            <w:gridSpan w:val="3"/>
            <w:tcBorders>
              <w:top w:val="single" w:sz="4" w:space="0" w:color="auto"/>
              <w:left w:val="nil"/>
              <w:bottom w:val="single" w:sz="4" w:space="0" w:color="auto"/>
              <w:right w:val="single" w:sz="4" w:space="0" w:color="auto"/>
            </w:tcBorders>
            <w:vAlign w:val="center"/>
            <w:hideMark/>
          </w:tcPr>
          <w:p w14:paraId="73E43C9A"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0.04</w:t>
            </w:r>
          </w:p>
        </w:tc>
      </w:tr>
      <w:tr w:rsidR="00BB40F4" w:rsidRPr="00BB40F4" w14:paraId="4F70466B" w14:textId="77777777" w:rsidTr="00BB40F4">
        <w:trPr>
          <w:trHeight w:val="414"/>
        </w:trPr>
        <w:tc>
          <w:tcPr>
            <w:tcW w:w="1482" w:type="pct"/>
            <w:tcBorders>
              <w:top w:val="nil"/>
              <w:left w:val="single" w:sz="4" w:space="0" w:color="auto"/>
              <w:bottom w:val="single" w:sz="4" w:space="0" w:color="auto"/>
              <w:right w:val="single" w:sz="4" w:space="0" w:color="auto"/>
            </w:tcBorders>
            <w:vAlign w:val="center"/>
            <w:hideMark/>
          </w:tcPr>
          <w:p w14:paraId="13C4ADA4"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Confidence interval LL</w:t>
            </w:r>
          </w:p>
        </w:tc>
        <w:tc>
          <w:tcPr>
            <w:tcW w:w="3518" w:type="pct"/>
            <w:gridSpan w:val="3"/>
            <w:tcBorders>
              <w:top w:val="single" w:sz="4" w:space="0" w:color="auto"/>
              <w:left w:val="nil"/>
              <w:bottom w:val="single" w:sz="4" w:space="0" w:color="auto"/>
              <w:right w:val="single" w:sz="4" w:space="0" w:color="auto"/>
            </w:tcBorders>
            <w:vAlign w:val="center"/>
            <w:hideMark/>
          </w:tcPr>
          <w:p w14:paraId="7B46351B"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0.66</w:t>
            </w:r>
          </w:p>
        </w:tc>
      </w:tr>
      <w:tr w:rsidR="00BB40F4" w:rsidRPr="00BB40F4" w14:paraId="090CECB6" w14:textId="77777777" w:rsidTr="00BB40F4">
        <w:trPr>
          <w:trHeight w:val="420"/>
        </w:trPr>
        <w:tc>
          <w:tcPr>
            <w:tcW w:w="1482" w:type="pct"/>
            <w:tcBorders>
              <w:top w:val="nil"/>
              <w:left w:val="single" w:sz="4" w:space="0" w:color="auto"/>
              <w:bottom w:val="single" w:sz="4" w:space="0" w:color="auto"/>
              <w:right w:val="single" w:sz="4" w:space="0" w:color="auto"/>
            </w:tcBorders>
            <w:vAlign w:val="center"/>
            <w:hideMark/>
          </w:tcPr>
          <w:p w14:paraId="214A4938"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Confidence interval UL</w:t>
            </w:r>
          </w:p>
        </w:tc>
        <w:tc>
          <w:tcPr>
            <w:tcW w:w="3518" w:type="pct"/>
            <w:gridSpan w:val="3"/>
            <w:tcBorders>
              <w:top w:val="single" w:sz="4" w:space="0" w:color="auto"/>
              <w:left w:val="nil"/>
              <w:bottom w:val="single" w:sz="4" w:space="0" w:color="auto"/>
              <w:right w:val="single" w:sz="4" w:space="0" w:color="auto"/>
            </w:tcBorders>
            <w:vAlign w:val="center"/>
            <w:hideMark/>
          </w:tcPr>
          <w:p w14:paraId="39E7B4B9"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0.82</w:t>
            </w:r>
          </w:p>
        </w:tc>
      </w:tr>
      <w:tr w:rsidR="00BB40F4" w:rsidRPr="00BB40F4" w14:paraId="0C3032DB" w14:textId="77777777" w:rsidTr="00BB40F4">
        <w:trPr>
          <w:trHeight w:val="412"/>
        </w:trPr>
        <w:tc>
          <w:tcPr>
            <w:tcW w:w="1482" w:type="pct"/>
            <w:tcBorders>
              <w:top w:val="nil"/>
              <w:left w:val="single" w:sz="4" w:space="0" w:color="auto"/>
              <w:bottom w:val="single" w:sz="4" w:space="0" w:color="auto"/>
              <w:right w:val="single" w:sz="4" w:space="0" w:color="auto"/>
            </w:tcBorders>
            <w:vAlign w:val="center"/>
            <w:hideMark/>
          </w:tcPr>
          <w:p w14:paraId="4FE1AAE1"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Prediction interval LL</w:t>
            </w:r>
          </w:p>
        </w:tc>
        <w:tc>
          <w:tcPr>
            <w:tcW w:w="3518" w:type="pct"/>
            <w:gridSpan w:val="3"/>
            <w:tcBorders>
              <w:top w:val="single" w:sz="4" w:space="0" w:color="auto"/>
              <w:left w:val="nil"/>
              <w:bottom w:val="single" w:sz="4" w:space="0" w:color="auto"/>
              <w:right w:val="single" w:sz="4" w:space="0" w:color="auto"/>
            </w:tcBorders>
            <w:vAlign w:val="center"/>
            <w:hideMark/>
          </w:tcPr>
          <w:p w14:paraId="1F654C63"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0.66</w:t>
            </w:r>
          </w:p>
        </w:tc>
      </w:tr>
      <w:tr w:rsidR="00BB40F4" w:rsidRPr="00BB40F4" w14:paraId="26DD531B" w14:textId="77777777" w:rsidTr="00BB40F4">
        <w:trPr>
          <w:trHeight w:val="418"/>
        </w:trPr>
        <w:tc>
          <w:tcPr>
            <w:tcW w:w="1482" w:type="pct"/>
            <w:tcBorders>
              <w:top w:val="nil"/>
              <w:left w:val="single" w:sz="4" w:space="0" w:color="auto"/>
              <w:bottom w:val="single" w:sz="4" w:space="0" w:color="auto"/>
              <w:right w:val="single" w:sz="4" w:space="0" w:color="auto"/>
            </w:tcBorders>
            <w:vAlign w:val="center"/>
            <w:hideMark/>
          </w:tcPr>
          <w:p w14:paraId="301BBA93"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Prediction interval UL</w:t>
            </w:r>
          </w:p>
        </w:tc>
        <w:tc>
          <w:tcPr>
            <w:tcW w:w="3518" w:type="pct"/>
            <w:gridSpan w:val="3"/>
            <w:tcBorders>
              <w:top w:val="single" w:sz="4" w:space="0" w:color="auto"/>
              <w:left w:val="nil"/>
              <w:bottom w:val="single" w:sz="4" w:space="0" w:color="auto"/>
              <w:right w:val="single" w:sz="4" w:space="0" w:color="auto"/>
            </w:tcBorders>
            <w:vAlign w:val="center"/>
            <w:hideMark/>
          </w:tcPr>
          <w:p w14:paraId="32D16A07"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0.82</w:t>
            </w:r>
          </w:p>
        </w:tc>
      </w:tr>
      <w:tr w:rsidR="00BB40F4" w:rsidRPr="00BB40F4" w14:paraId="0A29DBEF" w14:textId="77777777" w:rsidTr="00BB40F4">
        <w:trPr>
          <w:trHeight w:val="410"/>
        </w:trPr>
        <w:tc>
          <w:tcPr>
            <w:tcW w:w="1482" w:type="pct"/>
            <w:tcBorders>
              <w:top w:val="nil"/>
              <w:left w:val="single" w:sz="4" w:space="0" w:color="auto"/>
              <w:bottom w:val="single" w:sz="4" w:space="0" w:color="auto"/>
              <w:right w:val="single" w:sz="4" w:space="0" w:color="auto"/>
            </w:tcBorders>
            <w:vAlign w:val="center"/>
            <w:hideMark/>
          </w:tcPr>
          <w:p w14:paraId="13C9EE01"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Number of incl. subjects</w:t>
            </w:r>
          </w:p>
        </w:tc>
        <w:tc>
          <w:tcPr>
            <w:tcW w:w="3518" w:type="pct"/>
            <w:gridSpan w:val="3"/>
            <w:tcBorders>
              <w:top w:val="single" w:sz="4" w:space="0" w:color="auto"/>
              <w:left w:val="nil"/>
              <w:bottom w:val="single" w:sz="4" w:space="0" w:color="auto"/>
              <w:right w:val="single" w:sz="4" w:space="0" w:color="auto"/>
            </w:tcBorders>
            <w:vAlign w:val="center"/>
            <w:hideMark/>
          </w:tcPr>
          <w:p w14:paraId="44BC62DF"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2645</w:t>
            </w:r>
          </w:p>
        </w:tc>
      </w:tr>
      <w:tr w:rsidR="00BB40F4" w:rsidRPr="00BB40F4" w14:paraId="2426ADF4" w14:textId="77777777" w:rsidTr="00BB40F4">
        <w:trPr>
          <w:trHeight w:val="417"/>
        </w:trPr>
        <w:tc>
          <w:tcPr>
            <w:tcW w:w="1482" w:type="pct"/>
            <w:tcBorders>
              <w:top w:val="nil"/>
              <w:left w:val="single" w:sz="4" w:space="0" w:color="auto"/>
              <w:bottom w:val="single" w:sz="4" w:space="0" w:color="auto"/>
              <w:right w:val="single" w:sz="4" w:space="0" w:color="auto"/>
            </w:tcBorders>
            <w:vAlign w:val="center"/>
            <w:hideMark/>
          </w:tcPr>
          <w:p w14:paraId="02E707EA"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Number of subgroups</w:t>
            </w:r>
          </w:p>
        </w:tc>
        <w:tc>
          <w:tcPr>
            <w:tcW w:w="3518" w:type="pct"/>
            <w:gridSpan w:val="3"/>
            <w:tcBorders>
              <w:top w:val="single" w:sz="4" w:space="0" w:color="auto"/>
              <w:left w:val="nil"/>
              <w:bottom w:val="single" w:sz="4" w:space="0" w:color="auto"/>
              <w:right w:val="single" w:sz="4" w:space="0" w:color="auto"/>
            </w:tcBorders>
            <w:vAlign w:val="center"/>
            <w:hideMark/>
          </w:tcPr>
          <w:p w14:paraId="7427564D"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2</w:t>
            </w:r>
          </w:p>
        </w:tc>
      </w:tr>
      <w:tr w:rsidR="00BB40F4" w:rsidRPr="00BB40F4" w14:paraId="1F79F37A" w14:textId="77777777" w:rsidTr="00BB40F4">
        <w:trPr>
          <w:trHeight w:val="550"/>
        </w:trPr>
        <w:tc>
          <w:tcPr>
            <w:tcW w:w="1482" w:type="pct"/>
            <w:tcBorders>
              <w:top w:val="nil"/>
              <w:left w:val="single" w:sz="4" w:space="0" w:color="auto"/>
              <w:bottom w:val="single" w:sz="4" w:space="0" w:color="auto"/>
              <w:right w:val="single" w:sz="4" w:space="0" w:color="auto"/>
            </w:tcBorders>
            <w:vAlign w:val="center"/>
            <w:hideMark/>
          </w:tcPr>
          <w:p w14:paraId="7AEC3C49"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bookmarkStart w:id="2" w:name="RANGE!E13"/>
            <w:r w:rsidRPr="00BB40F4">
              <w:rPr>
                <w:rFonts w:ascii="Times New Roman" w:eastAsia="Times New Roman" w:hAnsi="Times New Roman" w:cs="Times New Roman"/>
                <w:color w:val="000000"/>
                <w:sz w:val="20"/>
                <w:szCs w:val="20"/>
                <w:lang w:eastAsia="en-IN"/>
              </w:rPr>
              <w:t>Analysis of variance</w:t>
            </w:r>
            <w:bookmarkEnd w:id="2"/>
          </w:p>
        </w:tc>
        <w:tc>
          <w:tcPr>
            <w:tcW w:w="1228" w:type="pct"/>
            <w:tcBorders>
              <w:top w:val="nil"/>
              <w:left w:val="nil"/>
              <w:bottom w:val="single" w:sz="4" w:space="0" w:color="auto"/>
              <w:right w:val="single" w:sz="4" w:space="0" w:color="auto"/>
            </w:tcBorders>
            <w:vAlign w:val="center"/>
            <w:hideMark/>
          </w:tcPr>
          <w:p w14:paraId="53D1A3C5" w14:textId="77777777" w:rsidR="00BB40F4" w:rsidRPr="00BB40F4" w:rsidRDefault="00BB40F4" w:rsidP="00BB40F4">
            <w:pPr>
              <w:spacing w:after="0" w:line="240" w:lineRule="auto"/>
              <w:jc w:val="center"/>
              <w:rPr>
                <w:rFonts w:ascii="Times New Roman" w:eastAsia="Times New Roman" w:hAnsi="Times New Roman" w:cs="Times New Roman"/>
                <w:b/>
                <w:bCs/>
                <w:color w:val="000000"/>
                <w:sz w:val="20"/>
                <w:szCs w:val="20"/>
                <w:lang w:val="en-IN" w:eastAsia="en-IN"/>
              </w:rPr>
            </w:pPr>
            <w:r w:rsidRPr="00BB40F4">
              <w:rPr>
                <w:rFonts w:ascii="Times New Roman" w:eastAsia="Times New Roman" w:hAnsi="Times New Roman" w:cs="Times New Roman"/>
                <w:b/>
                <w:bCs/>
                <w:color w:val="000000"/>
                <w:sz w:val="20"/>
                <w:szCs w:val="20"/>
                <w:lang w:eastAsia="en-IN"/>
              </w:rPr>
              <w:t>Sum of squares (Q*)</w:t>
            </w:r>
          </w:p>
        </w:tc>
        <w:tc>
          <w:tcPr>
            <w:tcW w:w="1115" w:type="pct"/>
            <w:tcBorders>
              <w:top w:val="nil"/>
              <w:left w:val="nil"/>
              <w:bottom w:val="single" w:sz="4" w:space="0" w:color="auto"/>
              <w:right w:val="single" w:sz="4" w:space="0" w:color="auto"/>
            </w:tcBorders>
            <w:vAlign w:val="center"/>
            <w:hideMark/>
          </w:tcPr>
          <w:p w14:paraId="2C84A219" w14:textId="77777777" w:rsidR="00BB40F4" w:rsidRPr="00BB40F4" w:rsidRDefault="00BB40F4" w:rsidP="00BB40F4">
            <w:pPr>
              <w:spacing w:after="0" w:line="240" w:lineRule="auto"/>
              <w:jc w:val="center"/>
              <w:rPr>
                <w:rFonts w:ascii="Times New Roman" w:eastAsia="Times New Roman" w:hAnsi="Times New Roman" w:cs="Times New Roman"/>
                <w:b/>
                <w:bCs/>
                <w:color w:val="000000"/>
                <w:sz w:val="20"/>
                <w:szCs w:val="20"/>
                <w:lang w:val="en-IN" w:eastAsia="en-IN"/>
              </w:rPr>
            </w:pPr>
            <w:r w:rsidRPr="00BB40F4">
              <w:rPr>
                <w:rFonts w:ascii="Times New Roman" w:eastAsia="Times New Roman" w:hAnsi="Times New Roman" w:cs="Times New Roman"/>
                <w:b/>
                <w:bCs/>
                <w:color w:val="000000"/>
                <w:sz w:val="20"/>
                <w:szCs w:val="20"/>
                <w:lang w:eastAsia="en-IN"/>
              </w:rPr>
              <w:t>Df</w:t>
            </w:r>
          </w:p>
        </w:tc>
        <w:tc>
          <w:tcPr>
            <w:tcW w:w="1176" w:type="pct"/>
            <w:tcBorders>
              <w:top w:val="nil"/>
              <w:left w:val="nil"/>
              <w:bottom w:val="single" w:sz="4" w:space="0" w:color="auto"/>
              <w:right w:val="single" w:sz="4" w:space="0" w:color="auto"/>
            </w:tcBorders>
            <w:vAlign w:val="center"/>
            <w:hideMark/>
          </w:tcPr>
          <w:p w14:paraId="774B5146" w14:textId="77777777" w:rsidR="00BB40F4" w:rsidRPr="00BB40F4" w:rsidRDefault="00BB40F4" w:rsidP="00BB40F4">
            <w:pPr>
              <w:spacing w:after="0" w:line="240" w:lineRule="auto"/>
              <w:jc w:val="center"/>
              <w:rPr>
                <w:rFonts w:ascii="Times New Roman" w:eastAsia="Times New Roman" w:hAnsi="Times New Roman" w:cs="Times New Roman"/>
                <w:b/>
                <w:bCs/>
                <w:color w:val="000000"/>
                <w:sz w:val="20"/>
                <w:szCs w:val="20"/>
                <w:lang w:val="en-IN" w:eastAsia="en-IN"/>
              </w:rPr>
            </w:pPr>
            <w:r w:rsidRPr="00BB40F4">
              <w:rPr>
                <w:rFonts w:ascii="Times New Roman" w:eastAsia="Times New Roman" w:hAnsi="Times New Roman" w:cs="Times New Roman"/>
                <w:b/>
                <w:bCs/>
                <w:color w:val="000000"/>
                <w:sz w:val="20"/>
                <w:szCs w:val="20"/>
                <w:lang w:eastAsia="en-IN"/>
              </w:rPr>
              <w:t>P</w:t>
            </w:r>
          </w:p>
        </w:tc>
      </w:tr>
      <w:tr w:rsidR="00BB40F4" w:rsidRPr="00BB40F4" w14:paraId="0B68D350" w14:textId="77777777" w:rsidTr="00BB40F4">
        <w:trPr>
          <w:trHeight w:val="288"/>
        </w:trPr>
        <w:tc>
          <w:tcPr>
            <w:tcW w:w="1482" w:type="pct"/>
            <w:tcBorders>
              <w:top w:val="nil"/>
              <w:left w:val="single" w:sz="4" w:space="0" w:color="auto"/>
              <w:bottom w:val="single" w:sz="4" w:space="0" w:color="auto"/>
              <w:right w:val="single" w:sz="4" w:space="0" w:color="auto"/>
            </w:tcBorders>
            <w:vAlign w:val="center"/>
            <w:hideMark/>
          </w:tcPr>
          <w:p w14:paraId="247E4B57"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Between / Model</w:t>
            </w:r>
          </w:p>
        </w:tc>
        <w:tc>
          <w:tcPr>
            <w:tcW w:w="1228" w:type="pct"/>
            <w:tcBorders>
              <w:top w:val="nil"/>
              <w:left w:val="nil"/>
              <w:bottom w:val="single" w:sz="4" w:space="0" w:color="auto"/>
              <w:right w:val="single" w:sz="4" w:space="0" w:color="auto"/>
            </w:tcBorders>
            <w:vAlign w:val="center"/>
            <w:hideMark/>
          </w:tcPr>
          <w:p w14:paraId="1C1D0F0A"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0.02</w:t>
            </w:r>
          </w:p>
        </w:tc>
        <w:tc>
          <w:tcPr>
            <w:tcW w:w="1115" w:type="pct"/>
            <w:tcBorders>
              <w:top w:val="nil"/>
              <w:left w:val="nil"/>
              <w:bottom w:val="single" w:sz="4" w:space="0" w:color="auto"/>
              <w:right w:val="single" w:sz="4" w:space="0" w:color="auto"/>
            </w:tcBorders>
            <w:vAlign w:val="center"/>
            <w:hideMark/>
          </w:tcPr>
          <w:p w14:paraId="21D6C295"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1</w:t>
            </w:r>
          </w:p>
        </w:tc>
        <w:tc>
          <w:tcPr>
            <w:tcW w:w="1176" w:type="pct"/>
            <w:tcBorders>
              <w:top w:val="nil"/>
              <w:left w:val="nil"/>
              <w:bottom w:val="single" w:sz="4" w:space="0" w:color="auto"/>
              <w:right w:val="single" w:sz="4" w:space="0" w:color="auto"/>
            </w:tcBorders>
            <w:vAlign w:val="center"/>
            <w:hideMark/>
          </w:tcPr>
          <w:p w14:paraId="46F3A0B3"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0.893</w:t>
            </w:r>
          </w:p>
        </w:tc>
      </w:tr>
      <w:tr w:rsidR="00BB40F4" w:rsidRPr="00BB40F4" w14:paraId="5313207B" w14:textId="77777777" w:rsidTr="00BB40F4">
        <w:trPr>
          <w:trHeight w:val="324"/>
        </w:trPr>
        <w:tc>
          <w:tcPr>
            <w:tcW w:w="1482" w:type="pct"/>
            <w:tcBorders>
              <w:top w:val="nil"/>
              <w:left w:val="single" w:sz="4" w:space="0" w:color="auto"/>
              <w:bottom w:val="single" w:sz="4" w:space="0" w:color="auto"/>
              <w:right w:val="single" w:sz="4" w:space="0" w:color="auto"/>
            </w:tcBorders>
            <w:vAlign w:val="center"/>
            <w:hideMark/>
          </w:tcPr>
          <w:p w14:paraId="4F7F6733"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Within / Residual</w:t>
            </w:r>
          </w:p>
        </w:tc>
        <w:tc>
          <w:tcPr>
            <w:tcW w:w="1228" w:type="pct"/>
            <w:tcBorders>
              <w:top w:val="nil"/>
              <w:left w:val="nil"/>
              <w:bottom w:val="single" w:sz="4" w:space="0" w:color="auto"/>
              <w:right w:val="single" w:sz="4" w:space="0" w:color="auto"/>
            </w:tcBorders>
            <w:vAlign w:val="center"/>
            <w:hideMark/>
          </w:tcPr>
          <w:p w14:paraId="65A6DFC6"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3.03</w:t>
            </w:r>
          </w:p>
        </w:tc>
        <w:tc>
          <w:tcPr>
            <w:tcW w:w="1115" w:type="pct"/>
            <w:tcBorders>
              <w:top w:val="nil"/>
              <w:left w:val="nil"/>
              <w:bottom w:val="single" w:sz="4" w:space="0" w:color="auto"/>
              <w:right w:val="single" w:sz="4" w:space="0" w:color="auto"/>
            </w:tcBorders>
            <w:vAlign w:val="center"/>
            <w:hideMark/>
          </w:tcPr>
          <w:p w14:paraId="4DE39D60"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8</w:t>
            </w:r>
          </w:p>
        </w:tc>
        <w:tc>
          <w:tcPr>
            <w:tcW w:w="1176" w:type="pct"/>
            <w:tcBorders>
              <w:top w:val="nil"/>
              <w:left w:val="nil"/>
              <w:bottom w:val="single" w:sz="4" w:space="0" w:color="auto"/>
              <w:right w:val="single" w:sz="4" w:space="0" w:color="auto"/>
            </w:tcBorders>
            <w:vAlign w:val="center"/>
            <w:hideMark/>
          </w:tcPr>
          <w:p w14:paraId="30193BAD"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0.932</w:t>
            </w:r>
          </w:p>
        </w:tc>
      </w:tr>
      <w:tr w:rsidR="00BB40F4" w:rsidRPr="00BB40F4" w14:paraId="0625F26C" w14:textId="77777777" w:rsidTr="00BB40F4">
        <w:trPr>
          <w:trHeight w:val="290"/>
        </w:trPr>
        <w:tc>
          <w:tcPr>
            <w:tcW w:w="1482" w:type="pct"/>
            <w:tcBorders>
              <w:top w:val="nil"/>
              <w:left w:val="single" w:sz="4" w:space="0" w:color="auto"/>
              <w:bottom w:val="single" w:sz="4" w:space="0" w:color="auto"/>
              <w:right w:val="single" w:sz="4" w:space="0" w:color="auto"/>
            </w:tcBorders>
            <w:vAlign w:val="center"/>
            <w:hideMark/>
          </w:tcPr>
          <w:p w14:paraId="1FD1F736"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Total</w:t>
            </w:r>
          </w:p>
        </w:tc>
        <w:tc>
          <w:tcPr>
            <w:tcW w:w="1228" w:type="pct"/>
            <w:tcBorders>
              <w:top w:val="nil"/>
              <w:left w:val="nil"/>
              <w:bottom w:val="single" w:sz="4" w:space="0" w:color="auto"/>
              <w:right w:val="single" w:sz="4" w:space="0" w:color="auto"/>
            </w:tcBorders>
            <w:vAlign w:val="center"/>
            <w:hideMark/>
          </w:tcPr>
          <w:p w14:paraId="55059501"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3.05</w:t>
            </w:r>
          </w:p>
        </w:tc>
        <w:tc>
          <w:tcPr>
            <w:tcW w:w="1115" w:type="pct"/>
            <w:tcBorders>
              <w:top w:val="nil"/>
              <w:left w:val="nil"/>
              <w:bottom w:val="single" w:sz="4" w:space="0" w:color="auto"/>
              <w:right w:val="single" w:sz="4" w:space="0" w:color="auto"/>
            </w:tcBorders>
            <w:vAlign w:val="center"/>
            <w:hideMark/>
          </w:tcPr>
          <w:p w14:paraId="52321EA7"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9</w:t>
            </w:r>
          </w:p>
        </w:tc>
        <w:tc>
          <w:tcPr>
            <w:tcW w:w="1176" w:type="pct"/>
            <w:tcBorders>
              <w:top w:val="nil"/>
              <w:left w:val="nil"/>
              <w:bottom w:val="single" w:sz="4" w:space="0" w:color="auto"/>
              <w:right w:val="single" w:sz="4" w:space="0" w:color="auto"/>
            </w:tcBorders>
            <w:vAlign w:val="center"/>
            <w:hideMark/>
          </w:tcPr>
          <w:p w14:paraId="67CEDDF5"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0.962</w:t>
            </w:r>
          </w:p>
        </w:tc>
      </w:tr>
      <w:tr w:rsidR="00BB40F4" w:rsidRPr="00BB40F4" w14:paraId="747D652C" w14:textId="77777777" w:rsidTr="00BB40F4">
        <w:trPr>
          <w:trHeight w:val="310"/>
        </w:trPr>
        <w:tc>
          <w:tcPr>
            <w:tcW w:w="1482" w:type="pct"/>
            <w:tcBorders>
              <w:top w:val="nil"/>
              <w:left w:val="single" w:sz="4" w:space="0" w:color="auto"/>
              <w:bottom w:val="single" w:sz="4" w:space="0" w:color="auto"/>
              <w:right w:val="single" w:sz="4" w:space="0" w:color="auto"/>
            </w:tcBorders>
            <w:vAlign w:val="center"/>
            <w:hideMark/>
          </w:tcPr>
          <w:p w14:paraId="78D1DAB8"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Pseudo R</w:t>
            </w:r>
            <w:r w:rsidRPr="00BB40F4">
              <w:rPr>
                <w:rFonts w:ascii="Times New Roman" w:eastAsia="Times New Roman" w:hAnsi="Times New Roman" w:cs="Times New Roman"/>
                <w:color w:val="000000"/>
                <w:sz w:val="20"/>
                <w:szCs w:val="20"/>
                <w:vertAlign w:val="superscript"/>
                <w:lang w:eastAsia="en-IN"/>
              </w:rPr>
              <w:t>2</w:t>
            </w:r>
          </w:p>
        </w:tc>
        <w:tc>
          <w:tcPr>
            <w:tcW w:w="1228" w:type="pct"/>
            <w:tcBorders>
              <w:top w:val="nil"/>
              <w:left w:val="nil"/>
              <w:bottom w:val="single" w:sz="4" w:space="0" w:color="auto"/>
              <w:right w:val="single" w:sz="4" w:space="0" w:color="auto"/>
            </w:tcBorders>
            <w:vAlign w:val="center"/>
            <w:hideMark/>
          </w:tcPr>
          <w:p w14:paraId="25C0BB9B"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0.60%</w:t>
            </w:r>
          </w:p>
        </w:tc>
        <w:tc>
          <w:tcPr>
            <w:tcW w:w="1115" w:type="pct"/>
            <w:tcBorders>
              <w:top w:val="nil"/>
              <w:left w:val="nil"/>
              <w:bottom w:val="single" w:sz="4" w:space="0" w:color="auto"/>
              <w:right w:val="single" w:sz="4" w:space="0" w:color="auto"/>
            </w:tcBorders>
            <w:vAlign w:val="center"/>
            <w:hideMark/>
          </w:tcPr>
          <w:p w14:paraId="6DE9FF66"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 </w:t>
            </w:r>
          </w:p>
        </w:tc>
        <w:tc>
          <w:tcPr>
            <w:tcW w:w="1176" w:type="pct"/>
            <w:tcBorders>
              <w:top w:val="nil"/>
              <w:left w:val="nil"/>
              <w:bottom w:val="single" w:sz="4" w:space="0" w:color="auto"/>
              <w:right w:val="single" w:sz="4" w:space="0" w:color="auto"/>
            </w:tcBorders>
            <w:vAlign w:val="center"/>
            <w:hideMark/>
          </w:tcPr>
          <w:p w14:paraId="44F7E0F1" w14:textId="77777777" w:rsidR="00BB40F4" w:rsidRPr="00BB40F4" w:rsidRDefault="00BB40F4" w:rsidP="00BB40F4">
            <w:pPr>
              <w:spacing w:after="0" w:line="240" w:lineRule="auto"/>
              <w:jc w:val="center"/>
              <w:rPr>
                <w:rFonts w:ascii="Times New Roman" w:eastAsia="Times New Roman" w:hAnsi="Times New Roman" w:cs="Times New Roman"/>
                <w:color w:val="000000"/>
                <w:sz w:val="20"/>
                <w:szCs w:val="20"/>
                <w:lang w:val="en-IN" w:eastAsia="en-IN"/>
              </w:rPr>
            </w:pPr>
            <w:r w:rsidRPr="00BB40F4">
              <w:rPr>
                <w:rFonts w:ascii="Times New Roman" w:eastAsia="Times New Roman" w:hAnsi="Times New Roman" w:cs="Times New Roman"/>
                <w:color w:val="000000"/>
                <w:sz w:val="20"/>
                <w:szCs w:val="20"/>
                <w:lang w:eastAsia="en-IN"/>
              </w:rPr>
              <w:t> </w:t>
            </w:r>
          </w:p>
        </w:tc>
      </w:tr>
    </w:tbl>
    <w:p w14:paraId="22127D5E" w14:textId="77777777" w:rsidR="00BB40F4" w:rsidRDefault="00BB40F4" w:rsidP="00BB40F4">
      <w:pPr>
        <w:spacing w:after="0" w:line="360" w:lineRule="auto"/>
        <w:jc w:val="center"/>
        <w:rPr>
          <w:rFonts w:ascii="Times New Roman" w:hAnsi="Times New Roman" w:cs="Times New Roman"/>
          <w:sz w:val="20"/>
          <w:szCs w:val="20"/>
        </w:rPr>
      </w:pPr>
    </w:p>
    <w:p w14:paraId="138A1049" w14:textId="77777777" w:rsidR="002836EA" w:rsidRDefault="002836EA" w:rsidP="00440788">
      <w:pPr>
        <w:spacing w:after="0" w:line="360" w:lineRule="auto"/>
        <w:jc w:val="both"/>
        <w:rPr>
          <w:rFonts w:ascii="Times New Roman" w:hAnsi="Times New Roman" w:cs="Times New Roman"/>
          <w:sz w:val="20"/>
          <w:szCs w:val="20"/>
        </w:rPr>
      </w:pPr>
    </w:p>
    <w:p w14:paraId="784D3E6E" w14:textId="77777777" w:rsidR="00BB40F4" w:rsidRPr="00BB40F4" w:rsidRDefault="00BB40F4" w:rsidP="00BB40F4">
      <w:pPr>
        <w:spacing w:after="0" w:line="360" w:lineRule="auto"/>
        <w:jc w:val="both"/>
        <w:rPr>
          <w:rFonts w:ascii="Times New Roman" w:hAnsi="Times New Roman" w:cs="Times New Roman"/>
          <w:b/>
          <w:bCs/>
          <w:sz w:val="20"/>
          <w:szCs w:val="20"/>
        </w:rPr>
      </w:pPr>
      <w:r w:rsidRPr="00BB40F4">
        <w:rPr>
          <w:rFonts w:ascii="Times New Roman" w:hAnsi="Times New Roman" w:cs="Times New Roman"/>
          <w:b/>
          <w:bCs/>
          <w:sz w:val="20"/>
          <w:szCs w:val="20"/>
        </w:rPr>
        <w:t>Narrative analysis</w:t>
      </w:r>
    </w:p>
    <w:p w14:paraId="4660EA56" w14:textId="77777777" w:rsidR="00BB40F4" w:rsidRPr="00BB40F4" w:rsidRDefault="00BB40F4" w:rsidP="00BB40F4">
      <w:pPr>
        <w:spacing w:after="0" w:line="360" w:lineRule="auto"/>
        <w:jc w:val="both"/>
        <w:rPr>
          <w:rFonts w:ascii="Times New Roman" w:hAnsi="Times New Roman" w:cs="Times New Roman"/>
          <w:sz w:val="20"/>
          <w:szCs w:val="20"/>
        </w:rPr>
      </w:pPr>
      <w:r w:rsidRPr="00BB40F4">
        <w:rPr>
          <w:rFonts w:ascii="Times New Roman" w:hAnsi="Times New Roman" w:cs="Times New Roman"/>
          <w:sz w:val="20"/>
          <w:szCs w:val="20"/>
        </w:rPr>
        <w:t>This meta-analysis and systematic review compiled ten entries of the studies to assess the therapeutic effect of vonoprazan in acid-related disorders mainly GERD and erosive esophagitis. This review brings together both the results of RCTs and observational cohorts to offer a comprehensive view of the performance of vonoprazan in both the theoretical laboratory setting and various and more realistic clinical settings.</w:t>
      </w:r>
    </w:p>
    <w:p w14:paraId="0F0AC022" w14:textId="77777777" w:rsidR="00BB40F4" w:rsidRPr="00BB40F4" w:rsidRDefault="00BB40F4" w:rsidP="00BB40F4">
      <w:pPr>
        <w:spacing w:after="0" w:line="360" w:lineRule="auto"/>
        <w:jc w:val="both"/>
        <w:rPr>
          <w:rFonts w:ascii="Times New Roman" w:hAnsi="Times New Roman" w:cs="Times New Roman"/>
          <w:sz w:val="20"/>
          <w:szCs w:val="20"/>
        </w:rPr>
      </w:pPr>
    </w:p>
    <w:p w14:paraId="2A79987E" w14:textId="77777777" w:rsidR="00BB40F4" w:rsidRPr="00BB40F4" w:rsidRDefault="00BB40F4" w:rsidP="00BB40F4">
      <w:pPr>
        <w:spacing w:after="0" w:line="360" w:lineRule="auto"/>
        <w:jc w:val="both"/>
        <w:rPr>
          <w:rFonts w:ascii="Times New Roman" w:hAnsi="Times New Roman" w:cs="Times New Roman"/>
          <w:sz w:val="20"/>
          <w:szCs w:val="20"/>
        </w:rPr>
      </w:pPr>
      <w:r w:rsidRPr="005E03E4">
        <w:rPr>
          <w:rFonts w:ascii="Times New Roman" w:hAnsi="Times New Roman" w:cs="Times New Roman"/>
          <w:b/>
          <w:bCs/>
          <w:sz w:val="20"/>
          <w:szCs w:val="20"/>
        </w:rPr>
        <w:t>Therapeutic Efficacy and Symptom Resolution:</w:t>
      </w:r>
      <w:r w:rsidRPr="00BB40F4">
        <w:rPr>
          <w:rFonts w:ascii="Times New Roman" w:hAnsi="Times New Roman" w:cs="Times New Roman"/>
          <w:sz w:val="20"/>
          <w:szCs w:val="20"/>
        </w:rPr>
        <w:t xml:space="preserve"> The main concentration of the studies included was the capability of the drug to offer fast and long-lasting relief of the symptoms caused by acids. Observational trials, which were carried out in other geographical locations, demonstrated a great deal of clinical improvement, especially in the group of patients who had not responded well to the conventional proton pump inhibitors. Although the experimental trials employed stricter endpoints and control groups, they all confirmed the role of the drug in bringing about the mucosal healing and decreasing the number of reflux episodes. The congruency of these various forms of studies supports the clinical usability of vonoprazan as an effective acid-suppressant.</w:t>
      </w:r>
    </w:p>
    <w:p w14:paraId="15DBDFD6" w14:textId="77777777" w:rsidR="00BB40F4" w:rsidRPr="00BB40F4" w:rsidRDefault="00BB40F4" w:rsidP="00BB40F4">
      <w:pPr>
        <w:spacing w:after="0" w:line="360" w:lineRule="auto"/>
        <w:jc w:val="both"/>
        <w:rPr>
          <w:rFonts w:ascii="Times New Roman" w:hAnsi="Times New Roman" w:cs="Times New Roman"/>
          <w:sz w:val="20"/>
          <w:szCs w:val="20"/>
        </w:rPr>
      </w:pPr>
    </w:p>
    <w:p w14:paraId="2F26C1DA" w14:textId="77777777" w:rsidR="00BB40F4" w:rsidRPr="00BB40F4" w:rsidRDefault="00BB40F4" w:rsidP="00BB40F4">
      <w:pPr>
        <w:spacing w:after="0" w:line="360" w:lineRule="auto"/>
        <w:jc w:val="both"/>
        <w:rPr>
          <w:rFonts w:ascii="Times New Roman" w:hAnsi="Times New Roman" w:cs="Times New Roman"/>
          <w:sz w:val="20"/>
          <w:szCs w:val="20"/>
        </w:rPr>
      </w:pPr>
      <w:r w:rsidRPr="005E03E4">
        <w:rPr>
          <w:rFonts w:ascii="Times New Roman" w:hAnsi="Times New Roman" w:cs="Times New Roman"/>
          <w:b/>
          <w:bCs/>
          <w:sz w:val="20"/>
          <w:szCs w:val="20"/>
        </w:rPr>
        <w:t>Impact of Study Design on Clinical Outcomes:</w:t>
      </w:r>
      <w:r w:rsidRPr="00BB40F4">
        <w:rPr>
          <w:rFonts w:ascii="Times New Roman" w:hAnsi="Times New Roman" w:cs="Times New Roman"/>
          <w:sz w:val="20"/>
          <w:szCs w:val="20"/>
        </w:rPr>
        <w:t xml:space="preserve"> The narrative synthesis brings out a unique trend between experimental and observational data. The randomised trials were of high quality evidence on the pharmacological safety of the drug and standardised efficacy. Comparatively, the observational studies provided information on the performance of the drug in more generalized and heterogeneous patients. The risk of bias evaluations showed that the RCTs followed strict randomization procedures, but the observational studies were providing good ecological validity even though they were subject to the selection biases. This two-layered evidence base makes sure that the results can be generalized to clinical guidelines and daily practice.</w:t>
      </w:r>
    </w:p>
    <w:p w14:paraId="7CE78901" w14:textId="77777777" w:rsidR="00BB40F4" w:rsidRPr="00BB40F4" w:rsidRDefault="00BB40F4" w:rsidP="00BB40F4">
      <w:pPr>
        <w:spacing w:after="0" w:line="360" w:lineRule="auto"/>
        <w:jc w:val="both"/>
        <w:rPr>
          <w:rFonts w:ascii="Times New Roman" w:hAnsi="Times New Roman" w:cs="Times New Roman"/>
          <w:sz w:val="20"/>
          <w:szCs w:val="20"/>
        </w:rPr>
      </w:pPr>
    </w:p>
    <w:p w14:paraId="597FF023" w14:textId="77777777" w:rsidR="00BB40F4" w:rsidRPr="00BB40F4" w:rsidRDefault="00BB40F4" w:rsidP="00BB40F4">
      <w:pPr>
        <w:spacing w:after="0" w:line="360" w:lineRule="auto"/>
        <w:jc w:val="both"/>
        <w:rPr>
          <w:rFonts w:ascii="Times New Roman" w:hAnsi="Times New Roman" w:cs="Times New Roman"/>
          <w:sz w:val="20"/>
          <w:szCs w:val="20"/>
        </w:rPr>
      </w:pPr>
      <w:r w:rsidRPr="005E03E4">
        <w:rPr>
          <w:rFonts w:ascii="Times New Roman" w:hAnsi="Times New Roman" w:cs="Times New Roman"/>
          <w:b/>
          <w:bCs/>
          <w:sz w:val="20"/>
          <w:szCs w:val="20"/>
        </w:rPr>
        <w:t>Long-term Maintenance and Global Applicability:</w:t>
      </w:r>
      <w:r w:rsidRPr="00BB40F4">
        <w:rPr>
          <w:rFonts w:ascii="Times New Roman" w:hAnsi="Times New Roman" w:cs="Times New Roman"/>
          <w:sz w:val="20"/>
          <w:szCs w:val="20"/>
        </w:rPr>
        <w:t xml:space="preserve"> In addition to relieving acute symptoms, a number of studies also assessed the use of vonoprazan in long-term maintenance therapy. It is indicated that the drug is effective in prolonged periods, which avoids recurring symptoms and the development of lesions in the esophagus. Moreover, the fact that the studies include results of various continents implies that the therapeutic efficacy of vonoprazan is not limited by ethnicity or continental diets, and it makes it possible to use it as a universal worldwide method of treating acid-related disorders.</w:t>
      </w:r>
    </w:p>
    <w:p w14:paraId="1C2C4376" w14:textId="77777777" w:rsidR="00BB40F4" w:rsidRPr="00BB40F4" w:rsidRDefault="00BB40F4" w:rsidP="00BB40F4">
      <w:pPr>
        <w:spacing w:after="0" w:line="360" w:lineRule="auto"/>
        <w:jc w:val="both"/>
        <w:rPr>
          <w:rFonts w:ascii="Times New Roman" w:hAnsi="Times New Roman" w:cs="Times New Roman"/>
          <w:sz w:val="20"/>
          <w:szCs w:val="20"/>
        </w:rPr>
      </w:pPr>
    </w:p>
    <w:p w14:paraId="107E4897" w14:textId="77777777" w:rsidR="00BB40F4" w:rsidRPr="00BB40F4" w:rsidRDefault="00BB40F4" w:rsidP="00BB40F4">
      <w:pPr>
        <w:spacing w:after="0" w:line="360" w:lineRule="auto"/>
        <w:jc w:val="both"/>
        <w:rPr>
          <w:rFonts w:ascii="Times New Roman" w:hAnsi="Times New Roman" w:cs="Times New Roman"/>
          <w:b/>
          <w:bCs/>
          <w:color w:val="0070C0"/>
        </w:rPr>
      </w:pPr>
      <w:r w:rsidRPr="00BB40F4">
        <w:rPr>
          <w:rFonts w:ascii="Times New Roman" w:hAnsi="Times New Roman" w:cs="Times New Roman"/>
          <w:b/>
          <w:bCs/>
          <w:color w:val="0070C0"/>
        </w:rPr>
        <w:t>Discussion</w:t>
      </w:r>
    </w:p>
    <w:p w14:paraId="57B37789" w14:textId="77777777" w:rsidR="00BB40F4" w:rsidRPr="00BB40F4" w:rsidRDefault="00BB40F4" w:rsidP="00BB40F4">
      <w:pPr>
        <w:spacing w:after="0" w:line="360" w:lineRule="auto"/>
        <w:jc w:val="both"/>
        <w:rPr>
          <w:rFonts w:ascii="Times New Roman" w:hAnsi="Times New Roman" w:cs="Times New Roman"/>
          <w:sz w:val="20"/>
          <w:szCs w:val="20"/>
        </w:rPr>
      </w:pPr>
      <w:r w:rsidRPr="00BB40F4">
        <w:rPr>
          <w:rFonts w:ascii="Times New Roman" w:hAnsi="Times New Roman" w:cs="Times New Roman"/>
          <w:sz w:val="20"/>
          <w:szCs w:val="20"/>
        </w:rPr>
        <w:t>The systematic review and meta-analysis that is currently being analyzed offer a detailed assessment of the clinical effectiveness of vonoprazan, i.e., its effect when it comes to overcoming the symptoms of acid-related disorders. The findings of the studies which are included show that vonoprazan as potassium-competitive acid blocker (P-CAB) shows high degree of effectiveness in order to achieve therapeutic goals. The reviewed articles revealed a high effect on GERD symptom relief and mucosal healing that are the most common indicators of clinical success in these groups. These results are in line with previous literature, which has suggested that P-CABs have a quicker onset of activity and a more stable acid suppression in comparison to the traditional proton pump inhibitors (PPIs), with the levels of effects varying with each study design.</w:t>
      </w:r>
    </w:p>
    <w:p w14:paraId="1AFDA2D5" w14:textId="77777777" w:rsidR="00BB40F4" w:rsidRPr="00BB40F4" w:rsidRDefault="00BB40F4" w:rsidP="00BB40F4">
      <w:pPr>
        <w:spacing w:after="0" w:line="360" w:lineRule="auto"/>
        <w:jc w:val="both"/>
        <w:rPr>
          <w:rFonts w:ascii="Times New Roman" w:hAnsi="Times New Roman" w:cs="Times New Roman"/>
          <w:sz w:val="20"/>
          <w:szCs w:val="20"/>
        </w:rPr>
      </w:pPr>
    </w:p>
    <w:p w14:paraId="0F5C739D" w14:textId="77777777" w:rsidR="00BB40F4" w:rsidRPr="00BB40F4" w:rsidRDefault="00BB40F4" w:rsidP="00BB40F4">
      <w:pPr>
        <w:spacing w:after="0" w:line="360" w:lineRule="auto"/>
        <w:jc w:val="both"/>
        <w:rPr>
          <w:rFonts w:ascii="Times New Roman" w:hAnsi="Times New Roman" w:cs="Times New Roman"/>
          <w:sz w:val="20"/>
          <w:szCs w:val="20"/>
        </w:rPr>
      </w:pPr>
      <w:r w:rsidRPr="00BB40F4">
        <w:rPr>
          <w:rFonts w:ascii="Times New Roman" w:hAnsi="Times New Roman" w:cs="Times New Roman"/>
          <w:sz w:val="20"/>
          <w:szCs w:val="20"/>
        </w:rPr>
        <w:t xml:space="preserve">The application of vonoprazan was associated with a greater percentage of acid inhibition when compared to standard PPI therapy and resulted in significant improvements in symptomatic patients with previous background. As an example, Laine et al. (2024) [29] and Fass et al. (2023) [28] found that vonoprazan had non-inferiority and superiority with regard to standard care in healing erosive esophagitis in certain end points. Such findings are </w:t>
      </w:r>
      <w:r w:rsidRPr="00BB40F4">
        <w:rPr>
          <w:rFonts w:ascii="Times New Roman" w:hAnsi="Times New Roman" w:cs="Times New Roman"/>
          <w:sz w:val="20"/>
          <w:szCs w:val="20"/>
        </w:rPr>
        <w:lastRenderedPageBreak/>
        <w:t>consistent with the study by Kinoshita et al. (2016) [21], which indicated that the replacement of the conventional acid-suppressants by vonoprazan could bring about higher healing rates, particularly in short-term intensive treatment stages.</w:t>
      </w:r>
    </w:p>
    <w:p w14:paraId="68CC0448" w14:textId="77777777" w:rsidR="00BB40F4" w:rsidRPr="00BB40F4" w:rsidRDefault="00BB40F4" w:rsidP="00BB40F4">
      <w:pPr>
        <w:spacing w:after="0" w:line="360" w:lineRule="auto"/>
        <w:jc w:val="both"/>
        <w:rPr>
          <w:rFonts w:ascii="Times New Roman" w:hAnsi="Times New Roman" w:cs="Times New Roman"/>
          <w:sz w:val="20"/>
          <w:szCs w:val="20"/>
        </w:rPr>
      </w:pPr>
    </w:p>
    <w:p w14:paraId="75CD2B79" w14:textId="77777777" w:rsidR="00BB40F4" w:rsidRPr="00BB40F4" w:rsidRDefault="00BB40F4" w:rsidP="00BB40F4">
      <w:pPr>
        <w:spacing w:after="0" w:line="360" w:lineRule="auto"/>
        <w:jc w:val="both"/>
        <w:rPr>
          <w:rFonts w:ascii="Times New Roman" w:hAnsi="Times New Roman" w:cs="Times New Roman"/>
          <w:sz w:val="20"/>
          <w:szCs w:val="20"/>
        </w:rPr>
      </w:pPr>
      <w:r w:rsidRPr="00BB40F4">
        <w:rPr>
          <w:rFonts w:ascii="Times New Roman" w:hAnsi="Times New Roman" w:cs="Times New Roman"/>
          <w:sz w:val="20"/>
          <w:szCs w:val="20"/>
        </w:rPr>
        <w:t>Moreover, the impact of vonoprazan on the control of symptoms in the real world was also high. The findings of Ur Rehman et al. (2025) [30] and Abbasi et al. (2023) [27] prove the point that vonoprazan does cause substantial clinical improvements in the Pakistani population with a higher correlation coefficient than control trials do. It implies that randomized trials can be used to establish the baseline of safety, yet the clinical benefit of vonoprazan in the normal medical practice is very strong. This difference in the observed effects across the studies can be attributed to the heterogeneity in the study design, population characteristics and length of intervention. These differences demonstrate how complicated the understanding of the full clinical impact of vonoprazan is and why it is essential to consider the contexts of studies when assessing the performance of this drug on a global scale [39,40].</w:t>
      </w:r>
    </w:p>
    <w:p w14:paraId="5B09C1AF" w14:textId="77777777" w:rsidR="00BB40F4" w:rsidRPr="00BB40F4" w:rsidRDefault="00BB40F4" w:rsidP="00BB40F4">
      <w:pPr>
        <w:spacing w:after="0" w:line="360" w:lineRule="auto"/>
        <w:jc w:val="both"/>
        <w:rPr>
          <w:rFonts w:ascii="Times New Roman" w:hAnsi="Times New Roman" w:cs="Times New Roman"/>
          <w:sz w:val="20"/>
          <w:szCs w:val="20"/>
        </w:rPr>
      </w:pPr>
    </w:p>
    <w:p w14:paraId="205832D0" w14:textId="77777777" w:rsidR="00BB40F4" w:rsidRPr="005E03E4" w:rsidRDefault="00BB40F4" w:rsidP="00BB40F4">
      <w:pPr>
        <w:spacing w:after="0" w:line="360" w:lineRule="auto"/>
        <w:jc w:val="both"/>
        <w:rPr>
          <w:rFonts w:ascii="Times New Roman" w:hAnsi="Times New Roman" w:cs="Times New Roman"/>
          <w:b/>
          <w:bCs/>
          <w:sz w:val="20"/>
          <w:szCs w:val="20"/>
        </w:rPr>
      </w:pPr>
      <w:r w:rsidRPr="005E03E4">
        <w:rPr>
          <w:rFonts w:ascii="Times New Roman" w:hAnsi="Times New Roman" w:cs="Times New Roman"/>
          <w:b/>
          <w:bCs/>
          <w:sz w:val="20"/>
          <w:szCs w:val="20"/>
        </w:rPr>
        <w:t>Limitations</w:t>
      </w:r>
    </w:p>
    <w:p w14:paraId="72A2200A" w14:textId="77777777" w:rsidR="00BB40F4" w:rsidRPr="00BB40F4" w:rsidRDefault="00BB40F4" w:rsidP="00BB40F4">
      <w:pPr>
        <w:spacing w:after="0" w:line="360" w:lineRule="auto"/>
        <w:jc w:val="both"/>
        <w:rPr>
          <w:rFonts w:ascii="Times New Roman" w:hAnsi="Times New Roman" w:cs="Times New Roman"/>
          <w:sz w:val="20"/>
          <w:szCs w:val="20"/>
        </w:rPr>
      </w:pPr>
      <w:r w:rsidRPr="00BB40F4">
        <w:rPr>
          <w:rFonts w:ascii="Times New Roman" w:hAnsi="Times New Roman" w:cs="Times New Roman"/>
          <w:sz w:val="20"/>
          <w:szCs w:val="20"/>
        </w:rPr>
        <w:t>Although this systematic review is insightful in terms of the efficacy of vonoprazan, there are some limitations that need to be discussed. First of all, the meta-analysis showed that there is a considerable statistical heterogeneity (I2 = 97.94%), which implies that there were some substantial differences in the study populations, geographic areas, and clinical procedures. Both high-quality RCT and observational studies, some of which had high risks of bias in randomization (D1) and deviations of intervention (D2), contribute to the complexity of obtaining a single effect size. Moreover, the period of studies included was quite different; some evaluated short-term recovery (4-8 weeks), and others monitored the patients over a year. This inconsistency in combination with the definition of symptom resolution, and the dosage of vonoprazan restricts the possibility of concluding about universal long-term maintenance regimes of all subtypes of GERD. The high variability, therefore, requires a subtle representation of the merged r = 0.74 correlation.</w:t>
      </w:r>
    </w:p>
    <w:p w14:paraId="50B40E9A" w14:textId="77777777" w:rsidR="00BB40F4" w:rsidRPr="00BB40F4" w:rsidRDefault="00BB40F4" w:rsidP="00BB40F4">
      <w:pPr>
        <w:spacing w:after="0" w:line="360" w:lineRule="auto"/>
        <w:jc w:val="both"/>
        <w:rPr>
          <w:rFonts w:ascii="Times New Roman" w:hAnsi="Times New Roman" w:cs="Times New Roman"/>
          <w:sz w:val="20"/>
          <w:szCs w:val="20"/>
        </w:rPr>
      </w:pPr>
    </w:p>
    <w:p w14:paraId="26A1043C" w14:textId="77777777" w:rsidR="00BB40F4" w:rsidRPr="005E03E4" w:rsidRDefault="00BB40F4" w:rsidP="00BB40F4">
      <w:pPr>
        <w:spacing w:after="0" w:line="360" w:lineRule="auto"/>
        <w:jc w:val="both"/>
        <w:rPr>
          <w:rFonts w:ascii="Times New Roman" w:hAnsi="Times New Roman" w:cs="Times New Roman"/>
          <w:b/>
          <w:bCs/>
          <w:sz w:val="20"/>
          <w:szCs w:val="20"/>
        </w:rPr>
      </w:pPr>
      <w:r w:rsidRPr="005E03E4">
        <w:rPr>
          <w:rFonts w:ascii="Times New Roman" w:hAnsi="Times New Roman" w:cs="Times New Roman"/>
          <w:b/>
          <w:bCs/>
          <w:sz w:val="20"/>
          <w:szCs w:val="20"/>
        </w:rPr>
        <w:t>Future Research</w:t>
      </w:r>
    </w:p>
    <w:p w14:paraId="0A2C46EB" w14:textId="77777777" w:rsidR="00BB40F4" w:rsidRPr="00BB40F4" w:rsidRDefault="00BB40F4" w:rsidP="00BB40F4">
      <w:pPr>
        <w:spacing w:after="0" w:line="360" w:lineRule="auto"/>
        <w:jc w:val="both"/>
        <w:rPr>
          <w:rFonts w:ascii="Times New Roman" w:hAnsi="Times New Roman" w:cs="Times New Roman"/>
          <w:sz w:val="20"/>
          <w:szCs w:val="20"/>
        </w:rPr>
      </w:pPr>
      <w:r w:rsidRPr="00BB40F4">
        <w:rPr>
          <w:rFonts w:ascii="Times New Roman" w:hAnsi="Times New Roman" w:cs="Times New Roman"/>
          <w:sz w:val="20"/>
          <w:szCs w:val="20"/>
        </w:rPr>
        <w:t>Future studies to fill the gaps in this review should focus on large-scale and multi-center RCTs using standardized outcome measures to minimize the heterogeneity observed. Research on particular at risk groups, e.g. elderly patients with multi-morbidities or with refractory erosive esophagitis having been through several PPI cycles, is needed to further narrow down individualized treatment models. Long-term longitudinal studies that last more than one year are also necessary to assess the safety profile and possible rebound acid secretion or gastric hormonal variations when using vonoprazan over a prolonged period. Further, direct comparisons of vonoprazan with newer P-CABs or optimized PPI regimens with consistent time-to-relief measures will enhance the generalizability of clinical guidelines. Lastly, the use of powerful blinding techniques and standardized adverse event reporting will reduce bias and will give society more valid data to global regulatory agencies, guaranteeing full comprehension of the therapeutic benefits of vonoprazan in different ethnic and clinical populations.</w:t>
      </w:r>
    </w:p>
    <w:p w14:paraId="5FA96608" w14:textId="77777777" w:rsidR="00BB40F4" w:rsidRPr="00BB40F4" w:rsidRDefault="00BB40F4" w:rsidP="00BB40F4">
      <w:pPr>
        <w:spacing w:after="0" w:line="360" w:lineRule="auto"/>
        <w:jc w:val="both"/>
        <w:rPr>
          <w:rFonts w:ascii="Times New Roman" w:hAnsi="Times New Roman" w:cs="Times New Roman"/>
          <w:sz w:val="20"/>
          <w:szCs w:val="20"/>
        </w:rPr>
      </w:pPr>
    </w:p>
    <w:p w14:paraId="00BC37BF" w14:textId="77777777" w:rsidR="00BB40F4" w:rsidRPr="005E03E4" w:rsidRDefault="00BB40F4" w:rsidP="00BB40F4">
      <w:pPr>
        <w:spacing w:after="0" w:line="360" w:lineRule="auto"/>
        <w:jc w:val="both"/>
        <w:rPr>
          <w:rFonts w:ascii="Times New Roman" w:hAnsi="Times New Roman" w:cs="Times New Roman"/>
          <w:b/>
          <w:bCs/>
          <w:color w:val="0070C0"/>
          <w:sz w:val="20"/>
          <w:szCs w:val="20"/>
        </w:rPr>
      </w:pPr>
      <w:r w:rsidRPr="005E03E4">
        <w:rPr>
          <w:rFonts w:ascii="Times New Roman" w:hAnsi="Times New Roman" w:cs="Times New Roman"/>
          <w:b/>
          <w:bCs/>
          <w:color w:val="0070C0"/>
          <w:sz w:val="20"/>
          <w:szCs w:val="20"/>
        </w:rPr>
        <w:t>Conclusions</w:t>
      </w:r>
    </w:p>
    <w:p w14:paraId="2BAD3E3D" w14:textId="4FB35102" w:rsidR="002836EA" w:rsidRDefault="00BB40F4" w:rsidP="00BB40F4">
      <w:pPr>
        <w:spacing w:after="0" w:line="360" w:lineRule="auto"/>
        <w:jc w:val="both"/>
        <w:rPr>
          <w:rFonts w:ascii="Times New Roman" w:hAnsi="Times New Roman" w:cs="Times New Roman"/>
          <w:sz w:val="20"/>
          <w:szCs w:val="20"/>
        </w:rPr>
      </w:pPr>
      <w:r w:rsidRPr="00BB40F4">
        <w:rPr>
          <w:rFonts w:ascii="Times New Roman" w:hAnsi="Times New Roman" w:cs="Times New Roman"/>
          <w:sz w:val="20"/>
          <w:szCs w:val="20"/>
        </w:rPr>
        <w:lastRenderedPageBreak/>
        <w:t>Overall, this meta-analysis and systematic review provide a critical evaluation of the clinical effectiveness of vonoprazan in the management of acid-related disorders in comparison to classical standards of treatment. The findings explain that vonoprazan is very effective in symptom resolution and mucosal healing, which is always shown to outperform or does not outperform conventional proton pump inhibitors. Clinical outcome effects have a great heterogeneity among studies, which implies that the extent of the drug effect can depend on factors like study design, geographic population variations, and particular dosing schedules. Although vonoprazan is indeed a potent agent in quick acid suppression, especially in the case of patients with resistance to traditional therapies, the wide range of available literature indicates the effect of real-world versus experimental conditions. Despite the generally favorable outcome of the therapeutic course in both randomized studies and non-randomized cohorts, the variation in the quality of the study and the relatively limited time span of certain studies underpin the need to conduct more research over a longer period of time. Finally, the standardization of study designs and outcome measures is badly needed to enhance the comparability and consistency of future studies in the field.</w:t>
      </w:r>
    </w:p>
    <w:p w14:paraId="28701259" w14:textId="77777777" w:rsidR="002836EA" w:rsidRDefault="002836EA" w:rsidP="00440788">
      <w:pPr>
        <w:spacing w:after="0" w:line="360" w:lineRule="auto"/>
        <w:jc w:val="both"/>
        <w:rPr>
          <w:rFonts w:ascii="Times New Roman" w:hAnsi="Times New Roman" w:cs="Times New Roman"/>
          <w:sz w:val="20"/>
          <w:szCs w:val="20"/>
        </w:rPr>
      </w:pPr>
    </w:p>
    <w:p w14:paraId="3F361BBB" w14:textId="77777777" w:rsidR="002836EA" w:rsidRDefault="002836EA" w:rsidP="00440788">
      <w:pPr>
        <w:spacing w:after="0" w:line="360" w:lineRule="auto"/>
        <w:jc w:val="both"/>
        <w:rPr>
          <w:rFonts w:ascii="Times New Roman" w:hAnsi="Times New Roman" w:cs="Times New Roman"/>
          <w:sz w:val="20"/>
          <w:szCs w:val="20"/>
        </w:rPr>
      </w:pPr>
    </w:p>
    <w:p w14:paraId="406B4BEA" w14:textId="77777777" w:rsidR="002836EA" w:rsidRDefault="002836EA" w:rsidP="00440788">
      <w:pPr>
        <w:spacing w:after="0" w:line="360" w:lineRule="auto"/>
        <w:jc w:val="both"/>
        <w:rPr>
          <w:rFonts w:ascii="Times New Roman" w:hAnsi="Times New Roman" w:cs="Times New Roman"/>
          <w:sz w:val="20"/>
          <w:szCs w:val="20"/>
        </w:rPr>
      </w:pPr>
    </w:p>
    <w:p w14:paraId="58FC6F59" w14:textId="77777777" w:rsidR="002836EA" w:rsidRDefault="002836EA" w:rsidP="00440788">
      <w:pPr>
        <w:spacing w:after="0" w:line="360" w:lineRule="auto"/>
        <w:jc w:val="both"/>
        <w:rPr>
          <w:rFonts w:ascii="Times New Roman" w:hAnsi="Times New Roman" w:cs="Times New Roman"/>
          <w:sz w:val="20"/>
          <w:szCs w:val="20"/>
        </w:rPr>
      </w:pPr>
    </w:p>
    <w:p w14:paraId="01350D27" w14:textId="0AFBEBFA" w:rsidR="005C65B5" w:rsidRDefault="00A538C9" w:rsidP="005C65B5">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t>References</w:t>
      </w:r>
    </w:p>
    <w:p w14:paraId="0B217039" w14:textId="0FD1BBF9"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 xml:space="preserve">Shaqran TM, Ismaeel MM, Alnuaman AA, et al.: Epidemiology, causes, and management of gastro-esophageal reflux disease: a systematic review. </w:t>
      </w:r>
      <w:r>
        <w:rPr>
          <w:rFonts w:ascii="Times New Roman" w:hAnsi="Times New Roman"/>
          <w:sz w:val="20"/>
          <w:lang w:val="en-SG"/>
        </w:rPr>
        <w:t>(</w:t>
      </w:r>
      <w:r w:rsidRPr="005E03E4">
        <w:rPr>
          <w:rFonts w:ascii="Times New Roman" w:hAnsi="Times New Roman"/>
          <w:sz w:val="20"/>
          <w:lang w:val="en-SG"/>
        </w:rPr>
        <w:t>2023</w:t>
      </w:r>
      <w:r>
        <w:rPr>
          <w:rFonts w:ascii="Times New Roman" w:hAnsi="Times New Roman"/>
          <w:sz w:val="20"/>
          <w:lang w:val="en-SG"/>
        </w:rPr>
        <w:t>):</w:t>
      </w:r>
      <w:r w:rsidRPr="005E03E4">
        <w:rPr>
          <w:rFonts w:ascii="Times New Roman" w:hAnsi="Times New Roman"/>
          <w:sz w:val="20"/>
          <w:lang w:val="en-SG"/>
        </w:rPr>
        <w:t xml:space="preserve"> 15. </w:t>
      </w:r>
    </w:p>
    <w:p w14:paraId="1CDAFB26" w14:textId="5A693E8D"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Argüero J, Sifrim DJNRG, Hepatology: Pathophysiology of gastro-oesophageal reflux disease: implications for diagnosis and management. 21</w:t>
      </w:r>
      <w:r>
        <w:rPr>
          <w:rFonts w:ascii="Times New Roman" w:hAnsi="Times New Roman"/>
          <w:sz w:val="20"/>
          <w:lang w:val="en-SG"/>
        </w:rPr>
        <w:t xml:space="preserve"> (2024)</w:t>
      </w:r>
      <w:r w:rsidRPr="005E03E4">
        <w:rPr>
          <w:rFonts w:ascii="Times New Roman" w:hAnsi="Times New Roman"/>
          <w:sz w:val="20"/>
          <w:lang w:val="en-SG"/>
        </w:rPr>
        <w:t>:</w:t>
      </w:r>
      <w:r>
        <w:rPr>
          <w:rFonts w:ascii="Times New Roman" w:hAnsi="Times New Roman"/>
          <w:sz w:val="20"/>
          <w:lang w:val="en-SG"/>
        </w:rPr>
        <w:t xml:space="preserve"> </w:t>
      </w:r>
      <w:r w:rsidRPr="005E03E4">
        <w:rPr>
          <w:rFonts w:ascii="Times New Roman" w:hAnsi="Times New Roman"/>
          <w:sz w:val="20"/>
          <w:lang w:val="en-SG"/>
        </w:rPr>
        <w:t xml:space="preserve">282-293. </w:t>
      </w:r>
    </w:p>
    <w:p w14:paraId="17E19C60" w14:textId="12918D47"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 xml:space="preserve">Al-Worafi YM: Gastroesophageal Reflux Disease Management in Developing Countries. Handbook of Medical and Health Sciences in Developing Countries: Education, Practice, and Research. Springer </w:t>
      </w:r>
      <w:r>
        <w:rPr>
          <w:rFonts w:ascii="Times New Roman" w:hAnsi="Times New Roman"/>
          <w:sz w:val="20"/>
          <w:lang w:val="en-SG"/>
        </w:rPr>
        <w:t>(</w:t>
      </w:r>
      <w:r w:rsidRPr="005E03E4">
        <w:rPr>
          <w:rFonts w:ascii="Times New Roman" w:hAnsi="Times New Roman"/>
          <w:sz w:val="20"/>
          <w:lang w:val="en-SG"/>
        </w:rPr>
        <w:t>2024</w:t>
      </w:r>
      <w:r>
        <w:rPr>
          <w:rFonts w:ascii="Times New Roman" w:hAnsi="Times New Roman"/>
          <w:sz w:val="20"/>
          <w:lang w:val="en-SG"/>
        </w:rPr>
        <w:t>):</w:t>
      </w:r>
      <w:r w:rsidRPr="005E03E4">
        <w:rPr>
          <w:rFonts w:ascii="Times New Roman" w:hAnsi="Times New Roman"/>
          <w:sz w:val="20"/>
          <w:lang w:val="en-SG"/>
        </w:rPr>
        <w:t xml:space="preserve"> 1-43. </w:t>
      </w:r>
    </w:p>
    <w:p w14:paraId="4538D1DC" w14:textId="74E59F67"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Bucan JI, Braut T, Krsek A, et al.: Updates in gastroesophageal reflux disease management: from proton pump inhibitors to dietary and lifestyle modifications. 7</w:t>
      </w:r>
      <w:r>
        <w:rPr>
          <w:rFonts w:ascii="Times New Roman" w:hAnsi="Times New Roman"/>
          <w:sz w:val="20"/>
          <w:lang w:val="en-SG"/>
        </w:rPr>
        <w:t xml:space="preserve"> (2025)</w:t>
      </w:r>
      <w:r w:rsidRPr="005E03E4">
        <w:rPr>
          <w:rFonts w:ascii="Times New Roman" w:hAnsi="Times New Roman"/>
          <w:sz w:val="20"/>
          <w:lang w:val="en-SG"/>
        </w:rPr>
        <w:t>:</w:t>
      </w:r>
      <w:r>
        <w:rPr>
          <w:rFonts w:ascii="Times New Roman" w:hAnsi="Times New Roman"/>
          <w:sz w:val="20"/>
          <w:lang w:val="en-SG"/>
        </w:rPr>
        <w:t xml:space="preserve"> </w:t>
      </w:r>
      <w:r w:rsidRPr="005E03E4">
        <w:rPr>
          <w:rFonts w:ascii="Times New Roman" w:hAnsi="Times New Roman"/>
          <w:sz w:val="20"/>
          <w:lang w:val="en-SG"/>
        </w:rPr>
        <w:t xml:space="preserve">33. </w:t>
      </w:r>
    </w:p>
    <w:p w14:paraId="2FD7CD99" w14:textId="28211E9E"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Strand DS, Kim D, Peura DAJG, et al.: 25 years of proton pump inhibitors: a comprehensive review. 11</w:t>
      </w:r>
      <w:r>
        <w:rPr>
          <w:rFonts w:ascii="Times New Roman" w:hAnsi="Times New Roman"/>
          <w:sz w:val="20"/>
          <w:lang w:val="en-SG"/>
        </w:rPr>
        <w:t xml:space="preserve"> (2016)</w:t>
      </w:r>
      <w:r w:rsidRPr="005E03E4">
        <w:rPr>
          <w:rFonts w:ascii="Times New Roman" w:hAnsi="Times New Roman"/>
          <w:sz w:val="20"/>
          <w:lang w:val="en-SG"/>
        </w:rPr>
        <w:t>:</w:t>
      </w:r>
      <w:r>
        <w:rPr>
          <w:rFonts w:ascii="Times New Roman" w:hAnsi="Times New Roman"/>
          <w:sz w:val="20"/>
          <w:lang w:val="en-SG"/>
        </w:rPr>
        <w:t xml:space="preserve"> </w:t>
      </w:r>
      <w:r w:rsidRPr="005E03E4">
        <w:rPr>
          <w:rFonts w:ascii="Times New Roman" w:hAnsi="Times New Roman"/>
          <w:sz w:val="20"/>
          <w:lang w:val="en-SG"/>
        </w:rPr>
        <w:t xml:space="preserve">27. </w:t>
      </w:r>
    </w:p>
    <w:p w14:paraId="04F736E9" w14:textId="19A051F7"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Davis TA, Gyawali CPJJoN, Motility: Refractory gastroesophageal reflux disease: diagnosis and management. 30</w:t>
      </w:r>
      <w:r>
        <w:rPr>
          <w:rFonts w:ascii="Times New Roman" w:hAnsi="Times New Roman"/>
          <w:sz w:val="20"/>
          <w:lang w:val="en-SG"/>
        </w:rPr>
        <w:t xml:space="preserve"> (2024)</w:t>
      </w:r>
      <w:r w:rsidRPr="005E03E4">
        <w:rPr>
          <w:rFonts w:ascii="Times New Roman" w:hAnsi="Times New Roman"/>
          <w:sz w:val="20"/>
          <w:lang w:val="en-SG"/>
        </w:rPr>
        <w:t>:</w:t>
      </w:r>
      <w:r>
        <w:rPr>
          <w:rFonts w:ascii="Times New Roman" w:hAnsi="Times New Roman"/>
          <w:sz w:val="20"/>
          <w:lang w:val="en-SG"/>
        </w:rPr>
        <w:t xml:space="preserve"> </w:t>
      </w:r>
      <w:r w:rsidRPr="005E03E4">
        <w:rPr>
          <w:rFonts w:ascii="Times New Roman" w:hAnsi="Times New Roman"/>
          <w:sz w:val="20"/>
          <w:lang w:val="en-SG"/>
        </w:rPr>
        <w:t xml:space="preserve">17. </w:t>
      </w:r>
    </w:p>
    <w:p w14:paraId="1B023155" w14:textId="36753DE8"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Pattarapuntakul T, Wong T, Wetwittayakhlang P, et al.: Efficacy of vonoprazan vs. Intravenous proton pump inhibitor in prevention of re-bleeding of high-risk peptic ulcers: a randomized controlled pilot study. 13</w:t>
      </w:r>
      <w:r>
        <w:rPr>
          <w:rFonts w:ascii="Times New Roman" w:hAnsi="Times New Roman"/>
          <w:sz w:val="20"/>
          <w:lang w:val="en-SG"/>
        </w:rPr>
        <w:t xml:space="preserve"> (2024)</w:t>
      </w:r>
      <w:r w:rsidRPr="005E03E4">
        <w:rPr>
          <w:rFonts w:ascii="Times New Roman" w:hAnsi="Times New Roman"/>
          <w:sz w:val="20"/>
          <w:lang w:val="en-SG"/>
        </w:rPr>
        <w:t>:</w:t>
      </w:r>
      <w:r>
        <w:rPr>
          <w:rFonts w:ascii="Times New Roman" w:hAnsi="Times New Roman"/>
          <w:sz w:val="20"/>
          <w:lang w:val="en-SG"/>
        </w:rPr>
        <w:t xml:space="preserve"> </w:t>
      </w:r>
      <w:r w:rsidRPr="005E03E4">
        <w:rPr>
          <w:rFonts w:ascii="Times New Roman" w:hAnsi="Times New Roman"/>
          <w:sz w:val="20"/>
          <w:lang w:val="en-SG"/>
        </w:rPr>
        <w:t xml:space="preserve">3606. </w:t>
      </w:r>
    </w:p>
    <w:p w14:paraId="3E2B558F" w14:textId="4AD4CA91"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Howden CW, Katz P, DeVault KR, et al.: Integrated Analysis of Vonoprazan Safety for Symptomatic Gastro‐Oesophageal Reflux Disease or Erosive Oesophagitis. 61</w:t>
      </w:r>
      <w:r>
        <w:rPr>
          <w:rFonts w:ascii="Times New Roman" w:hAnsi="Times New Roman"/>
          <w:sz w:val="20"/>
          <w:lang w:val="en-SG"/>
        </w:rPr>
        <w:t xml:space="preserve"> (2025)</w:t>
      </w:r>
      <w:r w:rsidRPr="005E03E4">
        <w:rPr>
          <w:rFonts w:ascii="Times New Roman" w:hAnsi="Times New Roman"/>
          <w:sz w:val="20"/>
          <w:lang w:val="en-SG"/>
        </w:rPr>
        <w:t>:</w:t>
      </w:r>
      <w:r>
        <w:rPr>
          <w:rFonts w:ascii="Times New Roman" w:hAnsi="Times New Roman"/>
          <w:sz w:val="20"/>
          <w:lang w:val="en-SG"/>
        </w:rPr>
        <w:t xml:space="preserve"> </w:t>
      </w:r>
      <w:r w:rsidRPr="005E03E4">
        <w:rPr>
          <w:rFonts w:ascii="Times New Roman" w:hAnsi="Times New Roman"/>
          <w:sz w:val="20"/>
          <w:lang w:val="en-SG"/>
        </w:rPr>
        <w:t xml:space="preserve">835-851. </w:t>
      </w:r>
    </w:p>
    <w:p w14:paraId="1F7E13F6" w14:textId="606BFBFC"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Antequera CM, Orleck K, Jacob R, et al.: Potassium-competitive acid blockers: rethinking acid suppression for gastroesophageal reflux disease and Helicobacter pylori. 136</w:t>
      </w:r>
      <w:r>
        <w:rPr>
          <w:rFonts w:ascii="Times New Roman" w:hAnsi="Times New Roman"/>
          <w:sz w:val="20"/>
          <w:lang w:val="en-SG"/>
        </w:rPr>
        <w:t xml:space="preserve"> (2024)</w:t>
      </w:r>
      <w:r w:rsidRPr="005E03E4">
        <w:rPr>
          <w:rFonts w:ascii="Times New Roman" w:hAnsi="Times New Roman"/>
          <w:sz w:val="20"/>
          <w:lang w:val="en-SG"/>
        </w:rPr>
        <w:t>:</w:t>
      </w:r>
      <w:r>
        <w:rPr>
          <w:rFonts w:ascii="Times New Roman" w:hAnsi="Times New Roman"/>
          <w:sz w:val="20"/>
          <w:lang w:val="en-SG"/>
        </w:rPr>
        <w:t xml:space="preserve"> </w:t>
      </w:r>
      <w:r w:rsidRPr="005E03E4">
        <w:rPr>
          <w:rFonts w:ascii="Times New Roman" w:hAnsi="Times New Roman"/>
          <w:sz w:val="20"/>
          <w:lang w:val="en-SG"/>
        </w:rPr>
        <w:t xml:space="preserve">131-140. </w:t>
      </w:r>
    </w:p>
    <w:p w14:paraId="42D08302" w14:textId="29AECE30"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lastRenderedPageBreak/>
        <w:t>Wang D, Zhou D, Liu X, et al.: Different dosages of vonoprazan for gastroesophageal reflux disease: study protocol for a pragmatic, crossover-cluster, randomized controlled trial with patient preference arms. 24</w:t>
      </w:r>
      <w:r>
        <w:rPr>
          <w:rFonts w:ascii="Times New Roman" w:hAnsi="Times New Roman"/>
          <w:sz w:val="20"/>
          <w:lang w:val="en-SG"/>
        </w:rPr>
        <w:t xml:space="preserve"> (2023)</w:t>
      </w:r>
      <w:r w:rsidRPr="005E03E4">
        <w:rPr>
          <w:rFonts w:ascii="Times New Roman" w:hAnsi="Times New Roman"/>
          <w:sz w:val="20"/>
          <w:lang w:val="en-SG"/>
        </w:rPr>
        <w:t>:</w:t>
      </w:r>
      <w:r>
        <w:rPr>
          <w:rFonts w:ascii="Times New Roman" w:hAnsi="Times New Roman"/>
          <w:sz w:val="20"/>
          <w:lang w:val="en-SG"/>
        </w:rPr>
        <w:t xml:space="preserve"> </w:t>
      </w:r>
      <w:r w:rsidRPr="005E03E4">
        <w:rPr>
          <w:rFonts w:ascii="Times New Roman" w:hAnsi="Times New Roman"/>
          <w:sz w:val="20"/>
          <w:lang w:val="en-SG"/>
        </w:rPr>
        <w:t xml:space="preserve">778. </w:t>
      </w:r>
    </w:p>
    <w:p w14:paraId="543EB7DF" w14:textId="3228C089"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Bandyopadhyay S, Verma P, Samajdar SS, et al.: Vonoprazan causes symptomatic improvement in non-erosive gastroesophageal reflux disease: A systematic review and meta-analysis. 48</w:t>
      </w:r>
      <w:r>
        <w:rPr>
          <w:rFonts w:ascii="Times New Roman" w:hAnsi="Times New Roman"/>
          <w:sz w:val="20"/>
          <w:lang w:val="en-SG"/>
        </w:rPr>
        <w:t xml:space="preserve"> (2024)</w:t>
      </w:r>
      <w:r w:rsidRPr="005E03E4">
        <w:rPr>
          <w:rFonts w:ascii="Times New Roman" w:hAnsi="Times New Roman"/>
          <w:sz w:val="20"/>
          <w:lang w:val="en-SG"/>
        </w:rPr>
        <w:t>:</w:t>
      </w:r>
      <w:r>
        <w:rPr>
          <w:rFonts w:ascii="Times New Roman" w:hAnsi="Times New Roman"/>
          <w:sz w:val="20"/>
          <w:lang w:val="en-SG"/>
        </w:rPr>
        <w:t xml:space="preserve"> </w:t>
      </w:r>
      <w:r w:rsidRPr="005E03E4">
        <w:rPr>
          <w:rFonts w:ascii="Times New Roman" w:hAnsi="Times New Roman"/>
          <w:sz w:val="20"/>
          <w:lang w:val="en-SG"/>
        </w:rPr>
        <w:t xml:space="preserve">102373. </w:t>
      </w:r>
    </w:p>
    <w:p w14:paraId="0520BF2E" w14:textId="606F0AFB"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Hillman L, Yadlapati R, Thuluvath AJ, et al.: A review of medical therapy for proton pump inhibitor nonresponsive gastroesophageal reflux disease. 30</w:t>
      </w:r>
      <w:r>
        <w:rPr>
          <w:rFonts w:ascii="Times New Roman" w:hAnsi="Times New Roman"/>
          <w:sz w:val="20"/>
          <w:lang w:val="en-SG"/>
        </w:rPr>
        <w:t xml:space="preserve"> (2017)</w:t>
      </w:r>
      <w:r w:rsidRPr="005E03E4">
        <w:rPr>
          <w:rFonts w:ascii="Times New Roman" w:hAnsi="Times New Roman"/>
          <w:sz w:val="20"/>
          <w:lang w:val="en-SG"/>
        </w:rPr>
        <w:t>:</w:t>
      </w:r>
      <w:r>
        <w:rPr>
          <w:rFonts w:ascii="Times New Roman" w:hAnsi="Times New Roman"/>
          <w:sz w:val="20"/>
          <w:lang w:val="en-SG"/>
        </w:rPr>
        <w:t xml:space="preserve"> </w:t>
      </w:r>
      <w:r w:rsidRPr="005E03E4">
        <w:rPr>
          <w:rFonts w:ascii="Times New Roman" w:hAnsi="Times New Roman"/>
          <w:sz w:val="20"/>
          <w:lang w:val="en-SG"/>
        </w:rPr>
        <w:t xml:space="preserve">1. </w:t>
      </w:r>
    </w:p>
    <w:p w14:paraId="54530108" w14:textId="1F051667"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 xml:space="preserve">Manabe N, Matsuo M, Suzuki CJEOoDS: Long-term safety and effectiveness of vonoprazan as maintenance therapy for reflux esophagitis in Japan: a 12-month post-marketing surveillance study. </w:t>
      </w:r>
      <w:r>
        <w:rPr>
          <w:rFonts w:ascii="Times New Roman" w:hAnsi="Times New Roman"/>
          <w:sz w:val="20"/>
          <w:lang w:val="en-SG"/>
        </w:rPr>
        <w:t>(</w:t>
      </w:r>
      <w:r w:rsidRPr="005E03E4">
        <w:rPr>
          <w:rFonts w:ascii="Times New Roman" w:hAnsi="Times New Roman"/>
          <w:sz w:val="20"/>
          <w:lang w:val="en-SG"/>
        </w:rPr>
        <w:t>2026</w:t>
      </w:r>
      <w:r>
        <w:rPr>
          <w:rFonts w:ascii="Times New Roman" w:hAnsi="Times New Roman"/>
          <w:sz w:val="20"/>
          <w:lang w:val="en-SG"/>
        </w:rPr>
        <w:t>)</w:t>
      </w:r>
      <w:r w:rsidRPr="005E03E4">
        <w:rPr>
          <w:rFonts w:ascii="Times New Roman" w:hAnsi="Times New Roman"/>
          <w:sz w:val="20"/>
          <w:lang w:val="en-SG"/>
        </w:rPr>
        <w:t xml:space="preserve">. </w:t>
      </w:r>
    </w:p>
    <w:p w14:paraId="0F5B6806" w14:textId="21393161"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Padwale V, Kirnake V, Daswani R, et al.: A comprehensive review on the efficacy and safety of vonoprazan in the management of gastric acid-related diseases 16</w:t>
      </w:r>
      <w:r>
        <w:rPr>
          <w:rFonts w:ascii="Times New Roman" w:hAnsi="Times New Roman"/>
          <w:sz w:val="20"/>
          <w:lang w:val="en-SG"/>
        </w:rPr>
        <w:t xml:space="preserve"> (2024)</w:t>
      </w:r>
      <w:r w:rsidRPr="005E03E4">
        <w:rPr>
          <w:rFonts w:ascii="Times New Roman" w:hAnsi="Times New Roman"/>
          <w:sz w:val="20"/>
          <w:lang w:val="en-SG"/>
        </w:rPr>
        <w:t>:</w:t>
      </w:r>
      <w:r>
        <w:rPr>
          <w:rFonts w:ascii="Times New Roman" w:hAnsi="Times New Roman"/>
          <w:sz w:val="20"/>
          <w:lang w:val="en-SG"/>
        </w:rPr>
        <w:t xml:space="preserve"> </w:t>
      </w:r>
      <w:r w:rsidRPr="005E03E4">
        <w:rPr>
          <w:rFonts w:ascii="Times New Roman" w:hAnsi="Times New Roman"/>
          <w:sz w:val="20"/>
          <w:lang w:val="en-SG"/>
        </w:rPr>
        <w:t xml:space="preserve">e64777. </w:t>
      </w:r>
    </w:p>
    <w:p w14:paraId="40B27909" w14:textId="2A28266A"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Zhong Y, Hou C, Zhang J, et al.: Vonoprazan-related adverse events: a pharmacovigilance study based on the FDA adverse event reporting system 12</w:t>
      </w:r>
      <w:r>
        <w:rPr>
          <w:rFonts w:ascii="Times New Roman" w:hAnsi="Times New Roman"/>
          <w:sz w:val="20"/>
          <w:lang w:val="en-SG"/>
        </w:rPr>
        <w:t xml:space="preserve"> (2025)</w:t>
      </w:r>
      <w:r w:rsidRPr="005E03E4">
        <w:rPr>
          <w:rFonts w:ascii="Times New Roman" w:hAnsi="Times New Roman"/>
          <w:sz w:val="20"/>
          <w:lang w:val="en-SG"/>
        </w:rPr>
        <w:t>:</w:t>
      </w:r>
      <w:r>
        <w:rPr>
          <w:rFonts w:ascii="Times New Roman" w:hAnsi="Times New Roman"/>
          <w:sz w:val="20"/>
          <w:lang w:val="en-SG"/>
        </w:rPr>
        <w:t xml:space="preserve"> </w:t>
      </w:r>
      <w:r w:rsidRPr="005E03E4">
        <w:rPr>
          <w:rFonts w:ascii="Times New Roman" w:hAnsi="Times New Roman"/>
          <w:sz w:val="20"/>
          <w:lang w:val="en-SG"/>
        </w:rPr>
        <w:t xml:space="preserve">1688914. </w:t>
      </w:r>
    </w:p>
    <w:p w14:paraId="19DA135B" w14:textId="6156719E"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Kambara H, Hosohata K, Nakatsuji T, et al.: Safety profile of vonoprazan compared with proton pump inhibitors: insight from a pharmacovigilance study 75</w:t>
      </w:r>
      <w:r>
        <w:rPr>
          <w:rFonts w:ascii="Times New Roman" w:hAnsi="Times New Roman"/>
          <w:sz w:val="20"/>
          <w:lang w:val="en-SG"/>
        </w:rPr>
        <w:t xml:space="preserve"> (2020)</w:t>
      </w:r>
      <w:r w:rsidRPr="005E03E4">
        <w:rPr>
          <w:rFonts w:ascii="Times New Roman" w:hAnsi="Times New Roman"/>
          <w:sz w:val="20"/>
          <w:lang w:val="en-SG"/>
        </w:rPr>
        <w:t>:</w:t>
      </w:r>
      <w:r>
        <w:rPr>
          <w:rFonts w:ascii="Times New Roman" w:hAnsi="Times New Roman"/>
          <w:sz w:val="20"/>
          <w:lang w:val="en-SG"/>
        </w:rPr>
        <w:t xml:space="preserve"> </w:t>
      </w:r>
      <w:r w:rsidRPr="005E03E4">
        <w:rPr>
          <w:rFonts w:ascii="Times New Roman" w:hAnsi="Times New Roman"/>
          <w:sz w:val="20"/>
          <w:lang w:val="en-SG"/>
        </w:rPr>
        <w:t xml:space="preserve">527-530. </w:t>
      </w:r>
    </w:p>
    <w:p w14:paraId="5E254FAA" w14:textId="4C51B4AE"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Nejadghaderi SA, Balibegloo M, Rezaei N: The Cochrane risk of bias assessment tool 2 (RoB 2) versus the original RoB: A perspective on the pros and cons. Health Science Reports. 7</w:t>
      </w:r>
      <w:r w:rsidR="00FA3665">
        <w:rPr>
          <w:rFonts w:ascii="Times New Roman" w:hAnsi="Times New Roman"/>
          <w:sz w:val="20"/>
          <w:lang w:val="en-SG"/>
        </w:rPr>
        <w:t xml:space="preserve"> (2024)</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e2165. </w:t>
      </w:r>
    </w:p>
    <w:p w14:paraId="586E2325" w14:textId="758D61D5"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Luchini C, Stubbs B, Solmi M, et al.: Assessing the quality of studies in meta-analyses: Advantages and limitations of the Newcastle Ottawa Scale. 5</w:t>
      </w:r>
      <w:r w:rsidR="00FA3665">
        <w:rPr>
          <w:rFonts w:ascii="Times New Roman" w:hAnsi="Times New Roman"/>
          <w:sz w:val="20"/>
          <w:lang w:val="en-SG"/>
        </w:rPr>
        <w:t xml:space="preserve"> (2017)</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80-84. </w:t>
      </w:r>
    </w:p>
    <w:p w14:paraId="14471BFC" w14:textId="4BEF146D"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Afonso J, Ramirez-Campillo R, Clemente FM, et al.: The perils of misinterpreting and misusing “publication bias” in meta-analyses: an education review on funnel plot-based methods. Sports medicine. 54</w:t>
      </w:r>
      <w:r w:rsidR="00FA3665">
        <w:rPr>
          <w:rFonts w:ascii="Times New Roman" w:hAnsi="Times New Roman"/>
          <w:sz w:val="20"/>
          <w:lang w:val="en-SG"/>
        </w:rPr>
        <w:t xml:space="preserve"> (2024)</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257-269. </w:t>
      </w:r>
    </w:p>
    <w:p w14:paraId="07094859" w14:textId="2DEF70BE"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Andrews I, Kasy M: Identification of and correction for publication bias. American Economic Review. 109</w:t>
      </w:r>
      <w:r w:rsidR="00FA3665">
        <w:rPr>
          <w:rFonts w:ascii="Times New Roman" w:hAnsi="Times New Roman"/>
          <w:sz w:val="20"/>
          <w:lang w:val="en-SG"/>
        </w:rPr>
        <w:t xml:space="preserve"> (2019)</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2766-2794. </w:t>
      </w:r>
    </w:p>
    <w:p w14:paraId="0A2941D9" w14:textId="55C4E604"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Kinoshita Y, Sakurai Y, Shiino M, et al.: Evaluation of the efficacy and safety of vonoprazan in patients with nonerosive gastroesophageal reflux disease: a phase III, randomized, double-blind, placebo-controlled, multicenter study 81</w:t>
      </w:r>
      <w:r w:rsidR="00FA3665">
        <w:rPr>
          <w:rFonts w:ascii="Times New Roman" w:hAnsi="Times New Roman"/>
          <w:sz w:val="20"/>
          <w:lang w:val="en-SG"/>
        </w:rPr>
        <w:t xml:space="preserve"> (2016)</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1-7. </w:t>
      </w:r>
    </w:p>
    <w:p w14:paraId="6BCFC831" w14:textId="7DB8FBBE"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Shinozaki S, Osawa H, Hayashi Y, et al.: Vonoprazan treatment improves gastrointestinal symptoms in patients with gastroesophageal reflux disease 33</w:t>
      </w:r>
      <w:r w:rsidR="00FA3665">
        <w:rPr>
          <w:rFonts w:ascii="Times New Roman" w:hAnsi="Times New Roman"/>
          <w:sz w:val="20"/>
          <w:lang w:val="en-SG"/>
        </w:rPr>
        <w:t xml:space="preserve"> (2017)</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616-622. </w:t>
      </w:r>
    </w:p>
    <w:p w14:paraId="1D400001" w14:textId="3C9EB57D"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Shinozaki S, Osawa H, Hayashi Y, et al.: Vonoprazan 10 mg daily is effective for the treatment of patients with proton pump inhibitor-resistant gastroesophageal reflux disease 7</w:t>
      </w:r>
      <w:r w:rsidR="00FA3665">
        <w:rPr>
          <w:rFonts w:ascii="Times New Roman" w:hAnsi="Times New Roman"/>
          <w:sz w:val="20"/>
          <w:lang w:val="en-SG"/>
        </w:rPr>
        <w:t xml:space="preserve"> (2017)</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231-235. </w:t>
      </w:r>
    </w:p>
    <w:p w14:paraId="3B4CF81C" w14:textId="2FA553DA"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Niikura R, Yamada A, Hirata Y, et al.: Efficacy of vonoprazan for gastroesophageal reflux symptoms in patients with proton pump inhibitor-resistant non-erosive reflux disease. 57</w:t>
      </w:r>
      <w:r w:rsidR="00FA3665">
        <w:rPr>
          <w:rFonts w:ascii="Times New Roman" w:hAnsi="Times New Roman"/>
          <w:sz w:val="20"/>
          <w:lang w:val="en-SG"/>
        </w:rPr>
        <w:t xml:space="preserve"> (2018)</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2443-2450. </w:t>
      </w:r>
    </w:p>
    <w:p w14:paraId="12D72A88" w14:textId="748EAB0F"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Kinoshita Y, Sakurai Y, Takabayashi N, et al.: Efficacy and safety of vonoprazan in patients with nonerosive gastroesophageal reflux disease: a randomized, placebo-controlled, phase 3 study. 10</w:t>
      </w:r>
      <w:r w:rsidR="00FA3665">
        <w:rPr>
          <w:rFonts w:ascii="Times New Roman" w:hAnsi="Times New Roman"/>
          <w:sz w:val="20"/>
          <w:lang w:val="en-SG"/>
        </w:rPr>
        <w:t xml:space="preserve"> (2019)</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e00101. </w:t>
      </w:r>
    </w:p>
    <w:p w14:paraId="63876D82" w14:textId="204548A0"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Shinozaki S, Osawa H, Hayashi Y, et al.: Long-term vonoprazan therapy is effective for controlling symptomatic proton pump inhibitor-resistant gastroesophageal reflux disease. 14</w:t>
      </w:r>
      <w:r w:rsidR="00FA3665">
        <w:rPr>
          <w:rFonts w:ascii="Times New Roman" w:hAnsi="Times New Roman"/>
          <w:sz w:val="20"/>
          <w:lang w:val="en-SG"/>
        </w:rPr>
        <w:t xml:space="preserve"> (2021)</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32. </w:t>
      </w:r>
    </w:p>
    <w:p w14:paraId="5D8106B7" w14:textId="1CFFE470"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lastRenderedPageBreak/>
        <w:t>Abbasi A, Siddiqui SA, Ram B, et al.: Real-world evidence to evaluate the efficacy and safety of vonoprazan in gastrointestinal disorders in the pakistani population. 15</w:t>
      </w:r>
      <w:r w:rsidR="00FA3665">
        <w:rPr>
          <w:rFonts w:ascii="Times New Roman" w:hAnsi="Times New Roman"/>
          <w:sz w:val="20"/>
          <w:lang w:val="en-SG"/>
        </w:rPr>
        <w:t xml:space="preserve"> (2023)</w:t>
      </w:r>
      <w:r w:rsidRPr="005E03E4">
        <w:rPr>
          <w:rFonts w:ascii="Times New Roman" w:hAnsi="Times New Roman"/>
          <w:sz w:val="20"/>
          <w:lang w:val="en-SG"/>
        </w:rPr>
        <w:t xml:space="preserve">. </w:t>
      </w:r>
    </w:p>
    <w:p w14:paraId="39EB894D" w14:textId="1FEB6D03"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Fass R, Vaezi M, Sharma P, et al.: Randomised clinical trial: Efficacy and safety of on‐demand vonoprazan versus placebo for non‐erosive reflux disease. 58</w:t>
      </w:r>
      <w:r w:rsidR="00FA3665">
        <w:rPr>
          <w:rFonts w:ascii="Times New Roman" w:hAnsi="Times New Roman"/>
          <w:sz w:val="20"/>
          <w:lang w:val="en-SG"/>
        </w:rPr>
        <w:t xml:space="preserve"> (2023)</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1016-1027. </w:t>
      </w:r>
    </w:p>
    <w:p w14:paraId="1BFF1B41" w14:textId="25C1DB24"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Laine L, Spechler S, Yadlapati R, et al.: Vonoprazan is efficacious for treatment of heartburn in non-erosive reflux disease: a randomized trial 22</w:t>
      </w:r>
      <w:r w:rsidR="00FA3665">
        <w:rPr>
          <w:rFonts w:ascii="Times New Roman" w:hAnsi="Times New Roman"/>
          <w:sz w:val="20"/>
          <w:lang w:val="en-SG"/>
        </w:rPr>
        <w:t xml:space="preserve"> (2024)</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2211-2220. e2210. </w:t>
      </w:r>
    </w:p>
    <w:p w14:paraId="24C53CA5" w14:textId="1900BFC2"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Rehman AU, Khan MS, Iltaf M, et al.: Vonoprazan Therapy in Gastroesophageal Reflux Disease (GERD): Effects on the Severity and Frequency of GERD in Relation to Hiatus Hernia. 17</w:t>
      </w:r>
      <w:r w:rsidR="00FA3665">
        <w:rPr>
          <w:rFonts w:ascii="Times New Roman" w:hAnsi="Times New Roman"/>
          <w:sz w:val="20"/>
          <w:lang w:val="en-SG"/>
        </w:rPr>
        <w:t xml:space="preserve"> (2025)</w:t>
      </w:r>
      <w:r w:rsidRPr="005E03E4">
        <w:rPr>
          <w:rFonts w:ascii="Times New Roman" w:hAnsi="Times New Roman"/>
          <w:sz w:val="20"/>
          <w:lang w:val="en-SG"/>
        </w:rPr>
        <w:t xml:space="preserve">. </w:t>
      </w:r>
    </w:p>
    <w:p w14:paraId="3DB449FA" w14:textId="4CC93A7C"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Moseley AM, Pinheiro MBJJoP: Research note: Evaluating risk of bias in randomised controlled trials. 68</w:t>
      </w:r>
      <w:r w:rsidR="00FA3665">
        <w:rPr>
          <w:rFonts w:ascii="Times New Roman" w:hAnsi="Times New Roman"/>
          <w:sz w:val="20"/>
          <w:lang w:val="en-SG"/>
        </w:rPr>
        <w:t xml:space="preserve"> (2022)</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148-150. </w:t>
      </w:r>
    </w:p>
    <w:p w14:paraId="4886D2F6" w14:textId="5ED58C0C"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Phua QS, Lu L, Harding M, et al.: Systematic analysis of publication bias in neurosurgery meta-analyses. 90</w:t>
      </w:r>
      <w:r w:rsidR="00FA3665">
        <w:rPr>
          <w:rFonts w:ascii="Times New Roman" w:hAnsi="Times New Roman"/>
          <w:sz w:val="20"/>
          <w:lang w:val="en-SG"/>
        </w:rPr>
        <w:t xml:space="preserve"> (2022)</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262-269. </w:t>
      </w:r>
    </w:p>
    <w:p w14:paraId="77580AB8" w14:textId="416AA2DE"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Cuzick J: Forest plots and the interpretation of subgroups. The Lancet. 365</w:t>
      </w:r>
      <w:r w:rsidR="00FA3665">
        <w:rPr>
          <w:rFonts w:ascii="Times New Roman" w:hAnsi="Times New Roman"/>
          <w:sz w:val="20"/>
          <w:lang w:val="en-SG"/>
        </w:rPr>
        <w:t xml:space="preserve"> (2005)</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1308. </w:t>
      </w:r>
    </w:p>
    <w:p w14:paraId="07A02F81" w14:textId="32F6F7D0"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Favorito LA: Systematic review and metanalysis in urology: how to interpret the forest plot. International braz j urol. 49</w:t>
      </w:r>
      <w:r w:rsidR="00FA3665">
        <w:rPr>
          <w:rFonts w:ascii="Times New Roman" w:hAnsi="Times New Roman"/>
          <w:sz w:val="20"/>
          <w:lang w:val="en-SG"/>
        </w:rPr>
        <w:t xml:space="preserve"> (2023)</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775-778. </w:t>
      </w:r>
    </w:p>
    <w:p w14:paraId="274B28AE" w14:textId="478DC63F"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Feczko E, Fair DA: Methods and challenges for assessing heterogeneity. Biological psychiatry</w:t>
      </w:r>
      <w:r w:rsidR="00FA3665">
        <w:rPr>
          <w:rFonts w:ascii="Times New Roman" w:hAnsi="Times New Roman"/>
          <w:sz w:val="20"/>
          <w:lang w:val="en-SG"/>
        </w:rPr>
        <w:t>.</w:t>
      </w:r>
      <w:r w:rsidRPr="005E03E4">
        <w:rPr>
          <w:rFonts w:ascii="Times New Roman" w:hAnsi="Times New Roman"/>
          <w:sz w:val="20"/>
          <w:lang w:val="en-SG"/>
        </w:rPr>
        <w:t xml:space="preserve"> 88</w:t>
      </w:r>
      <w:r w:rsidR="00FA3665">
        <w:rPr>
          <w:rFonts w:ascii="Times New Roman" w:hAnsi="Times New Roman"/>
          <w:sz w:val="20"/>
          <w:lang w:val="en-SG"/>
        </w:rPr>
        <w:t xml:space="preserve"> (2020)</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9-17. </w:t>
      </w:r>
    </w:p>
    <w:p w14:paraId="09645343" w14:textId="24FB3701"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 xml:space="preserve">Schulzke S: Assessing and exploring heterogeneity. Principles and practice of systematic reviews and meta-analysis. Springer; </w:t>
      </w:r>
      <w:r w:rsidR="00FA3665">
        <w:rPr>
          <w:rFonts w:ascii="Times New Roman" w:hAnsi="Times New Roman"/>
          <w:sz w:val="20"/>
          <w:lang w:val="en-SG"/>
        </w:rPr>
        <w:t>(</w:t>
      </w:r>
      <w:r w:rsidRPr="005E03E4">
        <w:rPr>
          <w:rFonts w:ascii="Times New Roman" w:hAnsi="Times New Roman"/>
          <w:sz w:val="20"/>
          <w:lang w:val="en-SG"/>
        </w:rPr>
        <w:t>2021</w:t>
      </w:r>
      <w:r w:rsidR="00FA3665">
        <w:rPr>
          <w:rFonts w:ascii="Times New Roman" w:hAnsi="Times New Roman"/>
          <w:sz w:val="20"/>
          <w:lang w:val="en-SG"/>
        </w:rPr>
        <w:t>):</w:t>
      </w:r>
      <w:r w:rsidRPr="005E03E4">
        <w:rPr>
          <w:rFonts w:ascii="Times New Roman" w:hAnsi="Times New Roman"/>
          <w:sz w:val="20"/>
          <w:lang w:val="en-SG"/>
        </w:rPr>
        <w:t xml:space="preserve"> 33-41. </w:t>
      </w:r>
    </w:p>
    <w:p w14:paraId="68DADFB8" w14:textId="5479EC37"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Sun X, Ioannidis JP, Agoritsas T, et al.: How to use a subgroup analysis: users’ guide to the medical literature. Jama. 311</w:t>
      </w:r>
      <w:r w:rsidR="00FA3665">
        <w:rPr>
          <w:rFonts w:ascii="Times New Roman" w:hAnsi="Times New Roman"/>
          <w:sz w:val="20"/>
          <w:lang w:val="en-SG"/>
        </w:rPr>
        <w:t xml:space="preserve"> (2014)</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405-411. </w:t>
      </w:r>
    </w:p>
    <w:p w14:paraId="2FC58065" w14:textId="6467E56D"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Wang X, Piantadosi S, Le-Rademacher J, et al.: Statistical considerations for subgroup analyses. 16</w:t>
      </w:r>
      <w:r w:rsidR="00FA3665">
        <w:rPr>
          <w:rFonts w:ascii="Times New Roman" w:hAnsi="Times New Roman"/>
          <w:sz w:val="20"/>
          <w:lang w:val="en-SG"/>
        </w:rPr>
        <w:t xml:space="preserve"> (2021)</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375-380. </w:t>
      </w:r>
    </w:p>
    <w:p w14:paraId="46DB6168" w14:textId="00D97293" w:rsidR="005E03E4" w:rsidRPr="005E03E4"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Bunchorntavakul C, Jaigla PJJO: Efficacy of Vonoprazan 10 mg and 20 mg for Patients With Proton Pump Inhibitor‐Refractory Functional Dyspepsia: A Double‐Blinded, Randomized Study. 8</w:t>
      </w:r>
      <w:r w:rsidR="00FA3665">
        <w:rPr>
          <w:rFonts w:ascii="Times New Roman" w:hAnsi="Times New Roman"/>
          <w:sz w:val="20"/>
          <w:lang w:val="en-SG"/>
        </w:rPr>
        <w:t xml:space="preserve"> (2024)</w:t>
      </w:r>
      <w:r w:rsidRPr="005E03E4">
        <w:rPr>
          <w:rFonts w:ascii="Times New Roman" w:hAnsi="Times New Roman"/>
          <w:sz w:val="20"/>
          <w:lang w:val="en-SG"/>
        </w:rPr>
        <w:t>:</w:t>
      </w:r>
      <w:r w:rsidR="00FA3665">
        <w:rPr>
          <w:rFonts w:ascii="Times New Roman" w:hAnsi="Times New Roman"/>
          <w:sz w:val="20"/>
          <w:lang w:val="en-SG"/>
        </w:rPr>
        <w:t xml:space="preserve"> </w:t>
      </w:r>
      <w:r w:rsidRPr="005E03E4">
        <w:rPr>
          <w:rFonts w:ascii="Times New Roman" w:hAnsi="Times New Roman"/>
          <w:sz w:val="20"/>
          <w:lang w:val="en-SG"/>
        </w:rPr>
        <w:t xml:space="preserve">e70082. </w:t>
      </w:r>
    </w:p>
    <w:p w14:paraId="1609A643" w14:textId="310D1B10" w:rsidR="000E111C" w:rsidRDefault="005E03E4" w:rsidP="00422F88">
      <w:pPr>
        <w:pStyle w:val="MDPI71References"/>
        <w:numPr>
          <w:ilvl w:val="0"/>
          <w:numId w:val="25"/>
        </w:numPr>
        <w:spacing w:line="360" w:lineRule="auto"/>
        <w:rPr>
          <w:rFonts w:ascii="Times New Roman" w:hAnsi="Times New Roman"/>
          <w:sz w:val="20"/>
          <w:lang w:val="en-SG"/>
        </w:rPr>
      </w:pPr>
      <w:r w:rsidRPr="005E03E4">
        <w:rPr>
          <w:rFonts w:ascii="Times New Roman" w:hAnsi="Times New Roman"/>
          <w:sz w:val="20"/>
          <w:lang w:val="en-SG"/>
        </w:rPr>
        <w:t>Savarino V, Antonioli L, Fornai M, et al.: An update of pharmacology, efficacy, and safety of vonoprazan in acid-related disorders. 16</w:t>
      </w:r>
      <w:r w:rsidR="00422F88">
        <w:rPr>
          <w:rFonts w:ascii="Times New Roman" w:hAnsi="Times New Roman"/>
          <w:sz w:val="20"/>
          <w:lang w:val="en-SG"/>
        </w:rPr>
        <w:t xml:space="preserve"> (2022)</w:t>
      </w:r>
      <w:r w:rsidRPr="005E03E4">
        <w:rPr>
          <w:rFonts w:ascii="Times New Roman" w:hAnsi="Times New Roman"/>
          <w:sz w:val="20"/>
          <w:lang w:val="en-SG"/>
        </w:rPr>
        <w:t>:</w:t>
      </w:r>
      <w:r w:rsidR="00422F88">
        <w:rPr>
          <w:rFonts w:ascii="Times New Roman" w:hAnsi="Times New Roman"/>
          <w:sz w:val="20"/>
          <w:lang w:val="en-SG"/>
        </w:rPr>
        <w:t xml:space="preserve"> </w:t>
      </w:r>
      <w:r w:rsidRPr="005E03E4">
        <w:rPr>
          <w:rFonts w:ascii="Times New Roman" w:hAnsi="Times New Roman"/>
          <w:sz w:val="20"/>
          <w:lang w:val="en-SG"/>
        </w:rPr>
        <w:t>401-410.</w:t>
      </w:r>
    </w:p>
    <w:p w14:paraId="1F8ECF6A" w14:textId="77777777" w:rsidR="005E03E4" w:rsidRDefault="005E03E4" w:rsidP="002C36B9">
      <w:pPr>
        <w:pStyle w:val="MDPI71References"/>
        <w:numPr>
          <w:ilvl w:val="0"/>
          <w:numId w:val="0"/>
        </w:numPr>
        <w:spacing w:line="360" w:lineRule="auto"/>
        <w:ind w:left="425" w:hanging="425"/>
        <w:rPr>
          <w:rFonts w:ascii="Times New Roman" w:hAnsi="Times New Roman"/>
          <w:sz w:val="20"/>
          <w:lang w:val="en-SG"/>
        </w:rPr>
      </w:pPr>
    </w:p>
    <w:p w14:paraId="30FF8BCE"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4B124242" w14:textId="77777777" w:rsidR="005D05A0" w:rsidRDefault="005D05A0" w:rsidP="002C36B9">
      <w:pPr>
        <w:pStyle w:val="MDPI71References"/>
        <w:numPr>
          <w:ilvl w:val="0"/>
          <w:numId w:val="0"/>
        </w:numPr>
        <w:spacing w:line="360" w:lineRule="auto"/>
        <w:ind w:left="425" w:hanging="425"/>
        <w:rPr>
          <w:rFonts w:ascii="Times New Roman" w:hAnsi="Times New Roman"/>
          <w:sz w:val="20"/>
          <w:lang w:val="en-SG"/>
        </w:rPr>
      </w:pPr>
    </w:p>
    <w:p w14:paraId="168742B4"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70F10FF6"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7C215A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69306A9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2B7EE6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p w14:paraId="5542BC70" w14:textId="77777777" w:rsidR="002C36B9" w:rsidRPr="00E96113" w:rsidRDefault="002C36B9" w:rsidP="002C36B9">
      <w:pPr>
        <w:spacing w:line="276" w:lineRule="auto"/>
        <w:jc w:val="center"/>
        <w:rPr>
          <w:rFonts w:ascii="Times New Roman" w:hAnsi="Times New Roman" w:cs="Times New Roman"/>
          <w:sz w:val="20"/>
          <w:szCs w:val="20"/>
        </w:rPr>
      </w:pPr>
      <w:r>
        <w:rPr>
          <w:rFonts w:ascii="Times New Roman" w:eastAsia="Times New Roman" w:hAnsi="Times New Roman" w:cs="Times New Roman"/>
          <w:noProof/>
          <w:sz w:val="20"/>
          <w:szCs w:val="20"/>
          <w:lang w:val="en-IN" w:eastAsia="en-IN"/>
        </w:rPr>
        <w:drawing>
          <wp:anchor distT="0" distB="0" distL="0" distR="0" simplePos="0" relativeHeight="251655680" behindDoc="0" locked="0" layoutInCell="1" allowOverlap="1" wp14:anchorId="1541AEFD" wp14:editId="7ABFA1F8">
            <wp:simplePos x="0" y="0"/>
            <wp:positionH relativeFrom="page">
              <wp:posOffset>749483</wp:posOffset>
            </wp:positionH>
            <wp:positionV relativeFrom="paragraph">
              <wp:posOffset>33020</wp:posOffset>
            </wp:positionV>
            <wp:extent cx="1127760" cy="361950"/>
            <wp:effectExtent l="0" t="0" r="0" b="0"/>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18" cstate="print"/>
                    <a:stretch>
                      <a:fillRect/>
                    </a:stretch>
                  </pic:blipFill>
                  <pic:spPr>
                    <a:xfrm>
                      <a:off x="0" y="0"/>
                      <a:ext cx="1127760" cy="361950"/>
                    </a:xfrm>
                    <a:prstGeom prst="rect">
                      <a:avLst/>
                    </a:prstGeom>
                  </pic:spPr>
                </pic:pic>
              </a:graphicData>
            </a:graphic>
          </wp:anchor>
        </w:drawing>
      </w:r>
      <w:r w:rsidR="009F11F3">
        <w:rPr>
          <w:rFonts w:ascii="Times New Roman" w:hAnsi="Times New Roman" w:cs="Times New Roman"/>
          <w:sz w:val="20"/>
          <w:szCs w:val="20"/>
        </w:rPr>
        <w:tab/>
      </w:r>
      <w:r w:rsidRPr="00E96113">
        <w:rPr>
          <w:rFonts w:ascii="Times New Roman" w:hAnsi="Times New Roman" w:cs="Times New Roman"/>
          <w:sz w:val="20"/>
          <w:szCs w:val="20"/>
        </w:rPr>
        <w:t>This article is an open access article distributed under the terms and conditions of the</w:t>
      </w:r>
    </w:p>
    <w:p w14:paraId="7C4403A7" w14:textId="77777777" w:rsidR="002C36B9" w:rsidRPr="00E96113" w:rsidRDefault="002C36B9" w:rsidP="002C36B9">
      <w:pPr>
        <w:spacing w:before="65" w:line="240" w:lineRule="auto"/>
        <w:ind w:hanging="21"/>
        <w:rPr>
          <w:rFonts w:ascii="Times New Roman" w:eastAsiaTheme="minorEastAsia" w:hAnsi="Times New Roman" w:cs="Times New Roman"/>
          <w:color w:val="000000"/>
          <w:kern w:val="24"/>
          <w:sz w:val="20"/>
          <w:szCs w:val="20"/>
        </w:rPr>
      </w:pPr>
      <w:r w:rsidRPr="00E96113">
        <w:rPr>
          <w:rFonts w:ascii="Times New Roman" w:hAnsi="Times New Roman" w:cs="Times New Roman"/>
        </w:rPr>
        <w:tab/>
      </w:r>
      <w:r w:rsidRPr="00E96113">
        <w:rPr>
          <w:rFonts w:ascii="Times New Roman" w:hAnsi="Times New Roman" w:cs="Times New Roman"/>
        </w:rPr>
        <w:tab/>
      </w:r>
      <w:r w:rsidRPr="00E96113">
        <w:rPr>
          <w:rFonts w:ascii="Times New Roman" w:hAnsi="Times New Roman" w:cs="Times New Roman"/>
        </w:rPr>
        <w:tab/>
      </w:r>
      <w:r>
        <w:rPr>
          <w:rFonts w:ascii="Times New Roman" w:hAnsi="Times New Roman" w:cs="Times New Roman"/>
        </w:rPr>
        <w:t xml:space="preserve">    </w:t>
      </w:r>
      <w:hyperlink r:id="rId19" w:history="1">
        <w:r w:rsidRPr="00E96113">
          <w:rPr>
            <w:rStyle w:val="Hyperlink"/>
            <w:rFonts w:ascii="Times New Roman" w:hAnsi="Times New Roman" w:cs="Times New Roman"/>
            <w:sz w:val="20"/>
            <w:szCs w:val="20"/>
          </w:rPr>
          <w:t>Creative Commons Attribution (CC-BY) license 4.0</w:t>
        </w:r>
        <w:r>
          <w:rPr>
            <w:rFonts w:ascii="Times New Roman" w:hAnsi="Times New Roman" w:cs="Times New Roman"/>
            <w:noProof/>
            <w:color w:val="0000FF"/>
            <w:sz w:val="20"/>
            <w:szCs w:val="20"/>
            <w:u w:val="single"/>
            <w:lang w:val="en-IN" w:eastAsia="en-IN"/>
          </w:rPr>
          <mc:AlternateContent>
            <mc:Choice Requires="wps">
              <w:drawing>
                <wp:anchor distT="0" distB="0" distL="114300" distR="114300" simplePos="0" relativeHeight="251654656" behindDoc="0" locked="0" layoutInCell="1" allowOverlap="1" wp14:anchorId="024CB230" wp14:editId="69624A0C">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521DFE76" w14:textId="77777777" w:rsidR="00C26FE8" w:rsidRPr="00294B05" w:rsidRDefault="00C26FE8" w:rsidP="002C36B9"/>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24CB230" id="Rectangle 3" o:spid="_x0000_s1026" style="position:absolute;margin-left:-22.65pt;margin-top:363.75pt;width:513.3pt;height:29.7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521DFE76" w14:textId="77777777" w:rsidR="00C26FE8" w:rsidRPr="00294B05" w:rsidRDefault="00C26FE8" w:rsidP="002C36B9"/>
                    </w:txbxContent>
                  </v:textbox>
                  <w10:wrap anchorx="margin"/>
                </v:rect>
              </w:pict>
            </mc:Fallback>
          </mc:AlternateContent>
        </w:r>
      </w:hyperlink>
    </w:p>
    <w:p w14:paraId="584D1E3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sectPr w:rsidR="002C36B9" w:rsidSect="00915810">
      <w:headerReference w:type="default" r:id="rId20"/>
      <w:footerReference w:type="default" r:id="rId21"/>
      <w:pgSz w:w="12240" w:h="15840" w:code="1"/>
      <w:pgMar w:top="576" w:right="1440" w:bottom="1008" w:left="1440" w:header="720" w:footer="720" w:gutter="0"/>
      <w:pgNumType w:start="3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6E36E" w14:textId="77777777" w:rsidR="00DE0714" w:rsidRDefault="00DE0714" w:rsidP="00A62EFF">
      <w:pPr>
        <w:spacing w:after="0" w:line="240" w:lineRule="auto"/>
      </w:pPr>
      <w:r>
        <w:separator/>
      </w:r>
    </w:p>
  </w:endnote>
  <w:endnote w:type="continuationSeparator" w:id="0">
    <w:p w14:paraId="44A97D92" w14:textId="77777777" w:rsidR="00DE0714" w:rsidRDefault="00DE0714"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D96F" w14:textId="0F5A9A9B" w:rsidR="00C26FE8" w:rsidRPr="00D732F8" w:rsidRDefault="00C26FE8" w:rsidP="007661C1">
    <w:pPr>
      <w:pStyle w:val="Footer"/>
      <w:spacing w:before="240"/>
      <w:rPr>
        <w:i/>
        <w:sz w:val="20"/>
      </w:rPr>
    </w:pPr>
    <w:r w:rsidRPr="00221D3F">
      <w:rPr>
        <w:rFonts w:ascii="Times New Roman" w:hAnsi="Times New Roman" w:cs="Times New Roman"/>
        <w:b/>
        <w:i/>
        <w:color w:val="2E74B5" w:themeColor="accent1" w:themeShade="BF"/>
        <w:sz w:val="18"/>
        <w:szCs w:val="20"/>
      </w:rPr>
      <w:t>Archives of Internal Medicine Research</w:t>
    </w:r>
    <w:r>
      <w:rPr>
        <w:rFonts w:ascii="Times New Roman" w:hAnsi="Times New Roman" w:cs="Times New Roman"/>
        <w:b/>
        <w:color w:val="2E74B5" w:themeColor="accent1" w:themeShade="BF"/>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5F46F" w14:textId="77777777" w:rsidR="00DE0714" w:rsidRDefault="00DE0714" w:rsidP="00A62EFF">
      <w:pPr>
        <w:spacing w:after="0" w:line="240" w:lineRule="auto"/>
      </w:pPr>
      <w:r>
        <w:separator/>
      </w:r>
    </w:p>
  </w:footnote>
  <w:footnote w:type="continuationSeparator" w:id="0">
    <w:p w14:paraId="1F36EB7D" w14:textId="77777777" w:rsidR="00DE0714" w:rsidRDefault="00DE0714"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8246" w14:textId="6C7CA1E9" w:rsidR="00C26FE8" w:rsidRPr="00E51D57" w:rsidRDefault="00C26FE8" w:rsidP="00A11E71">
    <w:pPr>
      <w:pStyle w:val="Header"/>
      <w:rPr>
        <w:rFonts w:ascii="Times New Roman" w:hAnsi="Times New Roman" w:cs="Times New Roman"/>
        <w:b/>
        <w:bCs/>
        <w:i/>
        <w:color w:val="2E74B6"/>
        <w:sz w:val="18"/>
        <w:szCs w:val="20"/>
        <w:lang w:val="fr-FR"/>
      </w:rPr>
    </w:pPr>
    <w:r w:rsidRPr="002700F9">
      <w:rPr>
        <w:rFonts w:ascii="Times New Roman" w:hAnsi="Times New Roman" w:cs="Times New Roman"/>
        <w:b/>
        <w:i/>
        <w:color w:val="2E74B5" w:themeColor="accent1" w:themeShade="BF"/>
        <w:sz w:val="18"/>
        <w:szCs w:val="20"/>
      </w:rPr>
      <w:t xml:space="preserve"> Arch Intern Med Res</w:t>
    </w:r>
    <w:r>
      <w:rPr>
        <w:rFonts w:ascii="Times New Roman" w:hAnsi="Times New Roman" w:cs="Times New Roman"/>
        <w:b/>
        <w:i/>
        <w:color w:val="2E74B5" w:themeColor="accent1" w:themeShade="BF"/>
        <w:sz w:val="18"/>
        <w:szCs w:val="20"/>
      </w:rPr>
      <w:t xml:space="preserve"> 202</w:t>
    </w:r>
    <w:r w:rsidR="009A20FD">
      <w:rPr>
        <w:rFonts w:ascii="Times New Roman" w:hAnsi="Times New Roman" w:cs="Times New Roman"/>
        <w:b/>
        <w:i/>
        <w:color w:val="2E74B5" w:themeColor="accent1" w:themeShade="BF"/>
        <w:sz w:val="18"/>
        <w:szCs w:val="20"/>
      </w:rPr>
      <w:t>6</w:t>
    </w:r>
    <w:r>
      <w:rPr>
        <w:rFonts w:ascii="Times New Roman" w:hAnsi="Times New Roman" w:cs="Times New Roman"/>
        <w:b/>
        <w:i/>
        <w:color w:val="2E74B5" w:themeColor="accent1" w:themeShade="BF"/>
        <w:sz w:val="18"/>
        <w:szCs w:val="20"/>
      </w:rPr>
      <w:t xml:space="preserve">; </w:t>
    </w:r>
    <w:r w:rsidR="00042180">
      <w:rPr>
        <w:rFonts w:ascii="Times New Roman" w:hAnsi="Times New Roman" w:cs="Times New Roman"/>
        <w:b/>
        <w:i/>
        <w:color w:val="2E74B5" w:themeColor="accent1" w:themeShade="BF"/>
        <w:sz w:val="18"/>
        <w:szCs w:val="20"/>
      </w:rPr>
      <w:t>9</w:t>
    </w:r>
    <w:r>
      <w:rPr>
        <w:rFonts w:ascii="Times New Roman" w:hAnsi="Times New Roman" w:cs="Times New Roman"/>
        <w:b/>
        <w:i/>
        <w:color w:val="2E74B5" w:themeColor="accent1" w:themeShade="BF"/>
        <w:sz w:val="18"/>
        <w:szCs w:val="20"/>
      </w:rPr>
      <w:t xml:space="preserve"> (</w:t>
    </w:r>
    <w:r w:rsidR="0054256C">
      <w:rPr>
        <w:rFonts w:ascii="Times New Roman" w:hAnsi="Times New Roman" w:cs="Times New Roman"/>
        <w:b/>
        <w:i/>
        <w:color w:val="2E74B5" w:themeColor="accent1" w:themeShade="BF"/>
        <w:sz w:val="18"/>
        <w:szCs w:val="20"/>
      </w:rPr>
      <w:t>3</w:t>
    </w:r>
    <w:r>
      <w:rPr>
        <w:rFonts w:ascii="Times New Roman" w:hAnsi="Times New Roman" w:cs="Times New Roman"/>
        <w:b/>
        <w:i/>
        <w:color w:val="2E74B5" w:themeColor="accent1" w:themeShade="BF"/>
        <w:sz w:val="18"/>
        <w:szCs w:val="20"/>
      </w:rPr>
      <w:t xml:space="preserve">): </w:t>
    </w:r>
    <w:r w:rsidR="00467989">
      <w:rPr>
        <w:rFonts w:ascii="Times New Roman" w:hAnsi="Times New Roman" w:cs="Times New Roman"/>
        <w:b/>
        <w:i/>
        <w:color w:val="2E74B5" w:themeColor="accent1" w:themeShade="BF"/>
        <w:sz w:val="18"/>
        <w:szCs w:val="20"/>
      </w:rPr>
      <w:t>215</w:t>
    </w:r>
    <w:r>
      <w:rPr>
        <w:rFonts w:ascii="Times New Roman" w:hAnsi="Times New Roman" w:cs="Times New Roman"/>
        <w:b/>
        <w:i/>
        <w:color w:val="2E74B5" w:themeColor="accent1" w:themeShade="BF"/>
        <w:sz w:val="18"/>
        <w:szCs w:val="20"/>
      </w:rPr>
      <w:t>-</w:t>
    </w:r>
    <w:r w:rsidR="00467989">
      <w:rPr>
        <w:rFonts w:ascii="Times New Roman" w:hAnsi="Times New Roman" w:cs="Times New Roman"/>
        <w:b/>
        <w:i/>
        <w:color w:val="2E74B5" w:themeColor="accent1" w:themeShade="BF"/>
        <w:sz w:val="18"/>
        <w:szCs w:val="20"/>
      </w:rPr>
      <w:t>226</w:t>
    </w:r>
    <w:r w:rsidRPr="00E51D57">
      <w:rPr>
        <w:rFonts w:ascii="Times New Roman" w:hAnsi="Times New Roman" w:cs="Times New Roman"/>
        <w:b/>
        <w:i/>
        <w:color w:val="2E74B5" w:themeColor="accent1" w:themeShade="BF"/>
        <w:sz w:val="18"/>
        <w:szCs w:val="20"/>
        <w:lang w:val="fr-FR"/>
      </w:rPr>
      <w:tab/>
    </w:r>
    <w:r w:rsidRPr="00E51D57">
      <w:rPr>
        <w:rFonts w:ascii="Times New Roman" w:hAnsi="Times New Roman" w:cs="Times New Roman"/>
        <w:b/>
        <w:i/>
        <w:color w:val="2E74B5" w:themeColor="accent1" w:themeShade="BF"/>
        <w:sz w:val="18"/>
        <w:szCs w:val="20"/>
        <w:lang w:val="fr-FR"/>
      </w:rPr>
      <w:tab/>
    </w:r>
    <w:r>
      <w:rPr>
        <w:rFonts w:ascii="Times New Roman" w:hAnsi="Times New Roman" w:cs="Times New Roman"/>
        <w:b/>
        <w:bCs/>
        <w:color w:val="2E74B6"/>
        <w:sz w:val="18"/>
        <w:szCs w:val="20"/>
      </w:rPr>
      <w:t xml:space="preserve">DOI: </w:t>
    </w:r>
    <w:r>
      <w:rPr>
        <w:rFonts w:ascii="Times New Roman" w:hAnsi="Times New Roman" w:cs="Times New Roman"/>
        <w:b/>
        <w:bCs/>
        <w:i/>
        <w:color w:val="2E74B6"/>
        <w:sz w:val="18"/>
        <w:szCs w:val="20"/>
      </w:rPr>
      <w:t>10.26502/aimr.0</w:t>
    </w:r>
    <w:r w:rsidR="00467989">
      <w:rPr>
        <w:rFonts w:ascii="Times New Roman" w:hAnsi="Times New Roman" w:cs="Times New Roman"/>
        <w:b/>
        <w:bCs/>
        <w:i/>
        <w:color w:val="2E74B6"/>
        <w:sz w:val="18"/>
        <w:szCs w:val="20"/>
      </w:rPr>
      <w:t>251</w:t>
    </w:r>
  </w:p>
  <w:p w14:paraId="4F996D9A" w14:textId="77777777" w:rsidR="00C26FE8" w:rsidRPr="00E51D57" w:rsidRDefault="00C26FE8" w:rsidP="00A11E71">
    <w:pPr>
      <w:pStyle w:val="Header"/>
      <w:rPr>
        <w:rFonts w:ascii="Times New Roman" w:hAnsi="Times New Roman" w:cs="Times New Roman"/>
        <w:b/>
        <w:bCs/>
        <w:i/>
        <w:color w:val="2E74B6"/>
        <w:sz w:val="18"/>
        <w:szCs w:val="20"/>
        <w:lang w:val="fr-FR"/>
      </w:rPr>
    </w:pPr>
  </w:p>
  <w:p w14:paraId="4C0E934C" w14:textId="77777777" w:rsidR="00C26FE8" w:rsidRPr="00E51D57" w:rsidRDefault="00C26FE8" w:rsidP="00A11E71">
    <w:pPr>
      <w:pStyle w:val="Head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005"/>
    <w:multiLevelType w:val="hybridMultilevel"/>
    <w:tmpl w:val="D550096C"/>
    <w:lvl w:ilvl="0" w:tplc="8606320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15:restartNumberingAfterBreak="0">
    <w:nsid w:val="074502F3"/>
    <w:multiLevelType w:val="hybridMultilevel"/>
    <w:tmpl w:val="9236B7E0"/>
    <w:lvl w:ilvl="0" w:tplc="DE22694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CA67FF"/>
    <w:multiLevelType w:val="hybridMultilevel"/>
    <w:tmpl w:val="C9544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4622A90"/>
    <w:multiLevelType w:val="hybridMultilevel"/>
    <w:tmpl w:val="F604B7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56F7AA5"/>
    <w:multiLevelType w:val="hybridMultilevel"/>
    <w:tmpl w:val="E4149850"/>
    <w:lvl w:ilvl="0" w:tplc="A3B6ED3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5" w15:restartNumberingAfterBreak="0">
    <w:nsid w:val="19091598"/>
    <w:multiLevelType w:val="hybridMultilevel"/>
    <w:tmpl w:val="4F70E3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AEA403E"/>
    <w:multiLevelType w:val="hybridMultilevel"/>
    <w:tmpl w:val="C076E09C"/>
    <w:lvl w:ilvl="0" w:tplc="1F4636DA">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50A245F"/>
    <w:multiLevelType w:val="hybridMultilevel"/>
    <w:tmpl w:val="046AB7BC"/>
    <w:lvl w:ilvl="0" w:tplc="47285524">
      <w:start w:val="1"/>
      <w:numFmt w:val="decimal"/>
      <w:pStyle w:val="MDPI71References"/>
      <w:lvlText w:val="%1."/>
      <w:lvlJc w:val="left"/>
      <w:pPr>
        <w:ind w:left="780" w:hanging="420"/>
      </w:pPr>
      <w:rPr>
        <w:rFonts w:ascii="Times New Roman" w:eastAsia="Times New Roman" w:hAnsi="Times New Roman" w:cs="Times New Roman"/>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8" w15:restartNumberingAfterBreak="0">
    <w:nsid w:val="268622E3"/>
    <w:multiLevelType w:val="hybridMultilevel"/>
    <w:tmpl w:val="1D280A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FEC30B1"/>
    <w:multiLevelType w:val="hybridMultilevel"/>
    <w:tmpl w:val="6E58A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344F0AD0"/>
    <w:multiLevelType w:val="hybridMultilevel"/>
    <w:tmpl w:val="20304A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6D25560"/>
    <w:multiLevelType w:val="hybridMultilevel"/>
    <w:tmpl w:val="A6D83094"/>
    <w:lvl w:ilvl="0" w:tplc="88988E8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2" w15:restartNumberingAfterBreak="0">
    <w:nsid w:val="37546024"/>
    <w:multiLevelType w:val="hybridMultilevel"/>
    <w:tmpl w:val="FB2EBA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76261C0"/>
    <w:multiLevelType w:val="hybridMultilevel"/>
    <w:tmpl w:val="87C075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3DE54C9C"/>
    <w:multiLevelType w:val="hybridMultilevel"/>
    <w:tmpl w:val="62D4D4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3280E1A"/>
    <w:multiLevelType w:val="hybridMultilevel"/>
    <w:tmpl w:val="6212C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45953484"/>
    <w:multiLevelType w:val="hybridMultilevel"/>
    <w:tmpl w:val="E7C8A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7E7259A"/>
    <w:multiLevelType w:val="hybridMultilevel"/>
    <w:tmpl w:val="6D0CF4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4B4560E3"/>
    <w:multiLevelType w:val="hybridMultilevel"/>
    <w:tmpl w:val="43AEBC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BDA3F70"/>
    <w:multiLevelType w:val="hybridMultilevel"/>
    <w:tmpl w:val="0002B86A"/>
    <w:lvl w:ilvl="0" w:tplc="2F68306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53174FC7"/>
    <w:multiLevelType w:val="hybridMultilevel"/>
    <w:tmpl w:val="B03EE7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58E16AD9"/>
    <w:multiLevelType w:val="hybridMultilevel"/>
    <w:tmpl w:val="DA4891C4"/>
    <w:lvl w:ilvl="0" w:tplc="D06AF63A">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22" w15:restartNumberingAfterBreak="0">
    <w:nsid w:val="6269309B"/>
    <w:multiLevelType w:val="hybridMultilevel"/>
    <w:tmpl w:val="F2A43F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68526D71"/>
    <w:multiLevelType w:val="hybridMultilevel"/>
    <w:tmpl w:val="D0D89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842852"/>
    <w:multiLevelType w:val="hybridMultilevel"/>
    <w:tmpl w:val="FFA89D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DD05D8"/>
    <w:multiLevelType w:val="hybridMultilevel"/>
    <w:tmpl w:val="0FE07B80"/>
    <w:lvl w:ilvl="0" w:tplc="E49482FA">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num w:numId="1" w16cid:durableId="1762868325">
    <w:abstractNumId w:val="7"/>
  </w:num>
  <w:num w:numId="2" w16cid:durableId="224924319">
    <w:abstractNumId w:val="5"/>
  </w:num>
  <w:num w:numId="3" w16cid:durableId="1776945922">
    <w:abstractNumId w:val="24"/>
  </w:num>
  <w:num w:numId="4" w16cid:durableId="627197771">
    <w:abstractNumId w:val="15"/>
  </w:num>
  <w:num w:numId="5" w16cid:durableId="1874345883">
    <w:abstractNumId w:val="1"/>
  </w:num>
  <w:num w:numId="6" w16cid:durableId="1994990649">
    <w:abstractNumId w:val="16"/>
  </w:num>
  <w:num w:numId="7" w16cid:durableId="108471266">
    <w:abstractNumId w:val="20"/>
  </w:num>
  <w:num w:numId="8" w16cid:durableId="603727170">
    <w:abstractNumId w:val="19"/>
  </w:num>
  <w:num w:numId="9" w16cid:durableId="974992919">
    <w:abstractNumId w:val="18"/>
  </w:num>
  <w:num w:numId="10" w16cid:durableId="693187251">
    <w:abstractNumId w:val="0"/>
  </w:num>
  <w:num w:numId="11" w16cid:durableId="956720353">
    <w:abstractNumId w:val="17"/>
  </w:num>
  <w:num w:numId="12" w16cid:durableId="1849830160">
    <w:abstractNumId w:val="14"/>
  </w:num>
  <w:num w:numId="13" w16cid:durableId="1263295588">
    <w:abstractNumId w:val="11"/>
  </w:num>
  <w:num w:numId="14" w16cid:durableId="215627726">
    <w:abstractNumId w:val="10"/>
  </w:num>
  <w:num w:numId="15" w16cid:durableId="1539274815">
    <w:abstractNumId w:val="23"/>
  </w:num>
  <w:num w:numId="16" w16cid:durableId="900364880">
    <w:abstractNumId w:val="8"/>
  </w:num>
  <w:num w:numId="17" w16cid:durableId="1614825159">
    <w:abstractNumId w:val="3"/>
  </w:num>
  <w:num w:numId="18" w16cid:durableId="852064401">
    <w:abstractNumId w:val="9"/>
  </w:num>
  <w:num w:numId="19" w16cid:durableId="729813747">
    <w:abstractNumId w:val="13"/>
  </w:num>
  <w:num w:numId="20" w16cid:durableId="2105804234">
    <w:abstractNumId w:val="4"/>
  </w:num>
  <w:num w:numId="21" w16cid:durableId="1572275193">
    <w:abstractNumId w:val="2"/>
  </w:num>
  <w:num w:numId="22" w16cid:durableId="1337608073">
    <w:abstractNumId w:val="6"/>
  </w:num>
  <w:num w:numId="23" w16cid:durableId="366177084">
    <w:abstractNumId w:val="12"/>
  </w:num>
  <w:num w:numId="24" w16cid:durableId="182476855">
    <w:abstractNumId w:val="25"/>
  </w:num>
  <w:num w:numId="25" w16cid:durableId="550002453">
    <w:abstractNumId w:val="22"/>
  </w:num>
  <w:num w:numId="26" w16cid:durableId="281569562">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819"/>
    <w:rsid w:val="000014F4"/>
    <w:rsid w:val="000027C2"/>
    <w:rsid w:val="00002C3E"/>
    <w:rsid w:val="00002C88"/>
    <w:rsid w:val="000039C4"/>
    <w:rsid w:val="00003B09"/>
    <w:rsid w:val="00003D4D"/>
    <w:rsid w:val="00003F7C"/>
    <w:rsid w:val="00004246"/>
    <w:rsid w:val="000042C6"/>
    <w:rsid w:val="00004314"/>
    <w:rsid w:val="00004465"/>
    <w:rsid w:val="00004F02"/>
    <w:rsid w:val="0000627B"/>
    <w:rsid w:val="00006468"/>
    <w:rsid w:val="00006A82"/>
    <w:rsid w:val="000073D6"/>
    <w:rsid w:val="00010D3D"/>
    <w:rsid w:val="000111B7"/>
    <w:rsid w:val="000117A2"/>
    <w:rsid w:val="00011E48"/>
    <w:rsid w:val="00012B82"/>
    <w:rsid w:val="0001306E"/>
    <w:rsid w:val="0001371B"/>
    <w:rsid w:val="00013FA9"/>
    <w:rsid w:val="00015554"/>
    <w:rsid w:val="00015D3F"/>
    <w:rsid w:val="00016FAB"/>
    <w:rsid w:val="000170DE"/>
    <w:rsid w:val="00017935"/>
    <w:rsid w:val="00017AB2"/>
    <w:rsid w:val="000211FC"/>
    <w:rsid w:val="00021E53"/>
    <w:rsid w:val="00021E7D"/>
    <w:rsid w:val="00021F19"/>
    <w:rsid w:val="000233E6"/>
    <w:rsid w:val="00023F64"/>
    <w:rsid w:val="000243A4"/>
    <w:rsid w:val="000245B1"/>
    <w:rsid w:val="000248E5"/>
    <w:rsid w:val="00024A98"/>
    <w:rsid w:val="00025EF7"/>
    <w:rsid w:val="00027B75"/>
    <w:rsid w:val="00030F57"/>
    <w:rsid w:val="00031232"/>
    <w:rsid w:val="00031954"/>
    <w:rsid w:val="00031D3E"/>
    <w:rsid w:val="0003349E"/>
    <w:rsid w:val="00033A45"/>
    <w:rsid w:val="00033FBD"/>
    <w:rsid w:val="00034722"/>
    <w:rsid w:val="000348C4"/>
    <w:rsid w:val="00034CBA"/>
    <w:rsid w:val="000359EB"/>
    <w:rsid w:val="000360AA"/>
    <w:rsid w:val="00036866"/>
    <w:rsid w:val="00036E59"/>
    <w:rsid w:val="000379C9"/>
    <w:rsid w:val="000409AA"/>
    <w:rsid w:val="00040D9A"/>
    <w:rsid w:val="0004154F"/>
    <w:rsid w:val="000418D2"/>
    <w:rsid w:val="00042180"/>
    <w:rsid w:val="00042405"/>
    <w:rsid w:val="000424B8"/>
    <w:rsid w:val="00042806"/>
    <w:rsid w:val="0004296B"/>
    <w:rsid w:val="000430BA"/>
    <w:rsid w:val="00045135"/>
    <w:rsid w:val="00045249"/>
    <w:rsid w:val="000452C3"/>
    <w:rsid w:val="000454BB"/>
    <w:rsid w:val="000461C9"/>
    <w:rsid w:val="0004635C"/>
    <w:rsid w:val="00046AD9"/>
    <w:rsid w:val="00046C46"/>
    <w:rsid w:val="00046F68"/>
    <w:rsid w:val="000516EE"/>
    <w:rsid w:val="000528D1"/>
    <w:rsid w:val="00052B28"/>
    <w:rsid w:val="0005403B"/>
    <w:rsid w:val="000542A9"/>
    <w:rsid w:val="000544C1"/>
    <w:rsid w:val="00054CEB"/>
    <w:rsid w:val="000550A0"/>
    <w:rsid w:val="00055257"/>
    <w:rsid w:val="00055821"/>
    <w:rsid w:val="00055899"/>
    <w:rsid w:val="00055D42"/>
    <w:rsid w:val="000560B6"/>
    <w:rsid w:val="0006037E"/>
    <w:rsid w:val="00060EF6"/>
    <w:rsid w:val="0006226B"/>
    <w:rsid w:val="000645FD"/>
    <w:rsid w:val="00065BB2"/>
    <w:rsid w:val="00066B5D"/>
    <w:rsid w:val="00067288"/>
    <w:rsid w:val="00067866"/>
    <w:rsid w:val="000678FD"/>
    <w:rsid w:val="000701EE"/>
    <w:rsid w:val="000703AC"/>
    <w:rsid w:val="0007111A"/>
    <w:rsid w:val="000715E6"/>
    <w:rsid w:val="00072335"/>
    <w:rsid w:val="0007248D"/>
    <w:rsid w:val="0007328B"/>
    <w:rsid w:val="00073328"/>
    <w:rsid w:val="00073738"/>
    <w:rsid w:val="00073912"/>
    <w:rsid w:val="00073C4D"/>
    <w:rsid w:val="00074519"/>
    <w:rsid w:val="00074714"/>
    <w:rsid w:val="00074970"/>
    <w:rsid w:val="00074E9C"/>
    <w:rsid w:val="00075A13"/>
    <w:rsid w:val="00076198"/>
    <w:rsid w:val="00076D54"/>
    <w:rsid w:val="00077403"/>
    <w:rsid w:val="000779E5"/>
    <w:rsid w:val="00077D95"/>
    <w:rsid w:val="00080D91"/>
    <w:rsid w:val="000814F4"/>
    <w:rsid w:val="0008166A"/>
    <w:rsid w:val="000816D8"/>
    <w:rsid w:val="00081CA4"/>
    <w:rsid w:val="00082309"/>
    <w:rsid w:val="0008240C"/>
    <w:rsid w:val="0008336E"/>
    <w:rsid w:val="0008357F"/>
    <w:rsid w:val="00083805"/>
    <w:rsid w:val="00084A8B"/>
    <w:rsid w:val="00084E11"/>
    <w:rsid w:val="000850DD"/>
    <w:rsid w:val="00085E13"/>
    <w:rsid w:val="00086B40"/>
    <w:rsid w:val="00087181"/>
    <w:rsid w:val="0008751F"/>
    <w:rsid w:val="0008798F"/>
    <w:rsid w:val="00087E13"/>
    <w:rsid w:val="000903D9"/>
    <w:rsid w:val="00091539"/>
    <w:rsid w:val="0009194D"/>
    <w:rsid w:val="000924CB"/>
    <w:rsid w:val="000927EE"/>
    <w:rsid w:val="00092F7A"/>
    <w:rsid w:val="0009331F"/>
    <w:rsid w:val="000933A4"/>
    <w:rsid w:val="00093431"/>
    <w:rsid w:val="0009378E"/>
    <w:rsid w:val="00094CEA"/>
    <w:rsid w:val="000955EB"/>
    <w:rsid w:val="000956DA"/>
    <w:rsid w:val="00095B58"/>
    <w:rsid w:val="00095C07"/>
    <w:rsid w:val="00096705"/>
    <w:rsid w:val="00096DD0"/>
    <w:rsid w:val="00097A7D"/>
    <w:rsid w:val="000A07C0"/>
    <w:rsid w:val="000A104A"/>
    <w:rsid w:val="000A1241"/>
    <w:rsid w:val="000A1821"/>
    <w:rsid w:val="000A1AAC"/>
    <w:rsid w:val="000A1D9F"/>
    <w:rsid w:val="000A2B48"/>
    <w:rsid w:val="000A3563"/>
    <w:rsid w:val="000A35E6"/>
    <w:rsid w:val="000A3E07"/>
    <w:rsid w:val="000A3EEB"/>
    <w:rsid w:val="000A3F8D"/>
    <w:rsid w:val="000A465D"/>
    <w:rsid w:val="000A5064"/>
    <w:rsid w:val="000A56A4"/>
    <w:rsid w:val="000A5DBB"/>
    <w:rsid w:val="000A615A"/>
    <w:rsid w:val="000A65C7"/>
    <w:rsid w:val="000A68E0"/>
    <w:rsid w:val="000A6B60"/>
    <w:rsid w:val="000A6F8F"/>
    <w:rsid w:val="000A784A"/>
    <w:rsid w:val="000B0CB7"/>
    <w:rsid w:val="000B1173"/>
    <w:rsid w:val="000B1C71"/>
    <w:rsid w:val="000B224B"/>
    <w:rsid w:val="000B25CD"/>
    <w:rsid w:val="000B2916"/>
    <w:rsid w:val="000B345F"/>
    <w:rsid w:val="000B3922"/>
    <w:rsid w:val="000B3AE0"/>
    <w:rsid w:val="000B3B14"/>
    <w:rsid w:val="000B4C45"/>
    <w:rsid w:val="000B4F18"/>
    <w:rsid w:val="000B511B"/>
    <w:rsid w:val="000B5730"/>
    <w:rsid w:val="000B5F97"/>
    <w:rsid w:val="000B7BC1"/>
    <w:rsid w:val="000B7CC0"/>
    <w:rsid w:val="000B7CD8"/>
    <w:rsid w:val="000C05CA"/>
    <w:rsid w:val="000C1CA1"/>
    <w:rsid w:val="000C22C5"/>
    <w:rsid w:val="000C3CEE"/>
    <w:rsid w:val="000C44A1"/>
    <w:rsid w:val="000C4734"/>
    <w:rsid w:val="000C5D85"/>
    <w:rsid w:val="000C6458"/>
    <w:rsid w:val="000C677F"/>
    <w:rsid w:val="000C6A6F"/>
    <w:rsid w:val="000C6CEC"/>
    <w:rsid w:val="000C6FB1"/>
    <w:rsid w:val="000C705C"/>
    <w:rsid w:val="000C7720"/>
    <w:rsid w:val="000C7759"/>
    <w:rsid w:val="000C78F7"/>
    <w:rsid w:val="000C7D39"/>
    <w:rsid w:val="000D02AF"/>
    <w:rsid w:val="000D034D"/>
    <w:rsid w:val="000D050F"/>
    <w:rsid w:val="000D0BCE"/>
    <w:rsid w:val="000D0DB7"/>
    <w:rsid w:val="000D3A0D"/>
    <w:rsid w:val="000D4372"/>
    <w:rsid w:val="000D5502"/>
    <w:rsid w:val="000D5CD9"/>
    <w:rsid w:val="000D6111"/>
    <w:rsid w:val="000D6AB4"/>
    <w:rsid w:val="000D6F86"/>
    <w:rsid w:val="000D6FF6"/>
    <w:rsid w:val="000D71B3"/>
    <w:rsid w:val="000D75CE"/>
    <w:rsid w:val="000D7888"/>
    <w:rsid w:val="000D7C7B"/>
    <w:rsid w:val="000D7C8D"/>
    <w:rsid w:val="000E0452"/>
    <w:rsid w:val="000E0B3E"/>
    <w:rsid w:val="000E111C"/>
    <w:rsid w:val="000E11F6"/>
    <w:rsid w:val="000E2041"/>
    <w:rsid w:val="000E23A3"/>
    <w:rsid w:val="000E2553"/>
    <w:rsid w:val="000E3324"/>
    <w:rsid w:val="000E35CE"/>
    <w:rsid w:val="000E362E"/>
    <w:rsid w:val="000E36C6"/>
    <w:rsid w:val="000E3920"/>
    <w:rsid w:val="000E3C89"/>
    <w:rsid w:val="000E3CFA"/>
    <w:rsid w:val="000E4F3B"/>
    <w:rsid w:val="000E5A9E"/>
    <w:rsid w:val="000E65FB"/>
    <w:rsid w:val="000E75A8"/>
    <w:rsid w:val="000E76E3"/>
    <w:rsid w:val="000F09DF"/>
    <w:rsid w:val="000F0A37"/>
    <w:rsid w:val="000F1151"/>
    <w:rsid w:val="000F1561"/>
    <w:rsid w:val="000F16BD"/>
    <w:rsid w:val="000F1866"/>
    <w:rsid w:val="000F1B48"/>
    <w:rsid w:val="000F2527"/>
    <w:rsid w:val="000F2A4F"/>
    <w:rsid w:val="000F2E61"/>
    <w:rsid w:val="000F32DB"/>
    <w:rsid w:val="000F3994"/>
    <w:rsid w:val="000F3D7D"/>
    <w:rsid w:val="000F496A"/>
    <w:rsid w:val="000F510E"/>
    <w:rsid w:val="000F5D1E"/>
    <w:rsid w:val="000F6441"/>
    <w:rsid w:val="000F7744"/>
    <w:rsid w:val="000F7B23"/>
    <w:rsid w:val="000F7E01"/>
    <w:rsid w:val="000F7F42"/>
    <w:rsid w:val="0010097D"/>
    <w:rsid w:val="00101318"/>
    <w:rsid w:val="00101385"/>
    <w:rsid w:val="00101694"/>
    <w:rsid w:val="00102145"/>
    <w:rsid w:val="001030D0"/>
    <w:rsid w:val="001034E5"/>
    <w:rsid w:val="00103B74"/>
    <w:rsid w:val="001040FB"/>
    <w:rsid w:val="001047E7"/>
    <w:rsid w:val="00104D75"/>
    <w:rsid w:val="00105840"/>
    <w:rsid w:val="00106473"/>
    <w:rsid w:val="0010664E"/>
    <w:rsid w:val="001067FC"/>
    <w:rsid w:val="00107422"/>
    <w:rsid w:val="00107C9E"/>
    <w:rsid w:val="00107D24"/>
    <w:rsid w:val="001100FC"/>
    <w:rsid w:val="0011096A"/>
    <w:rsid w:val="00110F12"/>
    <w:rsid w:val="0011157E"/>
    <w:rsid w:val="00111585"/>
    <w:rsid w:val="00112B45"/>
    <w:rsid w:val="001131A9"/>
    <w:rsid w:val="001138C1"/>
    <w:rsid w:val="001138ED"/>
    <w:rsid w:val="00113B53"/>
    <w:rsid w:val="00113F03"/>
    <w:rsid w:val="00114324"/>
    <w:rsid w:val="00114DDE"/>
    <w:rsid w:val="001157E1"/>
    <w:rsid w:val="001162F1"/>
    <w:rsid w:val="0011783D"/>
    <w:rsid w:val="00117908"/>
    <w:rsid w:val="001209FE"/>
    <w:rsid w:val="00120CF6"/>
    <w:rsid w:val="00121591"/>
    <w:rsid w:val="00122156"/>
    <w:rsid w:val="001224A5"/>
    <w:rsid w:val="001232AD"/>
    <w:rsid w:val="001239BA"/>
    <w:rsid w:val="00123CC1"/>
    <w:rsid w:val="00123E3E"/>
    <w:rsid w:val="00123F5F"/>
    <w:rsid w:val="00124D87"/>
    <w:rsid w:val="00125FA3"/>
    <w:rsid w:val="001264A3"/>
    <w:rsid w:val="001272EA"/>
    <w:rsid w:val="00127F18"/>
    <w:rsid w:val="00130743"/>
    <w:rsid w:val="00130B36"/>
    <w:rsid w:val="00130FD0"/>
    <w:rsid w:val="001323BB"/>
    <w:rsid w:val="001323F3"/>
    <w:rsid w:val="001325BC"/>
    <w:rsid w:val="001325E0"/>
    <w:rsid w:val="00132AB0"/>
    <w:rsid w:val="00133C1D"/>
    <w:rsid w:val="00133F7E"/>
    <w:rsid w:val="0013546E"/>
    <w:rsid w:val="00135C3B"/>
    <w:rsid w:val="00135D86"/>
    <w:rsid w:val="00135E4F"/>
    <w:rsid w:val="00136B21"/>
    <w:rsid w:val="0013793C"/>
    <w:rsid w:val="00137C14"/>
    <w:rsid w:val="001407B2"/>
    <w:rsid w:val="00141236"/>
    <w:rsid w:val="00141910"/>
    <w:rsid w:val="00141AE9"/>
    <w:rsid w:val="00141E81"/>
    <w:rsid w:val="00143CB7"/>
    <w:rsid w:val="001449F3"/>
    <w:rsid w:val="00145211"/>
    <w:rsid w:val="001455E8"/>
    <w:rsid w:val="00145D2B"/>
    <w:rsid w:val="00146ADE"/>
    <w:rsid w:val="00146BEA"/>
    <w:rsid w:val="00146CC4"/>
    <w:rsid w:val="0014753A"/>
    <w:rsid w:val="001477FB"/>
    <w:rsid w:val="00150645"/>
    <w:rsid w:val="00150B41"/>
    <w:rsid w:val="00150ED0"/>
    <w:rsid w:val="00150F46"/>
    <w:rsid w:val="0015115B"/>
    <w:rsid w:val="00151435"/>
    <w:rsid w:val="00151812"/>
    <w:rsid w:val="00151E8B"/>
    <w:rsid w:val="00152517"/>
    <w:rsid w:val="001527E9"/>
    <w:rsid w:val="00152949"/>
    <w:rsid w:val="001539A4"/>
    <w:rsid w:val="00153C14"/>
    <w:rsid w:val="00153FFB"/>
    <w:rsid w:val="0015571D"/>
    <w:rsid w:val="00155E12"/>
    <w:rsid w:val="00156405"/>
    <w:rsid w:val="00156636"/>
    <w:rsid w:val="00156C45"/>
    <w:rsid w:val="00156FF0"/>
    <w:rsid w:val="001574FC"/>
    <w:rsid w:val="001579D6"/>
    <w:rsid w:val="00157C88"/>
    <w:rsid w:val="0016001C"/>
    <w:rsid w:val="0016023A"/>
    <w:rsid w:val="00160DA4"/>
    <w:rsid w:val="0016106B"/>
    <w:rsid w:val="0016195F"/>
    <w:rsid w:val="00161A5D"/>
    <w:rsid w:val="00161ED0"/>
    <w:rsid w:val="00162211"/>
    <w:rsid w:val="00162D1E"/>
    <w:rsid w:val="00163787"/>
    <w:rsid w:val="0016481F"/>
    <w:rsid w:val="00166084"/>
    <w:rsid w:val="00166B8A"/>
    <w:rsid w:val="00167DC8"/>
    <w:rsid w:val="00170949"/>
    <w:rsid w:val="001714C5"/>
    <w:rsid w:val="00171BEB"/>
    <w:rsid w:val="001721DA"/>
    <w:rsid w:val="00172866"/>
    <w:rsid w:val="00172B57"/>
    <w:rsid w:val="00173199"/>
    <w:rsid w:val="00173632"/>
    <w:rsid w:val="001736F5"/>
    <w:rsid w:val="001739C1"/>
    <w:rsid w:val="00173E42"/>
    <w:rsid w:val="00174419"/>
    <w:rsid w:val="00174954"/>
    <w:rsid w:val="001753DE"/>
    <w:rsid w:val="00175412"/>
    <w:rsid w:val="0017559A"/>
    <w:rsid w:val="00175A0F"/>
    <w:rsid w:val="00175C7E"/>
    <w:rsid w:val="00176007"/>
    <w:rsid w:val="001767B7"/>
    <w:rsid w:val="00176D11"/>
    <w:rsid w:val="0017727D"/>
    <w:rsid w:val="001778AF"/>
    <w:rsid w:val="00177AAB"/>
    <w:rsid w:val="00180009"/>
    <w:rsid w:val="00180397"/>
    <w:rsid w:val="00180458"/>
    <w:rsid w:val="0018063E"/>
    <w:rsid w:val="00181317"/>
    <w:rsid w:val="00181413"/>
    <w:rsid w:val="001819C2"/>
    <w:rsid w:val="00181D19"/>
    <w:rsid w:val="00182039"/>
    <w:rsid w:val="00182177"/>
    <w:rsid w:val="0018386D"/>
    <w:rsid w:val="00183EA2"/>
    <w:rsid w:val="00183EDC"/>
    <w:rsid w:val="0018414F"/>
    <w:rsid w:val="0018494D"/>
    <w:rsid w:val="00184B6E"/>
    <w:rsid w:val="00184F93"/>
    <w:rsid w:val="00185380"/>
    <w:rsid w:val="00185686"/>
    <w:rsid w:val="0018596B"/>
    <w:rsid w:val="00185AED"/>
    <w:rsid w:val="00185B68"/>
    <w:rsid w:val="0018678C"/>
    <w:rsid w:val="00186880"/>
    <w:rsid w:val="00186896"/>
    <w:rsid w:val="00186D6C"/>
    <w:rsid w:val="001876E7"/>
    <w:rsid w:val="001877A6"/>
    <w:rsid w:val="00187ABE"/>
    <w:rsid w:val="00190470"/>
    <w:rsid w:val="00190FB5"/>
    <w:rsid w:val="0019199A"/>
    <w:rsid w:val="001925C4"/>
    <w:rsid w:val="00192B83"/>
    <w:rsid w:val="00194140"/>
    <w:rsid w:val="00194F21"/>
    <w:rsid w:val="00195729"/>
    <w:rsid w:val="00196AF7"/>
    <w:rsid w:val="00196ED7"/>
    <w:rsid w:val="001974C3"/>
    <w:rsid w:val="00197EFC"/>
    <w:rsid w:val="00197F0B"/>
    <w:rsid w:val="001A0008"/>
    <w:rsid w:val="001A00AC"/>
    <w:rsid w:val="001A033D"/>
    <w:rsid w:val="001A0954"/>
    <w:rsid w:val="001A09BF"/>
    <w:rsid w:val="001A142B"/>
    <w:rsid w:val="001A205E"/>
    <w:rsid w:val="001A34FB"/>
    <w:rsid w:val="001A385B"/>
    <w:rsid w:val="001A4421"/>
    <w:rsid w:val="001A4D2C"/>
    <w:rsid w:val="001A59B7"/>
    <w:rsid w:val="001A5AF2"/>
    <w:rsid w:val="001A6AF2"/>
    <w:rsid w:val="001A6C83"/>
    <w:rsid w:val="001A6E91"/>
    <w:rsid w:val="001A6ED4"/>
    <w:rsid w:val="001A7548"/>
    <w:rsid w:val="001A7C42"/>
    <w:rsid w:val="001A7F31"/>
    <w:rsid w:val="001B0271"/>
    <w:rsid w:val="001B0592"/>
    <w:rsid w:val="001B07F9"/>
    <w:rsid w:val="001B08F3"/>
    <w:rsid w:val="001B0A6D"/>
    <w:rsid w:val="001B0F68"/>
    <w:rsid w:val="001B1216"/>
    <w:rsid w:val="001B2446"/>
    <w:rsid w:val="001B303E"/>
    <w:rsid w:val="001B3043"/>
    <w:rsid w:val="001B3370"/>
    <w:rsid w:val="001B3C11"/>
    <w:rsid w:val="001B4CAC"/>
    <w:rsid w:val="001B5ED4"/>
    <w:rsid w:val="001B6DF1"/>
    <w:rsid w:val="001B6DF7"/>
    <w:rsid w:val="001C002B"/>
    <w:rsid w:val="001C286F"/>
    <w:rsid w:val="001C293C"/>
    <w:rsid w:val="001C3B9C"/>
    <w:rsid w:val="001C45A0"/>
    <w:rsid w:val="001C4654"/>
    <w:rsid w:val="001C4719"/>
    <w:rsid w:val="001C4FFF"/>
    <w:rsid w:val="001C5602"/>
    <w:rsid w:val="001C59DF"/>
    <w:rsid w:val="001C5D01"/>
    <w:rsid w:val="001C6185"/>
    <w:rsid w:val="001C78E9"/>
    <w:rsid w:val="001C7BA7"/>
    <w:rsid w:val="001D0653"/>
    <w:rsid w:val="001D09FC"/>
    <w:rsid w:val="001D10C0"/>
    <w:rsid w:val="001D15B0"/>
    <w:rsid w:val="001D1869"/>
    <w:rsid w:val="001D1C2E"/>
    <w:rsid w:val="001D21FC"/>
    <w:rsid w:val="001D27E8"/>
    <w:rsid w:val="001D2947"/>
    <w:rsid w:val="001D2988"/>
    <w:rsid w:val="001D370D"/>
    <w:rsid w:val="001D56C6"/>
    <w:rsid w:val="001D5B81"/>
    <w:rsid w:val="001D5F17"/>
    <w:rsid w:val="001D6207"/>
    <w:rsid w:val="001D679D"/>
    <w:rsid w:val="001D6819"/>
    <w:rsid w:val="001D75F9"/>
    <w:rsid w:val="001E005C"/>
    <w:rsid w:val="001E0956"/>
    <w:rsid w:val="001E2353"/>
    <w:rsid w:val="001E2BBF"/>
    <w:rsid w:val="001E4813"/>
    <w:rsid w:val="001E55E4"/>
    <w:rsid w:val="001E57C2"/>
    <w:rsid w:val="001E6D97"/>
    <w:rsid w:val="001E7D02"/>
    <w:rsid w:val="001E7D24"/>
    <w:rsid w:val="001E7F11"/>
    <w:rsid w:val="001F03BC"/>
    <w:rsid w:val="001F0D33"/>
    <w:rsid w:val="001F0F68"/>
    <w:rsid w:val="001F13DB"/>
    <w:rsid w:val="001F143C"/>
    <w:rsid w:val="001F18EF"/>
    <w:rsid w:val="001F1CDF"/>
    <w:rsid w:val="001F3010"/>
    <w:rsid w:val="001F32E3"/>
    <w:rsid w:val="001F4118"/>
    <w:rsid w:val="001F47C6"/>
    <w:rsid w:val="001F4BC7"/>
    <w:rsid w:val="001F500B"/>
    <w:rsid w:val="001F53F0"/>
    <w:rsid w:val="001F581C"/>
    <w:rsid w:val="001F6C70"/>
    <w:rsid w:val="001F71BD"/>
    <w:rsid w:val="001F76AD"/>
    <w:rsid w:val="001F7A2B"/>
    <w:rsid w:val="002001C2"/>
    <w:rsid w:val="00200577"/>
    <w:rsid w:val="00200745"/>
    <w:rsid w:val="00200EDE"/>
    <w:rsid w:val="00200F05"/>
    <w:rsid w:val="002016FC"/>
    <w:rsid w:val="002018CE"/>
    <w:rsid w:val="0020191F"/>
    <w:rsid w:val="00201A1E"/>
    <w:rsid w:val="00201ED6"/>
    <w:rsid w:val="00202395"/>
    <w:rsid w:val="002026B0"/>
    <w:rsid w:val="00203442"/>
    <w:rsid w:val="00203B5A"/>
    <w:rsid w:val="00204693"/>
    <w:rsid w:val="00204A13"/>
    <w:rsid w:val="00205B21"/>
    <w:rsid w:val="00206014"/>
    <w:rsid w:val="00206255"/>
    <w:rsid w:val="00206B48"/>
    <w:rsid w:val="00207135"/>
    <w:rsid w:val="00207656"/>
    <w:rsid w:val="0021095A"/>
    <w:rsid w:val="00210AFD"/>
    <w:rsid w:val="002113BB"/>
    <w:rsid w:val="00211647"/>
    <w:rsid w:val="002118DB"/>
    <w:rsid w:val="00211A69"/>
    <w:rsid w:val="00211DD3"/>
    <w:rsid w:val="00211E4A"/>
    <w:rsid w:val="002123F7"/>
    <w:rsid w:val="002129E4"/>
    <w:rsid w:val="002134BB"/>
    <w:rsid w:val="00213A2E"/>
    <w:rsid w:val="00214347"/>
    <w:rsid w:val="00214511"/>
    <w:rsid w:val="00214796"/>
    <w:rsid w:val="00214849"/>
    <w:rsid w:val="002154A7"/>
    <w:rsid w:val="00215FB9"/>
    <w:rsid w:val="002166AE"/>
    <w:rsid w:val="00216B5C"/>
    <w:rsid w:val="00216CFE"/>
    <w:rsid w:val="00217F4B"/>
    <w:rsid w:val="00220294"/>
    <w:rsid w:val="00220879"/>
    <w:rsid w:val="002212C2"/>
    <w:rsid w:val="00221504"/>
    <w:rsid w:val="00221B15"/>
    <w:rsid w:val="00221D3F"/>
    <w:rsid w:val="00221D6B"/>
    <w:rsid w:val="00221EB8"/>
    <w:rsid w:val="00221ECA"/>
    <w:rsid w:val="00222A28"/>
    <w:rsid w:val="00223898"/>
    <w:rsid w:val="00224F56"/>
    <w:rsid w:val="00225162"/>
    <w:rsid w:val="00225AAA"/>
    <w:rsid w:val="0022616F"/>
    <w:rsid w:val="00226422"/>
    <w:rsid w:val="0022665F"/>
    <w:rsid w:val="00226A18"/>
    <w:rsid w:val="002272AA"/>
    <w:rsid w:val="00227A78"/>
    <w:rsid w:val="00230801"/>
    <w:rsid w:val="00230D3E"/>
    <w:rsid w:val="00231241"/>
    <w:rsid w:val="00233722"/>
    <w:rsid w:val="00234B46"/>
    <w:rsid w:val="00235E0B"/>
    <w:rsid w:val="002361D1"/>
    <w:rsid w:val="00236300"/>
    <w:rsid w:val="002365B4"/>
    <w:rsid w:val="0023695D"/>
    <w:rsid w:val="00236DC8"/>
    <w:rsid w:val="00237A2E"/>
    <w:rsid w:val="00240032"/>
    <w:rsid w:val="00240670"/>
    <w:rsid w:val="0024083C"/>
    <w:rsid w:val="00240FEE"/>
    <w:rsid w:val="00241D7D"/>
    <w:rsid w:val="002422E8"/>
    <w:rsid w:val="002422F4"/>
    <w:rsid w:val="002428B8"/>
    <w:rsid w:val="002428E4"/>
    <w:rsid w:val="00243EBC"/>
    <w:rsid w:val="00243F4F"/>
    <w:rsid w:val="0024486F"/>
    <w:rsid w:val="002448AD"/>
    <w:rsid w:val="0024495B"/>
    <w:rsid w:val="00245B0B"/>
    <w:rsid w:val="00245FA8"/>
    <w:rsid w:val="002461DF"/>
    <w:rsid w:val="00246240"/>
    <w:rsid w:val="00247FBE"/>
    <w:rsid w:val="0025021A"/>
    <w:rsid w:val="00250346"/>
    <w:rsid w:val="00250B34"/>
    <w:rsid w:val="002515FC"/>
    <w:rsid w:val="00251C66"/>
    <w:rsid w:val="00251FD6"/>
    <w:rsid w:val="00252A67"/>
    <w:rsid w:val="00253F20"/>
    <w:rsid w:val="00253F9B"/>
    <w:rsid w:val="0025409E"/>
    <w:rsid w:val="00254639"/>
    <w:rsid w:val="00254641"/>
    <w:rsid w:val="002549AC"/>
    <w:rsid w:val="00254A3B"/>
    <w:rsid w:val="00255ADC"/>
    <w:rsid w:val="00255D81"/>
    <w:rsid w:val="00255E57"/>
    <w:rsid w:val="00256BF6"/>
    <w:rsid w:val="00257351"/>
    <w:rsid w:val="0025799F"/>
    <w:rsid w:val="002600BC"/>
    <w:rsid w:val="00260369"/>
    <w:rsid w:val="0026188A"/>
    <w:rsid w:val="00261A46"/>
    <w:rsid w:val="00261DCD"/>
    <w:rsid w:val="00262D42"/>
    <w:rsid w:val="0026427A"/>
    <w:rsid w:val="00264538"/>
    <w:rsid w:val="0026453F"/>
    <w:rsid w:val="00264AEA"/>
    <w:rsid w:val="00264ECC"/>
    <w:rsid w:val="00266622"/>
    <w:rsid w:val="002700F9"/>
    <w:rsid w:val="00270294"/>
    <w:rsid w:val="00270499"/>
    <w:rsid w:val="00271D40"/>
    <w:rsid w:val="00272027"/>
    <w:rsid w:val="00272FA9"/>
    <w:rsid w:val="00273697"/>
    <w:rsid w:val="00273793"/>
    <w:rsid w:val="00274519"/>
    <w:rsid w:val="00274818"/>
    <w:rsid w:val="00274A92"/>
    <w:rsid w:val="0027550B"/>
    <w:rsid w:val="0027565E"/>
    <w:rsid w:val="00275967"/>
    <w:rsid w:val="00275A06"/>
    <w:rsid w:val="00275A52"/>
    <w:rsid w:val="00275E73"/>
    <w:rsid w:val="00276376"/>
    <w:rsid w:val="0027648F"/>
    <w:rsid w:val="00276D4D"/>
    <w:rsid w:val="0027718D"/>
    <w:rsid w:val="002801CD"/>
    <w:rsid w:val="00280248"/>
    <w:rsid w:val="002804B3"/>
    <w:rsid w:val="00280A40"/>
    <w:rsid w:val="00280CA3"/>
    <w:rsid w:val="00280F43"/>
    <w:rsid w:val="00281023"/>
    <w:rsid w:val="00281B6E"/>
    <w:rsid w:val="0028229E"/>
    <w:rsid w:val="0028255D"/>
    <w:rsid w:val="00283033"/>
    <w:rsid w:val="0028340F"/>
    <w:rsid w:val="002836EA"/>
    <w:rsid w:val="00284359"/>
    <w:rsid w:val="00284484"/>
    <w:rsid w:val="002845E7"/>
    <w:rsid w:val="002853F9"/>
    <w:rsid w:val="00285E39"/>
    <w:rsid w:val="00286AE2"/>
    <w:rsid w:val="00287073"/>
    <w:rsid w:val="0028716F"/>
    <w:rsid w:val="002872E2"/>
    <w:rsid w:val="002879F6"/>
    <w:rsid w:val="00287BA7"/>
    <w:rsid w:val="00287BAA"/>
    <w:rsid w:val="0029012A"/>
    <w:rsid w:val="0029090B"/>
    <w:rsid w:val="00290947"/>
    <w:rsid w:val="002909E0"/>
    <w:rsid w:val="00290A27"/>
    <w:rsid w:val="002924E6"/>
    <w:rsid w:val="00292975"/>
    <w:rsid w:val="00292C60"/>
    <w:rsid w:val="00293D98"/>
    <w:rsid w:val="00294A72"/>
    <w:rsid w:val="00294A7C"/>
    <w:rsid w:val="00294B05"/>
    <w:rsid w:val="002952DE"/>
    <w:rsid w:val="00295676"/>
    <w:rsid w:val="00295CD7"/>
    <w:rsid w:val="00295EB4"/>
    <w:rsid w:val="00296ADA"/>
    <w:rsid w:val="002971DF"/>
    <w:rsid w:val="002973FB"/>
    <w:rsid w:val="002975D2"/>
    <w:rsid w:val="002976F1"/>
    <w:rsid w:val="002A044D"/>
    <w:rsid w:val="002A27DA"/>
    <w:rsid w:val="002A363E"/>
    <w:rsid w:val="002A36E3"/>
    <w:rsid w:val="002A3A91"/>
    <w:rsid w:val="002A4F83"/>
    <w:rsid w:val="002A5BDD"/>
    <w:rsid w:val="002A5C20"/>
    <w:rsid w:val="002A5FE3"/>
    <w:rsid w:val="002A5FFB"/>
    <w:rsid w:val="002A60D2"/>
    <w:rsid w:val="002A68C7"/>
    <w:rsid w:val="002A7628"/>
    <w:rsid w:val="002A78F2"/>
    <w:rsid w:val="002B0EC1"/>
    <w:rsid w:val="002B1982"/>
    <w:rsid w:val="002B1E4B"/>
    <w:rsid w:val="002B247D"/>
    <w:rsid w:val="002B3B7E"/>
    <w:rsid w:val="002B4E76"/>
    <w:rsid w:val="002B5662"/>
    <w:rsid w:val="002B5A8A"/>
    <w:rsid w:val="002B5FF8"/>
    <w:rsid w:val="002B7679"/>
    <w:rsid w:val="002B7EC8"/>
    <w:rsid w:val="002C0114"/>
    <w:rsid w:val="002C0359"/>
    <w:rsid w:val="002C0643"/>
    <w:rsid w:val="002C0953"/>
    <w:rsid w:val="002C0C48"/>
    <w:rsid w:val="002C0F38"/>
    <w:rsid w:val="002C1339"/>
    <w:rsid w:val="002C15C0"/>
    <w:rsid w:val="002C1AA8"/>
    <w:rsid w:val="002C2195"/>
    <w:rsid w:val="002C2D8F"/>
    <w:rsid w:val="002C2F5C"/>
    <w:rsid w:val="002C3345"/>
    <w:rsid w:val="002C36B9"/>
    <w:rsid w:val="002C3A2D"/>
    <w:rsid w:val="002C3C42"/>
    <w:rsid w:val="002C4E14"/>
    <w:rsid w:val="002C5262"/>
    <w:rsid w:val="002C54A0"/>
    <w:rsid w:val="002C592B"/>
    <w:rsid w:val="002C5EC0"/>
    <w:rsid w:val="002C5EE7"/>
    <w:rsid w:val="002C6294"/>
    <w:rsid w:val="002C6C06"/>
    <w:rsid w:val="002C7530"/>
    <w:rsid w:val="002C7903"/>
    <w:rsid w:val="002C7A95"/>
    <w:rsid w:val="002C7A9A"/>
    <w:rsid w:val="002C7E51"/>
    <w:rsid w:val="002D0274"/>
    <w:rsid w:val="002D0C50"/>
    <w:rsid w:val="002D19E8"/>
    <w:rsid w:val="002D1E2C"/>
    <w:rsid w:val="002D2DF9"/>
    <w:rsid w:val="002D3089"/>
    <w:rsid w:val="002D3212"/>
    <w:rsid w:val="002D440C"/>
    <w:rsid w:val="002D4E0E"/>
    <w:rsid w:val="002D4EDF"/>
    <w:rsid w:val="002D5182"/>
    <w:rsid w:val="002D54A0"/>
    <w:rsid w:val="002D5D80"/>
    <w:rsid w:val="002D66C4"/>
    <w:rsid w:val="002D6E11"/>
    <w:rsid w:val="002D727D"/>
    <w:rsid w:val="002D7D07"/>
    <w:rsid w:val="002E04B1"/>
    <w:rsid w:val="002E08B7"/>
    <w:rsid w:val="002E191F"/>
    <w:rsid w:val="002E19CF"/>
    <w:rsid w:val="002E1BE4"/>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DB5"/>
    <w:rsid w:val="002F0EFF"/>
    <w:rsid w:val="002F12CB"/>
    <w:rsid w:val="002F19A6"/>
    <w:rsid w:val="002F21B2"/>
    <w:rsid w:val="002F2AA5"/>
    <w:rsid w:val="002F2E0E"/>
    <w:rsid w:val="002F2E26"/>
    <w:rsid w:val="002F3047"/>
    <w:rsid w:val="002F32B3"/>
    <w:rsid w:val="002F37BC"/>
    <w:rsid w:val="002F3953"/>
    <w:rsid w:val="002F4090"/>
    <w:rsid w:val="002F40EA"/>
    <w:rsid w:val="002F4A85"/>
    <w:rsid w:val="002F4FF1"/>
    <w:rsid w:val="002F5948"/>
    <w:rsid w:val="002F5F76"/>
    <w:rsid w:val="002F6083"/>
    <w:rsid w:val="002F6657"/>
    <w:rsid w:val="002F6D94"/>
    <w:rsid w:val="002F6E32"/>
    <w:rsid w:val="002F70D9"/>
    <w:rsid w:val="002F72A5"/>
    <w:rsid w:val="002F752C"/>
    <w:rsid w:val="002F753E"/>
    <w:rsid w:val="002F78C5"/>
    <w:rsid w:val="002F7D71"/>
    <w:rsid w:val="002F7E6C"/>
    <w:rsid w:val="003002C1"/>
    <w:rsid w:val="0030034E"/>
    <w:rsid w:val="00300CA8"/>
    <w:rsid w:val="00301920"/>
    <w:rsid w:val="00301A20"/>
    <w:rsid w:val="00301E66"/>
    <w:rsid w:val="00301EBA"/>
    <w:rsid w:val="00302297"/>
    <w:rsid w:val="0030254A"/>
    <w:rsid w:val="0030288C"/>
    <w:rsid w:val="00302D29"/>
    <w:rsid w:val="00302E8D"/>
    <w:rsid w:val="00303112"/>
    <w:rsid w:val="00304251"/>
    <w:rsid w:val="003044F2"/>
    <w:rsid w:val="00304F45"/>
    <w:rsid w:val="00305232"/>
    <w:rsid w:val="003058E7"/>
    <w:rsid w:val="00305B44"/>
    <w:rsid w:val="003060B9"/>
    <w:rsid w:val="003061C0"/>
    <w:rsid w:val="003064DB"/>
    <w:rsid w:val="00306A8A"/>
    <w:rsid w:val="00306E25"/>
    <w:rsid w:val="003073CE"/>
    <w:rsid w:val="00307ABB"/>
    <w:rsid w:val="0031036F"/>
    <w:rsid w:val="00310E04"/>
    <w:rsid w:val="003112A1"/>
    <w:rsid w:val="003118D6"/>
    <w:rsid w:val="0031190E"/>
    <w:rsid w:val="00311CE7"/>
    <w:rsid w:val="00311D4E"/>
    <w:rsid w:val="00311E19"/>
    <w:rsid w:val="00312AFB"/>
    <w:rsid w:val="0031319B"/>
    <w:rsid w:val="0031456B"/>
    <w:rsid w:val="0031487E"/>
    <w:rsid w:val="00314D81"/>
    <w:rsid w:val="00314F74"/>
    <w:rsid w:val="00315642"/>
    <w:rsid w:val="003167C9"/>
    <w:rsid w:val="00316BD7"/>
    <w:rsid w:val="00316BEF"/>
    <w:rsid w:val="00316DF7"/>
    <w:rsid w:val="00316E94"/>
    <w:rsid w:val="00316F56"/>
    <w:rsid w:val="00317717"/>
    <w:rsid w:val="00317DB9"/>
    <w:rsid w:val="00320671"/>
    <w:rsid w:val="003206D3"/>
    <w:rsid w:val="00320FF5"/>
    <w:rsid w:val="00321311"/>
    <w:rsid w:val="0032179C"/>
    <w:rsid w:val="003226B8"/>
    <w:rsid w:val="00322C16"/>
    <w:rsid w:val="0032322F"/>
    <w:rsid w:val="00323DF7"/>
    <w:rsid w:val="003262E3"/>
    <w:rsid w:val="003272E1"/>
    <w:rsid w:val="00327581"/>
    <w:rsid w:val="00330077"/>
    <w:rsid w:val="00332079"/>
    <w:rsid w:val="00332909"/>
    <w:rsid w:val="003329FA"/>
    <w:rsid w:val="00332B5E"/>
    <w:rsid w:val="00332B7C"/>
    <w:rsid w:val="00333165"/>
    <w:rsid w:val="003333F2"/>
    <w:rsid w:val="003342A2"/>
    <w:rsid w:val="00334991"/>
    <w:rsid w:val="00335512"/>
    <w:rsid w:val="003356BB"/>
    <w:rsid w:val="00335BD8"/>
    <w:rsid w:val="00336B0D"/>
    <w:rsid w:val="00336F47"/>
    <w:rsid w:val="00337D9B"/>
    <w:rsid w:val="00337E11"/>
    <w:rsid w:val="00337E95"/>
    <w:rsid w:val="003407CF"/>
    <w:rsid w:val="00340B7D"/>
    <w:rsid w:val="00340D27"/>
    <w:rsid w:val="00341BD9"/>
    <w:rsid w:val="003420F8"/>
    <w:rsid w:val="00342119"/>
    <w:rsid w:val="003422C1"/>
    <w:rsid w:val="0034266A"/>
    <w:rsid w:val="00342D6F"/>
    <w:rsid w:val="00342F55"/>
    <w:rsid w:val="003438C8"/>
    <w:rsid w:val="00343CEB"/>
    <w:rsid w:val="0034419E"/>
    <w:rsid w:val="00344B90"/>
    <w:rsid w:val="00344DF4"/>
    <w:rsid w:val="00345398"/>
    <w:rsid w:val="00345676"/>
    <w:rsid w:val="00345854"/>
    <w:rsid w:val="00345961"/>
    <w:rsid w:val="00346531"/>
    <w:rsid w:val="003470B3"/>
    <w:rsid w:val="00347203"/>
    <w:rsid w:val="00347ADF"/>
    <w:rsid w:val="003500F0"/>
    <w:rsid w:val="003505A2"/>
    <w:rsid w:val="00350AF9"/>
    <w:rsid w:val="00351093"/>
    <w:rsid w:val="0035137A"/>
    <w:rsid w:val="00352912"/>
    <w:rsid w:val="0035535C"/>
    <w:rsid w:val="00355B61"/>
    <w:rsid w:val="00355EAD"/>
    <w:rsid w:val="00356027"/>
    <w:rsid w:val="00356254"/>
    <w:rsid w:val="003567F1"/>
    <w:rsid w:val="00356A2C"/>
    <w:rsid w:val="0035782E"/>
    <w:rsid w:val="00357A82"/>
    <w:rsid w:val="00357AD7"/>
    <w:rsid w:val="00357BF0"/>
    <w:rsid w:val="00357E2C"/>
    <w:rsid w:val="0036059A"/>
    <w:rsid w:val="00360AF8"/>
    <w:rsid w:val="00361437"/>
    <w:rsid w:val="003628A1"/>
    <w:rsid w:val="00362CFD"/>
    <w:rsid w:val="00362D44"/>
    <w:rsid w:val="003634FA"/>
    <w:rsid w:val="0036389E"/>
    <w:rsid w:val="00363FEA"/>
    <w:rsid w:val="00364C69"/>
    <w:rsid w:val="00364E56"/>
    <w:rsid w:val="00365ADC"/>
    <w:rsid w:val="00365F87"/>
    <w:rsid w:val="00365FBE"/>
    <w:rsid w:val="003665FD"/>
    <w:rsid w:val="0037113F"/>
    <w:rsid w:val="00371574"/>
    <w:rsid w:val="003716E9"/>
    <w:rsid w:val="00371F8D"/>
    <w:rsid w:val="00372287"/>
    <w:rsid w:val="003722AE"/>
    <w:rsid w:val="00372E11"/>
    <w:rsid w:val="00373AB5"/>
    <w:rsid w:val="00374580"/>
    <w:rsid w:val="003745E4"/>
    <w:rsid w:val="00375AB5"/>
    <w:rsid w:val="00375F10"/>
    <w:rsid w:val="003768F8"/>
    <w:rsid w:val="0037704B"/>
    <w:rsid w:val="003808AF"/>
    <w:rsid w:val="00380929"/>
    <w:rsid w:val="00380AF1"/>
    <w:rsid w:val="00381C52"/>
    <w:rsid w:val="00381F64"/>
    <w:rsid w:val="00381FB1"/>
    <w:rsid w:val="00382E22"/>
    <w:rsid w:val="00382F8D"/>
    <w:rsid w:val="00383036"/>
    <w:rsid w:val="003830A7"/>
    <w:rsid w:val="0038329B"/>
    <w:rsid w:val="00383493"/>
    <w:rsid w:val="00383773"/>
    <w:rsid w:val="003838C2"/>
    <w:rsid w:val="0038439F"/>
    <w:rsid w:val="0038470D"/>
    <w:rsid w:val="00384C44"/>
    <w:rsid w:val="00385608"/>
    <w:rsid w:val="00385664"/>
    <w:rsid w:val="003856C1"/>
    <w:rsid w:val="00385E05"/>
    <w:rsid w:val="00386FAF"/>
    <w:rsid w:val="00387B8F"/>
    <w:rsid w:val="00387BE6"/>
    <w:rsid w:val="00390137"/>
    <w:rsid w:val="0039046C"/>
    <w:rsid w:val="00391266"/>
    <w:rsid w:val="00391591"/>
    <w:rsid w:val="003916E7"/>
    <w:rsid w:val="00391742"/>
    <w:rsid w:val="003917E9"/>
    <w:rsid w:val="00391C66"/>
    <w:rsid w:val="00392899"/>
    <w:rsid w:val="00393855"/>
    <w:rsid w:val="00393994"/>
    <w:rsid w:val="003954C3"/>
    <w:rsid w:val="00395B1C"/>
    <w:rsid w:val="00396467"/>
    <w:rsid w:val="00396E56"/>
    <w:rsid w:val="003A03A6"/>
    <w:rsid w:val="003A0668"/>
    <w:rsid w:val="003A0EDC"/>
    <w:rsid w:val="003A0F4C"/>
    <w:rsid w:val="003A1212"/>
    <w:rsid w:val="003A169C"/>
    <w:rsid w:val="003A1809"/>
    <w:rsid w:val="003A20A6"/>
    <w:rsid w:val="003A2399"/>
    <w:rsid w:val="003A33A2"/>
    <w:rsid w:val="003A3C79"/>
    <w:rsid w:val="003A42AB"/>
    <w:rsid w:val="003A49F2"/>
    <w:rsid w:val="003A4F7F"/>
    <w:rsid w:val="003A6A71"/>
    <w:rsid w:val="003B0067"/>
    <w:rsid w:val="003B0EBE"/>
    <w:rsid w:val="003B0FB9"/>
    <w:rsid w:val="003B11B7"/>
    <w:rsid w:val="003B11CC"/>
    <w:rsid w:val="003B1762"/>
    <w:rsid w:val="003B1A07"/>
    <w:rsid w:val="003B1D1C"/>
    <w:rsid w:val="003B1E1F"/>
    <w:rsid w:val="003B2410"/>
    <w:rsid w:val="003B264D"/>
    <w:rsid w:val="003B26BC"/>
    <w:rsid w:val="003B2FB4"/>
    <w:rsid w:val="003B5B0D"/>
    <w:rsid w:val="003B5CD8"/>
    <w:rsid w:val="003B5FB2"/>
    <w:rsid w:val="003B62EA"/>
    <w:rsid w:val="003B6D6B"/>
    <w:rsid w:val="003B731D"/>
    <w:rsid w:val="003B73E6"/>
    <w:rsid w:val="003C0097"/>
    <w:rsid w:val="003C03D7"/>
    <w:rsid w:val="003C0C89"/>
    <w:rsid w:val="003C1353"/>
    <w:rsid w:val="003C173B"/>
    <w:rsid w:val="003C1822"/>
    <w:rsid w:val="003C1F11"/>
    <w:rsid w:val="003C24F1"/>
    <w:rsid w:val="003C2B88"/>
    <w:rsid w:val="003C3428"/>
    <w:rsid w:val="003C3F9C"/>
    <w:rsid w:val="003C4CCB"/>
    <w:rsid w:val="003C51EB"/>
    <w:rsid w:val="003C539D"/>
    <w:rsid w:val="003C5489"/>
    <w:rsid w:val="003C5AE2"/>
    <w:rsid w:val="003C60CA"/>
    <w:rsid w:val="003C6205"/>
    <w:rsid w:val="003C6206"/>
    <w:rsid w:val="003C6850"/>
    <w:rsid w:val="003C69E7"/>
    <w:rsid w:val="003C7BD8"/>
    <w:rsid w:val="003D0469"/>
    <w:rsid w:val="003D056D"/>
    <w:rsid w:val="003D1A0B"/>
    <w:rsid w:val="003D1B96"/>
    <w:rsid w:val="003D2251"/>
    <w:rsid w:val="003D22E1"/>
    <w:rsid w:val="003D268D"/>
    <w:rsid w:val="003D36EC"/>
    <w:rsid w:val="003D3841"/>
    <w:rsid w:val="003D432E"/>
    <w:rsid w:val="003D45E5"/>
    <w:rsid w:val="003D4B72"/>
    <w:rsid w:val="003D50C8"/>
    <w:rsid w:val="003D50CC"/>
    <w:rsid w:val="003D5B29"/>
    <w:rsid w:val="003D600C"/>
    <w:rsid w:val="003D6B47"/>
    <w:rsid w:val="003D6EB3"/>
    <w:rsid w:val="003D79B3"/>
    <w:rsid w:val="003D7A3D"/>
    <w:rsid w:val="003D7F48"/>
    <w:rsid w:val="003E0D63"/>
    <w:rsid w:val="003E0FD0"/>
    <w:rsid w:val="003E2006"/>
    <w:rsid w:val="003E28D9"/>
    <w:rsid w:val="003E2C41"/>
    <w:rsid w:val="003E3024"/>
    <w:rsid w:val="003E3150"/>
    <w:rsid w:val="003E368D"/>
    <w:rsid w:val="003E3DF7"/>
    <w:rsid w:val="003E40A9"/>
    <w:rsid w:val="003E44B4"/>
    <w:rsid w:val="003E4CAA"/>
    <w:rsid w:val="003E4EDD"/>
    <w:rsid w:val="003E5341"/>
    <w:rsid w:val="003E63D5"/>
    <w:rsid w:val="003E6B0E"/>
    <w:rsid w:val="003E78C4"/>
    <w:rsid w:val="003E78E3"/>
    <w:rsid w:val="003F0063"/>
    <w:rsid w:val="003F0406"/>
    <w:rsid w:val="003F0F91"/>
    <w:rsid w:val="003F121A"/>
    <w:rsid w:val="003F1262"/>
    <w:rsid w:val="003F12AC"/>
    <w:rsid w:val="003F21BF"/>
    <w:rsid w:val="003F2E46"/>
    <w:rsid w:val="003F2F71"/>
    <w:rsid w:val="003F34D7"/>
    <w:rsid w:val="003F4040"/>
    <w:rsid w:val="003F40BA"/>
    <w:rsid w:val="003F4148"/>
    <w:rsid w:val="003F4B2D"/>
    <w:rsid w:val="003F4EAD"/>
    <w:rsid w:val="003F500B"/>
    <w:rsid w:val="003F579C"/>
    <w:rsid w:val="003F6ABC"/>
    <w:rsid w:val="003F6E30"/>
    <w:rsid w:val="003F6F2E"/>
    <w:rsid w:val="003F71B7"/>
    <w:rsid w:val="003F72A8"/>
    <w:rsid w:val="003F762D"/>
    <w:rsid w:val="003F768F"/>
    <w:rsid w:val="003F7807"/>
    <w:rsid w:val="003F78CF"/>
    <w:rsid w:val="003F7904"/>
    <w:rsid w:val="0040088D"/>
    <w:rsid w:val="00400A56"/>
    <w:rsid w:val="0040120D"/>
    <w:rsid w:val="00401D36"/>
    <w:rsid w:val="004026C5"/>
    <w:rsid w:val="00403104"/>
    <w:rsid w:val="00404C24"/>
    <w:rsid w:val="004062F6"/>
    <w:rsid w:val="00406C8B"/>
    <w:rsid w:val="00407035"/>
    <w:rsid w:val="00407206"/>
    <w:rsid w:val="004100A4"/>
    <w:rsid w:val="00410D1E"/>
    <w:rsid w:val="00410EDA"/>
    <w:rsid w:val="0041109C"/>
    <w:rsid w:val="0041119C"/>
    <w:rsid w:val="00411589"/>
    <w:rsid w:val="00411A50"/>
    <w:rsid w:val="0041288A"/>
    <w:rsid w:val="00413B6A"/>
    <w:rsid w:val="00413ED1"/>
    <w:rsid w:val="00414280"/>
    <w:rsid w:val="00414B2C"/>
    <w:rsid w:val="004158C0"/>
    <w:rsid w:val="00415ED0"/>
    <w:rsid w:val="00416507"/>
    <w:rsid w:val="004173D0"/>
    <w:rsid w:val="00417642"/>
    <w:rsid w:val="0041781A"/>
    <w:rsid w:val="004200D9"/>
    <w:rsid w:val="004201AD"/>
    <w:rsid w:val="00420783"/>
    <w:rsid w:val="00420956"/>
    <w:rsid w:val="004209CE"/>
    <w:rsid w:val="00420E66"/>
    <w:rsid w:val="004211B2"/>
    <w:rsid w:val="0042134D"/>
    <w:rsid w:val="00421FAE"/>
    <w:rsid w:val="004225D5"/>
    <w:rsid w:val="00422F88"/>
    <w:rsid w:val="00423242"/>
    <w:rsid w:val="004232E2"/>
    <w:rsid w:val="00423E3A"/>
    <w:rsid w:val="00424D61"/>
    <w:rsid w:val="004251F5"/>
    <w:rsid w:val="00425927"/>
    <w:rsid w:val="0042597C"/>
    <w:rsid w:val="004260BC"/>
    <w:rsid w:val="0042693E"/>
    <w:rsid w:val="00427654"/>
    <w:rsid w:val="00427830"/>
    <w:rsid w:val="00430B5B"/>
    <w:rsid w:val="00430FCE"/>
    <w:rsid w:val="0043132D"/>
    <w:rsid w:val="0043139F"/>
    <w:rsid w:val="00432404"/>
    <w:rsid w:val="00432D65"/>
    <w:rsid w:val="00432F5E"/>
    <w:rsid w:val="004339AA"/>
    <w:rsid w:val="00433A6D"/>
    <w:rsid w:val="00434D8A"/>
    <w:rsid w:val="0043550A"/>
    <w:rsid w:val="004365A4"/>
    <w:rsid w:val="00436A25"/>
    <w:rsid w:val="00436D86"/>
    <w:rsid w:val="0043765B"/>
    <w:rsid w:val="00437950"/>
    <w:rsid w:val="00440788"/>
    <w:rsid w:val="0044082B"/>
    <w:rsid w:val="0044207E"/>
    <w:rsid w:val="004420C2"/>
    <w:rsid w:val="00442807"/>
    <w:rsid w:val="00442EB4"/>
    <w:rsid w:val="00443318"/>
    <w:rsid w:val="004434E7"/>
    <w:rsid w:val="00443E24"/>
    <w:rsid w:val="00444385"/>
    <w:rsid w:val="00444A8F"/>
    <w:rsid w:val="00444C0B"/>
    <w:rsid w:val="00446A50"/>
    <w:rsid w:val="00446C83"/>
    <w:rsid w:val="00447304"/>
    <w:rsid w:val="00447F14"/>
    <w:rsid w:val="0045002B"/>
    <w:rsid w:val="0045067B"/>
    <w:rsid w:val="004508D2"/>
    <w:rsid w:val="00450B09"/>
    <w:rsid w:val="00452CE5"/>
    <w:rsid w:val="00452FA7"/>
    <w:rsid w:val="00453A4A"/>
    <w:rsid w:val="00454283"/>
    <w:rsid w:val="004549F9"/>
    <w:rsid w:val="00454D1F"/>
    <w:rsid w:val="00455E16"/>
    <w:rsid w:val="00455FB2"/>
    <w:rsid w:val="004565EC"/>
    <w:rsid w:val="00456BA6"/>
    <w:rsid w:val="00457D91"/>
    <w:rsid w:val="004614D9"/>
    <w:rsid w:val="00461816"/>
    <w:rsid w:val="00462982"/>
    <w:rsid w:val="00462D79"/>
    <w:rsid w:val="00462DCD"/>
    <w:rsid w:val="00462F9A"/>
    <w:rsid w:val="00463AA5"/>
    <w:rsid w:val="00464AEF"/>
    <w:rsid w:val="00465572"/>
    <w:rsid w:val="0046590E"/>
    <w:rsid w:val="00465C11"/>
    <w:rsid w:val="00465E0C"/>
    <w:rsid w:val="0046609D"/>
    <w:rsid w:val="00466584"/>
    <w:rsid w:val="004669DB"/>
    <w:rsid w:val="00466E38"/>
    <w:rsid w:val="004671E0"/>
    <w:rsid w:val="004674DD"/>
    <w:rsid w:val="004676E6"/>
    <w:rsid w:val="00467989"/>
    <w:rsid w:val="00467B92"/>
    <w:rsid w:val="00467D9F"/>
    <w:rsid w:val="00470C66"/>
    <w:rsid w:val="00470DD1"/>
    <w:rsid w:val="00470FAC"/>
    <w:rsid w:val="00471280"/>
    <w:rsid w:val="0047179F"/>
    <w:rsid w:val="0047242D"/>
    <w:rsid w:val="00473711"/>
    <w:rsid w:val="00474A1E"/>
    <w:rsid w:val="00475039"/>
    <w:rsid w:val="00475105"/>
    <w:rsid w:val="0047536E"/>
    <w:rsid w:val="00475ECF"/>
    <w:rsid w:val="00476254"/>
    <w:rsid w:val="004777BA"/>
    <w:rsid w:val="00477A7E"/>
    <w:rsid w:val="004803FC"/>
    <w:rsid w:val="00480E80"/>
    <w:rsid w:val="00481797"/>
    <w:rsid w:val="004821DA"/>
    <w:rsid w:val="00482516"/>
    <w:rsid w:val="00482632"/>
    <w:rsid w:val="00483451"/>
    <w:rsid w:val="00483C21"/>
    <w:rsid w:val="004841E2"/>
    <w:rsid w:val="00486685"/>
    <w:rsid w:val="00486B0B"/>
    <w:rsid w:val="00486ED6"/>
    <w:rsid w:val="00486F38"/>
    <w:rsid w:val="00487355"/>
    <w:rsid w:val="00490EBF"/>
    <w:rsid w:val="004920B2"/>
    <w:rsid w:val="0049397B"/>
    <w:rsid w:val="00493B33"/>
    <w:rsid w:val="00493CD0"/>
    <w:rsid w:val="004941A6"/>
    <w:rsid w:val="004945B2"/>
    <w:rsid w:val="0049466B"/>
    <w:rsid w:val="004946A0"/>
    <w:rsid w:val="00495C63"/>
    <w:rsid w:val="00495E6D"/>
    <w:rsid w:val="00496C9A"/>
    <w:rsid w:val="00496EA9"/>
    <w:rsid w:val="00497BB1"/>
    <w:rsid w:val="004A0346"/>
    <w:rsid w:val="004A1286"/>
    <w:rsid w:val="004A1653"/>
    <w:rsid w:val="004A169E"/>
    <w:rsid w:val="004A31FF"/>
    <w:rsid w:val="004A32BC"/>
    <w:rsid w:val="004A3A41"/>
    <w:rsid w:val="004A3ABB"/>
    <w:rsid w:val="004A5D11"/>
    <w:rsid w:val="004A66C6"/>
    <w:rsid w:val="004A6880"/>
    <w:rsid w:val="004A69B9"/>
    <w:rsid w:val="004A7EB6"/>
    <w:rsid w:val="004A7FD4"/>
    <w:rsid w:val="004B025E"/>
    <w:rsid w:val="004B0CAC"/>
    <w:rsid w:val="004B0E96"/>
    <w:rsid w:val="004B1577"/>
    <w:rsid w:val="004B1E14"/>
    <w:rsid w:val="004B2B17"/>
    <w:rsid w:val="004B31DF"/>
    <w:rsid w:val="004B36A7"/>
    <w:rsid w:val="004B3E96"/>
    <w:rsid w:val="004B4128"/>
    <w:rsid w:val="004B4F0C"/>
    <w:rsid w:val="004B5E08"/>
    <w:rsid w:val="004B7021"/>
    <w:rsid w:val="004B7114"/>
    <w:rsid w:val="004C0061"/>
    <w:rsid w:val="004C02D7"/>
    <w:rsid w:val="004C0AC4"/>
    <w:rsid w:val="004C14A7"/>
    <w:rsid w:val="004C163E"/>
    <w:rsid w:val="004C173C"/>
    <w:rsid w:val="004C228F"/>
    <w:rsid w:val="004C35F3"/>
    <w:rsid w:val="004C4392"/>
    <w:rsid w:val="004C5333"/>
    <w:rsid w:val="004C5F9A"/>
    <w:rsid w:val="004C6038"/>
    <w:rsid w:val="004C67D7"/>
    <w:rsid w:val="004C694C"/>
    <w:rsid w:val="004C6BAB"/>
    <w:rsid w:val="004C6C46"/>
    <w:rsid w:val="004C72EA"/>
    <w:rsid w:val="004C7A0A"/>
    <w:rsid w:val="004C7EE5"/>
    <w:rsid w:val="004D0CA0"/>
    <w:rsid w:val="004D2E57"/>
    <w:rsid w:val="004D385E"/>
    <w:rsid w:val="004D386D"/>
    <w:rsid w:val="004D5024"/>
    <w:rsid w:val="004D530A"/>
    <w:rsid w:val="004D62DB"/>
    <w:rsid w:val="004D67B5"/>
    <w:rsid w:val="004D6FFE"/>
    <w:rsid w:val="004D7322"/>
    <w:rsid w:val="004D7F4F"/>
    <w:rsid w:val="004E037F"/>
    <w:rsid w:val="004E15BB"/>
    <w:rsid w:val="004E1C37"/>
    <w:rsid w:val="004E1D69"/>
    <w:rsid w:val="004E1D6C"/>
    <w:rsid w:val="004E251A"/>
    <w:rsid w:val="004E27F1"/>
    <w:rsid w:val="004E3C28"/>
    <w:rsid w:val="004E3F30"/>
    <w:rsid w:val="004E4B27"/>
    <w:rsid w:val="004E4E78"/>
    <w:rsid w:val="004E5089"/>
    <w:rsid w:val="004E5B03"/>
    <w:rsid w:val="004E6752"/>
    <w:rsid w:val="004E70CA"/>
    <w:rsid w:val="004E7BD8"/>
    <w:rsid w:val="004F0085"/>
    <w:rsid w:val="004F09DC"/>
    <w:rsid w:val="004F1000"/>
    <w:rsid w:val="004F150D"/>
    <w:rsid w:val="004F20A4"/>
    <w:rsid w:val="004F28BE"/>
    <w:rsid w:val="004F2ED4"/>
    <w:rsid w:val="004F2F38"/>
    <w:rsid w:val="004F3079"/>
    <w:rsid w:val="004F31F4"/>
    <w:rsid w:val="004F3494"/>
    <w:rsid w:val="004F3EFB"/>
    <w:rsid w:val="004F4A58"/>
    <w:rsid w:val="004F55E5"/>
    <w:rsid w:val="004F670E"/>
    <w:rsid w:val="004F682C"/>
    <w:rsid w:val="004F698C"/>
    <w:rsid w:val="004F6AF5"/>
    <w:rsid w:val="004F7FEE"/>
    <w:rsid w:val="005002DC"/>
    <w:rsid w:val="00500568"/>
    <w:rsid w:val="00500697"/>
    <w:rsid w:val="00500A8F"/>
    <w:rsid w:val="005010C5"/>
    <w:rsid w:val="005030C9"/>
    <w:rsid w:val="005031FA"/>
    <w:rsid w:val="00503921"/>
    <w:rsid w:val="005047C7"/>
    <w:rsid w:val="005048D9"/>
    <w:rsid w:val="00504E74"/>
    <w:rsid w:val="005055F9"/>
    <w:rsid w:val="00505AE6"/>
    <w:rsid w:val="00505FC4"/>
    <w:rsid w:val="00506E19"/>
    <w:rsid w:val="00507178"/>
    <w:rsid w:val="005072E7"/>
    <w:rsid w:val="005075E0"/>
    <w:rsid w:val="00507A89"/>
    <w:rsid w:val="005106E3"/>
    <w:rsid w:val="0051080F"/>
    <w:rsid w:val="00510B75"/>
    <w:rsid w:val="00511A2A"/>
    <w:rsid w:val="00511A7A"/>
    <w:rsid w:val="00512CBB"/>
    <w:rsid w:val="005139B7"/>
    <w:rsid w:val="00513D44"/>
    <w:rsid w:val="00513DC8"/>
    <w:rsid w:val="0051525F"/>
    <w:rsid w:val="00515503"/>
    <w:rsid w:val="005172C3"/>
    <w:rsid w:val="00517323"/>
    <w:rsid w:val="0051787F"/>
    <w:rsid w:val="00517898"/>
    <w:rsid w:val="00517E04"/>
    <w:rsid w:val="00520451"/>
    <w:rsid w:val="0052047D"/>
    <w:rsid w:val="005207E7"/>
    <w:rsid w:val="00520F21"/>
    <w:rsid w:val="005216C2"/>
    <w:rsid w:val="00522AE6"/>
    <w:rsid w:val="00522C0F"/>
    <w:rsid w:val="00522DEC"/>
    <w:rsid w:val="005233CB"/>
    <w:rsid w:val="005233EA"/>
    <w:rsid w:val="005237D5"/>
    <w:rsid w:val="00523A8F"/>
    <w:rsid w:val="00524F38"/>
    <w:rsid w:val="0052505E"/>
    <w:rsid w:val="00525642"/>
    <w:rsid w:val="00525A96"/>
    <w:rsid w:val="00525CCD"/>
    <w:rsid w:val="00526464"/>
    <w:rsid w:val="005268FD"/>
    <w:rsid w:val="00526D03"/>
    <w:rsid w:val="00526ECE"/>
    <w:rsid w:val="005272A3"/>
    <w:rsid w:val="00530676"/>
    <w:rsid w:val="00530787"/>
    <w:rsid w:val="005308BF"/>
    <w:rsid w:val="00530A28"/>
    <w:rsid w:val="00530B07"/>
    <w:rsid w:val="00530E5A"/>
    <w:rsid w:val="00531071"/>
    <w:rsid w:val="0053130D"/>
    <w:rsid w:val="00531CF9"/>
    <w:rsid w:val="00532266"/>
    <w:rsid w:val="0053227C"/>
    <w:rsid w:val="00532549"/>
    <w:rsid w:val="00532605"/>
    <w:rsid w:val="00532628"/>
    <w:rsid w:val="00532B10"/>
    <w:rsid w:val="00532D25"/>
    <w:rsid w:val="00534088"/>
    <w:rsid w:val="005349C5"/>
    <w:rsid w:val="00534DB9"/>
    <w:rsid w:val="00535C3A"/>
    <w:rsid w:val="00536C20"/>
    <w:rsid w:val="00536C74"/>
    <w:rsid w:val="00536EE8"/>
    <w:rsid w:val="0054016E"/>
    <w:rsid w:val="005419BB"/>
    <w:rsid w:val="005421E3"/>
    <w:rsid w:val="0054256C"/>
    <w:rsid w:val="00543695"/>
    <w:rsid w:val="00543918"/>
    <w:rsid w:val="00543AE7"/>
    <w:rsid w:val="00543D8A"/>
    <w:rsid w:val="005442E6"/>
    <w:rsid w:val="005444D5"/>
    <w:rsid w:val="005448B8"/>
    <w:rsid w:val="005453A9"/>
    <w:rsid w:val="005454D9"/>
    <w:rsid w:val="00545B62"/>
    <w:rsid w:val="0054618D"/>
    <w:rsid w:val="005462DC"/>
    <w:rsid w:val="00546783"/>
    <w:rsid w:val="0055080A"/>
    <w:rsid w:val="00550B78"/>
    <w:rsid w:val="005516FF"/>
    <w:rsid w:val="00551D5C"/>
    <w:rsid w:val="00552033"/>
    <w:rsid w:val="005522E2"/>
    <w:rsid w:val="005523E2"/>
    <w:rsid w:val="0055350A"/>
    <w:rsid w:val="00553695"/>
    <w:rsid w:val="00555231"/>
    <w:rsid w:val="00555471"/>
    <w:rsid w:val="00555EF3"/>
    <w:rsid w:val="005560AE"/>
    <w:rsid w:val="00556600"/>
    <w:rsid w:val="00556D0E"/>
    <w:rsid w:val="00557098"/>
    <w:rsid w:val="00557104"/>
    <w:rsid w:val="005576DF"/>
    <w:rsid w:val="005578D0"/>
    <w:rsid w:val="00557EF3"/>
    <w:rsid w:val="00560175"/>
    <w:rsid w:val="00560235"/>
    <w:rsid w:val="00561C8E"/>
    <w:rsid w:val="0056204C"/>
    <w:rsid w:val="00562A64"/>
    <w:rsid w:val="00562D95"/>
    <w:rsid w:val="005639DE"/>
    <w:rsid w:val="005648DB"/>
    <w:rsid w:val="00564E4E"/>
    <w:rsid w:val="00565A7E"/>
    <w:rsid w:val="00565DDC"/>
    <w:rsid w:val="00565FE9"/>
    <w:rsid w:val="00566228"/>
    <w:rsid w:val="00566DC7"/>
    <w:rsid w:val="00567B43"/>
    <w:rsid w:val="00570C29"/>
    <w:rsid w:val="00571BE7"/>
    <w:rsid w:val="00571CCF"/>
    <w:rsid w:val="00571DF3"/>
    <w:rsid w:val="00571E98"/>
    <w:rsid w:val="005720EA"/>
    <w:rsid w:val="0057295F"/>
    <w:rsid w:val="00572D2F"/>
    <w:rsid w:val="00573ED5"/>
    <w:rsid w:val="00574115"/>
    <w:rsid w:val="00575D35"/>
    <w:rsid w:val="005761EC"/>
    <w:rsid w:val="00576B6D"/>
    <w:rsid w:val="005772F5"/>
    <w:rsid w:val="005772FC"/>
    <w:rsid w:val="00577D9B"/>
    <w:rsid w:val="00580255"/>
    <w:rsid w:val="00580A4E"/>
    <w:rsid w:val="00580D6E"/>
    <w:rsid w:val="00580DB0"/>
    <w:rsid w:val="00581725"/>
    <w:rsid w:val="00581C62"/>
    <w:rsid w:val="00582394"/>
    <w:rsid w:val="005828D3"/>
    <w:rsid w:val="005830DE"/>
    <w:rsid w:val="00583C63"/>
    <w:rsid w:val="00584D2B"/>
    <w:rsid w:val="00585780"/>
    <w:rsid w:val="00585AE4"/>
    <w:rsid w:val="00585D14"/>
    <w:rsid w:val="005863F6"/>
    <w:rsid w:val="00586F63"/>
    <w:rsid w:val="00586F7C"/>
    <w:rsid w:val="005875F5"/>
    <w:rsid w:val="00587BA5"/>
    <w:rsid w:val="00590511"/>
    <w:rsid w:val="005909B6"/>
    <w:rsid w:val="0059111A"/>
    <w:rsid w:val="00591A19"/>
    <w:rsid w:val="00591C8C"/>
    <w:rsid w:val="00592246"/>
    <w:rsid w:val="00592354"/>
    <w:rsid w:val="00592D1D"/>
    <w:rsid w:val="00592E69"/>
    <w:rsid w:val="005943EA"/>
    <w:rsid w:val="00594B5F"/>
    <w:rsid w:val="00594FDB"/>
    <w:rsid w:val="0059578F"/>
    <w:rsid w:val="00595CF0"/>
    <w:rsid w:val="005963CF"/>
    <w:rsid w:val="00596792"/>
    <w:rsid w:val="0059718C"/>
    <w:rsid w:val="005A0217"/>
    <w:rsid w:val="005A028F"/>
    <w:rsid w:val="005A097B"/>
    <w:rsid w:val="005A29EB"/>
    <w:rsid w:val="005A3161"/>
    <w:rsid w:val="005A3484"/>
    <w:rsid w:val="005A3537"/>
    <w:rsid w:val="005A387C"/>
    <w:rsid w:val="005A3E11"/>
    <w:rsid w:val="005A40DC"/>
    <w:rsid w:val="005A488F"/>
    <w:rsid w:val="005A6259"/>
    <w:rsid w:val="005A627F"/>
    <w:rsid w:val="005A64C4"/>
    <w:rsid w:val="005A6F79"/>
    <w:rsid w:val="005A7980"/>
    <w:rsid w:val="005B0FB7"/>
    <w:rsid w:val="005B14D5"/>
    <w:rsid w:val="005B184B"/>
    <w:rsid w:val="005B1EA6"/>
    <w:rsid w:val="005B268F"/>
    <w:rsid w:val="005B35E6"/>
    <w:rsid w:val="005B5459"/>
    <w:rsid w:val="005B5D85"/>
    <w:rsid w:val="005B6428"/>
    <w:rsid w:val="005B6979"/>
    <w:rsid w:val="005B77DE"/>
    <w:rsid w:val="005C0CB1"/>
    <w:rsid w:val="005C129B"/>
    <w:rsid w:val="005C1477"/>
    <w:rsid w:val="005C20FA"/>
    <w:rsid w:val="005C23D5"/>
    <w:rsid w:val="005C2AE0"/>
    <w:rsid w:val="005C2CE4"/>
    <w:rsid w:val="005C3B72"/>
    <w:rsid w:val="005C43F3"/>
    <w:rsid w:val="005C55E1"/>
    <w:rsid w:val="005C5840"/>
    <w:rsid w:val="005C5B22"/>
    <w:rsid w:val="005C621B"/>
    <w:rsid w:val="005C65B5"/>
    <w:rsid w:val="005C6D17"/>
    <w:rsid w:val="005C6FF6"/>
    <w:rsid w:val="005C755C"/>
    <w:rsid w:val="005C7EE8"/>
    <w:rsid w:val="005D05A0"/>
    <w:rsid w:val="005D0B75"/>
    <w:rsid w:val="005D0D03"/>
    <w:rsid w:val="005D1258"/>
    <w:rsid w:val="005D14F0"/>
    <w:rsid w:val="005D2227"/>
    <w:rsid w:val="005D2C7F"/>
    <w:rsid w:val="005D2D6E"/>
    <w:rsid w:val="005D3BA2"/>
    <w:rsid w:val="005D3C2E"/>
    <w:rsid w:val="005D3CAE"/>
    <w:rsid w:val="005D4440"/>
    <w:rsid w:val="005D4614"/>
    <w:rsid w:val="005D4FB0"/>
    <w:rsid w:val="005D529A"/>
    <w:rsid w:val="005D59BC"/>
    <w:rsid w:val="005D63A7"/>
    <w:rsid w:val="005D67C8"/>
    <w:rsid w:val="005D7422"/>
    <w:rsid w:val="005E03E4"/>
    <w:rsid w:val="005E050E"/>
    <w:rsid w:val="005E2281"/>
    <w:rsid w:val="005E22DB"/>
    <w:rsid w:val="005E2A3A"/>
    <w:rsid w:val="005E3189"/>
    <w:rsid w:val="005E31CD"/>
    <w:rsid w:val="005E3628"/>
    <w:rsid w:val="005E3651"/>
    <w:rsid w:val="005E3D05"/>
    <w:rsid w:val="005E3DEE"/>
    <w:rsid w:val="005E4015"/>
    <w:rsid w:val="005E4070"/>
    <w:rsid w:val="005E413F"/>
    <w:rsid w:val="005E4B50"/>
    <w:rsid w:val="005E4FC5"/>
    <w:rsid w:val="005E548E"/>
    <w:rsid w:val="005E59EA"/>
    <w:rsid w:val="005E6743"/>
    <w:rsid w:val="005E6A65"/>
    <w:rsid w:val="005E7792"/>
    <w:rsid w:val="005F0181"/>
    <w:rsid w:val="005F03A1"/>
    <w:rsid w:val="005F0D91"/>
    <w:rsid w:val="005F0EBF"/>
    <w:rsid w:val="005F326B"/>
    <w:rsid w:val="005F39F3"/>
    <w:rsid w:val="005F3B09"/>
    <w:rsid w:val="005F5F06"/>
    <w:rsid w:val="005F6EA0"/>
    <w:rsid w:val="005F7AAF"/>
    <w:rsid w:val="00601865"/>
    <w:rsid w:val="00601B0B"/>
    <w:rsid w:val="006025A3"/>
    <w:rsid w:val="00602D7D"/>
    <w:rsid w:val="00603485"/>
    <w:rsid w:val="00603A64"/>
    <w:rsid w:val="00603EF4"/>
    <w:rsid w:val="00604F19"/>
    <w:rsid w:val="00605D21"/>
    <w:rsid w:val="006073B6"/>
    <w:rsid w:val="0060792B"/>
    <w:rsid w:val="00610B09"/>
    <w:rsid w:val="00610CBD"/>
    <w:rsid w:val="00610F2D"/>
    <w:rsid w:val="006110A9"/>
    <w:rsid w:val="00611A2D"/>
    <w:rsid w:val="006132BE"/>
    <w:rsid w:val="00613315"/>
    <w:rsid w:val="00613333"/>
    <w:rsid w:val="006134C9"/>
    <w:rsid w:val="006152E6"/>
    <w:rsid w:val="00615693"/>
    <w:rsid w:val="00615722"/>
    <w:rsid w:val="00615916"/>
    <w:rsid w:val="00615A4B"/>
    <w:rsid w:val="00616383"/>
    <w:rsid w:val="00617003"/>
    <w:rsid w:val="00617100"/>
    <w:rsid w:val="00617169"/>
    <w:rsid w:val="00617A40"/>
    <w:rsid w:val="00617B44"/>
    <w:rsid w:val="0062021C"/>
    <w:rsid w:val="00620387"/>
    <w:rsid w:val="00620476"/>
    <w:rsid w:val="006208EC"/>
    <w:rsid w:val="00620D9E"/>
    <w:rsid w:val="00622037"/>
    <w:rsid w:val="0062340D"/>
    <w:rsid w:val="00623C8D"/>
    <w:rsid w:val="00624602"/>
    <w:rsid w:val="00624EE2"/>
    <w:rsid w:val="006252BF"/>
    <w:rsid w:val="0062567A"/>
    <w:rsid w:val="00626108"/>
    <w:rsid w:val="006263EB"/>
    <w:rsid w:val="006265C2"/>
    <w:rsid w:val="00626690"/>
    <w:rsid w:val="006276EE"/>
    <w:rsid w:val="006311F0"/>
    <w:rsid w:val="00631492"/>
    <w:rsid w:val="00631BD6"/>
    <w:rsid w:val="00631DA8"/>
    <w:rsid w:val="00632E2B"/>
    <w:rsid w:val="00634CE2"/>
    <w:rsid w:val="006352BE"/>
    <w:rsid w:val="00635B67"/>
    <w:rsid w:val="00635BAA"/>
    <w:rsid w:val="00635FA2"/>
    <w:rsid w:val="006369A6"/>
    <w:rsid w:val="00637583"/>
    <w:rsid w:val="00637625"/>
    <w:rsid w:val="00637AAC"/>
    <w:rsid w:val="00637C76"/>
    <w:rsid w:val="00637D67"/>
    <w:rsid w:val="00640D1B"/>
    <w:rsid w:val="00641999"/>
    <w:rsid w:val="00641C63"/>
    <w:rsid w:val="006426EA"/>
    <w:rsid w:val="0064405B"/>
    <w:rsid w:val="006448C9"/>
    <w:rsid w:val="006450B1"/>
    <w:rsid w:val="00645797"/>
    <w:rsid w:val="00645AB0"/>
    <w:rsid w:val="00647066"/>
    <w:rsid w:val="00647A03"/>
    <w:rsid w:val="006502C3"/>
    <w:rsid w:val="006508CB"/>
    <w:rsid w:val="00650E3D"/>
    <w:rsid w:val="00652007"/>
    <w:rsid w:val="006529BE"/>
    <w:rsid w:val="0065349B"/>
    <w:rsid w:val="00653820"/>
    <w:rsid w:val="00653A84"/>
    <w:rsid w:val="00653D61"/>
    <w:rsid w:val="00654AE5"/>
    <w:rsid w:val="00654B73"/>
    <w:rsid w:val="0065625C"/>
    <w:rsid w:val="0066226F"/>
    <w:rsid w:val="0066253D"/>
    <w:rsid w:val="00662941"/>
    <w:rsid w:val="00662FC9"/>
    <w:rsid w:val="006643C2"/>
    <w:rsid w:val="00665BA2"/>
    <w:rsid w:val="00665C6A"/>
    <w:rsid w:val="006666C9"/>
    <w:rsid w:val="006669E4"/>
    <w:rsid w:val="00666BB9"/>
    <w:rsid w:val="00666F3B"/>
    <w:rsid w:val="0066746F"/>
    <w:rsid w:val="00667525"/>
    <w:rsid w:val="00667E35"/>
    <w:rsid w:val="0067044B"/>
    <w:rsid w:val="00670E18"/>
    <w:rsid w:val="00670F46"/>
    <w:rsid w:val="006711F4"/>
    <w:rsid w:val="006712FB"/>
    <w:rsid w:val="006717ED"/>
    <w:rsid w:val="00671A1D"/>
    <w:rsid w:val="0067224C"/>
    <w:rsid w:val="0067245A"/>
    <w:rsid w:val="00672A23"/>
    <w:rsid w:val="00672CBC"/>
    <w:rsid w:val="00673227"/>
    <w:rsid w:val="00673822"/>
    <w:rsid w:val="00673ECF"/>
    <w:rsid w:val="00674173"/>
    <w:rsid w:val="00675307"/>
    <w:rsid w:val="00675CBD"/>
    <w:rsid w:val="00675DCA"/>
    <w:rsid w:val="00677060"/>
    <w:rsid w:val="0067753C"/>
    <w:rsid w:val="0067754A"/>
    <w:rsid w:val="00677939"/>
    <w:rsid w:val="00677958"/>
    <w:rsid w:val="00677C2C"/>
    <w:rsid w:val="00677F77"/>
    <w:rsid w:val="00680755"/>
    <w:rsid w:val="00680878"/>
    <w:rsid w:val="0068094F"/>
    <w:rsid w:val="00680BF6"/>
    <w:rsid w:val="00680F0B"/>
    <w:rsid w:val="00681BE8"/>
    <w:rsid w:val="0068246C"/>
    <w:rsid w:val="006839AB"/>
    <w:rsid w:val="006841A2"/>
    <w:rsid w:val="006841E3"/>
    <w:rsid w:val="00684E60"/>
    <w:rsid w:val="00685196"/>
    <w:rsid w:val="00685250"/>
    <w:rsid w:val="006856DC"/>
    <w:rsid w:val="00686006"/>
    <w:rsid w:val="006870EA"/>
    <w:rsid w:val="006871CC"/>
    <w:rsid w:val="006879FC"/>
    <w:rsid w:val="00687B2D"/>
    <w:rsid w:val="00690152"/>
    <w:rsid w:val="006901CE"/>
    <w:rsid w:val="00690A50"/>
    <w:rsid w:val="00691423"/>
    <w:rsid w:val="00691852"/>
    <w:rsid w:val="006919C7"/>
    <w:rsid w:val="00691CF0"/>
    <w:rsid w:val="006922D6"/>
    <w:rsid w:val="00692497"/>
    <w:rsid w:val="006926FC"/>
    <w:rsid w:val="00692866"/>
    <w:rsid w:val="00693CBD"/>
    <w:rsid w:val="0069516B"/>
    <w:rsid w:val="0069565B"/>
    <w:rsid w:val="0069593E"/>
    <w:rsid w:val="0069648D"/>
    <w:rsid w:val="00696DF9"/>
    <w:rsid w:val="00696FF7"/>
    <w:rsid w:val="00697148"/>
    <w:rsid w:val="00697239"/>
    <w:rsid w:val="0069742C"/>
    <w:rsid w:val="006A0708"/>
    <w:rsid w:val="006A0B89"/>
    <w:rsid w:val="006A1490"/>
    <w:rsid w:val="006A1596"/>
    <w:rsid w:val="006A1A4D"/>
    <w:rsid w:val="006A2A0D"/>
    <w:rsid w:val="006A309E"/>
    <w:rsid w:val="006A4A0B"/>
    <w:rsid w:val="006A4DE0"/>
    <w:rsid w:val="006A50F4"/>
    <w:rsid w:val="006A519B"/>
    <w:rsid w:val="006A6CDC"/>
    <w:rsid w:val="006A7104"/>
    <w:rsid w:val="006B09A7"/>
    <w:rsid w:val="006B0F2D"/>
    <w:rsid w:val="006B1937"/>
    <w:rsid w:val="006B1A17"/>
    <w:rsid w:val="006B1E4B"/>
    <w:rsid w:val="006B21A9"/>
    <w:rsid w:val="006B2AB8"/>
    <w:rsid w:val="006B2DA4"/>
    <w:rsid w:val="006B2E86"/>
    <w:rsid w:val="006B2FA0"/>
    <w:rsid w:val="006B3125"/>
    <w:rsid w:val="006B3973"/>
    <w:rsid w:val="006B41D4"/>
    <w:rsid w:val="006B426E"/>
    <w:rsid w:val="006B4383"/>
    <w:rsid w:val="006B4435"/>
    <w:rsid w:val="006B4541"/>
    <w:rsid w:val="006B4601"/>
    <w:rsid w:val="006B53AE"/>
    <w:rsid w:val="006B58BB"/>
    <w:rsid w:val="006B5CF5"/>
    <w:rsid w:val="006B5F72"/>
    <w:rsid w:val="006B6A8E"/>
    <w:rsid w:val="006B717B"/>
    <w:rsid w:val="006B738B"/>
    <w:rsid w:val="006B7B20"/>
    <w:rsid w:val="006B7C7D"/>
    <w:rsid w:val="006B7E94"/>
    <w:rsid w:val="006C016C"/>
    <w:rsid w:val="006C1459"/>
    <w:rsid w:val="006C150C"/>
    <w:rsid w:val="006C1AB3"/>
    <w:rsid w:val="006C1D3B"/>
    <w:rsid w:val="006C2936"/>
    <w:rsid w:val="006C2F7A"/>
    <w:rsid w:val="006C3D3C"/>
    <w:rsid w:val="006C3F56"/>
    <w:rsid w:val="006C4F1A"/>
    <w:rsid w:val="006C4F82"/>
    <w:rsid w:val="006C5E3B"/>
    <w:rsid w:val="006C66DB"/>
    <w:rsid w:val="006C6729"/>
    <w:rsid w:val="006C6F61"/>
    <w:rsid w:val="006D05F3"/>
    <w:rsid w:val="006D095D"/>
    <w:rsid w:val="006D1195"/>
    <w:rsid w:val="006D1C96"/>
    <w:rsid w:val="006D1D14"/>
    <w:rsid w:val="006D218E"/>
    <w:rsid w:val="006D250A"/>
    <w:rsid w:val="006D2FEE"/>
    <w:rsid w:val="006D43ED"/>
    <w:rsid w:val="006D46FC"/>
    <w:rsid w:val="006D4910"/>
    <w:rsid w:val="006D5642"/>
    <w:rsid w:val="006D5988"/>
    <w:rsid w:val="006D5C87"/>
    <w:rsid w:val="006D5F82"/>
    <w:rsid w:val="006D60E3"/>
    <w:rsid w:val="006D6FE7"/>
    <w:rsid w:val="006D71CE"/>
    <w:rsid w:val="006E0B1D"/>
    <w:rsid w:val="006E1216"/>
    <w:rsid w:val="006E28E6"/>
    <w:rsid w:val="006E3318"/>
    <w:rsid w:val="006E38FF"/>
    <w:rsid w:val="006E3F1A"/>
    <w:rsid w:val="006E5B91"/>
    <w:rsid w:val="006E6109"/>
    <w:rsid w:val="006E6169"/>
    <w:rsid w:val="006E6974"/>
    <w:rsid w:val="006E69D8"/>
    <w:rsid w:val="006F02C2"/>
    <w:rsid w:val="006F0D82"/>
    <w:rsid w:val="006F1029"/>
    <w:rsid w:val="006F170A"/>
    <w:rsid w:val="006F1F02"/>
    <w:rsid w:val="006F20FE"/>
    <w:rsid w:val="006F27EF"/>
    <w:rsid w:val="006F391D"/>
    <w:rsid w:val="006F3BDF"/>
    <w:rsid w:val="006F3E5E"/>
    <w:rsid w:val="006F41BF"/>
    <w:rsid w:val="006F44B4"/>
    <w:rsid w:val="006F45A2"/>
    <w:rsid w:val="006F600E"/>
    <w:rsid w:val="006F6674"/>
    <w:rsid w:val="006F7F56"/>
    <w:rsid w:val="00700CD4"/>
    <w:rsid w:val="00700DA9"/>
    <w:rsid w:val="0070115D"/>
    <w:rsid w:val="00701183"/>
    <w:rsid w:val="007018D6"/>
    <w:rsid w:val="007022B5"/>
    <w:rsid w:val="00702673"/>
    <w:rsid w:val="00702679"/>
    <w:rsid w:val="00703146"/>
    <w:rsid w:val="00704C03"/>
    <w:rsid w:val="00704D76"/>
    <w:rsid w:val="007056BA"/>
    <w:rsid w:val="00706D71"/>
    <w:rsid w:val="00707C18"/>
    <w:rsid w:val="00710714"/>
    <w:rsid w:val="00710756"/>
    <w:rsid w:val="00711270"/>
    <w:rsid w:val="00713916"/>
    <w:rsid w:val="0071434D"/>
    <w:rsid w:val="007145FE"/>
    <w:rsid w:val="00714798"/>
    <w:rsid w:val="00714D66"/>
    <w:rsid w:val="007165F2"/>
    <w:rsid w:val="0071721E"/>
    <w:rsid w:val="0071738A"/>
    <w:rsid w:val="00717A54"/>
    <w:rsid w:val="00717E81"/>
    <w:rsid w:val="007209DF"/>
    <w:rsid w:val="0072163B"/>
    <w:rsid w:val="00721EF8"/>
    <w:rsid w:val="0072217C"/>
    <w:rsid w:val="00722305"/>
    <w:rsid w:val="00722EC8"/>
    <w:rsid w:val="0072321A"/>
    <w:rsid w:val="007238F1"/>
    <w:rsid w:val="00724025"/>
    <w:rsid w:val="00724B52"/>
    <w:rsid w:val="007262EA"/>
    <w:rsid w:val="007263AF"/>
    <w:rsid w:val="0072738E"/>
    <w:rsid w:val="007275CC"/>
    <w:rsid w:val="00727BB7"/>
    <w:rsid w:val="00727EDD"/>
    <w:rsid w:val="00730180"/>
    <w:rsid w:val="00730557"/>
    <w:rsid w:val="0073094E"/>
    <w:rsid w:val="00730BBC"/>
    <w:rsid w:val="0073189B"/>
    <w:rsid w:val="007319EB"/>
    <w:rsid w:val="00731AAE"/>
    <w:rsid w:val="00731D04"/>
    <w:rsid w:val="00731FF1"/>
    <w:rsid w:val="00732A4D"/>
    <w:rsid w:val="00732C6D"/>
    <w:rsid w:val="00733C56"/>
    <w:rsid w:val="00734463"/>
    <w:rsid w:val="00735586"/>
    <w:rsid w:val="0073640E"/>
    <w:rsid w:val="00736C65"/>
    <w:rsid w:val="00737030"/>
    <w:rsid w:val="0073714E"/>
    <w:rsid w:val="007371CC"/>
    <w:rsid w:val="00737D1E"/>
    <w:rsid w:val="00740ECD"/>
    <w:rsid w:val="00742406"/>
    <w:rsid w:val="00742C17"/>
    <w:rsid w:val="0074301A"/>
    <w:rsid w:val="0074308E"/>
    <w:rsid w:val="00743648"/>
    <w:rsid w:val="00743FE3"/>
    <w:rsid w:val="00744965"/>
    <w:rsid w:val="00744C67"/>
    <w:rsid w:val="00744D65"/>
    <w:rsid w:val="007461E1"/>
    <w:rsid w:val="00746EFB"/>
    <w:rsid w:val="00747625"/>
    <w:rsid w:val="00747BF6"/>
    <w:rsid w:val="00747CD7"/>
    <w:rsid w:val="007508CF"/>
    <w:rsid w:val="00750A21"/>
    <w:rsid w:val="00750A34"/>
    <w:rsid w:val="00751312"/>
    <w:rsid w:val="007519A8"/>
    <w:rsid w:val="00751B51"/>
    <w:rsid w:val="007524C4"/>
    <w:rsid w:val="007534E0"/>
    <w:rsid w:val="00753B4D"/>
    <w:rsid w:val="00753F5E"/>
    <w:rsid w:val="00754421"/>
    <w:rsid w:val="007552DC"/>
    <w:rsid w:val="007557B8"/>
    <w:rsid w:val="00755AE3"/>
    <w:rsid w:val="0075654E"/>
    <w:rsid w:val="007575AB"/>
    <w:rsid w:val="00757E5C"/>
    <w:rsid w:val="00757ECE"/>
    <w:rsid w:val="00760D99"/>
    <w:rsid w:val="00762360"/>
    <w:rsid w:val="007624C0"/>
    <w:rsid w:val="007630BF"/>
    <w:rsid w:val="00763704"/>
    <w:rsid w:val="00764579"/>
    <w:rsid w:val="0076462D"/>
    <w:rsid w:val="00764BFA"/>
    <w:rsid w:val="0076502B"/>
    <w:rsid w:val="007652A2"/>
    <w:rsid w:val="00765C80"/>
    <w:rsid w:val="007661C1"/>
    <w:rsid w:val="00766544"/>
    <w:rsid w:val="0076714D"/>
    <w:rsid w:val="007671E1"/>
    <w:rsid w:val="0076733F"/>
    <w:rsid w:val="00767E0B"/>
    <w:rsid w:val="0077070A"/>
    <w:rsid w:val="007709EF"/>
    <w:rsid w:val="007720FE"/>
    <w:rsid w:val="00772297"/>
    <w:rsid w:val="00772303"/>
    <w:rsid w:val="00773CE1"/>
    <w:rsid w:val="00774C82"/>
    <w:rsid w:val="0077553B"/>
    <w:rsid w:val="0077596F"/>
    <w:rsid w:val="00775C63"/>
    <w:rsid w:val="00777F78"/>
    <w:rsid w:val="00780018"/>
    <w:rsid w:val="007809DC"/>
    <w:rsid w:val="00780C40"/>
    <w:rsid w:val="00780F13"/>
    <w:rsid w:val="00781E18"/>
    <w:rsid w:val="0078204E"/>
    <w:rsid w:val="00782275"/>
    <w:rsid w:val="0078276E"/>
    <w:rsid w:val="007829C0"/>
    <w:rsid w:val="00783B0E"/>
    <w:rsid w:val="007845C5"/>
    <w:rsid w:val="00784E45"/>
    <w:rsid w:val="00785344"/>
    <w:rsid w:val="007857EA"/>
    <w:rsid w:val="00785BB3"/>
    <w:rsid w:val="00785C05"/>
    <w:rsid w:val="00785C8D"/>
    <w:rsid w:val="0078601F"/>
    <w:rsid w:val="00786ADE"/>
    <w:rsid w:val="0078783D"/>
    <w:rsid w:val="00790A42"/>
    <w:rsid w:val="0079110F"/>
    <w:rsid w:val="00791676"/>
    <w:rsid w:val="007919F9"/>
    <w:rsid w:val="00792FD4"/>
    <w:rsid w:val="00793400"/>
    <w:rsid w:val="007938F3"/>
    <w:rsid w:val="00793BC4"/>
    <w:rsid w:val="00794677"/>
    <w:rsid w:val="00796E98"/>
    <w:rsid w:val="0079773D"/>
    <w:rsid w:val="00797AF9"/>
    <w:rsid w:val="00797B73"/>
    <w:rsid w:val="00797F1C"/>
    <w:rsid w:val="007A005C"/>
    <w:rsid w:val="007A0184"/>
    <w:rsid w:val="007A15E5"/>
    <w:rsid w:val="007A165A"/>
    <w:rsid w:val="007A169D"/>
    <w:rsid w:val="007A1890"/>
    <w:rsid w:val="007A19E8"/>
    <w:rsid w:val="007A1C6B"/>
    <w:rsid w:val="007A27F6"/>
    <w:rsid w:val="007A2C28"/>
    <w:rsid w:val="007A31FF"/>
    <w:rsid w:val="007A41BC"/>
    <w:rsid w:val="007A4492"/>
    <w:rsid w:val="007A4DAE"/>
    <w:rsid w:val="007A5FCD"/>
    <w:rsid w:val="007A670B"/>
    <w:rsid w:val="007A7AD0"/>
    <w:rsid w:val="007B005A"/>
    <w:rsid w:val="007B1412"/>
    <w:rsid w:val="007B1B49"/>
    <w:rsid w:val="007B2705"/>
    <w:rsid w:val="007B2F62"/>
    <w:rsid w:val="007B325F"/>
    <w:rsid w:val="007B3DB9"/>
    <w:rsid w:val="007B40CA"/>
    <w:rsid w:val="007B462F"/>
    <w:rsid w:val="007B5128"/>
    <w:rsid w:val="007B52B7"/>
    <w:rsid w:val="007B6297"/>
    <w:rsid w:val="007B74B1"/>
    <w:rsid w:val="007C02E4"/>
    <w:rsid w:val="007C03D4"/>
    <w:rsid w:val="007C12F7"/>
    <w:rsid w:val="007C1C41"/>
    <w:rsid w:val="007C256E"/>
    <w:rsid w:val="007C2758"/>
    <w:rsid w:val="007C2A9F"/>
    <w:rsid w:val="007C2EC2"/>
    <w:rsid w:val="007C3F5B"/>
    <w:rsid w:val="007C451E"/>
    <w:rsid w:val="007C5476"/>
    <w:rsid w:val="007C54C6"/>
    <w:rsid w:val="007C5AA8"/>
    <w:rsid w:val="007C5F58"/>
    <w:rsid w:val="007C615B"/>
    <w:rsid w:val="007C6764"/>
    <w:rsid w:val="007C6F3D"/>
    <w:rsid w:val="007C70D1"/>
    <w:rsid w:val="007D0365"/>
    <w:rsid w:val="007D057C"/>
    <w:rsid w:val="007D07BA"/>
    <w:rsid w:val="007D0A12"/>
    <w:rsid w:val="007D1C34"/>
    <w:rsid w:val="007D31A7"/>
    <w:rsid w:val="007D31D8"/>
    <w:rsid w:val="007D3EEA"/>
    <w:rsid w:val="007D40F7"/>
    <w:rsid w:val="007D515E"/>
    <w:rsid w:val="007D520D"/>
    <w:rsid w:val="007D5683"/>
    <w:rsid w:val="007E060D"/>
    <w:rsid w:val="007E07A0"/>
    <w:rsid w:val="007E08F9"/>
    <w:rsid w:val="007E0CA5"/>
    <w:rsid w:val="007E0E25"/>
    <w:rsid w:val="007E120F"/>
    <w:rsid w:val="007E158A"/>
    <w:rsid w:val="007E1DD7"/>
    <w:rsid w:val="007E20D5"/>
    <w:rsid w:val="007E29B1"/>
    <w:rsid w:val="007E2AC5"/>
    <w:rsid w:val="007E364E"/>
    <w:rsid w:val="007E3D73"/>
    <w:rsid w:val="007E49E8"/>
    <w:rsid w:val="007E4F50"/>
    <w:rsid w:val="007E5606"/>
    <w:rsid w:val="007E5C22"/>
    <w:rsid w:val="007E6448"/>
    <w:rsid w:val="007E6A85"/>
    <w:rsid w:val="007E6B40"/>
    <w:rsid w:val="007E71B9"/>
    <w:rsid w:val="007F0789"/>
    <w:rsid w:val="007F1115"/>
    <w:rsid w:val="007F1600"/>
    <w:rsid w:val="007F2731"/>
    <w:rsid w:val="007F4B0C"/>
    <w:rsid w:val="007F55E2"/>
    <w:rsid w:val="007F564F"/>
    <w:rsid w:val="007F5ABA"/>
    <w:rsid w:val="007F6003"/>
    <w:rsid w:val="007F60DF"/>
    <w:rsid w:val="007F6217"/>
    <w:rsid w:val="007F6413"/>
    <w:rsid w:val="007F6435"/>
    <w:rsid w:val="007F6CC1"/>
    <w:rsid w:val="007F75BB"/>
    <w:rsid w:val="007F7955"/>
    <w:rsid w:val="007F79F0"/>
    <w:rsid w:val="007F7BF0"/>
    <w:rsid w:val="007F7CDB"/>
    <w:rsid w:val="008009A4"/>
    <w:rsid w:val="00800C50"/>
    <w:rsid w:val="0080179C"/>
    <w:rsid w:val="00801D70"/>
    <w:rsid w:val="00802162"/>
    <w:rsid w:val="00802334"/>
    <w:rsid w:val="008023E7"/>
    <w:rsid w:val="00802A35"/>
    <w:rsid w:val="00802FF2"/>
    <w:rsid w:val="0080382D"/>
    <w:rsid w:val="00803CC0"/>
    <w:rsid w:val="008042A5"/>
    <w:rsid w:val="00804A87"/>
    <w:rsid w:val="00806D85"/>
    <w:rsid w:val="00806DBC"/>
    <w:rsid w:val="008072E5"/>
    <w:rsid w:val="008076B6"/>
    <w:rsid w:val="00810136"/>
    <w:rsid w:val="00810244"/>
    <w:rsid w:val="0081127A"/>
    <w:rsid w:val="00811425"/>
    <w:rsid w:val="00811540"/>
    <w:rsid w:val="00812504"/>
    <w:rsid w:val="00812868"/>
    <w:rsid w:val="00812D5C"/>
    <w:rsid w:val="00813133"/>
    <w:rsid w:val="00813235"/>
    <w:rsid w:val="0081383D"/>
    <w:rsid w:val="00813CC1"/>
    <w:rsid w:val="00814510"/>
    <w:rsid w:val="008145DE"/>
    <w:rsid w:val="00814C30"/>
    <w:rsid w:val="008151AA"/>
    <w:rsid w:val="008151B1"/>
    <w:rsid w:val="00815A9E"/>
    <w:rsid w:val="00815D8E"/>
    <w:rsid w:val="0081632D"/>
    <w:rsid w:val="0081670F"/>
    <w:rsid w:val="0081684E"/>
    <w:rsid w:val="008177F8"/>
    <w:rsid w:val="00817C73"/>
    <w:rsid w:val="00817FD6"/>
    <w:rsid w:val="008201BE"/>
    <w:rsid w:val="008204FA"/>
    <w:rsid w:val="00820FB8"/>
    <w:rsid w:val="00821506"/>
    <w:rsid w:val="00821558"/>
    <w:rsid w:val="00821836"/>
    <w:rsid w:val="00821E09"/>
    <w:rsid w:val="00822536"/>
    <w:rsid w:val="00822C51"/>
    <w:rsid w:val="00822FF4"/>
    <w:rsid w:val="00823D5C"/>
    <w:rsid w:val="00824275"/>
    <w:rsid w:val="00824487"/>
    <w:rsid w:val="00824B5B"/>
    <w:rsid w:val="00824D88"/>
    <w:rsid w:val="0082558A"/>
    <w:rsid w:val="00826863"/>
    <w:rsid w:val="008268DF"/>
    <w:rsid w:val="00826EAB"/>
    <w:rsid w:val="00827562"/>
    <w:rsid w:val="00830490"/>
    <w:rsid w:val="00831083"/>
    <w:rsid w:val="008317AD"/>
    <w:rsid w:val="00832A19"/>
    <w:rsid w:val="00833D64"/>
    <w:rsid w:val="00834636"/>
    <w:rsid w:val="0083687C"/>
    <w:rsid w:val="00836CE3"/>
    <w:rsid w:val="00836E69"/>
    <w:rsid w:val="008375FA"/>
    <w:rsid w:val="008404C1"/>
    <w:rsid w:val="00841812"/>
    <w:rsid w:val="00841EA7"/>
    <w:rsid w:val="00842C6B"/>
    <w:rsid w:val="00843076"/>
    <w:rsid w:val="008431DD"/>
    <w:rsid w:val="00843478"/>
    <w:rsid w:val="008439E2"/>
    <w:rsid w:val="00845645"/>
    <w:rsid w:val="00845D41"/>
    <w:rsid w:val="00846E67"/>
    <w:rsid w:val="008506BB"/>
    <w:rsid w:val="00850AEA"/>
    <w:rsid w:val="00850B4C"/>
    <w:rsid w:val="00850C7B"/>
    <w:rsid w:val="008510D4"/>
    <w:rsid w:val="00851391"/>
    <w:rsid w:val="00851679"/>
    <w:rsid w:val="008522A0"/>
    <w:rsid w:val="00853A0A"/>
    <w:rsid w:val="00853A6F"/>
    <w:rsid w:val="00854097"/>
    <w:rsid w:val="00854C8E"/>
    <w:rsid w:val="00855311"/>
    <w:rsid w:val="00856D5C"/>
    <w:rsid w:val="00857A7D"/>
    <w:rsid w:val="00857B10"/>
    <w:rsid w:val="00857CD4"/>
    <w:rsid w:val="0086024E"/>
    <w:rsid w:val="00860597"/>
    <w:rsid w:val="0086068A"/>
    <w:rsid w:val="00860763"/>
    <w:rsid w:val="008610E4"/>
    <w:rsid w:val="008612B1"/>
    <w:rsid w:val="00861C60"/>
    <w:rsid w:val="008636CA"/>
    <w:rsid w:val="00863F52"/>
    <w:rsid w:val="00864CD0"/>
    <w:rsid w:val="00864D93"/>
    <w:rsid w:val="00865652"/>
    <w:rsid w:val="0086680C"/>
    <w:rsid w:val="008675DC"/>
    <w:rsid w:val="008678BB"/>
    <w:rsid w:val="00867DD6"/>
    <w:rsid w:val="00867FA0"/>
    <w:rsid w:val="0087098D"/>
    <w:rsid w:val="00870C7B"/>
    <w:rsid w:val="00872012"/>
    <w:rsid w:val="0087253B"/>
    <w:rsid w:val="00872763"/>
    <w:rsid w:val="008731F0"/>
    <w:rsid w:val="0087334F"/>
    <w:rsid w:val="00873718"/>
    <w:rsid w:val="00873DA3"/>
    <w:rsid w:val="00874757"/>
    <w:rsid w:val="00874D1C"/>
    <w:rsid w:val="00875649"/>
    <w:rsid w:val="00875A41"/>
    <w:rsid w:val="00875BEB"/>
    <w:rsid w:val="00875F64"/>
    <w:rsid w:val="00876121"/>
    <w:rsid w:val="00876B4E"/>
    <w:rsid w:val="00877126"/>
    <w:rsid w:val="008773AD"/>
    <w:rsid w:val="00877DEB"/>
    <w:rsid w:val="00877F4F"/>
    <w:rsid w:val="00880ED3"/>
    <w:rsid w:val="00881D95"/>
    <w:rsid w:val="008824D5"/>
    <w:rsid w:val="008836C2"/>
    <w:rsid w:val="008837BB"/>
    <w:rsid w:val="00883BBC"/>
    <w:rsid w:val="00884372"/>
    <w:rsid w:val="00885945"/>
    <w:rsid w:val="00886EA0"/>
    <w:rsid w:val="008870C2"/>
    <w:rsid w:val="00887AB7"/>
    <w:rsid w:val="00887DAD"/>
    <w:rsid w:val="00890081"/>
    <w:rsid w:val="008902F7"/>
    <w:rsid w:val="0089083A"/>
    <w:rsid w:val="008911CD"/>
    <w:rsid w:val="0089159B"/>
    <w:rsid w:val="0089284E"/>
    <w:rsid w:val="00892BF6"/>
    <w:rsid w:val="00893113"/>
    <w:rsid w:val="0089338B"/>
    <w:rsid w:val="00893585"/>
    <w:rsid w:val="00893874"/>
    <w:rsid w:val="008941FA"/>
    <w:rsid w:val="00894A5D"/>
    <w:rsid w:val="00894DE8"/>
    <w:rsid w:val="00894EED"/>
    <w:rsid w:val="00895791"/>
    <w:rsid w:val="00895ABE"/>
    <w:rsid w:val="00895B66"/>
    <w:rsid w:val="008964C9"/>
    <w:rsid w:val="008A0760"/>
    <w:rsid w:val="008A0D85"/>
    <w:rsid w:val="008A27AB"/>
    <w:rsid w:val="008A3251"/>
    <w:rsid w:val="008A368D"/>
    <w:rsid w:val="008A3F67"/>
    <w:rsid w:val="008A4AE1"/>
    <w:rsid w:val="008A4E1F"/>
    <w:rsid w:val="008A5D90"/>
    <w:rsid w:val="008A5ECC"/>
    <w:rsid w:val="008A6937"/>
    <w:rsid w:val="008A740A"/>
    <w:rsid w:val="008A777A"/>
    <w:rsid w:val="008B0104"/>
    <w:rsid w:val="008B0E56"/>
    <w:rsid w:val="008B114E"/>
    <w:rsid w:val="008B209C"/>
    <w:rsid w:val="008B24A5"/>
    <w:rsid w:val="008B291F"/>
    <w:rsid w:val="008B32E1"/>
    <w:rsid w:val="008B3FB0"/>
    <w:rsid w:val="008B4093"/>
    <w:rsid w:val="008B5230"/>
    <w:rsid w:val="008B6B55"/>
    <w:rsid w:val="008B6D2C"/>
    <w:rsid w:val="008B78A7"/>
    <w:rsid w:val="008B7AF3"/>
    <w:rsid w:val="008B7DD5"/>
    <w:rsid w:val="008C0118"/>
    <w:rsid w:val="008C0685"/>
    <w:rsid w:val="008C2770"/>
    <w:rsid w:val="008C28AD"/>
    <w:rsid w:val="008C2DCE"/>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4281"/>
    <w:rsid w:val="008D42D8"/>
    <w:rsid w:val="008D4BA4"/>
    <w:rsid w:val="008D4D7C"/>
    <w:rsid w:val="008D4E75"/>
    <w:rsid w:val="008D5E0A"/>
    <w:rsid w:val="008D5E4C"/>
    <w:rsid w:val="008D6A06"/>
    <w:rsid w:val="008D790E"/>
    <w:rsid w:val="008D7ADE"/>
    <w:rsid w:val="008D7C92"/>
    <w:rsid w:val="008D7CFC"/>
    <w:rsid w:val="008D7ED7"/>
    <w:rsid w:val="008E0033"/>
    <w:rsid w:val="008E2182"/>
    <w:rsid w:val="008E2A95"/>
    <w:rsid w:val="008E2DE5"/>
    <w:rsid w:val="008E3203"/>
    <w:rsid w:val="008E335D"/>
    <w:rsid w:val="008E36A6"/>
    <w:rsid w:val="008E4AF0"/>
    <w:rsid w:val="008E4BE4"/>
    <w:rsid w:val="008E4DAE"/>
    <w:rsid w:val="008E589C"/>
    <w:rsid w:val="008E5A36"/>
    <w:rsid w:val="008E5DFE"/>
    <w:rsid w:val="008E6135"/>
    <w:rsid w:val="008E66FD"/>
    <w:rsid w:val="008E69A1"/>
    <w:rsid w:val="008E69B2"/>
    <w:rsid w:val="008E747D"/>
    <w:rsid w:val="008E76F6"/>
    <w:rsid w:val="008F0208"/>
    <w:rsid w:val="008F069D"/>
    <w:rsid w:val="008F174D"/>
    <w:rsid w:val="008F25C5"/>
    <w:rsid w:val="008F2AC5"/>
    <w:rsid w:val="008F2E7C"/>
    <w:rsid w:val="008F31A4"/>
    <w:rsid w:val="008F42F3"/>
    <w:rsid w:val="008F58F0"/>
    <w:rsid w:val="008F641D"/>
    <w:rsid w:val="008F6A1A"/>
    <w:rsid w:val="008F6A70"/>
    <w:rsid w:val="008F6E25"/>
    <w:rsid w:val="008F7148"/>
    <w:rsid w:val="008F7D31"/>
    <w:rsid w:val="0090003D"/>
    <w:rsid w:val="0090037E"/>
    <w:rsid w:val="00900B27"/>
    <w:rsid w:val="00900CCC"/>
    <w:rsid w:val="0090146C"/>
    <w:rsid w:val="00901C65"/>
    <w:rsid w:val="00901EE7"/>
    <w:rsid w:val="009022CD"/>
    <w:rsid w:val="009024AB"/>
    <w:rsid w:val="00903771"/>
    <w:rsid w:val="009039F8"/>
    <w:rsid w:val="00903D24"/>
    <w:rsid w:val="00904937"/>
    <w:rsid w:val="00905405"/>
    <w:rsid w:val="00906188"/>
    <w:rsid w:val="009063CC"/>
    <w:rsid w:val="00906704"/>
    <w:rsid w:val="00906803"/>
    <w:rsid w:val="009074CB"/>
    <w:rsid w:val="009076CC"/>
    <w:rsid w:val="00907BA8"/>
    <w:rsid w:val="00907FB6"/>
    <w:rsid w:val="009106AF"/>
    <w:rsid w:val="009109AD"/>
    <w:rsid w:val="00910B58"/>
    <w:rsid w:val="00911503"/>
    <w:rsid w:val="009116FA"/>
    <w:rsid w:val="009117B4"/>
    <w:rsid w:val="0091189F"/>
    <w:rsid w:val="009118B8"/>
    <w:rsid w:val="009121CF"/>
    <w:rsid w:val="009127F0"/>
    <w:rsid w:val="00912FF1"/>
    <w:rsid w:val="00914D32"/>
    <w:rsid w:val="00914EEC"/>
    <w:rsid w:val="0091504C"/>
    <w:rsid w:val="009153F5"/>
    <w:rsid w:val="00915810"/>
    <w:rsid w:val="00916596"/>
    <w:rsid w:val="00916E17"/>
    <w:rsid w:val="00917503"/>
    <w:rsid w:val="00917CC9"/>
    <w:rsid w:val="00917E8D"/>
    <w:rsid w:val="009200BF"/>
    <w:rsid w:val="00920F7A"/>
    <w:rsid w:val="00920FAE"/>
    <w:rsid w:val="0092105C"/>
    <w:rsid w:val="00921965"/>
    <w:rsid w:val="00921B63"/>
    <w:rsid w:val="00921E31"/>
    <w:rsid w:val="00921E43"/>
    <w:rsid w:val="00921E8A"/>
    <w:rsid w:val="009220BA"/>
    <w:rsid w:val="0092231F"/>
    <w:rsid w:val="00922944"/>
    <w:rsid w:val="00922DB5"/>
    <w:rsid w:val="00923C58"/>
    <w:rsid w:val="0092493E"/>
    <w:rsid w:val="00924A90"/>
    <w:rsid w:val="00924B2A"/>
    <w:rsid w:val="00925430"/>
    <w:rsid w:val="00926EAB"/>
    <w:rsid w:val="00927A00"/>
    <w:rsid w:val="0093017B"/>
    <w:rsid w:val="00930751"/>
    <w:rsid w:val="00930F72"/>
    <w:rsid w:val="009315E5"/>
    <w:rsid w:val="009316D3"/>
    <w:rsid w:val="009319AD"/>
    <w:rsid w:val="009324D1"/>
    <w:rsid w:val="0093298C"/>
    <w:rsid w:val="009329EB"/>
    <w:rsid w:val="00932E9B"/>
    <w:rsid w:val="00933DDF"/>
    <w:rsid w:val="0093444E"/>
    <w:rsid w:val="00934CF2"/>
    <w:rsid w:val="00934F1D"/>
    <w:rsid w:val="00935056"/>
    <w:rsid w:val="009358B5"/>
    <w:rsid w:val="00935AE6"/>
    <w:rsid w:val="00935DAE"/>
    <w:rsid w:val="00935E8B"/>
    <w:rsid w:val="009360DD"/>
    <w:rsid w:val="00936216"/>
    <w:rsid w:val="0093663B"/>
    <w:rsid w:val="00937060"/>
    <w:rsid w:val="0093766C"/>
    <w:rsid w:val="0093783C"/>
    <w:rsid w:val="00937A61"/>
    <w:rsid w:val="009410AC"/>
    <w:rsid w:val="00941D3D"/>
    <w:rsid w:val="009422DC"/>
    <w:rsid w:val="00942739"/>
    <w:rsid w:val="009427CC"/>
    <w:rsid w:val="00942A57"/>
    <w:rsid w:val="009439B3"/>
    <w:rsid w:val="00944996"/>
    <w:rsid w:val="00945BC5"/>
    <w:rsid w:val="0094600B"/>
    <w:rsid w:val="009462D3"/>
    <w:rsid w:val="009503DA"/>
    <w:rsid w:val="00950802"/>
    <w:rsid w:val="009510BF"/>
    <w:rsid w:val="00951A38"/>
    <w:rsid w:val="00952175"/>
    <w:rsid w:val="009522FA"/>
    <w:rsid w:val="009523F6"/>
    <w:rsid w:val="0095353A"/>
    <w:rsid w:val="009545B9"/>
    <w:rsid w:val="00955133"/>
    <w:rsid w:val="00955480"/>
    <w:rsid w:val="00955A20"/>
    <w:rsid w:val="00955A52"/>
    <w:rsid w:val="00955B70"/>
    <w:rsid w:val="00955BC4"/>
    <w:rsid w:val="00955C58"/>
    <w:rsid w:val="00955FD1"/>
    <w:rsid w:val="009561F9"/>
    <w:rsid w:val="009562DC"/>
    <w:rsid w:val="00957164"/>
    <w:rsid w:val="00957199"/>
    <w:rsid w:val="00957FD9"/>
    <w:rsid w:val="00960192"/>
    <w:rsid w:val="009609A6"/>
    <w:rsid w:val="00960E49"/>
    <w:rsid w:val="00961071"/>
    <w:rsid w:val="009624D8"/>
    <w:rsid w:val="00962E72"/>
    <w:rsid w:val="00963054"/>
    <w:rsid w:val="00963644"/>
    <w:rsid w:val="00963AA3"/>
    <w:rsid w:val="00963D2F"/>
    <w:rsid w:val="00963DE2"/>
    <w:rsid w:val="0096476E"/>
    <w:rsid w:val="009649B2"/>
    <w:rsid w:val="00965546"/>
    <w:rsid w:val="00966217"/>
    <w:rsid w:val="009668F3"/>
    <w:rsid w:val="00966C32"/>
    <w:rsid w:val="0096772E"/>
    <w:rsid w:val="00970041"/>
    <w:rsid w:val="00970BAA"/>
    <w:rsid w:val="0097203C"/>
    <w:rsid w:val="00972511"/>
    <w:rsid w:val="0097274F"/>
    <w:rsid w:val="00972EB6"/>
    <w:rsid w:val="00973438"/>
    <w:rsid w:val="0097363A"/>
    <w:rsid w:val="00973D85"/>
    <w:rsid w:val="00974095"/>
    <w:rsid w:val="0097411B"/>
    <w:rsid w:val="0097445B"/>
    <w:rsid w:val="009754C9"/>
    <w:rsid w:val="00975889"/>
    <w:rsid w:val="0097601C"/>
    <w:rsid w:val="00976A5F"/>
    <w:rsid w:val="00977585"/>
    <w:rsid w:val="009776A0"/>
    <w:rsid w:val="00977F43"/>
    <w:rsid w:val="00980B4E"/>
    <w:rsid w:val="00981182"/>
    <w:rsid w:val="009817AE"/>
    <w:rsid w:val="00982078"/>
    <w:rsid w:val="009820AC"/>
    <w:rsid w:val="00982226"/>
    <w:rsid w:val="0098251F"/>
    <w:rsid w:val="00982727"/>
    <w:rsid w:val="00982B7C"/>
    <w:rsid w:val="00982FEB"/>
    <w:rsid w:val="009833CB"/>
    <w:rsid w:val="00983540"/>
    <w:rsid w:val="0098424B"/>
    <w:rsid w:val="009844C6"/>
    <w:rsid w:val="00985688"/>
    <w:rsid w:val="00985FFA"/>
    <w:rsid w:val="009860D8"/>
    <w:rsid w:val="009863D8"/>
    <w:rsid w:val="00986422"/>
    <w:rsid w:val="00986453"/>
    <w:rsid w:val="009868CE"/>
    <w:rsid w:val="00986A3A"/>
    <w:rsid w:val="00986A4F"/>
    <w:rsid w:val="00987278"/>
    <w:rsid w:val="00990854"/>
    <w:rsid w:val="00991C65"/>
    <w:rsid w:val="009922A2"/>
    <w:rsid w:val="00992598"/>
    <w:rsid w:val="00992AC2"/>
    <w:rsid w:val="0099336A"/>
    <w:rsid w:val="00993790"/>
    <w:rsid w:val="00993E8E"/>
    <w:rsid w:val="00994137"/>
    <w:rsid w:val="00994533"/>
    <w:rsid w:val="009951F1"/>
    <w:rsid w:val="0099629C"/>
    <w:rsid w:val="00996A0B"/>
    <w:rsid w:val="00997677"/>
    <w:rsid w:val="009A07FB"/>
    <w:rsid w:val="009A07FF"/>
    <w:rsid w:val="009A0FE5"/>
    <w:rsid w:val="009A1301"/>
    <w:rsid w:val="009A1C2E"/>
    <w:rsid w:val="009A2098"/>
    <w:rsid w:val="009A20FD"/>
    <w:rsid w:val="009A31FB"/>
    <w:rsid w:val="009A3A2C"/>
    <w:rsid w:val="009A3AEA"/>
    <w:rsid w:val="009A419B"/>
    <w:rsid w:val="009A45A5"/>
    <w:rsid w:val="009A4D6F"/>
    <w:rsid w:val="009A57F6"/>
    <w:rsid w:val="009A65CC"/>
    <w:rsid w:val="009A718E"/>
    <w:rsid w:val="009A7822"/>
    <w:rsid w:val="009B03FC"/>
    <w:rsid w:val="009B12F4"/>
    <w:rsid w:val="009B143D"/>
    <w:rsid w:val="009B1A2E"/>
    <w:rsid w:val="009B1BDE"/>
    <w:rsid w:val="009B1C15"/>
    <w:rsid w:val="009B27ED"/>
    <w:rsid w:val="009B380C"/>
    <w:rsid w:val="009B393D"/>
    <w:rsid w:val="009B3BC6"/>
    <w:rsid w:val="009B3FC7"/>
    <w:rsid w:val="009B431C"/>
    <w:rsid w:val="009B467A"/>
    <w:rsid w:val="009B49BC"/>
    <w:rsid w:val="009B51DF"/>
    <w:rsid w:val="009B5953"/>
    <w:rsid w:val="009B5EC8"/>
    <w:rsid w:val="009B5ECA"/>
    <w:rsid w:val="009B6DBA"/>
    <w:rsid w:val="009B6DFF"/>
    <w:rsid w:val="009B7831"/>
    <w:rsid w:val="009B7837"/>
    <w:rsid w:val="009B7C15"/>
    <w:rsid w:val="009C05D7"/>
    <w:rsid w:val="009C069D"/>
    <w:rsid w:val="009C07BE"/>
    <w:rsid w:val="009C1776"/>
    <w:rsid w:val="009C1D3F"/>
    <w:rsid w:val="009C1FAA"/>
    <w:rsid w:val="009C2302"/>
    <w:rsid w:val="009C28C7"/>
    <w:rsid w:val="009C2959"/>
    <w:rsid w:val="009C29BE"/>
    <w:rsid w:val="009C31D7"/>
    <w:rsid w:val="009C3250"/>
    <w:rsid w:val="009C34F5"/>
    <w:rsid w:val="009C373D"/>
    <w:rsid w:val="009C3CFB"/>
    <w:rsid w:val="009C4DA1"/>
    <w:rsid w:val="009C5379"/>
    <w:rsid w:val="009C5A0D"/>
    <w:rsid w:val="009C5E9B"/>
    <w:rsid w:val="009C5F12"/>
    <w:rsid w:val="009C662D"/>
    <w:rsid w:val="009C6F20"/>
    <w:rsid w:val="009C6FA8"/>
    <w:rsid w:val="009C7546"/>
    <w:rsid w:val="009C7970"/>
    <w:rsid w:val="009C7C9E"/>
    <w:rsid w:val="009C7E5D"/>
    <w:rsid w:val="009D012A"/>
    <w:rsid w:val="009D0463"/>
    <w:rsid w:val="009D061A"/>
    <w:rsid w:val="009D07A0"/>
    <w:rsid w:val="009D0AEA"/>
    <w:rsid w:val="009D0B6F"/>
    <w:rsid w:val="009D1194"/>
    <w:rsid w:val="009D1209"/>
    <w:rsid w:val="009D1222"/>
    <w:rsid w:val="009D29AD"/>
    <w:rsid w:val="009D30DD"/>
    <w:rsid w:val="009D34E9"/>
    <w:rsid w:val="009D386C"/>
    <w:rsid w:val="009D4756"/>
    <w:rsid w:val="009D4D87"/>
    <w:rsid w:val="009D610A"/>
    <w:rsid w:val="009D6D5B"/>
    <w:rsid w:val="009D779E"/>
    <w:rsid w:val="009D7E20"/>
    <w:rsid w:val="009E03EA"/>
    <w:rsid w:val="009E0623"/>
    <w:rsid w:val="009E095E"/>
    <w:rsid w:val="009E0D67"/>
    <w:rsid w:val="009E1651"/>
    <w:rsid w:val="009E16A0"/>
    <w:rsid w:val="009E1895"/>
    <w:rsid w:val="009E1A1C"/>
    <w:rsid w:val="009E1E47"/>
    <w:rsid w:val="009E245B"/>
    <w:rsid w:val="009E2586"/>
    <w:rsid w:val="009E28DD"/>
    <w:rsid w:val="009E2C2B"/>
    <w:rsid w:val="009E2DC9"/>
    <w:rsid w:val="009E306B"/>
    <w:rsid w:val="009E31E9"/>
    <w:rsid w:val="009E3DB8"/>
    <w:rsid w:val="009E5ACE"/>
    <w:rsid w:val="009E6D94"/>
    <w:rsid w:val="009E74ED"/>
    <w:rsid w:val="009E7E38"/>
    <w:rsid w:val="009F0891"/>
    <w:rsid w:val="009F0945"/>
    <w:rsid w:val="009F118C"/>
    <w:rsid w:val="009F11F3"/>
    <w:rsid w:val="009F1C35"/>
    <w:rsid w:val="009F1E24"/>
    <w:rsid w:val="009F2C7C"/>
    <w:rsid w:val="009F3E4B"/>
    <w:rsid w:val="009F51CC"/>
    <w:rsid w:val="009F5448"/>
    <w:rsid w:val="009F6394"/>
    <w:rsid w:val="009F6826"/>
    <w:rsid w:val="009F6E53"/>
    <w:rsid w:val="009F7C6F"/>
    <w:rsid w:val="00A00078"/>
    <w:rsid w:val="00A007FC"/>
    <w:rsid w:val="00A00850"/>
    <w:rsid w:val="00A01419"/>
    <w:rsid w:val="00A01428"/>
    <w:rsid w:val="00A025A1"/>
    <w:rsid w:val="00A02A3A"/>
    <w:rsid w:val="00A02C1A"/>
    <w:rsid w:val="00A034DD"/>
    <w:rsid w:val="00A0412D"/>
    <w:rsid w:val="00A04682"/>
    <w:rsid w:val="00A04DDD"/>
    <w:rsid w:val="00A06797"/>
    <w:rsid w:val="00A067ED"/>
    <w:rsid w:val="00A06941"/>
    <w:rsid w:val="00A07167"/>
    <w:rsid w:val="00A073DA"/>
    <w:rsid w:val="00A07C7C"/>
    <w:rsid w:val="00A100AA"/>
    <w:rsid w:val="00A119AC"/>
    <w:rsid w:val="00A11C35"/>
    <w:rsid w:val="00A11E71"/>
    <w:rsid w:val="00A126A2"/>
    <w:rsid w:val="00A13093"/>
    <w:rsid w:val="00A139E0"/>
    <w:rsid w:val="00A14B2F"/>
    <w:rsid w:val="00A1515F"/>
    <w:rsid w:val="00A153FD"/>
    <w:rsid w:val="00A15580"/>
    <w:rsid w:val="00A15931"/>
    <w:rsid w:val="00A15B9D"/>
    <w:rsid w:val="00A16AF4"/>
    <w:rsid w:val="00A16C28"/>
    <w:rsid w:val="00A176FF"/>
    <w:rsid w:val="00A208EC"/>
    <w:rsid w:val="00A20FD3"/>
    <w:rsid w:val="00A211AD"/>
    <w:rsid w:val="00A21265"/>
    <w:rsid w:val="00A21B51"/>
    <w:rsid w:val="00A21FA3"/>
    <w:rsid w:val="00A227A6"/>
    <w:rsid w:val="00A22939"/>
    <w:rsid w:val="00A236A9"/>
    <w:rsid w:val="00A23E53"/>
    <w:rsid w:val="00A23F09"/>
    <w:rsid w:val="00A2408C"/>
    <w:rsid w:val="00A248FF"/>
    <w:rsid w:val="00A25438"/>
    <w:rsid w:val="00A261E9"/>
    <w:rsid w:val="00A266B1"/>
    <w:rsid w:val="00A2690E"/>
    <w:rsid w:val="00A26B37"/>
    <w:rsid w:val="00A26E28"/>
    <w:rsid w:val="00A26F37"/>
    <w:rsid w:val="00A278AE"/>
    <w:rsid w:val="00A27CF5"/>
    <w:rsid w:val="00A30030"/>
    <w:rsid w:val="00A3079D"/>
    <w:rsid w:val="00A30B5B"/>
    <w:rsid w:val="00A317E9"/>
    <w:rsid w:val="00A3245D"/>
    <w:rsid w:val="00A32521"/>
    <w:rsid w:val="00A325A6"/>
    <w:rsid w:val="00A33890"/>
    <w:rsid w:val="00A33BCA"/>
    <w:rsid w:val="00A3401D"/>
    <w:rsid w:val="00A34BAE"/>
    <w:rsid w:val="00A34CBE"/>
    <w:rsid w:val="00A35B55"/>
    <w:rsid w:val="00A36B68"/>
    <w:rsid w:val="00A37A2A"/>
    <w:rsid w:val="00A41399"/>
    <w:rsid w:val="00A414B6"/>
    <w:rsid w:val="00A430F8"/>
    <w:rsid w:val="00A4337A"/>
    <w:rsid w:val="00A4350C"/>
    <w:rsid w:val="00A439EA"/>
    <w:rsid w:val="00A43A83"/>
    <w:rsid w:val="00A43C45"/>
    <w:rsid w:val="00A4529D"/>
    <w:rsid w:val="00A45A53"/>
    <w:rsid w:val="00A45A96"/>
    <w:rsid w:val="00A45C57"/>
    <w:rsid w:val="00A463C8"/>
    <w:rsid w:val="00A46B9E"/>
    <w:rsid w:val="00A47065"/>
    <w:rsid w:val="00A47206"/>
    <w:rsid w:val="00A474C4"/>
    <w:rsid w:val="00A50674"/>
    <w:rsid w:val="00A51A52"/>
    <w:rsid w:val="00A51BCA"/>
    <w:rsid w:val="00A5280C"/>
    <w:rsid w:val="00A52DD1"/>
    <w:rsid w:val="00A52ED7"/>
    <w:rsid w:val="00A530C2"/>
    <w:rsid w:val="00A5313D"/>
    <w:rsid w:val="00A53166"/>
    <w:rsid w:val="00A5343B"/>
    <w:rsid w:val="00A538C9"/>
    <w:rsid w:val="00A54561"/>
    <w:rsid w:val="00A55EF0"/>
    <w:rsid w:val="00A565A5"/>
    <w:rsid w:val="00A574EC"/>
    <w:rsid w:val="00A6001E"/>
    <w:rsid w:val="00A609D0"/>
    <w:rsid w:val="00A60AC1"/>
    <w:rsid w:val="00A60F61"/>
    <w:rsid w:val="00A614FB"/>
    <w:rsid w:val="00A62581"/>
    <w:rsid w:val="00A62E52"/>
    <w:rsid w:val="00A62E67"/>
    <w:rsid w:val="00A62EFF"/>
    <w:rsid w:val="00A63A9F"/>
    <w:rsid w:val="00A644AC"/>
    <w:rsid w:val="00A645BE"/>
    <w:rsid w:val="00A650C1"/>
    <w:rsid w:val="00A654DA"/>
    <w:rsid w:val="00A6553F"/>
    <w:rsid w:val="00A65F72"/>
    <w:rsid w:val="00A66181"/>
    <w:rsid w:val="00A66487"/>
    <w:rsid w:val="00A666A9"/>
    <w:rsid w:val="00A67454"/>
    <w:rsid w:val="00A67A87"/>
    <w:rsid w:val="00A70B52"/>
    <w:rsid w:val="00A70CC2"/>
    <w:rsid w:val="00A70E8A"/>
    <w:rsid w:val="00A7321C"/>
    <w:rsid w:val="00A732B5"/>
    <w:rsid w:val="00A734C4"/>
    <w:rsid w:val="00A73AC1"/>
    <w:rsid w:val="00A73B5C"/>
    <w:rsid w:val="00A74662"/>
    <w:rsid w:val="00A746B7"/>
    <w:rsid w:val="00A75CD5"/>
    <w:rsid w:val="00A77A69"/>
    <w:rsid w:val="00A8089F"/>
    <w:rsid w:val="00A80A6E"/>
    <w:rsid w:val="00A80ECA"/>
    <w:rsid w:val="00A811FF"/>
    <w:rsid w:val="00A815A5"/>
    <w:rsid w:val="00A81753"/>
    <w:rsid w:val="00A81B67"/>
    <w:rsid w:val="00A81DD1"/>
    <w:rsid w:val="00A826EA"/>
    <w:rsid w:val="00A828B2"/>
    <w:rsid w:val="00A829A9"/>
    <w:rsid w:val="00A84460"/>
    <w:rsid w:val="00A84ACE"/>
    <w:rsid w:val="00A85274"/>
    <w:rsid w:val="00A85BCE"/>
    <w:rsid w:val="00A8626D"/>
    <w:rsid w:val="00A86542"/>
    <w:rsid w:val="00A86C03"/>
    <w:rsid w:val="00A8720A"/>
    <w:rsid w:val="00A876BB"/>
    <w:rsid w:val="00A87C14"/>
    <w:rsid w:val="00A901BB"/>
    <w:rsid w:val="00A909AF"/>
    <w:rsid w:val="00A90E13"/>
    <w:rsid w:val="00A913B0"/>
    <w:rsid w:val="00A91969"/>
    <w:rsid w:val="00A919EB"/>
    <w:rsid w:val="00A91A29"/>
    <w:rsid w:val="00A92AAE"/>
    <w:rsid w:val="00A92AFF"/>
    <w:rsid w:val="00A934C2"/>
    <w:rsid w:val="00A93CEB"/>
    <w:rsid w:val="00A957E0"/>
    <w:rsid w:val="00A95995"/>
    <w:rsid w:val="00A95EA8"/>
    <w:rsid w:val="00A961AA"/>
    <w:rsid w:val="00A96E3C"/>
    <w:rsid w:val="00A97264"/>
    <w:rsid w:val="00A9733B"/>
    <w:rsid w:val="00AA0075"/>
    <w:rsid w:val="00AA0469"/>
    <w:rsid w:val="00AA06B8"/>
    <w:rsid w:val="00AA142B"/>
    <w:rsid w:val="00AA18A7"/>
    <w:rsid w:val="00AA233D"/>
    <w:rsid w:val="00AA2428"/>
    <w:rsid w:val="00AA250B"/>
    <w:rsid w:val="00AA26C6"/>
    <w:rsid w:val="00AA2BC6"/>
    <w:rsid w:val="00AA37E3"/>
    <w:rsid w:val="00AA41F0"/>
    <w:rsid w:val="00AA4732"/>
    <w:rsid w:val="00AA4ECA"/>
    <w:rsid w:val="00AA5E60"/>
    <w:rsid w:val="00AA65F4"/>
    <w:rsid w:val="00AA670A"/>
    <w:rsid w:val="00AA7849"/>
    <w:rsid w:val="00AB0937"/>
    <w:rsid w:val="00AB1242"/>
    <w:rsid w:val="00AB15BD"/>
    <w:rsid w:val="00AB20EA"/>
    <w:rsid w:val="00AB2292"/>
    <w:rsid w:val="00AB2903"/>
    <w:rsid w:val="00AB31EA"/>
    <w:rsid w:val="00AB3E57"/>
    <w:rsid w:val="00AB4420"/>
    <w:rsid w:val="00AB4A0D"/>
    <w:rsid w:val="00AB4C02"/>
    <w:rsid w:val="00AB4C38"/>
    <w:rsid w:val="00AB4C50"/>
    <w:rsid w:val="00AB4E9C"/>
    <w:rsid w:val="00AB5DFB"/>
    <w:rsid w:val="00AB624C"/>
    <w:rsid w:val="00AB6AAD"/>
    <w:rsid w:val="00AB746E"/>
    <w:rsid w:val="00AB78A9"/>
    <w:rsid w:val="00AC11EC"/>
    <w:rsid w:val="00AC2841"/>
    <w:rsid w:val="00AC286F"/>
    <w:rsid w:val="00AC2929"/>
    <w:rsid w:val="00AC2E3B"/>
    <w:rsid w:val="00AC31E5"/>
    <w:rsid w:val="00AC3669"/>
    <w:rsid w:val="00AC4C56"/>
    <w:rsid w:val="00AC52C9"/>
    <w:rsid w:val="00AC54F9"/>
    <w:rsid w:val="00AC752D"/>
    <w:rsid w:val="00AD0494"/>
    <w:rsid w:val="00AD0BDD"/>
    <w:rsid w:val="00AD262F"/>
    <w:rsid w:val="00AD3311"/>
    <w:rsid w:val="00AD3F06"/>
    <w:rsid w:val="00AD445B"/>
    <w:rsid w:val="00AD4B8F"/>
    <w:rsid w:val="00AD5094"/>
    <w:rsid w:val="00AD52C3"/>
    <w:rsid w:val="00AD5A0A"/>
    <w:rsid w:val="00AD6417"/>
    <w:rsid w:val="00AD67E3"/>
    <w:rsid w:val="00AD6809"/>
    <w:rsid w:val="00AD7626"/>
    <w:rsid w:val="00AE08A8"/>
    <w:rsid w:val="00AE0A9C"/>
    <w:rsid w:val="00AE0B85"/>
    <w:rsid w:val="00AE0F1D"/>
    <w:rsid w:val="00AE0F29"/>
    <w:rsid w:val="00AE1143"/>
    <w:rsid w:val="00AE1911"/>
    <w:rsid w:val="00AE20E2"/>
    <w:rsid w:val="00AE2B06"/>
    <w:rsid w:val="00AE3FFB"/>
    <w:rsid w:val="00AE488B"/>
    <w:rsid w:val="00AE4C32"/>
    <w:rsid w:val="00AE4EEA"/>
    <w:rsid w:val="00AE6E1B"/>
    <w:rsid w:val="00AE745D"/>
    <w:rsid w:val="00AE7503"/>
    <w:rsid w:val="00AF10A8"/>
    <w:rsid w:val="00AF1663"/>
    <w:rsid w:val="00AF1CC2"/>
    <w:rsid w:val="00AF1CCB"/>
    <w:rsid w:val="00AF23ED"/>
    <w:rsid w:val="00AF39E1"/>
    <w:rsid w:val="00AF3AED"/>
    <w:rsid w:val="00AF3E79"/>
    <w:rsid w:val="00AF4207"/>
    <w:rsid w:val="00AF4982"/>
    <w:rsid w:val="00AF54E5"/>
    <w:rsid w:val="00AF5F98"/>
    <w:rsid w:val="00AF61AA"/>
    <w:rsid w:val="00AF74E8"/>
    <w:rsid w:val="00AF787B"/>
    <w:rsid w:val="00AF7943"/>
    <w:rsid w:val="00AF7BEB"/>
    <w:rsid w:val="00B00698"/>
    <w:rsid w:val="00B015E5"/>
    <w:rsid w:val="00B016B2"/>
    <w:rsid w:val="00B0281B"/>
    <w:rsid w:val="00B02EFC"/>
    <w:rsid w:val="00B04210"/>
    <w:rsid w:val="00B04B59"/>
    <w:rsid w:val="00B04E0F"/>
    <w:rsid w:val="00B0505F"/>
    <w:rsid w:val="00B0524C"/>
    <w:rsid w:val="00B0548B"/>
    <w:rsid w:val="00B057CD"/>
    <w:rsid w:val="00B06358"/>
    <w:rsid w:val="00B069F1"/>
    <w:rsid w:val="00B07234"/>
    <w:rsid w:val="00B07758"/>
    <w:rsid w:val="00B07BA6"/>
    <w:rsid w:val="00B102CB"/>
    <w:rsid w:val="00B10E73"/>
    <w:rsid w:val="00B11454"/>
    <w:rsid w:val="00B12300"/>
    <w:rsid w:val="00B1244C"/>
    <w:rsid w:val="00B127E2"/>
    <w:rsid w:val="00B12B3B"/>
    <w:rsid w:val="00B12EAB"/>
    <w:rsid w:val="00B12F03"/>
    <w:rsid w:val="00B13E57"/>
    <w:rsid w:val="00B14509"/>
    <w:rsid w:val="00B148CA"/>
    <w:rsid w:val="00B14D10"/>
    <w:rsid w:val="00B15277"/>
    <w:rsid w:val="00B15430"/>
    <w:rsid w:val="00B15459"/>
    <w:rsid w:val="00B155B0"/>
    <w:rsid w:val="00B15B92"/>
    <w:rsid w:val="00B15D65"/>
    <w:rsid w:val="00B16148"/>
    <w:rsid w:val="00B1646F"/>
    <w:rsid w:val="00B16546"/>
    <w:rsid w:val="00B16839"/>
    <w:rsid w:val="00B168A7"/>
    <w:rsid w:val="00B16A79"/>
    <w:rsid w:val="00B16D08"/>
    <w:rsid w:val="00B16D67"/>
    <w:rsid w:val="00B17046"/>
    <w:rsid w:val="00B209A6"/>
    <w:rsid w:val="00B2241B"/>
    <w:rsid w:val="00B22745"/>
    <w:rsid w:val="00B22B7F"/>
    <w:rsid w:val="00B2301F"/>
    <w:rsid w:val="00B230E2"/>
    <w:rsid w:val="00B24252"/>
    <w:rsid w:val="00B243D7"/>
    <w:rsid w:val="00B24C89"/>
    <w:rsid w:val="00B25106"/>
    <w:rsid w:val="00B25D17"/>
    <w:rsid w:val="00B26121"/>
    <w:rsid w:val="00B26691"/>
    <w:rsid w:val="00B26BD7"/>
    <w:rsid w:val="00B30B30"/>
    <w:rsid w:val="00B31440"/>
    <w:rsid w:val="00B31D35"/>
    <w:rsid w:val="00B31F03"/>
    <w:rsid w:val="00B3273E"/>
    <w:rsid w:val="00B337AB"/>
    <w:rsid w:val="00B340E0"/>
    <w:rsid w:val="00B34F41"/>
    <w:rsid w:val="00B363A5"/>
    <w:rsid w:val="00B37ADB"/>
    <w:rsid w:val="00B37E42"/>
    <w:rsid w:val="00B40358"/>
    <w:rsid w:val="00B40431"/>
    <w:rsid w:val="00B40EDE"/>
    <w:rsid w:val="00B4185F"/>
    <w:rsid w:val="00B4198E"/>
    <w:rsid w:val="00B4218F"/>
    <w:rsid w:val="00B425A3"/>
    <w:rsid w:val="00B4268C"/>
    <w:rsid w:val="00B42BA5"/>
    <w:rsid w:val="00B42D5F"/>
    <w:rsid w:val="00B4365B"/>
    <w:rsid w:val="00B442C7"/>
    <w:rsid w:val="00B44C52"/>
    <w:rsid w:val="00B4578B"/>
    <w:rsid w:val="00B46296"/>
    <w:rsid w:val="00B479E9"/>
    <w:rsid w:val="00B50761"/>
    <w:rsid w:val="00B50872"/>
    <w:rsid w:val="00B51A5F"/>
    <w:rsid w:val="00B5222B"/>
    <w:rsid w:val="00B524B6"/>
    <w:rsid w:val="00B53566"/>
    <w:rsid w:val="00B536FC"/>
    <w:rsid w:val="00B53B7B"/>
    <w:rsid w:val="00B53BF9"/>
    <w:rsid w:val="00B55D6B"/>
    <w:rsid w:val="00B55D92"/>
    <w:rsid w:val="00B56336"/>
    <w:rsid w:val="00B563D4"/>
    <w:rsid w:val="00B5659A"/>
    <w:rsid w:val="00B56AA0"/>
    <w:rsid w:val="00B56F0C"/>
    <w:rsid w:val="00B606C2"/>
    <w:rsid w:val="00B60A53"/>
    <w:rsid w:val="00B61D74"/>
    <w:rsid w:val="00B61DD5"/>
    <w:rsid w:val="00B621D6"/>
    <w:rsid w:val="00B622EF"/>
    <w:rsid w:val="00B62618"/>
    <w:rsid w:val="00B62691"/>
    <w:rsid w:val="00B627EA"/>
    <w:rsid w:val="00B650C7"/>
    <w:rsid w:val="00B6549F"/>
    <w:rsid w:val="00B65805"/>
    <w:rsid w:val="00B667A8"/>
    <w:rsid w:val="00B675A8"/>
    <w:rsid w:val="00B67948"/>
    <w:rsid w:val="00B703E9"/>
    <w:rsid w:val="00B705CD"/>
    <w:rsid w:val="00B71057"/>
    <w:rsid w:val="00B7162D"/>
    <w:rsid w:val="00B72C0C"/>
    <w:rsid w:val="00B72C8D"/>
    <w:rsid w:val="00B730E0"/>
    <w:rsid w:val="00B74B3F"/>
    <w:rsid w:val="00B74C8B"/>
    <w:rsid w:val="00B7686E"/>
    <w:rsid w:val="00B76CCE"/>
    <w:rsid w:val="00B77DE2"/>
    <w:rsid w:val="00B77F9B"/>
    <w:rsid w:val="00B80950"/>
    <w:rsid w:val="00B810DC"/>
    <w:rsid w:val="00B81226"/>
    <w:rsid w:val="00B81CCB"/>
    <w:rsid w:val="00B8207F"/>
    <w:rsid w:val="00B8281F"/>
    <w:rsid w:val="00B82B4F"/>
    <w:rsid w:val="00B82B92"/>
    <w:rsid w:val="00B8442F"/>
    <w:rsid w:val="00B8488D"/>
    <w:rsid w:val="00B8503E"/>
    <w:rsid w:val="00B8507F"/>
    <w:rsid w:val="00B8536E"/>
    <w:rsid w:val="00B856AE"/>
    <w:rsid w:val="00B85888"/>
    <w:rsid w:val="00B8595C"/>
    <w:rsid w:val="00B8705E"/>
    <w:rsid w:val="00B874E3"/>
    <w:rsid w:val="00B87636"/>
    <w:rsid w:val="00B87703"/>
    <w:rsid w:val="00B9043E"/>
    <w:rsid w:val="00B90606"/>
    <w:rsid w:val="00B91A47"/>
    <w:rsid w:val="00B923FB"/>
    <w:rsid w:val="00B930C2"/>
    <w:rsid w:val="00B9605E"/>
    <w:rsid w:val="00B96244"/>
    <w:rsid w:val="00B96292"/>
    <w:rsid w:val="00B97016"/>
    <w:rsid w:val="00B97148"/>
    <w:rsid w:val="00B97154"/>
    <w:rsid w:val="00B97F59"/>
    <w:rsid w:val="00B97FDE"/>
    <w:rsid w:val="00BA150A"/>
    <w:rsid w:val="00BA1BF4"/>
    <w:rsid w:val="00BA203B"/>
    <w:rsid w:val="00BA25F5"/>
    <w:rsid w:val="00BA3188"/>
    <w:rsid w:val="00BA389E"/>
    <w:rsid w:val="00BA434C"/>
    <w:rsid w:val="00BA4556"/>
    <w:rsid w:val="00BA4D58"/>
    <w:rsid w:val="00BA4E46"/>
    <w:rsid w:val="00BA5CE4"/>
    <w:rsid w:val="00BA61BF"/>
    <w:rsid w:val="00BA6C53"/>
    <w:rsid w:val="00BA6DAD"/>
    <w:rsid w:val="00BA6F7D"/>
    <w:rsid w:val="00BA7826"/>
    <w:rsid w:val="00BA782B"/>
    <w:rsid w:val="00BA7987"/>
    <w:rsid w:val="00BA7EE6"/>
    <w:rsid w:val="00BB0597"/>
    <w:rsid w:val="00BB09E6"/>
    <w:rsid w:val="00BB0BF3"/>
    <w:rsid w:val="00BB0FD8"/>
    <w:rsid w:val="00BB18C5"/>
    <w:rsid w:val="00BB1F60"/>
    <w:rsid w:val="00BB240B"/>
    <w:rsid w:val="00BB2CB9"/>
    <w:rsid w:val="00BB3370"/>
    <w:rsid w:val="00BB40F4"/>
    <w:rsid w:val="00BB4BED"/>
    <w:rsid w:val="00BB4BF2"/>
    <w:rsid w:val="00BB5314"/>
    <w:rsid w:val="00BB58F1"/>
    <w:rsid w:val="00BB5CB8"/>
    <w:rsid w:val="00BB5DCB"/>
    <w:rsid w:val="00BB62E1"/>
    <w:rsid w:val="00BB6519"/>
    <w:rsid w:val="00BB6766"/>
    <w:rsid w:val="00BB71FD"/>
    <w:rsid w:val="00BC09B1"/>
    <w:rsid w:val="00BC0F98"/>
    <w:rsid w:val="00BC0FBC"/>
    <w:rsid w:val="00BC11DE"/>
    <w:rsid w:val="00BC19F4"/>
    <w:rsid w:val="00BC1BB3"/>
    <w:rsid w:val="00BC219E"/>
    <w:rsid w:val="00BC3EF3"/>
    <w:rsid w:val="00BC4976"/>
    <w:rsid w:val="00BC4C7F"/>
    <w:rsid w:val="00BC51EA"/>
    <w:rsid w:val="00BC5EA0"/>
    <w:rsid w:val="00BC6088"/>
    <w:rsid w:val="00BC677E"/>
    <w:rsid w:val="00BC6A93"/>
    <w:rsid w:val="00BC6F10"/>
    <w:rsid w:val="00BD0E41"/>
    <w:rsid w:val="00BD11FB"/>
    <w:rsid w:val="00BD222F"/>
    <w:rsid w:val="00BD247E"/>
    <w:rsid w:val="00BD254B"/>
    <w:rsid w:val="00BD2A84"/>
    <w:rsid w:val="00BD358A"/>
    <w:rsid w:val="00BD359E"/>
    <w:rsid w:val="00BD3606"/>
    <w:rsid w:val="00BD444A"/>
    <w:rsid w:val="00BD4D15"/>
    <w:rsid w:val="00BD506F"/>
    <w:rsid w:val="00BD6438"/>
    <w:rsid w:val="00BD6F39"/>
    <w:rsid w:val="00BD7280"/>
    <w:rsid w:val="00BD7B72"/>
    <w:rsid w:val="00BE00F5"/>
    <w:rsid w:val="00BE02D5"/>
    <w:rsid w:val="00BE0914"/>
    <w:rsid w:val="00BE0ED6"/>
    <w:rsid w:val="00BE1807"/>
    <w:rsid w:val="00BE1A9F"/>
    <w:rsid w:val="00BE1C87"/>
    <w:rsid w:val="00BE1EDD"/>
    <w:rsid w:val="00BE3596"/>
    <w:rsid w:val="00BE36F4"/>
    <w:rsid w:val="00BE48B6"/>
    <w:rsid w:val="00BE498E"/>
    <w:rsid w:val="00BE5084"/>
    <w:rsid w:val="00BE51A0"/>
    <w:rsid w:val="00BE5380"/>
    <w:rsid w:val="00BE564D"/>
    <w:rsid w:val="00BE5EBB"/>
    <w:rsid w:val="00BE5FAD"/>
    <w:rsid w:val="00BE6AD9"/>
    <w:rsid w:val="00BE7C32"/>
    <w:rsid w:val="00BF066B"/>
    <w:rsid w:val="00BF0C0F"/>
    <w:rsid w:val="00BF0C59"/>
    <w:rsid w:val="00BF0FA7"/>
    <w:rsid w:val="00BF18A1"/>
    <w:rsid w:val="00BF1B62"/>
    <w:rsid w:val="00BF2076"/>
    <w:rsid w:val="00BF218C"/>
    <w:rsid w:val="00BF25B6"/>
    <w:rsid w:val="00BF288C"/>
    <w:rsid w:val="00BF3B65"/>
    <w:rsid w:val="00BF4951"/>
    <w:rsid w:val="00BF4A1F"/>
    <w:rsid w:val="00BF57A5"/>
    <w:rsid w:val="00BF5F26"/>
    <w:rsid w:val="00BF6466"/>
    <w:rsid w:val="00BF77AE"/>
    <w:rsid w:val="00BF7CCD"/>
    <w:rsid w:val="00BF7D27"/>
    <w:rsid w:val="00BF7D99"/>
    <w:rsid w:val="00BF7EBB"/>
    <w:rsid w:val="00C0082A"/>
    <w:rsid w:val="00C0116C"/>
    <w:rsid w:val="00C0136B"/>
    <w:rsid w:val="00C0168E"/>
    <w:rsid w:val="00C018CC"/>
    <w:rsid w:val="00C02A47"/>
    <w:rsid w:val="00C02CF1"/>
    <w:rsid w:val="00C03837"/>
    <w:rsid w:val="00C0468B"/>
    <w:rsid w:val="00C04DE9"/>
    <w:rsid w:val="00C057AC"/>
    <w:rsid w:val="00C05986"/>
    <w:rsid w:val="00C05C4F"/>
    <w:rsid w:val="00C062D1"/>
    <w:rsid w:val="00C068CD"/>
    <w:rsid w:val="00C07012"/>
    <w:rsid w:val="00C070FA"/>
    <w:rsid w:val="00C07217"/>
    <w:rsid w:val="00C0762A"/>
    <w:rsid w:val="00C07662"/>
    <w:rsid w:val="00C07A01"/>
    <w:rsid w:val="00C07A87"/>
    <w:rsid w:val="00C07AE8"/>
    <w:rsid w:val="00C07B31"/>
    <w:rsid w:val="00C10B0B"/>
    <w:rsid w:val="00C10D5E"/>
    <w:rsid w:val="00C119FD"/>
    <w:rsid w:val="00C11B98"/>
    <w:rsid w:val="00C12008"/>
    <w:rsid w:val="00C133A5"/>
    <w:rsid w:val="00C1347B"/>
    <w:rsid w:val="00C13C6D"/>
    <w:rsid w:val="00C13EFF"/>
    <w:rsid w:val="00C142EB"/>
    <w:rsid w:val="00C14E8B"/>
    <w:rsid w:val="00C1558C"/>
    <w:rsid w:val="00C158F5"/>
    <w:rsid w:val="00C1658E"/>
    <w:rsid w:val="00C16E6A"/>
    <w:rsid w:val="00C17A40"/>
    <w:rsid w:val="00C17B85"/>
    <w:rsid w:val="00C20122"/>
    <w:rsid w:val="00C20CE8"/>
    <w:rsid w:val="00C21614"/>
    <w:rsid w:val="00C2221F"/>
    <w:rsid w:val="00C23A4F"/>
    <w:rsid w:val="00C23E79"/>
    <w:rsid w:val="00C24056"/>
    <w:rsid w:val="00C24472"/>
    <w:rsid w:val="00C2448D"/>
    <w:rsid w:val="00C247F5"/>
    <w:rsid w:val="00C249CA"/>
    <w:rsid w:val="00C25D8D"/>
    <w:rsid w:val="00C26549"/>
    <w:rsid w:val="00C26B03"/>
    <w:rsid w:val="00C26FE8"/>
    <w:rsid w:val="00C27A1E"/>
    <w:rsid w:val="00C305D9"/>
    <w:rsid w:val="00C306DB"/>
    <w:rsid w:val="00C3071A"/>
    <w:rsid w:val="00C30DDC"/>
    <w:rsid w:val="00C31885"/>
    <w:rsid w:val="00C31C68"/>
    <w:rsid w:val="00C327FC"/>
    <w:rsid w:val="00C32BB4"/>
    <w:rsid w:val="00C3480F"/>
    <w:rsid w:val="00C34838"/>
    <w:rsid w:val="00C35265"/>
    <w:rsid w:val="00C352FE"/>
    <w:rsid w:val="00C35C57"/>
    <w:rsid w:val="00C35FD1"/>
    <w:rsid w:val="00C36B3B"/>
    <w:rsid w:val="00C36C3F"/>
    <w:rsid w:val="00C377E4"/>
    <w:rsid w:val="00C400DC"/>
    <w:rsid w:val="00C405E4"/>
    <w:rsid w:val="00C40A19"/>
    <w:rsid w:val="00C40F15"/>
    <w:rsid w:val="00C413E7"/>
    <w:rsid w:val="00C42194"/>
    <w:rsid w:val="00C42B30"/>
    <w:rsid w:val="00C430D0"/>
    <w:rsid w:val="00C448B1"/>
    <w:rsid w:val="00C46B6B"/>
    <w:rsid w:val="00C4749D"/>
    <w:rsid w:val="00C501B4"/>
    <w:rsid w:val="00C50920"/>
    <w:rsid w:val="00C511C1"/>
    <w:rsid w:val="00C51AB3"/>
    <w:rsid w:val="00C51E8E"/>
    <w:rsid w:val="00C52771"/>
    <w:rsid w:val="00C52871"/>
    <w:rsid w:val="00C52DD5"/>
    <w:rsid w:val="00C52E68"/>
    <w:rsid w:val="00C543D6"/>
    <w:rsid w:val="00C54429"/>
    <w:rsid w:val="00C54787"/>
    <w:rsid w:val="00C54C79"/>
    <w:rsid w:val="00C54D64"/>
    <w:rsid w:val="00C54E37"/>
    <w:rsid w:val="00C54F61"/>
    <w:rsid w:val="00C55383"/>
    <w:rsid w:val="00C5678F"/>
    <w:rsid w:val="00C5696C"/>
    <w:rsid w:val="00C56E4F"/>
    <w:rsid w:val="00C57B7F"/>
    <w:rsid w:val="00C57D0B"/>
    <w:rsid w:val="00C57F3B"/>
    <w:rsid w:val="00C604BA"/>
    <w:rsid w:val="00C60D31"/>
    <w:rsid w:val="00C61F81"/>
    <w:rsid w:val="00C62DD4"/>
    <w:rsid w:val="00C63030"/>
    <w:rsid w:val="00C63FA6"/>
    <w:rsid w:val="00C64057"/>
    <w:rsid w:val="00C64CC2"/>
    <w:rsid w:val="00C651C7"/>
    <w:rsid w:val="00C659F6"/>
    <w:rsid w:val="00C65CED"/>
    <w:rsid w:val="00C65EF5"/>
    <w:rsid w:val="00C6698C"/>
    <w:rsid w:val="00C66FBF"/>
    <w:rsid w:val="00C70A29"/>
    <w:rsid w:val="00C70B28"/>
    <w:rsid w:val="00C71667"/>
    <w:rsid w:val="00C719D7"/>
    <w:rsid w:val="00C71E6B"/>
    <w:rsid w:val="00C71EFF"/>
    <w:rsid w:val="00C71FF6"/>
    <w:rsid w:val="00C72009"/>
    <w:rsid w:val="00C72778"/>
    <w:rsid w:val="00C727E7"/>
    <w:rsid w:val="00C73A71"/>
    <w:rsid w:val="00C73B2B"/>
    <w:rsid w:val="00C73CA7"/>
    <w:rsid w:val="00C73DE2"/>
    <w:rsid w:val="00C73FC9"/>
    <w:rsid w:val="00C753F8"/>
    <w:rsid w:val="00C75F2A"/>
    <w:rsid w:val="00C764C8"/>
    <w:rsid w:val="00C767A8"/>
    <w:rsid w:val="00C769A5"/>
    <w:rsid w:val="00C8001E"/>
    <w:rsid w:val="00C803E6"/>
    <w:rsid w:val="00C80D34"/>
    <w:rsid w:val="00C80DC8"/>
    <w:rsid w:val="00C818FA"/>
    <w:rsid w:val="00C81BE5"/>
    <w:rsid w:val="00C824F5"/>
    <w:rsid w:val="00C824F9"/>
    <w:rsid w:val="00C83100"/>
    <w:rsid w:val="00C83308"/>
    <w:rsid w:val="00C83934"/>
    <w:rsid w:val="00C845AC"/>
    <w:rsid w:val="00C855D7"/>
    <w:rsid w:val="00C85CDE"/>
    <w:rsid w:val="00C8609A"/>
    <w:rsid w:val="00C867C8"/>
    <w:rsid w:val="00C873A4"/>
    <w:rsid w:val="00C8748E"/>
    <w:rsid w:val="00C87CE6"/>
    <w:rsid w:val="00C9001E"/>
    <w:rsid w:val="00C91C12"/>
    <w:rsid w:val="00C91D93"/>
    <w:rsid w:val="00C92D12"/>
    <w:rsid w:val="00C930E5"/>
    <w:rsid w:val="00C93B07"/>
    <w:rsid w:val="00C93BC1"/>
    <w:rsid w:val="00C93F33"/>
    <w:rsid w:val="00C94B98"/>
    <w:rsid w:val="00C94C41"/>
    <w:rsid w:val="00C94E1F"/>
    <w:rsid w:val="00C95CC3"/>
    <w:rsid w:val="00C969E0"/>
    <w:rsid w:val="00C969F2"/>
    <w:rsid w:val="00C96D26"/>
    <w:rsid w:val="00C971D3"/>
    <w:rsid w:val="00C97455"/>
    <w:rsid w:val="00C97BC1"/>
    <w:rsid w:val="00C97E74"/>
    <w:rsid w:val="00C97EC7"/>
    <w:rsid w:val="00CA0416"/>
    <w:rsid w:val="00CA0C63"/>
    <w:rsid w:val="00CA0D90"/>
    <w:rsid w:val="00CA19D6"/>
    <w:rsid w:val="00CA26DD"/>
    <w:rsid w:val="00CA27FC"/>
    <w:rsid w:val="00CA2B55"/>
    <w:rsid w:val="00CA2C12"/>
    <w:rsid w:val="00CA2EB1"/>
    <w:rsid w:val="00CA3634"/>
    <w:rsid w:val="00CA3709"/>
    <w:rsid w:val="00CA39D8"/>
    <w:rsid w:val="00CA3A55"/>
    <w:rsid w:val="00CA3B34"/>
    <w:rsid w:val="00CA3B6F"/>
    <w:rsid w:val="00CA4198"/>
    <w:rsid w:val="00CA59B6"/>
    <w:rsid w:val="00CA63A1"/>
    <w:rsid w:val="00CA643E"/>
    <w:rsid w:val="00CA665D"/>
    <w:rsid w:val="00CA6678"/>
    <w:rsid w:val="00CA6DE6"/>
    <w:rsid w:val="00CA7438"/>
    <w:rsid w:val="00CA7756"/>
    <w:rsid w:val="00CA7C8F"/>
    <w:rsid w:val="00CB0CD6"/>
    <w:rsid w:val="00CB14A5"/>
    <w:rsid w:val="00CB14B7"/>
    <w:rsid w:val="00CB1990"/>
    <w:rsid w:val="00CB1C39"/>
    <w:rsid w:val="00CB3833"/>
    <w:rsid w:val="00CB391A"/>
    <w:rsid w:val="00CB3C2E"/>
    <w:rsid w:val="00CB4D74"/>
    <w:rsid w:val="00CB4E2C"/>
    <w:rsid w:val="00CB4EB7"/>
    <w:rsid w:val="00CB5AEB"/>
    <w:rsid w:val="00CB602A"/>
    <w:rsid w:val="00CB60D2"/>
    <w:rsid w:val="00CB63BE"/>
    <w:rsid w:val="00CB65BE"/>
    <w:rsid w:val="00CB6731"/>
    <w:rsid w:val="00CB6E73"/>
    <w:rsid w:val="00CB732B"/>
    <w:rsid w:val="00CB7C42"/>
    <w:rsid w:val="00CB7E06"/>
    <w:rsid w:val="00CC02EF"/>
    <w:rsid w:val="00CC1028"/>
    <w:rsid w:val="00CC1996"/>
    <w:rsid w:val="00CC2136"/>
    <w:rsid w:val="00CC2523"/>
    <w:rsid w:val="00CC2688"/>
    <w:rsid w:val="00CC274D"/>
    <w:rsid w:val="00CC2AFF"/>
    <w:rsid w:val="00CC3049"/>
    <w:rsid w:val="00CC3378"/>
    <w:rsid w:val="00CC4159"/>
    <w:rsid w:val="00CC41E1"/>
    <w:rsid w:val="00CC4820"/>
    <w:rsid w:val="00CC4865"/>
    <w:rsid w:val="00CC4ABF"/>
    <w:rsid w:val="00CC5F70"/>
    <w:rsid w:val="00CC7275"/>
    <w:rsid w:val="00CC7742"/>
    <w:rsid w:val="00CD032B"/>
    <w:rsid w:val="00CD03A4"/>
    <w:rsid w:val="00CD0CAD"/>
    <w:rsid w:val="00CD1649"/>
    <w:rsid w:val="00CD167C"/>
    <w:rsid w:val="00CD1FE7"/>
    <w:rsid w:val="00CD21AB"/>
    <w:rsid w:val="00CD21EF"/>
    <w:rsid w:val="00CD28D9"/>
    <w:rsid w:val="00CD38C4"/>
    <w:rsid w:val="00CD3FF6"/>
    <w:rsid w:val="00CD5052"/>
    <w:rsid w:val="00CD5A3A"/>
    <w:rsid w:val="00CD5D4C"/>
    <w:rsid w:val="00CD6733"/>
    <w:rsid w:val="00CD69AE"/>
    <w:rsid w:val="00CD7BD7"/>
    <w:rsid w:val="00CE082E"/>
    <w:rsid w:val="00CE15F9"/>
    <w:rsid w:val="00CE2EDF"/>
    <w:rsid w:val="00CE4218"/>
    <w:rsid w:val="00CE46A3"/>
    <w:rsid w:val="00CE490C"/>
    <w:rsid w:val="00CE4CFF"/>
    <w:rsid w:val="00CE4FAF"/>
    <w:rsid w:val="00CE562E"/>
    <w:rsid w:val="00CE5965"/>
    <w:rsid w:val="00CE6AE0"/>
    <w:rsid w:val="00CE6C89"/>
    <w:rsid w:val="00CE722B"/>
    <w:rsid w:val="00CE7320"/>
    <w:rsid w:val="00CE7A47"/>
    <w:rsid w:val="00CE7B42"/>
    <w:rsid w:val="00CE7FD1"/>
    <w:rsid w:val="00CF00A8"/>
    <w:rsid w:val="00CF010E"/>
    <w:rsid w:val="00CF09E7"/>
    <w:rsid w:val="00CF0D9E"/>
    <w:rsid w:val="00CF127C"/>
    <w:rsid w:val="00CF13D3"/>
    <w:rsid w:val="00CF17E7"/>
    <w:rsid w:val="00CF2448"/>
    <w:rsid w:val="00CF2FFA"/>
    <w:rsid w:val="00CF3902"/>
    <w:rsid w:val="00CF4868"/>
    <w:rsid w:val="00CF4944"/>
    <w:rsid w:val="00CF5022"/>
    <w:rsid w:val="00CF5092"/>
    <w:rsid w:val="00CF6786"/>
    <w:rsid w:val="00CF6846"/>
    <w:rsid w:val="00CF6F49"/>
    <w:rsid w:val="00CF72F9"/>
    <w:rsid w:val="00CF7D99"/>
    <w:rsid w:val="00CF7F4B"/>
    <w:rsid w:val="00CF7F9F"/>
    <w:rsid w:val="00D004E0"/>
    <w:rsid w:val="00D00FE2"/>
    <w:rsid w:val="00D01065"/>
    <w:rsid w:val="00D016E6"/>
    <w:rsid w:val="00D01FAA"/>
    <w:rsid w:val="00D02061"/>
    <w:rsid w:val="00D020A0"/>
    <w:rsid w:val="00D02672"/>
    <w:rsid w:val="00D0296A"/>
    <w:rsid w:val="00D02B19"/>
    <w:rsid w:val="00D042C8"/>
    <w:rsid w:val="00D048DA"/>
    <w:rsid w:val="00D04EAD"/>
    <w:rsid w:val="00D04EEC"/>
    <w:rsid w:val="00D052E7"/>
    <w:rsid w:val="00D05A90"/>
    <w:rsid w:val="00D0642D"/>
    <w:rsid w:val="00D0684B"/>
    <w:rsid w:val="00D068F0"/>
    <w:rsid w:val="00D06AD1"/>
    <w:rsid w:val="00D0731A"/>
    <w:rsid w:val="00D073AB"/>
    <w:rsid w:val="00D079C2"/>
    <w:rsid w:val="00D07D93"/>
    <w:rsid w:val="00D07E02"/>
    <w:rsid w:val="00D100C2"/>
    <w:rsid w:val="00D10137"/>
    <w:rsid w:val="00D10220"/>
    <w:rsid w:val="00D1059D"/>
    <w:rsid w:val="00D10B69"/>
    <w:rsid w:val="00D10E12"/>
    <w:rsid w:val="00D10E30"/>
    <w:rsid w:val="00D117F9"/>
    <w:rsid w:val="00D118EA"/>
    <w:rsid w:val="00D12117"/>
    <w:rsid w:val="00D12E54"/>
    <w:rsid w:val="00D13072"/>
    <w:rsid w:val="00D13E39"/>
    <w:rsid w:val="00D145D2"/>
    <w:rsid w:val="00D14827"/>
    <w:rsid w:val="00D149AE"/>
    <w:rsid w:val="00D14A99"/>
    <w:rsid w:val="00D15032"/>
    <w:rsid w:val="00D16163"/>
    <w:rsid w:val="00D16865"/>
    <w:rsid w:val="00D17489"/>
    <w:rsid w:val="00D17526"/>
    <w:rsid w:val="00D178C2"/>
    <w:rsid w:val="00D20230"/>
    <w:rsid w:val="00D204AE"/>
    <w:rsid w:val="00D223D4"/>
    <w:rsid w:val="00D22CDB"/>
    <w:rsid w:val="00D22E10"/>
    <w:rsid w:val="00D22EBB"/>
    <w:rsid w:val="00D23282"/>
    <w:rsid w:val="00D23E49"/>
    <w:rsid w:val="00D245EB"/>
    <w:rsid w:val="00D24612"/>
    <w:rsid w:val="00D24FC9"/>
    <w:rsid w:val="00D25737"/>
    <w:rsid w:val="00D25E06"/>
    <w:rsid w:val="00D262C6"/>
    <w:rsid w:val="00D263D1"/>
    <w:rsid w:val="00D263FE"/>
    <w:rsid w:val="00D27041"/>
    <w:rsid w:val="00D270C8"/>
    <w:rsid w:val="00D276C6"/>
    <w:rsid w:val="00D27FF5"/>
    <w:rsid w:val="00D31121"/>
    <w:rsid w:val="00D336AC"/>
    <w:rsid w:val="00D33820"/>
    <w:rsid w:val="00D33B2E"/>
    <w:rsid w:val="00D33F42"/>
    <w:rsid w:val="00D3400B"/>
    <w:rsid w:val="00D34959"/>
    <w:rsid w:val="00D34AAD"/>
    <w:rsid w:val="00D35170"/>
    <w:rsid w:val="00D35257"/>
    <w:rsid w:val="00D35408"/>
    <w:rsid w:val="00D3570D"/>
    <w:rsid w:val="00D36CA6"/>
    <w:rsid w:val="00D36FF5"/>
    <w:rsid w:val="00D377CD"/>
    <w:rsid w:val="00D41488"/>
    <w:rsid w:val="00D41AC5"/>
    <w:rsid w:val="00D41DA1"/>
    <w:rsid w:val="00D422EF"/>
    <w:rsid w:val="00D423B3"/>
    <w:rsid w:val="00D437B1"/>
    <w:rsid w:val="00D44491"/>
    <w:rsid w:val="00D449F1"/>
    <w:rsid w:val="00D44A2B"/>
    <w:rsid w:val="00D45405"/>
    <w:rsid w:val="00D45854"/>
    <w:rsid w:val="00D46352"/>
    <w:rsid w:val="00D464EB"/>
    <w:rsid w:val="00D467A9"/>
    <w:rsid w:val="00D4688A"/>
    <w:rsid w:val="00D46FCA"/>
    <w:rsid w:val="00D47253"/>
    <w:rsid w:val="00D5070D"/>
    <w:rsid w:val="00D509CC"/>
    <w:rsid w:val="00D51924"/>
    <w:rsid w:val="00D51AAB"/>
    <w:rsid w:val="00D520FE"/>
    <w:rsid w:val="00D527BD"/>
    <w:rsid w:val="00D52E31"/>
    <w:rsid w:val="00D532E2"/>
    <w:rsid w:val="00D53F8F"/>
    <w:rsid w:val="00D542C7"/>
    <w:rsid w:val="00D543CC"/>
    <w:rsid w:val="00D549FA"/>
    <w:rsid w:val="00D553F7"/>
    <w:rsid w:val="00D5635C"/>
    <w:rsid w:val="00D56CE3"/>
    <w:rsid w:val="00D57209"/>
    <w:rsid w:val="00D5728F"/>
    <w:rsid w:val="00D578F2"/>
    <w:rsid w:val="00D60C59"/>
    <w:rsid w:val="00D61A05"/>
    <w:rsid w:val="00D6238D"/>
    <w:rsid w:val="00D627C1"/>
    <w:rsid w:val="00D6311A"/>
    <w:rsid w:val="00D63F98"/>
    <w:rsid w:val="00D641BE"/>
    <w:rsid w:val="00D646C2"/>
    <w:rsid w:val="00D6497F"/>
    <w:rsid w:val="00D655C6"/>
    <w:rsid w:val="00D6560A"/>
    <w:rsid w:val="00D65B37"/>
    <w:rsid w:val="00D6667A"/>
    <w:rsid w:val="00D66885"/>
    <w:rsid w:val="00D66E22"/>
    <w:rsid w:val="00D677C8"/>
    <w:rsid w:val="00D67D53"/>
    <w:rsid w:val="00D67E28"/>
    <w:rsid w:val="00D70EC8"/>
    <w:rsid w:val="00D70FC5"/>
    <w:rsid w:val="00D71190"/>
    <w:rsid w:val="00D71ED3"/>
    <w:rsid w:val="00D728E9"/>
    <w:rsid w:val="00D72B8A"/>
    <w:rsid w:val="00D72FA0"/>
    <w:rsid w:val="00D72FB0"/>
    <w:rsid w:val="00D732F8"/>
    <w:rsid w:val="00D73617"/>
    <w:rsid w:val="00D74C79"/>
    <w:rsid w:val="00D74FC6"/>
    <w:rsid w:val="00D75065"/>
    <w:rsid w:val="00D75287"/>
    <w:rsid w:val="00D75BB2"/>
    <w:rsid w:val="00D762DF"/>
    <w:rsid w:val="00D7630D"/>
    <w:rsid w:val="00D76705"/>
    <w:rsid w:val="00D80198"/>
    <w:rsid w:val="00D81362"/>
    <w:rsid w:val="00D81A0A"/>
    <w:rsid w:val="00D822D1"/>
    <w:rsid w:val="00D82C50"/>
    <w:rsid w:val="00D83FD2"/>
    <w:rsid w:val="00D842A2"/>
    <w:rsid w:val="00D84485"/>
    <w:rsid w:val="00D844BF"/>
    <w:rsid w:val="00D84623"/>
    <w:rsid w:val="00D852B4"/>
    <w:rsid w:val="00D85A2A"/>
    <w:rsid w:val="00D86A98"/>
    <w:rsid w:val="00D8703F"/>
    <w:rsid w:val="00D87D95"/>
    <w:rsid w:val="00D9064B"/>
    <w:rsid w:val="00D90837"/>
    <w:rsid w:val="00D91038"/>
    <w:rsid w:val="00D91B0D"/>
    <w:rsid w:val="00D92921"/>
    <w:rsid w:val="00D9303F"/>
    <w:rsid w:val="00D932ED"/>
    <w:rsid w:val="00D94042"/>
    <w:rsid w:val="00D947EA"/>
    <w:rsid w:val="00D94A57"/>
    <w:rsid w:val="00D94BF1"/>
    <w:rsid w:val="00D954D7"/>
    <w:rsid w:val="00D96691"/>
    <w:rsid w:val="00D96EA8"/>
    <w:rsid w:val="00D970A8"/>
    <w:rsid w:val="00D97249"/>
    <w:rsid w:val="00D973BF"/>
    <w:rsid w:val="00D97422"/>
    <w:rsid w:val="00D97485"/>
    <w:rsid w:val="00D97628"/>
    <w:rsid w:val="00D978DF"/>
    <w:rsid w:val="00D97D04"/>
    <w:rsid w:val="00DA0225"/>
    <w:rsid w:val="00DA02A3"/>
    <w:rsid w:val="00DA15DA"/>
    <w:rsid w:val="00DA1620"/>
    <w:rsid w:val="00DA16BA"/>
    <w:rsid w:val="00DA1A7F"/>
    <w:rsid w:val="00DA1F27"/>
    <w:rsid w:val="00DA20ED"/>
    <w:rsid w:val="00DA2AA8"/>
    <w:rsid w:val="00DA2F59"/>
    <w:rsid w:val="00DA3AE6"/>
    <w:rsid w:val="00DA3C50"/>
    <w:rsid w:val="00DA4040"/>
    <w:rsid w:val="00DA5364"/>
    <w:rsid w:val="00DA5509"/>
    <w:rsid w:val="00DA56E2"/>
    <w:rsid w:val="00DA588C"/>
    <w:rsid w:val="00DA5F90"/>
    <w:rsid w:val="00DA6CAF"/>
    <w:rsid w:val="00DA6FB5"/>
    <w:rsid w:val="00DA7627"/>
    <w:rsid w:val="00DA77D1"/>
    <w:rsid w:val="00DA7D55"/>
    <w:rsid w:val="00DA7EF2"/>
    <w:rsid w:val="00DB0FF0"/>
    <w:rsid w:val="00DB2265"/>
    <w:rsid w:val="00DB28D6"/>
    <w:rsid w:val="00DB29F9"/>
    <w:rsid w:val="00DB2C8F"/>
    <w:rsid w:val="00DB308B"/>
    <w:rsid w:val="00DB3FA7"/>
    <w:rsid w:val="00DB42FB"/>
    <w:rsid w:val="00DB49BF"/>
    <w:rsid w:val="00DB55B2"/>
    <w:rsid w:val="00DB5687"/>
    <w:rsid w:val="00DB5C15"/>
    <w:rsid w:val="00DB7CA8"/>
    <w:rsid w:val="00DC059D"/>
    <w:rsid w:val="00DC078B"/>
    <w:rsid w:val="00DC0912"/>
    <w:rsid w:val="00DC1D1A"/>
    <w:rsid w:val="00DC1DC6"/>
    <w:rsid w:val="00DC295B"/>
    <w:rsid w:val="00DC2EA5"/>
    <w:rsid w:val="00DC51A7"/>
    <w:rsid w:val="00DC54FD"/>
    <w:rsid w:val="00DC55ED"/>
    <w:rsid w:val="00DC72AA"/>
    <w:rsid w:val="00DC7940"/>
    <w:rsid w:val="00DC7CA0"/>
    <w:rsid w:val="00DC7CCC"/>
    <w:rsid w:val="00DC7D6F"/>
    <w:rsid w:val="00DD12D5"/>
    <w:rsid w:val="00DD1417"/>
    <w:rsid w:val="00DD15B2"/>
    <w:rsid w:val="00DD18AB"/>
    <w:rsid w:val="00DD2104"/>
    <w:rsid w:val="00DD2DF9"/>
    <w:rsid w:val="00DD2E1F"/>
    <w:rsid w:val="00DD3387"/>
    <w:rsid w:val="00DD398B"/>
    <w:rsid w:val="00DD4641"/>
    <w:rsid w:val="00DD4693"/>
    <w:rsid w:val="00DD4696"/>
    <w:rsid w:val="00DD49BE"/>
    <w:rsid w:val="00DD49D5"/>
    <w:rsid w:val="00DD5095"/>
    <w:rsid w:val="00DD51F9"/>
    <w:rsid w:val="00DD5F96"/>
    <w:rsid w:val="00DD61DE"/>
    <w:rsid w:val="00DD7095"/>
    <w:rsid w:val="00DD794D"/>
    <w:rsid w:val="00DD7978"/>
    <w:rsid w:val="00DE0714"/>
    <w:rsid w:val="00DE0A2F"/>
    <w:rsid w:val="00DE1179"/>
    <w:rsid w:val="00DE1903"/>
    <w:rsid w:val="00DE20AE"/>
    <w:rsid w:val="00DE2309"/>
    <w:rsid w:val="00DE4E8E"/>
    <w:rsid w:val="00DE5332"/>
    <w:rsid w:val="00DE5AC0"/>
    <w:rsid w:val="00DE666A"/>
    <w:rsid w:val="00DE72C3"/>
    <w:rsid w:val="00DE740F"/>
    <w:rsid w:val="00DE78B1"/>
    <w:rsid w:val="00DE7FDC"/>
    <w:rsid w:val="00DF0040"/>
    <w:rsid w:val="00DF06DE"/>
    <w:rsid w:val="00DF1428"/>
    <w:rsid w:val="00DF2368"/>
    <w:rsid w:val="00DF2A70"/>
    <w:rsid w:val="00DF2B3E"/>
    <w:rsid w:val="00DF3A44"/>
    <w:rsid w:val="00DF3B08"/>
    <w:rsid w:val="00DF3EF7"/>
    <w:rsid w:val="00DF46B7"/>
    <w:rsid w:val="00DF5CD3"/>
    <w:rsid w:val="00DF6925"/>
    <w:rsid w:val="00DF6D19"/>
    <w:rsid w:val="00DF6D66"/>
    <w:rsid w:val="00DF72AA"/>
    <w:rsid w:val="00DF72DA"/>
    <w:rsid w:val="00DF72EC"/>
    <w:rsid w:val="00DF7AD2"/>
    <w:rsid w:val="00DF7FBA"/>
    <w:rsid w:val="00E0056A"/>
    <w:rsid w:val="00E00B68"/>
    <w:rsid w:val="00E01014"/>
    <w:rsid w:val="00E01E0A"/>
    <w:rsid w:val="00E01F18"/>
    <w:rsid w:val="00E0203D"/>
    <w:rsid w:val="00E0308A"/>
    <w:rsid w:val="00E03DDC"/>
    <w:rsid w:val="00E03E78"/>
    <w:rsid w:val="00E03F0A"/>
    <w:rsid w:val="00E04451"/>
    <w:rsid w:val="00E045EF"/>
    <w:rsid w:val="00E05191"/>
    <w:rsid w:val="00E062ED"/>
    <w:rsid w:val="00E06C2B"/>
    <w:rsid w:val="00E07377"/>
    <w:rsid w:val="00E077D0"/>
    <w:rsid w:val="00E07AC1"/>
    <w:rsid w:val="00E07CB1"/>
    <w:rsid w:val="00E07D72"/>
    <w:rsid w:val="00E07DC2"/>
    <w:rsid w:val="00E07EC6"/>
    <w:rsid w:val="00E11AFB"/>
    <w:rsid w:val="00E12CD6"/>
    <w:rsid w:val="00E13CBA"/>
    <w:rsid w:val="00E146B3"/>
    <w:rsid w:val="00E1492F"/>
    <w:rsid w:val="00E14C76"/>
    <w:rsid w:val="00E14FDD"/>
    <w:rsid w:val="00E15387"/>
    <w:rsid w:val="00E15445"/>
    <w:rsid w:val="00E15717"/>
    <w:rsid w:val="00E157E3"/>
    <w:rsid w:val="00E15A81"/>
    <w:rsid w:val="00E16DF5"/>
    <w:rsid w:val="00E170F3"/>
    <w:rsid w:val="00E20B67"/>
    <w:rsid w:val="00E214D3"/>
    <w:rsid w:val="00E222B1"/>
    <w:rsid w:val="00E22515"/>
    <w:rsid w:val="00E22634"/>
    <w:rsid w:val="00E22AF8"/>
    <w:rsid w:val="00E22FF7"/>
    <w:rsid w:val="00E2305C"/>
    <w:rsid w:val="00E2319B"/>
    <w:rsid w:val="00E232AD"/>
    <w:rsid w:val="00E233A3"/>
    <w:rsid w:val="00E23A93"/>
    <w:rsid w:val="00E2454F"/>
    <w:rsid w:val="00E24710"/>
    <w:rsid w:val="00E25136"/>
    <w:rsid w:val="00E25C7D"/>
    <w:rsid w:val="00E262AD"/>
    <w:rsid w:val="00E269D1"/>
    <w:rsid w:val="00E26A50"/>
    <w:rsid w:val="00E26D3B"/>
    <w:rsid w:val="00E27778"/>
    <w:rsid w:val="00E30384"/>
    <w:rsid w:val="00E308A0"/>
    <w:rsid w:val="00E3096B"/>
    <w:rsid w:val="00E312F0"/>
    <w:rsid w:val="00E31D0C"/>
    <w:rsid w:val="00E32896"/>
    <w:rsid w:val="00E334AE"/>
    <w:rsid w:val="00E33654"/>
    <w:rsid w:val="00E33887"/>
    <w:rsid w:val="00E33DBE"/>
    <w:rsid w:val="00E33FFF"/>
    <w:rsid w:val="00E34529"/>
    <w:rsid w:val="00E34F97"/>
    <w:rsid w:val="00E35659"/>
    <w:rsid w:val="00E356A9"/>
    <w:rsid w:val="00E35E90"/>
    <w:rsid w:val="00E3642F"/>
    <w:rsid w:val="00E3694E"/>
    <w:rsid w:val="00E36B13"/>
    <w:rsid w:val="00E3725D"/>
    <w:rsid w:val="00E37359"/>
    <w:rsid w:val="00E375CA"/>
    <w:rsid w:val="00E401AF"/>
    <w:rsid w:val="00E408D8"/>
    <w:rsid w:val="00E411F5"/>
    <w:rsid w:val="00E412C5"/>
    <w:rsid w:val="00E4131B"/>
    <w:rsid w:val="00E42F54"/>
    <w:rsid w:val="00E446EB"/>
    <w:rsid w:val="00E44E00"/>
    <w:rsid w:val="00E455BE"/>
    <w:rsid w:val="00E45D4A"/>
    <w:rsid w:val="00E45F39"/>
    <w:rsid w:val="00E4609E"/>
    <w:rsid w:val="00E4702A"/>
    <w:rsid w:val="00E470AD"/>
    <w:rsid w:val="00E4762A"/>
    <w:rsid w:val="00E47C7F"/>
    <w:rsid w:val="00E47E77"/>
    <w:rsid w:val="00E502B8"/>
    <w:rsid w:val="00E51872"/>
    <w:rsid w:val="00E51D57"/>
    <w:rsid w:val="00E520D5"/>
    <w:rsid w:val="00E529E8"/>
    <w:rsid w:val="00E52E2D"/>
    <w:rsid w:val="00E534D2"/>
    <w:rsid w:val="00E5360F"/>
    <w:rsid w:val="00E53C35"/>
    <w:rsid w:val="00E53FE0"/>
    <w:rsid w:val="00E54705"/>
    <w:rsid w:val="00E549AE"/>
    <w:rsid w:val="00E54DCF"/>
    <w:rsid w:val="00E56013"/>
    <w:rsid w:val="00E56FCA"/>
    <w:rsid w:val="00E57EA9"/>
    <w:rsid w:val="00E57F65"/>
    <w:rsid w:val="00E604F6"/>
    <w:rsid w:val="00E6085E"/>
    <w:rsid w:val="00E60C55"/>
    <w:rsid w:val="00E61B64"/>
    <w:rsid w:val="00E620A2"/>
    <w:rsid w:val="00E62244"/>
    <w:rsid w:val="00E623AE"/>
    <w:rsid w:val="00E6249D"/>
    <w:rsid w:val="00E630F3"/>
    <w:rsid w:val="00E6372D"/>
    <w:rsid w:val="00E642B9"/>
    <w:rsid w:val="00E64AA9"/>
    <w:rsid w:val="00E64F51"/>
    <w:rsid w:val="00E64F66"/>
    <w:rsid w:val="00E653D3"/>
    <w:rsid w:val="00E654E2"/>
    <w:rsid w:val="00E65ABD"/>
    <w:rsid w:val="00E65FF6"/>
    <w:rsid w:val="00E66465"/>
    <w:rsid w:val="00E66CAE"/>
    <w:rsid w:val="00E6757B"/>
    <w:rsid w:val="00E67CA6"/>
    <w:rsid w:val="00E67E99"/>
    <w:rsid w:val="00E701D5"/>
    <w:rsid w:val="00E70537"/>
    <w:rsid w:val="00E70A02"/>
    <w:rsid w:val="00E70DB3"/>
    <w:rsid w:val="00E7151E"/>
    <w:rsid w:val="00E72087"/>
    <w:rsid w:val="00E72246"/>
    <w:rsid w:val="00E722B7"/>
    <w:rsid w:val="00E72B2B"/>
    <w:rsid w:val="00E72DCF"/>
    <w:rsid w:val="00E73D32"/>
    <w:rsid w:val="00E740F8"/>
    <w:rsid w:val="00E74397"/>
    <w:rsid w:val="00E7446F"/>
    <w:rsid w:val="00E745F5"/>
    <w:rsid w:val="00E74B49"/>
    <w:rsid w:val="00E75481"/>
    <w:rsid w:val="00E76265"/>
    <w:rsid w:val="00E76F10"/>
    <w:rsid w:val="00E773C8"/>
    <w:rsid w:val="00E773F4"/>
    <w:rsid w:val="00E77428"/>
    <w:rsid w:val="00E77B36"/>
    <w:rsid w:val="00E800A5"/>
    <w:rsid w:val="00E800C2"/>
    <w:rsid w:val="00E80305"/>
    <w:rsid w:val="00E810E8"/>
    <w:rsid w:val="00E816D4"/>
    <w:rsid w:val="00E81E9D"/>
    <w:rsid w:val="00E820CA"/>
    <w:rsid w:val="00E82A0D"/>
    <w:rsid w:val="00E82AE0"/>
    <w:rsid w:val="00E82D66"/>
    <w:rsid w:val="00E82FC2"/>
    <w:rsid w:val="00E83086"/>
    <w:rsid w:val="00E83333"/>
    <w:rsid w:val="00E8383D"/>
    <w:rsid w:val="00E83EC5"/>
    <w:rsid w:val="00E840AB"/>
    <w:rsid w:val="00E84259"/>
    <w:rsid w:val="00E84B12"/>
    <w:rsid w:val="00E84DAB"/>
    <w:rsid w:val="00E852E0"/>
    <w:rsid w:val="00E8599F"/>
    <w:rsid w:val="00E86218"/>
    <w:rsid w:val="00E86576"/>
    <w:rsid w:val="00E86ADC"/>
    <w:rsid w:val="00E871B4"/>
    <w:rsid w:val="00E8742D"/>
    <w:rsid w:val="00E90CA2"/>
    <w:rsid w:val="00E91817"/>
    <w:rsid w:val="00E923EA"/>
    <w:rsid w:val="00E92AE1"/>
    <w:rsid w:val="00E93779"/>
    <w:rsid w:val="00E93936"/>
    <w:rsid w:val="00E93B65"/>
    <w:rsid w:val="00E93D13"/>
    <w:rsid w:val="00E93D3D"/>
    <w:rsid w:val="00E93ECE"/>
    <w:rsid w:val="00E951EC"/>
    <w:rsid w:val="00E959C2"/>
    <w:rsid w:val="00E96113"/>
    <w:rsid w:val="00E968F1"/>
    <w:rsid w:val="00E96C56"/>
    <w:rsid w:val="00E96D6D"/>
    <w:rsid w:val="00E96E52"/>
    <w:rsid w:val="00E97A19"/>
    <w:rsid w:val="00EA002D"/>
    <w:rsid w:val="00EA050E"/>
    <w:rsid w:val="00EA1D4D"/>
    <w:rsid w:val="00EA23FD"/>
    <w:rsid w:val="00EA2AD9"/>
    <w:rsid w:val="00EA3106"/>
    <w:rsid w:val="00EA3ADD"/>
    <w:rsid w:val="00EA3C4A"/>
    <w:rsid w:val="00EA416A"/>
    <w:rsid w:val="00EA5114"/>
    <w:rsid w:val="00EA5479"/>
    <w:rsid w:val="00EA5D66"/>
    <w:rsid w:val="00EA6C06"/>
    <w:rsid w:val="00EA6F43"/>
    <w:rsid w:val="00EB0039"/>
    <w:rsid w:val="00EB2B7D"/>
    <w:rsid w:val="00EB3229"/>
    <w:rsid w:val="00EB3860"/>
    <w:rsid w:val="00EB3ED7"/>
    <w:rsid w:val="00EB3FA1"/>
    <w:rsid w:val="00EB4664"/>
    <w:rsid w:val="00EB5A27"/>
    <w:rsid w:val="00EB5EF7"/>
    <w:rsid w:val="00EB627D"/>
    <w:rsid w:val="00EB68F6"/>
    <w:rsid w:val="00EB741A"/>
    <w:rsid w:val="00EB75EC"/>
    <w:rsid w:val="00EB7B7C"/>
    <w:rsid w:val="00EB7CD8"/>
    <w:rsid w:val="00EC0E29"/>
    <w:rsid w:val="00EC1C72"/>
    <w:rsid w:val="00EC264E"/>
    <w:rsid w:val="00EC27C4"/>
    <w:rsid w:val="00EC3650"/>
    <w:rsid w:val="00EC4B70"/>
    <w:rsid w:val="00EC4BC5"/>
    <w:rsid w:val="00EC4EA0"/>
    <w:rsid w:val="00EC4F70"/>
    <w:rsid w:val="00EC649A"/>
    <w:rsid w:val="00EC672F"/>
    <w:rsid w:val="00EC67B6"/>
    <w:rsid w:val="00EC6B8A"/>
    <w:rsid w:val="00EC7B59"/>
    <w:rsid w:val="00EC7F38"/>
    <w:rsid w:val="00ED0336"/>
    <w:rsid w:val="00ED2861"/>
    <w:rsid w:val="00ED2A00"/>
    <w:rsid w:val="00ED2C96"/>
    <w:rsid w:val="00ED3A42"/>
    <w:rsid w:val="00ED3AC6"/>
    <w:rsid w:val="00ED45B8"/>
    <w:rsid w:val="00ED490E"/>
    <w:rsid w:val="00ED5827"/>
    <w:rsid w:val="00ED5F7B"/>
    <w:rsid w:val="00ED6184"/>
    <w:rsid w:val="00ED6A9D"/>
    <w:rsid w:val="00ED6F79"/>
    <w:rsid w:val="00ED6FDD"/>
    <w:rsid w:val="00ED7359"/>
    <w:rsid w:val="00ED7742"/>
    <w:rsid w:val="00EE0399"/>
    <w:rsid w:val="00EE0E45"/>
    <w:rsid w:val="00EE145E"/>
    <w:rsid w:val="00EE1704"/>
    <w:rsid w:val="00EE25AF"/>
    <w:rsid w:val="00EE2EE9"/>
    <w:rsid w:val="00EE3325"/>
    <w:rsid w:val="00EE37FD"/>
    <w:rsid w:val="00EE3B78"/>
    <w:rsid w:val="00EE46B7"/>
    <w:rsid w:val="00EE4A98"/>
    <w:rsid w:val="00EE4FBA"/>
    <w:rsid w:val="00EE554B"/>
    <w:rsid w:val="00EE588F"/>
    <w:rsid w:val="00EE5F74"/>
    <w:rsid w:val="00EE6084"/>
    <w:rsid w:val="00EE679B"/>
    <w:rsid w:val="00EE7D42"/>
    <w:rsid w:val="00EF01A9"/>
    <w:rsid w:val="00EF1DB0"/>
    <w:rsid w:val="00EF21F0"/>
    <w:rsid w:val="00EF2299"/>
    <w:rsid w:val="00EF27C1"/>
    <w:rsid w:val="00EF4430"/>
    <w:rsid w:val="00EF4A32"/>
    <w:rsid w:val="00EF4A6E"/>
    <w:rsid w:val="00EF51C6"/>
    <w:rsid w:val="00EF5633"/>
    <w:rsid w:val="00EF5BE2"/>
    <w:rsid w:val="00EF5D6A"/>
    <w:rsid w:val="00EF6B6F"/>
    <w:rsid w:val="00EF77AD"/>
    <w:rsid w:val="00EF7CFE"/>
    <w:rsid w:val="00F007BB"/>
    <w:rsid w:val="00F01EB6"/>
    <w:rsid w:val="00F025A9"/>
    <w:rsid w:val="00F02884"/>
    <w:rsid w:val="00F02F30"/>
    <w:rsid w:val="00F034B5"/>
    <w:rsid w:val="00F039CB"/>
    <w:rsid w:val="00F03A5C"/>
    <w:rsid w:val="00F03E66"/>
    <w:rsid w:val="00F03EFD"/>
    <w:rsid w:val="00F044D0"/>
    <w:rsid w:val="00F047C6"/>
    <w:rsid w:val="00F04953"/>
    <w:rsid w:val="00F059DA"/>
    <w:rsid w:val="00F05B64"/>
    <w:rsid w:val="00F06599"/>
    <w:rsid w:val="00F07016"/>
    <w:rsid w:val="00F078A8"/>
    <w:rsid w:val="00F101A7"/>
    <w:rsid w:val="00F104FD"/>
    <w:rsid w:val="00F10A3C"/>
    <w:rsid w:val="00F10E36"/>
    <w:rsid w:val="00F110BB"/>
    <w:rsid w:val="00F11EB0"/>
    <w:rsid w:val="00F11F73"/>
    <w:rsid w:val="00F126B0"/>
    <w:rsid w:val="00F12AAF"/>
    <w:rsid w:val="00F13E08"/>
    <w:rsid w:val="00F147BD"/>
    <w:rsid w:val="00F16512"/>
    <w:rsid w:val="00F16609"/>
    <w:rsid w:val="00F175A4"/>
    <w:rsid w:val="00F201B0"/>
    <w:rsid w:val="00F20E32"/>
    <w:rsid w:val="00F20F7F"/>
    <w:rsid w:val="00F21F62"/>
    <w:rsid w:val="00F22106"/>
    <w:rsid w:val="00F228D4"/>
    <w:rsid w:val="00F22B44"/>
    <w:rsid w:val="00F2301C"/>
    <w:rsid w:val="00F2415B"/>
    <w:rsid w:val="00F2547D"/>
    <w:rsid w:val="00F25603"/>
    <w:rsid w:val="00F258BB"/>
    <w:rsid w:val="00F25FC6"/>
    <w:rsid w:val="00F26BD4"/>
    <w:rsid w:val="00F274B3"/>
    <w:rsid w:val="00F275FA"/>
    <w:rsid w:val="00F27806"/>
    <w:rsid w:val="00F27BE9"/>
    <w:rsid w:val="00F27C37"/>
    <w:rsid w:val="00F27D1D"/>
    <w:rsid w:val="00F303B5"/>
    <w:rsid w:val="00F30A97"/>
    <w:rsid w:val="00F30E1B"/>
    <w:rsid w:val="00F30FF1"/>
    <w:rsid w:val="00F31232"/>
    <w:rsid w:val="00F31336"/>
    <w:rsid w:val="00F31577"/>
    <w:rsid w:val="00F31686"/>
    <w:rsid w:val="00F317A8"/>
    <w:rsid w:val="00F32198"/>
    <w:rsid w:val="00F3264C"/>
    <w:rsid w:val="00F33FF4"/>
    <w:rsid w:val="00F3406E"/>
    <w:rsid w:val="00F342EC"/>
    <w:rsid w:val="00F35456"/>
    <w:rsid w:val="00F35C33"/>
    <w:rsid w:val="00F36D2F"/>
    <w:rsid w:val="00F37641"/>
    <w:rsid w:val="00F40062"/>
    <w:rsid w:val="00F4033A"/>
    <w:rsid w:val="00F40C4A"/>
    <w:rsid w:val="00F40D14"/>
    <w:rsid w:val="00F40E9D"/>
    <w:rsid w:val="00F40F8E"/>
    <w:rsid w:val="00F414B9"/>
    <w:rsid w:val="00F42A32"/>
    <w:rsid w:val="00F42F4B"/>
    <w:rsid w:val="00F4305C"/>
    <w:rsid w:val="00F43519"/>
    <w:rsid w:val="00F435B1"/>
    <w:rsid w:val="00F439D4"/>
    <w:rsid w:val="00F44F7E"/>
    <w:rsid w:val="00F45B90"/>
    <w:rsid w:val="00F460BF"/>
    <w:rsid w:val="00F46592"/>
    <w:rsid w:val="00F50079"/>
    <w:rsid w:val="00F51184"/>
    <w:rsid w:val="00F516E6"/>
    <w:rsid w:val="00F518AE"/>
    <w:rsid w:val="00F523D6"/>
    <w:rsid w:val="00F52B79"/>
    <w:rsid w:val="00F52FF0"/>
    <w:rsid w:val="00F5353F"/>
    <w:rsid w:val="00F53A90"/>
    <w:rsid w:val="00F53B23"/>
    <w:rsid w:val="00F53B68"/>
    <w:rsid w:val="00F53CC7"/>
    <w:rsid w:val="00F53F8B"/>
    <w:rsid w:val="00F53FD2"/>
    <w:rsid w:val="00F545F1"/>
    <w:rsid w:val="00F546FC"/>
    <w:rsid w:val="00F549AF"/>
    <w:rsid w:val="00F54B05"/>
    <w:rsid w:val="00F54B4B"/>
    <w:rsid w:val="00F55991"/>
    <w:rsid w:val="00F55FA8"/>
    <w:rsid w:val="00F568B2"/>
    <w:rsid w:val="00F56E1E"/>
    <w:rsid w:val="00F56E58"/>
    <w:rsid w:val="00F60006"/>
    <w:rsid w:val="00F6112C"/>
    <w:rsid w:val="00F624E3"/>
    <w:rsid w:val="00F62826"/>
    <w:rsid w:val="00F630FD"/>
    <w:rsid w:val="00F631BB"/>
    <w:rsid w:val="00F634C3"/>
    <w:rsid w:val="00F643A1"/>
    <w:rsid w:val="00F6464B"/>
    <w:rsid w:val="00F649C3"/>
    <w:rsid w:val="00F65C8F"/>
    <w:rsid w:val="00F66BB5"/>
    <w:rsid w:val="00F67165"/>
    <w:rsid w:val="00F70C70"/>
    <w:rsid w:val="00F70F34"/>
    <w:rsid w:val="00F717DE"/>
    <w:rsid w:val="00F7234C"/>
    <w:rsid w:val="00F72D86"/>
    <w:rsid w:val="00F73132"/>
    <w:rsid w:val="00F73C17"/>
    <w:rsid w:val="00F73C49"/>
    <w:rsid w:val="00F73EDC"/>
    <w:rsid w:val="00F746F8"/>
    <w:rsid w:val="00F7492E"/>
    <w:rsid w:val="00F74A6F"/>
    <w:rsid w:val="00F75B1A"/>
    <w:rsid w:val="00F75FA5"/>
    <w:rsid w:val="00F76194"/>
    <w:rsid w:val="00F76550"/>
    <w:rsid w:val="00F77043"/>
    <w:rsid w:val="00F771FF"/>
    <w:rsid w:val="00F776E2"/>
    <w:rsid w:val="00F77C2B"/>
    <w:rsid w:val="00F805EA"/>
    <w:rsid w:val="00F80D80"/>
    <w:rsid w:val="00F80E28"/>
    <w:rsid w:val="00F81909"/>
    <w:rsid w:val="00F825CC"/>
    <w:rsid w:val="00F8289E"/>
    <w:rsid w:val="00F82D16"/>
    <w:rsid w:val="00F8525A"/>
    <w:rsid w:val="00F852A3"/>
    <w:rsid w:val="00F85630"/>
    <w:rsid w:val="00F85683"/>
    <w:rsid w:val="00F85B3B"/>
    <w:rsid w:val="00F86220"/>
    <w:rsid w:val="00F86F50"/>
    <w:rsid w:val="00F86F7B"/>
    <w:rsid w:val="00F8759E"/>
    <w:rsid w:val="00F876B2"/>
    <w:rsid w:val="00F8793F"/>
    <w:rsid w:val="00F900A1"/>
    <w:rsid w:val="00F90252"/>
    <w:rsid w:val="00F90F6B"/>
    <w:rsid w:val="00F91667"/>
    <w:rsid w:val="00F9199D"/>
    <w:rsid w:val="00F92093"/>
    <w:rsid w:val="00F924D3"/>
    <w:rsid w:val="00F928CF"/>
    <w:rsid w:val="00F92954"/>
    <w:rsid w:val="00F93D38"/>
    <w:rsid w:val="00F94AD7"/>
    <w:rsid w:val="00F95528"/>
    <w:rsid w:val="00F95838"/>
    <w:rsid w:val="00F96ADD"/>
    <w:rsid w:val="00F96C22"/>
    <w:rsid w:val="00F97D91"/>
    <w:rsid w:val="00FA04FE"/>
    <w:rsid w:val="00FA0C99"/>
    <w:rsid w:val="00FA1350"/>
    <w:rsid w:val="00FA16C0"/>
    <w:rsid w:val="00FA16D2"/>
    <w:rsid w:val="00FA1F1F"/>
    <w:rsid w:val="00FA2A64"/>
    <w:rsid w:val="00FA2EA3"/>
    <w:rsid w:val="00FA3665"/>
    <w:rsid w:val="00FA3978"/>
    <w:rsid w:val="00FA5CDD"/>
    <w:rsid w:val="00FA65DE"/>
    <w:rsid w:val="00FA6DAB"/>
    <w:rsid w:val="00FA7DF1"/>
    <w:rsid w:val="00FB065E"/>
    <w:rsid w:val="00FB1363"/>
    <w:rsid w:val="00FB1399"/>
    <w:rsid w:val="00FB2375"/>
    <w:rsid w:val="00FB2B02"/>
    <w:rsid w:val="00FB2C43"/>
    <w:rsid w:val="00FB3548"/>
    <w:rsid w:val="00FB358C"/>
    <w:rsid w:val="00FB3920"/>
    <w:rsid w:val="00FB3B2F"/>
    <w:rsid w:val="00FB426B"/>
    <w:rsid w:val="00FB6B03"/>
    <w:rsid w:val="00FB75A8"/>
    <w:rsid w:val="00FB77B9"/>
    <w:rsid w:val="00FB7DAE"/>
    <w:rsid w:val="00FB7E25"/>
    <w:rsid w:val="00FC05B4"/>
    <w:rsid w:val="00FC0DC5"/>
    <w:rsid w:val="00FC10E5"/>
    <w:rsid w:val="00FC1355"/>
    <w:rsid w:val="00FC32B3"/>
    <w:rsid w:val="00FC3A7B"/>
    <w:rsid w:val="00FC3CA2"/>
    <w:rsid w:val="00FC448E"/>
    <w:rsid w:val="00FC474C"/>
    <w:rsid w:val="00FC4A9A"/>
    <w:rsid w:val="00FC4D33"/>
    <w:rsid w:val="00FC5703"/>
    <w:rsid w:val="00FC6054"/>
    <w:rsid w:val="00FC66D2"/>
    <w:rsid w:val="00FC6D87"/>
    <w:rsid w:val="00FC703F"/>
    <w:rsid w:val="00FC7C60"/>
    <w:rsid w:val="00FD0B5E"/>
    <w:rsid w:val="00FD114B"/>
    <w:rsid w:val="00FD18CC"/>
    <w:rsid w:val="00FD23E0"/>
    <w:rsid w:val="00FD259D"/>
    <w:rsid w:val="00FD266D"/>
    <w:rsid w:val="00FD281C"/>
    <w:rsid w:val="00FD32B5"/>
    <w:rsid w:val="00FD402B"/>
    <w:rsid w:val="00FD4321"/>
    <w:rsid w:val="00FD4D78"/>
    <w:rsid w:val="00FD4EA5"/>
    <w:rsid w:val="00FD4FB1"/>
    <w:rsid w:val="00FD58BE"/>
    <w:rsid w:val="00FD5EEA"/>
    <w:rsid w:val="00FD6143"/>
    <w:rsid w:val="00FD62E9"/>
    <w:rsid w:val="00FD666C"/>
    <w:rsid w:val="00FD6C58"/>
    <w:rsid w:val="00FD7108"/>
    <w:rsid w:val="00FD78A0"/>
    <w:rsid w:val="00FE053C"/>
    <w:rsid w:val="00FE0DC0"/>
    <w:rsid w:val="00FE17D6"/>
    <w:rsid w:val="00FE1B94"/>
    <w:rsid w:val="00FE313F"/>
    <w:rsid w:val="00FE325D"/>
    <w:rsid w:val="00FE3C06"/>
    <w:rsid w:val="00FE4B3E"/>
    <w:rsid w:val="00FE4D0B"/>
    <w:rsid w:val="00FE5DE8"/>
    <w:rsid w:val="00FE5F49"/>
    <w:rsid w:val="00FE5FDF"/>
    <w:rsid w:val="00FE6538"/>
    <w:rsid w:val="00FE6DC1"/>
    <w:rsid w:val="00FE70B8"/>
    <w:rsid w:val="00FE71C5"/>
    <w:rsid w:val="00FF013F"/>
    <w:rsid w:val="00FF0E10"/>
    <w:rsid w:val="00FF1265"/>
    <w:rsid w:val="00FF1520"/>
    <w:rsid w:val="00FF24DD"/>
    <w:rsid w:val="00FF25B2"/>
    <w:rsid w:val="00FF27BC"/>
    <w:rsid w:val="00FF29D4"/>
    <w:rsid w:val="00FF313E"/>
    <w:rsid w:val="00FF3C9C"/>
    <w:rsid w:val="00FF41E1"/>
    <w:rsid w:val="00FF448F"/>
    <w:rsid w:val="00FF4DF7"/>
    <w:rsid w:val="00FF5446"/>
    <w:rsid w:val="00FF6713"/>
    <w:rsid w:val="00FF6D7B"/>
    <w:rsid w:val="00FF78E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306A"/>
  <w15:docId w15:val="{F2D6A5A5-C860-4204-B660-FE3DFBB7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62D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pPr>
      <w:spacing w:after="0" w:line="240" w:lineRule="auto"/>
    </w:pPr>
    <w:rPr>
      <w:rFonts w:eastAsiaTheme="minorEastAsia"/>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themeColor="accent1"/>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theme="minorBid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themeColor="accent1"/>
      </w:pBdr>
      <w:bidi/>
      <w:spacing w:before="200" w:after="280" w:line="0" w:lineRule="atLeast"/>
      <w:ind w:left="936" w:right="936"/>
    </w:pPr>
    <w:rPr>
      <w:b/>
      <w:bCs/>
      <w:i/>
      <w:iCs/>
      <w:color w:val="5B9BD5" w:themeColor="accent1"/>
    </w:rPr>
  </w:style>
  <w:style w:type="character" w:customStyle="1" w:styleId="IntenseQuoteChar">
    <w:name w:val="Intense Quote Char"/>
    <w:basedOn w:val="DefaultParagraphFont"/>
    <w:link w:val="IntenseQuote"/>
    <w:uiPriority w:val="30"/>
    <w:rsid w:val="00615722"/>
    <w:rPr>
      <w:b/>
      <w:bCs/>
      <w:i/>
      <w:iCs/>
      <w:color w:val="5B9BD5" w:themeColor="accent1"/>
    </w:rPr>
  </w:style>
  <w:style w:type="character" w:customStyle="1" w:styleId="citationyear1">
    <w:name w:val="citation_year1"/>
    <w:basedOn w:val="DefaultParagraphFont"/>
    <w:rsid w:val="00615722"/>
    <w:rPr>
      <w:b/>
      <w:bCs/>
    </w:rPr>
  </w:style>
  <w:style w:type="character" w:customStyle="1" w:styleId="citationvolume1">
    <w:name w:val="citation_volume1"/>
    <w:basedOn w:val="DefaultParagraphFont"/>
    <w:rsid w:val="00615722"/>
    <w:rPr>
      <w:i/>
      <w:iCs/>
    </w:rPr>
  </w:style>
  <w:style w:type="character" w:styleId="FollowedHyperlink">
    <w:name w:val="FollowedHyperlink"/>
    <w:basedOn w:val="DefaultParagraphFont"/>
    <w:uiPriority w:val="99"/>
    <w:semiHidden/>
    <w:unhideWhenUsed/>
    <w:rsid w:val="00615722"/>
    <w:rPr>
      <w:color w:val="954F72" w:themeColor="followedHyperlink"/>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6CE3"/>
    <w:rPr>
      <w:rFonts w:ascii="Calibri" w:hAnsi="Calibri" w:cs="Calibri"/>
      <w:noProof/>
    </w:rPr>
  </w:style>
  <w:style w:type="paragraph" w:customStyle="1" w:styleId="EndNoteBibliography">
    <w:name w:val="EndNote Bibliography"/>
    <w:basedOn w:val="Normal"/>
    <w:link w:val="EndNoteBibliographyChar"/>
    <w:rsid w:val="00D56CE3"/>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CE3"/>
    <w:rPr>
      <w:rFonts w:ascii="Calibri" w:hAnsi="Calibri" w:cs="Calibri"/>
      <w:noProof/>
    </w:rPr>
  </w:style>
  <w:style w:type="paragraph" w:customStyle="1" w:styleId="1">
    <w:name w:val="標準1"/>
    <w:rsid w:val="003C03D7"/>
    <w:pPr>
      <w:spacing w:after="0" w:line="276" w:lineRule="auto"/>
      <w:contextualSpacing/>
    </w:pPr>
    <w:rPr>
      <w:rFonts w:ascii="Arial" w:eastAsiaTheme="minorEastAsia" w:hAnsi="Arial" w:cs="Arial"/>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pPr>
    <w:rPr>
      <w:rFonts w:ascii="Calibri" w:eastAsia="Calibri" w:hAnsi="Calibri" w:cs="Calibri"/>
      <w:color w:val="000000"/>
      <w:u w:color="000000"/>
      <w:bdr w:val="nil"/>
      <w:lang w:eastAsia="fr-FR"/>
    </w:rPr>
  </w:style>
  <w:style w:type="character" w:customStyle="1" w:styleId="Hyperlink0">
    <w:name w:val="Hyperlink.0"/>
    <w:basedOn w:val="DefaultParagraphFont"/>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numPr>
        <w:numId w:val="1"/>
      </w:numPr>
      <w:spacing w:before="0" w:line="260" w:lineRule="atLeast"/>
      <w:ind w:left="425" w:hanging="425"/>
    </w:pPr>
  </w:style>
  <w:style w:type="table" w:customStyle="1" w:styleId="TableGrid1">
    <w:name w:val="Table Grid1"/>
    <w:basedOn w:val="TableNormal"/>
    <w:next w:val="TableGrid"/>
    <w:uiPriority w:val="39"/>
    <w:rsid w:val="00251F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001C2"/>
  </w:style>
  <w:style w:type="character" w:customStyle="1" w:styleId="Hyperlink1">
    <w:name w:val="Hyperlink.1"/>
    <w:basedOn w:val="None"/>
    <w:rsid w:val="002001C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4E1F"/>
    <w:rPr>
      <w:color w:val="605E5C"/>
      <w:shd w:val="clear" w:color="auto" w:fill="E1DFDD"/>
    </w:rPr>
  </w:style>
  <w:style w:type="paragraph" w:styleId="Bibliography">
    <w:name w:val="Bibliography"/>
    <w:basedOn w:val="Normal"/>
    <w:next w:val="Normal"/>
    <w:uiPriority w:val="37"/>
    <w:semiHidden/>
    <w:unhideWhenUsed/>
    <w:rsid w:val="0011096A"/>
  </w:style>
  <w:style w:type="character" w:customStyle="1" w:styleId="Heading4Char">
    <w:name w:val="Heading 4 Char"/>
    <w:basedOn w:val="DefaultParagraphFont"/>
    <w:link w:val="Heading4"/>
    <w:uiPriority w:val="9"/>
    <w:semiHidden/>
    <w:rsid w:val="00362D4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70012006">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2314757">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29054209">
      <w:bodyDiv w:val="1"/>
      <w:marLeft w:val="0"/>
      <w:marRight w:val="0"/>
      <w:marTop w:val="0"/>
      <w:marBottom w:val="0"/>
      <w:divBdr>
        <w:top w:val="none" w:sz="0" w:space="0" w:color="auto"/>
        <w:left w:val="none" w:sz="0" w:space="0" w:color="auto"/>
        <w:bottom w:val="none" w:sz="0" w:space="0" w:color="auto"/>
        <w:right w:val="none" w:sz="0" w:space="0" w:color="auto"/>
      </w:divBdr>
    </w:div>
    <w:div w:id="130439154">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55390365">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69176948">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52861285">
      <w:bodyDiv w:val="1"/>
      <w:marLeft w:val="0"/>
      <w:marRight w:val="0"/>
      <w:marTop w:val="0"/>
      <w:marBottom w:val="0"/>
      <w:divBdr>
        <w:top w:val="none" w:sz="0" w:space="0" w:color="auto"/>
        <w:left w:val="none" w:sz="0" w:space="0" w:color="auto"/>
        <w:bottom w:val="none" w:sz="0" w:space="0" w:color="auto"/>
        <w:right w:val="none" w:sz="0" w:space="0" w:color="auto"/>
      </w:divBdr>
    </w:div>
    <w:div w:id="254172839">
      <w:bodyDiv w:val="1"/>
      <w:marLeft w:val="0"/>
      <w:marRight w:val="0"/>
      <w:marTop w:val="0"/>
      <w:marBottom w:val="0"/>
      <w:divBdr>
        <w:top w:val="none" w:sz="0" w:space="0" w:color="auto"/>
        <w:left w:val="none" w:sz="0" w:space="0" w:color="auto"/>
        <w:bottom w:val="none" w:sz="0" w:space="0" w:color="auto"/>
        <w:right w:val="none" w:sz="0" w:space="0" w:color="auto"/>
      </w:divBdr>
    </w:div>
    <w:div w:id="256837548">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423927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1397877">
      <w:bodyDiv w:val="1"/>
      <w:marLeft w:val="0"/>
      <w:marRight w:val="0"/>
      <w:marTop w:val="0"/>
      <w:marBottom w:val="0"/>
      <w:divBdr>
        <w:top w:val="none" w:sz="0" w:space="0" w:color="auto"/>
        <w:left w:val="none" w:sz="0" w:space="0" w:color="auto"/>
        <w:bottom w:val="none" w:sz="0" w:space="0" w:color="auto"/>
        <w:right w:val="none" w:sz="0" w:space="0" w:color="auto"/>
      </w:divBdr>
    </w:div>
    <w:div w:id="325089139">
      <w:bodyDiv w:val="1"/>
      <w:marLeft w:val="0"/>
      <w:marRight w:val="0"/>
      <w:marTop w:val="0"/>
      <w:marBottom w:val="0"/>
      <w:divBdr>
        <w:top w:val="none" w:sz="0" w:space="0" w:color="auto"/>
        <w:left w:val="none" w:sz="0" w:space="0" w:color="auto"/>
        <w:bottom w:val="none" w:sz="0" w:space="0" w:color="auto"/>
        <w:right w:val="none" w:sz="0" w:space="0" w:color="auto"/>
      </w:divBdr>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9376711">
      <w:bodyDiv w:val="1"/>
      <w:marLeft w:val="0"/>
      <w:marRight w:val="0"/>
      <w:marTop w:val="0"/>
      <w:marBottom w:val="0"/>
      <w:divBdr>
        <w:top w:val="none" w:sz="0" w:space="0" w:color="auto"/>
        <w:left w:val="none" w:sz="0" w:space="0" w:color="auto"/>
        <w:bottom w:val="none" w:sz="0" w:space="0" w:color="auto"/>
        <w:right w:val="none" w:sz="0" w:space="0" w:color="auto"/>
      </w:divBdr>
    </w:div>
    <w:div w:id="355349716">
      <w:bodyDiv w:val="1"/>
      <w:marLeft w:val="0"/>
      <w:marRight w:val="0"/>
      <w:marTop w:val="0"/>
      <w:marBottom w:val="0"/>
      <w:divBdr>
        <w:top w:val="none" w:sz="0" w:space="0" w:color="auto"/>
        <w:left w:val="none" w:sz="0" w:space="0" w:color="auto"/>
        <w:bottom w:val="none" w:sz="0" w:space="0" w:color="auto"/>
        <w:right w:val="none" w:sz="0" w:space="0" w:color="auto"/>
      </w:divBdr>
    </w:div>
    <w:div w:id="357515026">
      <w:bodyDiv w:val="1"/>
      <w:marLeft w:val="0"/>
      <w:marRight w:val="0"/>
      <w:marTop w:val="0"/>
      <w:marBottom w:val="0"/>
      <w:divBdr>
        <w:top w:val="none" w:sz="0" w:space="0" w:color="auto"/>
        <w:left w:val="none" w:sz="0" w:space="0" w:color="auto"/>
        <w:bottom w:val="none" w:sz="0" w:space="0" w:color="auto"/>
        <w:right w:val="none" w:sz="0" w:space="0" w:color="auto"/>
      </w:divBdr>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85318014">
      <w:bodyDiv w:val="1"/>
      <w:marLeft w:val="0"/>
      <w:marRight w:val="0"/>
      <w:marTop w:val="0"/>
      <w:marBottom w:val="0"/>
      <w:divBdr>
        <w:top w:val="none" w:sz="0" w:space="0" w:color="auto"/>
        <w:left w:val="none" w:sz="0" w:space="0" w:color="auto"/>
        <w:bottom w:val="none" w:sz="0" w:space="0" w:color="auto"/>
        <w:right w:val="none" w:sz="0" w:space="0" w:color="auto"/>
      </w:divBdr>
      <w:divsChild>
        <w:div w:id="1555769978">
          <w:marLeft w:val="0"/>
          <w:marRight w:val="0"/>
          <w:marTop w:val="0"/>
          <w:marBottom w:val="0"/>
          <w:divBdr>
            <w:top w:val="none" w:sz="0" w:space="0" w:color="auto"/>
            <w:left w:val="none" w:sz="0" w:space="0" w:color="auto"/>
            <w:bottom w:val="none" w:sz="0" w:space="0" w:color="auto"/>
            <w:right w:val="none" w:sz="0" w:space="0" w:color="auto"/>
          </w:divBdr>
          <w:divsChild>
            <w:div w:id="13284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5505875">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60676980">
      <w:bodyDiv w:val="1"/>
      <w:marLeft w:val="0"/>
      <w:marRight w:val="0"/>
      <w:marTop w:val="0"/>
      <w:marBottom w:val="0"/>
      <w:divBdr>
        <w:top w:val="none" w:sz="0" w:space="0" w:color="auto"/>
        <w:left w:val="none" w:sz="0" w:space="0" w:color="auto"/>
        <w:bottom w:val="none" w:sz="0" w:space="0" w:color="auto"/>
        <w:right w:val="none" w:sz="0" w:space="0" w:color="auto"/>
      </w:divBdr>
    </w:div>
    <w:div w:id="565339772">
      <w:bodyDiv w:val="1"/>
      <w:marLeft w:val="0"/>
      <w:marRight w:val="0"/>
      <w:marTop w:val="0"/>
      <w:marBottom w:val="0"/>
      <w:divBdr>
        <w:top w:val="none" w:sz="0" w:space="0" w:color="auto"/>
        <w:left w:val="none" w:sz="0" w:space="0" w:color="auto"/>
        <w:bottom w:val="none" w:sz="0" w:space="0" w:color="auto"/>
        <w:right w:val="none" w:sz="0" w:space="0" w:color="auto"/>
      </w:divBdr>
    </w:div>
    <w:div w:id="568809706">
      <w:bodyDiv w:val="1"/>
      <w:marLeft w:val="0"/>
      <w:marRight w:val="0"/>
      <w:marTop w:val="0"/>
      <w:marBottom w:val="0"/>
      <w:divBdr>
        <w:top w:val="none" w:sz="0" w:space="0" w:color="auto"/>
        <w:left w:val="none" w:sz="0" w:space="0" w:color="auto"/>
        <w:bottom w:val="none" w:sz="0" w:space="0" w:color="auto"/>
        <w:right w:val="none" w:sz="0" w:space="0" w:color="auto"/>
      </w:divBdr>
    </w:div>
    <w:div w:id="577330754">
      <w:bodyDiv w:val="1"/>
      <w:marLeft w:val="0"/>
      <w:marRight w:val="0"/>
      <w:marTop w:val="0"/>
      <w:marBottom w:val="0"/>
      <w:divBdr>
        <w:top w:val="none" w:sz="0" w:space="0" w:color="auto"/>
        <w:left w:val="none" w:sz="0" w:space="0" w:color="auto"/>
        <w:bottom w:val="none" w:sz="0" w:space="0" w:color="auto"/>
        <w:right w:val="none" w:sz="0" w:space="0" w:color="auto"/>
      </w:divBdr>
    </w:div>
    <w:div w:id="594871239">
      <w:bodyDiv w:val="1"/>
      <w:marLeft w:val="0"/>
      <w:marRight w:val="0"/>
      <w:marTop w:val="0"/>
      <w:marBottom w:val="0"/>
      <w:divBdr>
        <w:top w:val="none" w:sz="0" w:space="0" w:color="auto"/>
        <w:left w:val="none" w:sz="0" w:space="0" w:color="auto"/>
        <w:bottom w:val="none" w:sz="0" w:space="0" w:color="auto"/>
        <w:right w:val="none" w:sz="0" w:space="0" w:color="auto"/>
      </w:divBdr>
    </w:div>
    <w:div w:id="59967907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056554">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700324772">
      <w:bodyDiv w:val="1"/>
      <w:marLeft w:val="0"/>
      <w:marRight w:val="0"/>
      <w:marTop w:val="0"/>
      <w:marBottom w:val="0"/>
      <w:divBdr>
        <w:top w:val="none" w:sz="0" w:space="0" w:color="auto"/>
        <w:left w:val="none" w:sz="0" w:space="0" w:color="auto"/>
        <w:bottom w:val="none" w:sz="0" w:space="0" w:color="auto"/>
        <w:right w:val="none" w:sz="0" w:space="0" w:color="auto"/>
      </w:divBdr>
    </w:div>
    <w:div w:id="703676880">
      <w:bodyDiv w:val="1"/>
      <w:marLeft w:val="0"/>
      <w:marRight w:val="0"/>
      <w:marTop w:val="0"/>
      <w:marBottom w:val="0"/>
      <w:divBdr>
        <w:top w:val="none" w:sz="0" w:space="0" w:color="auto"/>
        <w:left w:val="none" w:sz="0" w:space="0" w:color="auto"/>
        <w:bottom w:val="none" w:sz="0" w:space="0" w:color="auto"/>
        <w:right w:val="none" w:sz="0" w:space="0" w:color="auto"/>
      </w:divBdr>
      <w:divsChild>
        <w:div w:id="855189314">
          <w:marLeft w:val="0"/>
          <w:marRight w:val="0"/>
          <w:marTop w:val="0"/>
          <w:marBottom w:val="0"/>
          <w:divBdr>
            <w:top w:val="none" w:sz="0" w:space="0" w:color="auto"/>
            <w:left w:val="none" w:sz="0" w:space="0" w:color="auto"/>
            <w:bottom w:val="none" w:sz="0" w:space="0" w:color="auto"/>
            <w:right w:val="none" w:sz="0" w:space="0" w:color="auto"/>
          </w:divBdr>
          <w:divsChild>
            <w:div w:id="11581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2391">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87235884">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4492237">
      <w:bodyDiv w:val="1"/>
      <w:marLeft w:val="0"/>
      <w:marRight w:val="0"/>
      <w:marTop w:val="0"/>
      <w:marBottom w:val="0"/>
      <w:divBdr>
        <w:top w:val="none" w:sz="0" w:space="0" w:color="auto"/>
        <w:left w:val="none" w:sz="0" w:space="0" w:color="auto"/>
        <w:bottom w:val="none" w:sz="0" w:space="0" w:color="auto"/>
        <w:right w:val="none" w:sz="0" w:space="0" w:color="auto"/>
      </w:divBdr>
    </w:div>
    <w:div w:id="834106511">
      <w:bodyDiv w:val="1"/>
      <w:marLeft w:val="0"/>
      <w:marRight w:val="0"/>
      <w:marTop w:val="0"/>
      <w:marBottom w:val="0"/>
      <w:divBdr>
        <w:top w:val="none" w:sz="0" w:space="0" w:color="auto"/>
        <w:left w:val="none" w:sz="0" w:space="0" w:color="auto"/>
        <w:bottom w:val="none" w:sz="0" w:space="0" w:color="auto"/>
        <w:right w:val="none" w:sz="0" w:space="0" w:color="auto"/>
      </w:divBdr>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907883710">
      <w:bodyDiv w:val="1"/>
      <w:marLeft w:val="0"/>
      <w:marRight w:val="0"/>
      <w:marTop w:val="0"/>
      <w:marBottom w:val="0"/>
      <w:divBdr>
        <w:top w:val="none" w:sz="0" w:space="0" w:color="auto"/>
        <w:left w:val="none" w:sz="0" w:space="0" w:color="auto"/>
        <w:bottom w:val="none" w:sz="0" w:space="0" w:color="auto"/>
        <w:right w:val="none" w:sz="0" w:space="0" w:color="auto"/>
      </w:divBdr>
    </w:div>
    <w:div w:id="910164765">
      <w:bodyDiv w:val="1"/>
      <w:marLeft w:val="0"/>
      <w:marRight w:val="0"/>
      <w:marTop w:val="0"/>
      <w:marBottom w:val="0"/>
      <w:divBdr>
        <w:top w:val="none" w:sz="0" w:space="0" w:color="auto"/>
        <w:left w:val="none" w:sz="0" w:space="0" w:color="auto"/>
        <w:bottom w:val="none" w:sz="0" w:space="0" w:color="auto"/>
        <w:right w:val="none" w:sz="0" w:space="0" w:color="auto"/>
      </w:divBdr>
    </w:div>
    <w:div w:id="913397233">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20872839">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6620050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02659806">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25326172">
      <w:bodyDiv w:val="1"/>
      <w:marLeft w:val="0"/>
      <w:marRight w:val="0"/>
      <w:marTop w:val="0"/>
      <w:marBottom w:val="0"/>
      <w:divBdr>
        <w:top w:val="none" w:sz="0" w:space="0" w:color="auto"/>
        <w:left w:val="none" w:sz="0" w:space="0" w:color="auto"/>
        <w:bottom w:val="none" w:sz="0" w:space="0" w:color="auto"/>
        <w:right w:val="none" w:sz="0" w:space="0" w:color="auto"/>
      </w:divBdr>
    </w:div>
    <w:div w:id="1031032571">
      <w:bodyDiv w:val="1"/>
      <w:marLeft w:val="0"/>
      <w:marRight w:val="0"/>
      <w:marTop w:val="0"/>
      <w:marBottom w:val="0"/>
      <w:divBdr>
        <w:top w:val="none" w:sz="0" w:space="0" w:color="auto"/>
        <w:left w:val="none" w:sz="0" w:space="0" w:color="auto"/>
        <w:bottom w:val="none" w:sz="0" w:space="0" w:color="auto"/>
        <w:right w:val="none" w:sz="0" w:space="0" w:color="auto"/>
      </w:divBdr>
    </w:div>
    <w:div w:id="1052971616">
      <w:bodyDiv w:val="1"/>
      <w:marLeft w:val="0"/>
      <w:marRight w:val="0"/>
      <w:marTop w:val="0"/>
      <w:marBottom w:val="0"/>
      <w:divBdr>
        <w:top w:val="none" w:sz="0" w:space="0" w:color="auto"/>
        <w:left w:val="none" w:sz="0" w:space="0" w:color="auto"/>
        <w:bottom w:val="none" w:sz="0" w:space="0" w:color="auto"/>
        <w:right w:val="none" w:sz="0" w:space="0" w:color="auto"/>
      </w:divBdr>
    </w:div>
    <w:div w:id="1058749225">
      <w:bodyDiv w:val="1"/>
      <w:marLeft w:val="0"/>
      <w:marRight w:val="0"/>
      <w:marTop w:val="0"/>
      <w:marBottom w:val="0"/>
      <w:divBdr>
        <w:top w:val="none" w:sz="0" w:space="0" w:color="auto"/>
        <w:left w:val="none" w:sz="0" w:space="0" w:color="auto"/>
        <w:bottom w:val="none" w:sz="0" w:space="0" w:color="auto"/>
        <w:right w:val="none" w:sz="0" w:space="0" w:color="auto"/>
      </w:divBdr>
    </w:div>
    <w:div w:id="1075323955">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9472822">
      <w:bodyDiv w:val="1"/>
      <w:marLeft w:val="0"/>
      <w:marRight w:val="0"/>
      <w:marTop w:val="0"/>
      <w:marBottom w:val="0"/>
      <w:divBdr>
        <w:top w:val="none" w:sz="0" w:space="0" w:color="auto"/>
        <w:left w:val="none" w:sz="0" w:space="0" w:color="auto"/>
        <w:bottom w:val="none" w:sz="0" w:space="0" w:color="auto"/>
        <w:right w:val="none" w:sz="0" w:space="0" w:color="auto"/>
      </w:divBdr>
    </w:div>
    <w:div w:id="1144355499">
      <w:bodyDiv w:val="1"/>
      <w:marLeft w:val="0"/>
      <w:marRight w:val="0"/>
      <w:marTop w:val="0"/>
      <w:marBottom w:val="0"/>
      <w:divBdr>
        <w:top w:val="none" w:sz="0" w:space="0" w:color="auto"/>
        <w:left w:val="none" w:sz="0" w:space="0" w:color="auto"/>
        <w:bottom w:val="none" w:sz="0" w:space="0" w:color="auto"/>
        <w:right w:val="none" w:sz="0" w:space="0" w:color="auto"/>
      </w:divBdr>
    </w:div>
    <w:div w:id="1149128029">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14581579">
      <w:bodyDiv w:val="1"/>
      <w:marLeft w:val="0"/>
      <w:marRight w:val="0"/>
      <w:marTop w:val="0"/>
      <w:marBottom w:val="0"/>
      <w:divBdr>
        <w:top w:val="none" w:sz="0" w:space="0" w:color="auto"/>
        <w:left w:val="none" w:sz="0" w:space="0" w:color="auto"/>
        <w:bottom w:val="none" w:sz="0" w:space="0" w:color="auto"/>
        <w:right w:val="none" w:sz="0" w:space="0" w:color="auto"/>
      </w:divBdr>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048028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4468658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58952009">
      <w:bodyDiv w:val="1"/>
      <w:marLeft w:val="0"/>
      <w:marRight w:val="0"/>
      <w:marTop w:val="0"/>
      <w:marBottom w:val="0"/>
      <w:divBdr>
        <w:top w:val="none" w:sz="0" w:space="0" w:color="auto"/>
        <w:left w:val="none" w:sz="0" w:space="0" w:color="auto"/>
        <w:bottom w:val="none" w:sz="0" w:space="0" w:color="auto"/>
        <w:right w:val="none" w:sz="0" w:space="0" w:color="auto"/>
      </w:divBdr>
    </w:div>
    <w:div w:id="1277253453">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4677578">
      <w:bodyDiv w:val="1"/>
      <w:marLeft w:val="0"/>
      <w:marRight w:val="0"/>
      <w:marTop w:val="0"/>
      <w:marBottom w:val="0"/>
      <w:divBdr>
        <w:top w:val="none" w:sz="0" w:space="0" w:color="auto"/>
        <w:left w:val="none" w:sz="0" w:space="0" w:color="auto"/>
        <w:bottom w:val="none" w:sz="0" w:space="0" w:color="auto"/>
        <w:right w:val="none" w:sz="0" w:space="0" w:color="auto"/>
      </w:divBdr>
    </w:div>
    <w:div w:id="1295603795">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18805343">
      <w:bodyDiv w:val="1"/>
      <w:marLeft w:val="0"/>
      <w:marRight w:val="0"/>
      <w:marTop w:val="0"/>
      <w:marBottom w:val="0"/>
      <w:divBdr>
        <w:top w:val="none" w:sz="0" w:space="0" w:color="auto"/>
        <w:left w:val="none" w:sz="0" w:space="0" w:color="auto"/>
        <w:bottom w:val="none" w:sz="0" w:space="0" w:color="auto"/>
        <w:right w:val="none" w:sz="0" w:space="0" w:color="auto"/>
      </w:divBdr>
    </w:div>
    <w:div w:id="1320575259">
      <w:bodyDiv w:val="1"/>
      <w:marLeft w:val="0"/>
      <w:marRight w:val="0"/>
      <w:marTop w:val="0"/>
      <w:marBottom w:val="0"/>
      <w:divBdr>
        <w:top w:val="none" w:sz="0" w:space="0" w:color="auto"/>
        <w:left w:val="none" w:sz="0" w:space="0" w:color="auto"/>
        <w:bottom w:val="none" w:sz="0" w:space="0" w:color="auto"/>
        <w:right w:val="none" w:sz="0" w:space="0" w:color="auto"/>
      </w:divBdr>
    </w:div>
    <w:div w:id="1322467667">
      <w:bodyDiv w:val="1"/>
      <w:marLeft w:val="0"/>
      <w:marRight w:val="0"/>
      <w:marTop w:val="0"/>
      <w:marBottom w:val="0"/>
      <w:divBdr>
        <w:top w:val="none" w:sz="0" w:space="0" w:color="auto"/>
        <w:left w:val="none" w:sz="0" w:space="0" w:color="auto"/>
        <w:bottom w:val="none" w:sz="0" w:space="0" w:color="auto"/>
        <w:right w:val="none" w:sz="0" w:space="0" w:color="auto"/>
      </w:divBdr>
    </w:div>
    <w:div w:id="133001515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58120870">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5321917">
      <w:bodyDiv w:val="1"/>
      <w:marLeft w:val="0"/>
      <w:marRight w:val="0"/>
      <w:marTop w:val="0"/>
      <w:marBottom w:val="0"/>
      <w:divBdr>
        <w:top w:val="none" w:sz="0" w:space="0" w:color="auto"/>
        <w:left w:val="none" w:sz="0" w:space="0" w:color="auto"/>
        <w:bottom w:val="none" w:sz="0" w:space="0" w:color="auto"/>
        <w:right w:val="none" w:sz="0" w:space="0" w:color="auto"/>
      </w:divBdr>
    </w:div>
    <w:div w:id="1428112413">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77065343">
      <w:bodyDiv w:val="1"/>
      <w:marLeft w:val="0"/>
      <w:marRight w:val="0"/>
      <w:marTop w:val="0"/>
      <w:marBottom w:val="0"/>
      <w:divBdr>
        <w:top w:val="none" w:sz="0" w:space="0" w:color="auto"/>
        <w:left w:val="none" w:sz="0" w:space="0" w:color="auto"/>
        <w:bottom w:val="none" w:sz="0" w:space="0" w:color="auto"/>
        <w:right w:val="none" w:sz="0" w:space="0" w:color="auto"/>
      </w:divBdr>
    </w:div>
    <w:div w:id="1517692604">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2142932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41893905">
      <w:bodyDiv w:val="1"/>
      <w:marLeft w:val="0"/>
      <w:marRight w:val="0"/>
      <w:marTop w:val="0"/>
      <w:marBottom w:val="0"/>
      <w:divBdr>
        <w:top w:val="none" w:sz="0" w:space="0" w:color="auto"/>
        <w:left w:val="none" w:sz="0" w:space="0" w:color="auto"/>
        <w:bottom w:val="none" w:sz="0" w:space="0" w:color="auto"/>
        <w:right w:val="none" w:sz="0" w:space="0" w:color="auto"/>
      </w:divBdr>
    </w:div>
    <w:div w:id="1551459488">
      <w:bodyDiv w:val="1"/>
      <w:marLeft w:val="0"/>
      <w:marRight w:val="0"/>
      <w:marTop w:val="0"/>
      <w:marBottom w:val="0"/>
      <w:divBdr>
        <w:top w:val="none" w:sz="0" w:space="0" w:color="auto"/>
        <w:left w:val="none" w:sz="0" w:space="0" w:color="auto"/>
        <w:bottom w:val="none" w:sz="0" w:space="0" w:color="auto"/>
        <w:right w:val="none" w:sz="0" w:space="0" w:color="auto"/>
      </w:divBdr>
    </w:div>
    <w:div w:id="1563831480">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596476116">
      <w:bodyDiv w:val="1"/>
      <w:marLeft w:val="0"/>
      <w:marRight w:val="0"/>
      <w:marTop w:val="0"/>
      <w:marBottom w:val="0"/>
      <w:divBdr>
        <w:top w:val="none" w:sz="0" w:space="0" w:color="auto"/>
        <w:left w:val="none" w:sz="0" w:space="0" w:color="auto"/>
        <w:bottom w:val="none" w:sz="0" w:space="0" w:color="auto"/>
        <w:right w:val="none" w:sz="0" w:space="0" w:color="auto"/>
      </w:divBdr>
    </w:div>
    <w:div w:id="1605646485">
      <w:bodyDiv w:val="1"/>
      <w:marLeft w:val="0"/>
      <w:marRight w:val="0"/>
      <w:marTop w:val="0"/>
      <w:marBottom w:val="0"/>
      <w:divBdr>
        <w:top w:val="none" w:sz="0" w:space="0" w:color="auto"/>
        <w:left w:val="none" w:sz="0" w:space="0" w:color="auto"/>
        <w:bottom w:val="none" w:sz="0" w:space="0" w:color="auto"/>
        <w:right w:val="none" w:sz="0" w:space="0" w:color="auto"/>
      </w:divBdr>
    </w:div>
    <w:div w:id="1609773075">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2878734">
      <w:bodyDiv w:val="1"/>
      <w:marLeft w:val="0"/>
      <w:marRight w:val="0"/>
      <w:marTop w:val="0"/>
      <w:marBottom w:val="0"/>
      <w:divBdr>
        <w:top w:val="none" w:sz="0" w:space="0" w:color="auto"/>
        <w:left w:val="none" w:sz="0" w:space="0" w:color="auto"/>
        <w:bottom w:val="none" w:sz="0" w:space="0" w:color="auto"/>
        <w:right w:val="none" w:sz="0" w:space="0" w:color="auto"/>
      </w:divBdr>
    </w:div>
    <w:div w:id="1666858317">
      <w:bodyDiv w:val="1"/>
      <w:marLeft w:val="0"/>
      <w:marRight w:val="0"/>
      <w:marTop w:val="0"/>
      <w:marBottom w:val="0"/>
      <w:divBdr>
        <w:top w:val="none" w:sz="0" w:space="0" w:color="auto"/>
        <w:left w:val="none" w:sz="0" w:space="0" w:color="auto"/>
        <w:bottom w:val="none" w:sz="0" w:space="0" w:color="auto"/>
        <w:right w:val="none" w:sz="0" w:space="0" w:color="auto"/>
      </w:divBdr>
    </w:div>
    <w:div w:id="1671105640">
      <w:bodyDiv w:val="1"/>
      <w:marLeft w:val="0"/>
      <w:marRight w:val="0"/>
      <w:marTop w:val="0"/>
      <w:marBottom w:val="0"/>
      <w:divBdr>
        <w:top w:val="none" w:sz="0" w:space="0" w:color="auto"/>
        <w:left w:val="none" w:sz="0" w:space="0" w:color="auto"/>
        <w:bottom w:val="none" w:sz="0" w:space="0" w:color="auto"/>
        <w:right w:val="none" w:sz="0" w:space="0" w:color="auto"/>
      </w:divBdr>
    </w:div>
    <w:div w:id="1689477482">
      <w:bodyDiv w:val="1"/>
      <w:marLeft w:val="0"/>
      <w:marRight w:val="0"/>
      <w:marTop w:val="0"/>
      <w:marBottom w:val="0"/>
      <w:divBdr>
        <w:top w:val="none" w:sz="0" w:space="0" w:color="auto"/>
        <w:left w:val="none" w:sz="0" w:space="0" w:color="auto"/>
        <w:bottom w:val="none" w:sz="0" w:space="0" w:color="auto"/>
        <w:right w:val="none" w:sz="0" w:space="0" w:color="auto"/>
      </w:divBdr>
    </w:div>
    <w:div w:id="1720323455">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3794159">
      <w:bodyDiv w:val="1"/>
      <w:marLeft w:val="0"/>
      <w:marRight w:val="0"/>
      <w:marTop w:val="0"/>
      <w:marBottom w:val="0"/>
      <w:divBdr>
        <w:top w:val="none" w:sz="0" w:space="0" w:color="auto"/>
        <w:left w:val="none" w:sz="0" w:space="0" w:color="auto"/>
        <w:bottom w:val="none" w:sz="0" w:space="0" w:color="auto"/>
        <w:right w:val="none" w:sz="0" w:space="0" w:color="auto"/>
      </w:divBdr>
    </w:div>
    <w:div w:id="1858080517">
      <w:bodyDiv w:val="1"/>
      <w:marLeft w:val="0"/>
      <w:marRight w:val="0"/>
      <w:marTop w:val="0"/>
      <w:marBottom w:val="0"/>
      <w:divBdr>
        <w:top w:val="none" w:sz="0" w:space="0" w:color="auto"/>
        <w:left w:val="none" w:sz="0" w:space="0" w:color="auto"/>
        <w:bottom w:val="none" w:sz="0" w:space="0" w:color="auto"/>
        <w:right w:val="none" w:sz="0" w:space="0" w:color="auto"/>
      </w:divBdr>
    </w:div>
    <w:div w:id="1862625889">
      <w:bodyDiv w:val="1"/>
      <w:marLeft w:val="0"/>
      <w:marRight w:val="0"/>
      <w:marTop w:val="0"/>
      <w:marBottom w:val="0"/>
      <w:divBdr>
        <w:top w:val="none" w:sz="0" w:space="0" w:color="auto"/>
        <w:left w:val="none" w:sz="0" w:space="0" w:color="auto"/>
        <w:bottom w:val="none" w:sz="0" w:space="0" w:color="auto"/>
        <w:right w:val="none" w:sz="0" w:space="0" w:color="auto"/>
      </w:divBdr>
    </w:div>
    <w:div w:id="1865365871">
      <w:bodyDiv w:val="1"/>
      <w:marLeft w:val="0"/>
      <w:marRight w:val="0"/>
      <w:marTop w:val="0"/>
      <w:marBottom w:val="0"/>
      <w:divBdr>
        <w:top w:val="none" w:sz="0" w:space="0" w:color="auto"/>
        <w:left w:val="none" w:sz="0" w:space="0" w:color="auto"/>
        <w:bottom w:val="none" w:sz="0" w:space="0" w:color="auto"/>
        <w:right w:val="none" w:sz="0" w:space="0" w:color="auto"/>
      </w:divBdr>
    </w:div>
    <w:div w:id="1882327905">
      <w:bodyDiv w:val="1"/>
      <w:marLeft w:val="0"/>
      <w:marRight w:val="0"/>
      <w:marTop w:val="0"/>
      <w:marBottom w:val="0"/>
      <w:divBdr>
        <w:top w:val="none" w:sz="0" w:space="0" w:color="auto"/>
        <w:left w:val="none" w:sz="0" w:space="0" w:color="auto"/>
        <w:bottom w:val="none" w:sz="0" w:space="0" w:color="auto"/>
        <w:right w:val="none" w:sz="0" w:space="0" w:color="auto"/>
      </w:divBdr>
    </w:div>
    <w:div w:id="189256819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3711143">
      <w:bodyDiv w:val="1"/>
      <w:marLeft w:val="0"/>
      <w:marRight w:val="0"/>
      <w:marTop w:val="0"/>
      <w:marBottom w:val="0"/>
      <w:divBdr>
        <w:top w:val="none" w:sz="0" w:space="0" w:color="auto"/>
        <w:left w:val="none" w:sz="0" w:space="0" w:color="auto"/>
        <w:bottom w:val="none" w:sz="0" w:space="0" w:color="auto"/>
        <w:right w:val="none" w:sz="0" w:space="0" w:color="auto"/>
      </w:divBdr>
    </w:div>
    <w:div w:id="191176561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57760526">
      <w:bodyDiv w:val="1"/>
      <w:marLeft w:val="0"/>
      <w:marRight w:val="0"/>
      <w:marTop w:val="0"/>
      <w:marBottom w:val="0"/>
      <w:divBdr>
        <w:top w:val="none" w:sz="0" w:space="0" w:color="auto"/>
        <w:left w:val="none" w:sz="0" w:space="0" w:color="auto"/>
        <w:bottom w:val="none" w:sz="0" w:space="0" w:color="auto"/>
        <w:right w:val="none" w:sz="0" w:space="0" w:color="auto"/>
      </w:divBdr>
    </w:div>
    <w:div w:id="1966306423">
      <w:bodyDiv w:val="1"/>
      <w:marLeft w:val="0"/>
      <w:marRight w:val="0"/>
      <w:marTop w:val="0"/>
      <w:marBottom w:val="0"/>
      <w:divBdr>
        <w:top w:val="none" w:sz="0" w:space="0" w:color="auto"/>
        <w:left w:val="none" w:sz="0" w:space="0" w:color="auto"/>
        <w:bottom w:val="none" w:sz="0" w:space="0" w:color="auto"/>
        <w:right w:val="none" w:sz="0" w:space="0" w:color="auto"/>
      </w:divBdr>
    </w:div>
    <w:div w:id="1972057181">
      <w:bodyDiv w:val="1"/>
      <w:marLeft w:val="0"/>
      <w:marRight w:val="0"/>
      <w:marTop w:val="0"/>
      <w:marBottom w:val="0"/>
      <w:divBdr>
        <w:top w:val="none" w:sz="0" w:space="0" w:color="auto"/>
        <w:left w:val="none" w:sz="0" w:space="0" w:color="auto"/>
        <w:bottom w:val="none" w:sz="0" w:space="0" w:color="auto"/>
        <w:right w:val="none" w:sz="0" w:space="0" w:color="auto"/>
      </w:divBdr>
    </w:div>
    <w:div w:id="1975985670">
      <w:bodyDiv w:val="1"/>
      <w:marLeft w:val="0"/>
      <w:marRight w:val="0"/>
      <w:marTop w:val="0"/>
      <w:marBottom w:val="0"/>
      <w:divBdr>
        <w:top w:val="none" w:sz="0" w:space="0" w:color="auto"/>
        <w:left w:val="none" w:sz="0" w:space="0" w:color="auto"/>
        <w:bottom w:val="none" w:sz="0" w:space="0" w:color="auto"/>
        <w:right w:val="none" w:sz="0" w:space="0" w:color="auto"/>
      </w:divBdr>
    </w:div>
    <w:div w:id="1984041464">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7052860">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14257644">
      <w:bodyDiv w:val="1"/>
      <w:marLeft w:val="0"/>
      <w:marRight w:val="0"/>
      <w:marTop w:val="0"/>
      <w:marBottom w:val="0"/>
      <w:divBdr>
        <w:top w:val="none" w:sz="0" w:space="0" w:color="auto"/>
        <w:left w:val="none" w:sz="0" w:space="0" w:color="auto"/>
        <w:bottom w:val="none" w:sz="0" w:space="0" w:color="auto"/>
        <w:right w:val="none" w:sz="0" w:space="0" w:color="auto"/>
      </w:divBdr>
    </w:div>
    <w:div w:id="2030180807">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39501554">
      <w:bodyDiv w:val="1"/>
      <w:marLeft w:val="0"/>
      <w:marRight w:val="0"/>
      <w:marTop w:val="0"/>
      <w:marBottom w:val="0"/>
      <w:divBdr>
        <w:top w:val="none" w:sz="0" w:space="0" w:color="auto"/>
        <w:left w:val="none" w:sz="0" w:space="0" w:color="auto"/>
        <w:bottom w:val="none" w:sz="0" w:space="0" w:color="auto"/>
        <w:right w:val="none" w:sz="0" w:space="0" w:color="auto"/>
      </w:divBdr>
    </w:div>
    <w:div w:id="2053457421">
      <w:bodyDiv w:val="1"/>
      <w:marLeft w:val="0"/>
      <w:marRight w:val="0"/>
      <w:marTop w:val="0"/>
      <w:marBottom w:val="0"/>
      <w:divBdr>
        <w:top w:val="none" w:sz="0" w:space="0" w:color="auto"/>
        <w:left w:val="none" w:sz="0" w:space="0" w:color="auto"/>
        <w:bottom w:val="none" w:sz="0" w:space="0" w:color="auto"/>
        <w:right w:val="none" w:sz="0" w:space="0" w:color="auto"/>
      </w:divBdr>
    </w:div>
    <w:div w:id="2064450959">
      <w:bodyDiv w:val="1"/>
      <w:marLeft w:val="0"/>
      <w:marRight w:val="0"/>
      <w:marTop w:val="0"/>
      <w:marBottom w:val="0"/>
      <w:divBdr>
        <w:top w:val="none" w:sz="0" w:space="0" w:color="auto"/>
        <w:left w:val="none" w:sz="0" w:space="0" w:color="auto"/>
        <w:bottom w:val="none" w:sz="0" w:space="0" w:color="auto"/>
        <w:right w:val="none" w:sz="0" w:space="0" w:color="auto"/>
      </w:divBdr>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05883858">
      <w:bodyDiv w:val="1"/>
      <w:marLeft w:val="0"/>
      <w:marRight w:val="0"/>
      <w:marTop w:val="0"/>
      <w:marBottom w:val="0"/>
      <w:divBdr>
        <w:top w:val="none" w:sz="0" w:space="0" w:color="auto"/>
        <w:left w:val="none" w:sz="0" w:space="0" w:color="auto"/>
        <w:bottom w:val="none" w:sz="0" w:space="0" w:color="auto"/>
        <w:right w:val="none" w:sz="0" w:space="0" w:color="auto"/>
      </w:divBdr>
    </w:div>
    <w:div w:id="2116363017">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4380629">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 w:id="2136287105">
      <w:bodyDiv w:val="1"/>
      <w:marLeft w:val="0"/>
      <w:marRight w:val="0"/>
      <w:marTop w:val="0"/>
      <w:marBottom w:val="0"/>
      <w:divBdr>
        <w:top w:val="none" w:sz="0" w:space="0" w:color="auto"/>
        <w:left w:val="none" w:sz="0" w:space="0" w:color="auto"/>
        <w:bottom w:val="none" w:sz="0" w:space="0" w:color="auto"/>
        <w:right w:val="none" w:sz="0" w:space="0" w:color="auto"/>
      </w:divBdr>
    </w:div>
    <w:div w:id="21393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microbiology-immunology-home-ami.php"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http://www.fortunejournals.com/" TargetMode="External"/><Relationship Id="rId19" Type="http://schemas.openxmlformats.org/officeDocument/2006/relationships/hyperlink" Target="http://creativecommons.org/licenses/by/4.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1DA9-710E-43B6-AD2D-B04807AC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2610</TotalTime>
  <Pages>21</Pages>
  <Words>6654</Words>
  <Characters>37933</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t21617</cp:lastModifiedBy>
  <cp:revision>197</cp:revision>
  <dcterms:created xsi:type="dcterms:W3CDTF">2024-07-26T12:22:00Z</dcterms:created>
  <dcterms:modified xsi:type="dcterms:W3CDTF">2026-07-29T05:02:00Z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a313fede-e9b3-4bd1-901b-8e4f9dc6cb91</vt:lpwstr>
  </property>
</Properties>
</file>