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0D068C87"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lang w:val="en-IN" w:eastAsia="en-IN"/>
        </w:rPr>
        <w:drawing>
          <wp:anchor distT="47771" distB="120621" distL="114300" distR="114300" simplePos="0" relativeHeight="251659776" behindDoc="0" locked="0" layoutInCell="1" allowOverlap="1" wp14:anchorId="58753222" wp14:editId="6D582622">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Research</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36FC1120" w14:textId="4114BE95" w:rsidR="00A55166" w:rsidRDefault="00623864" w:rsidP="00085F0C">
      <w:pPr>
        <w:spacing w:after="0" w:line="360" w:lineRule="auto"/>
        <w:contextualSpacing/>
        <w:mirrorIndents/>
        <w:jc w:val="center"/>
        <w:rPr>
          <w:rFonts w:ascii="Times New Roman" w:eastAsia="DengXian" w:hAnsi="Times New Roman"/>
          <w:b/>
          <w:bCs/>
          <w:iCs/>
          <w:sz w:val="32"/>
          <w:szCs w:val="32"/>
          <w:lang w:val="en-CA"/>
        </w:rPr>
      </w:pPr>
      <w:r w:rsidRPr="00623864">
        <w:rPr>
          <w:rFonts w:ascii="Times New Roman" w:eastAsia="DengXian" w:hAnsi="Times New Roman"/>
          <w:b/>
          <w:bCs/>
          <w:iCs/>
          <w:sz w:val="32"/>
          <w:szCs w:val="32"/>
          <w:lang w:val="en-CA"/>
        </w:rPr>
        <w:t>Efficacy of Intravascular Lithotripsy for Treating Severely Calcified Coronary Artery Lesions in Percutaneous Coronary Intervention: A Systematic Review and Meta-Analysis</w:t>
      </w:r>
    </w:p>
    <w:p w14:paraId="5C9812DB" w14:textId="77777777" w:rsidR="00623864" w:rsidRPr="000203AF" w:rsidRDefault="00623864" w:rsidP="00085F0C">
      <w:pPr>
        <w:spacing w:after="0" w:line="360" w:lineRule="auto"/>
        <w:contextualSpacing/>
        <w:mirrorIndents/>
        <w:jc w:val="center"/>
        <w:rPr>
          <w:rStyle w:val="il"/>
          <w:rFonts w:ascii="Times New Roman" w:hAnsi="Times New Roman"/>
          <w:sz w:val="20"/>
          <w:szCs w:val="20"/>
          <w:lang w:val="en-CA"/>
        </w:rPr>
      </w:pPr>
    </w:p>
    <w:p w14:paraId="2CC537D1" w14:textId="0466F531" w:rsidR="00B74739" w:rsidRPr="008869EA" w:rsidRDefault="008869EA" w:rsidP="00D60E88">
      <w:pPr>
        <w:spacing w:after="0" w:line="360" w:lineRule="auto"/>
        <w:jc w:val="both"/>
        <w:rPr>
          <w:rFonts w:ascii="Times New Roman" w:hAnsi="Times New Roman"/>
          <w:b/>
          <w:sz w:val="22"/>
          <w:szCs w:val="22"/>
          <w:lang w:val="en-IN" w:eastAsia="x-none" w:bidi="si-LK"/>
        </w:rPr>
      </w:pPr>
      <w:r w:rsidRPr="008869EA">
        <w:rPr>
          <w:rFonts w:ascii="Times New Roman" w:hAnsi="Times New Roman"/>
          <w:b/>
          <w:sz w:val="22"/>
          <w:szCs w:val="22"/>
          <w:lang w:val="en-IN" w:eastAsia="x-none" w:bidi="si-LK"/>
        </w:rPr>
        <w:t xml:space="preserve"> Souzan</w:t>
      </w:r>
      <w:r w:rsidR="00D60E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AI</w:t>
      </w:r>
      <w:r w:rsidR="009131BC">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Bitar</w:t>
      </w:r>
      <w:r>
        <w:rPr>
          <w:rFonts w:ascii="Times New Roman" w:hAnsi="Times New Roman"/>
          <w:b/>
          <w:sz w:val="22"/>
          <w:szCs w:val="22"/>
          <w:vertAlign w:val="superscript"/>
          <w:lang w:val="en-IN" w:eastAsia="x-none" w:bidi="si-LK"/>
        </w:rPr>
        <w:t>1</w:t>
      </w:r>
      <w:r>
        <w:rPr>
          <w:rFonts w:ascii="Times New Roman" w:hAnsi="Times New Roman"/>
          <w:b/>
          <w:sz w:val="22"/>
          <w:szCs w:val="22"/>
          <w:lang w:val="en-IN" w:eastAsia="x-none" w:bidi="si-LK"/>
        </w:rPr>
        <w:t>,</w:t>
      </w:r>
      <w:r w:rsidR="005751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Shabnam</w:t>
      </w:r>
      <w:r w:rsidR="00D60E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Abdulaziz</w:t>
      </w:r>
      <w:r w:rsidR="00D60E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Memon</w:t>
      </w:r>
      <w:r w:rsidRPr="00503D69">
        <w:rPr>
          <w:rFonts w:ascii="Times New Roman" w:hAnsi="Times New Roman"/>
          <w:b/>
          <w:sz w:val="22"/>
          <w:szCs w:val="22"/>
          <w:vertAlign w:val="superscript"/>
          <w:lang w:val="en-IN" w:eastAsia="x-none" w:bidi="si-LK"/>
        </w:rPr>
        <w:t>2</w:t>
      </w:r>
      <w:r>
        <w:rPr>
          <w:rFonts w:ascii="Times New Roman" w:hAnsi="Times New Roman"/>
          <w:b/>
          <w:sz w:val="22"/>
          <w:szCs w:val="22"/>
          <w:lang w:val="en-IN" w:eastAsia="x-none" w:bidi="si-LK"/>
        </w:rPr>
        <w:t>,</w:t>
      </w:r>
      <w:r w:rsidR="005751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Divya</w:t>
      </w:r>
      <w:r w:rsidR="00D60E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Bandi</w:t>
      </w:r>
      <w:r w:rsidRPr="008869EA">
        <w:rPr>
          <w:rFonts w:ascii="Times New Roman" w:hAnsi="Times New Roman"/>
          <w:b/>
          <w:sz w:val="22"/>
          <w:szCs w:val="22"/>
          <w:vertAlign w:val="superscript"/>
          <w:lang w:val="en-IN" w:eastAsia="x-none" w:bidi="si-LK"/>
        </w:rPr>
        <w:t>3</w:t>
      </w:r>
      <w:r>
        <w:rPr>
          <w:rFonts w:ascii="Times New Roman" w:hAnsi="Times New Roman"/>
          <w:b/>
          <w:sz w:val="22"/>
          <w:szCs w:val="22"/>
          <w:lang w:val="en-IN" w:eastAsia="x-none" w:bidi="si-LK"/>
        </w:rPr>
        <w:t>,</w:t>
      </w:r>
      <w:r w:rsidR="005751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Aishwarya</w:t>
      </w:r>
      <w:r w:rsidR="00D60E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Arunkumar</w:t>
      </w:r>
      <w:r w:rsidR="00D60E8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Kamble</w:t>
      </w:r>
      <w:r w:rsidRPr="008869EA">
        <w:rPr>
          <w:rFonts w:ascii="Times New Roman" w:hAnsi="Times New Roman"/>
          <w:b/>
          <w:sz w:val="22"/>
          <w:szCs w:val="22"/>
          <w:vertAlign w:val="superscript"/>
          <w:lang w:val="en-IN" w:eastAsia="x-none" w:bidi="si-LK"/>
        </w:rPr>
        <w:t>4</w:t>
      </w:r>
      <w:r>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Aneek</w:t>
      </w:r>
      <w:r w:rsidR="001846B8">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Ghosh</w:t>
      </w:r>
      <w:r w:rsidRPr="008869EA">
        <w:rPr>
          <w:rFonts w:ascii="Times New Roman" w:hAnsi="Times New Roman"/>
          <w:b/>
          <w:sz w:val="22"/>
          <w:szCs w:val="22"/>
          <w:vertAlign w:val="superscript"/>
          <w:lang w:val="en-IN" w:eastAsia="x-none" w:bidi="si-LK"/>
        </w:rPr>
        <w:t>5</w:t>
      </w:r>
      <w:r>
        <w:rPr>
          <w:rFonts w:ascii="Times New Roman" w:hAnsi="Times New Roman"/>
          <w:b/>
          <w:sz w:val="22"/>
          <w:szCs w:val="22"/>
          <w:lang w:val="en-IN" w:eastAsia="x-none" w:bidi="si-LK"/>
        </w:rPr>
        <w:t>,</w:t>
      </w:r>
      <w:r w:rsidRPr="008869EA">
        <w:rPr>
          <w:rFonts w:ascii="Times New Roman" w:hAnsi="Times New Roman"/>
          <w:b/>
          <w:sz w:val="22"/>
          <w:szCs w:val="22"/>
          <w:lang w:val="en-IN" w:eastAsia="x-none" w:bidi="si-LK"/>
        </w:rPr>
        <w:t xml:space="preserve"> Aminul H. Chowdhury</w:t>
      </w:r>
      <w:r w:rsidRPr="008869EA">
        <w:rPr>
          <w:rFonts w:ascii="Times New Roman" w:hAnsi="Times New Roman"/>
          <w:b/>
          <w:sz w:val="22"/>
          <w:szCs w:val="22"/>
          <w:vertAlign w:val="superscript"/>
          <w:lang w:val="en-IN" w:eastAsia="x-none" w:bidi="si-LK"/>
        </w:rPr>
        <w:t>6</w:t>
      </w:r>
      <w:r>
        <w:rPr>
          <w:rFonts w:ascii="Times New Roman" w:hAnsi="Times New Roman"/>
          <w:b/>
          <w:sz w:val="22"/>
          <w:szCs w:val="22"/>
          <w:lang w:val="en-IN" w:eastAsia="x-none" w:bidi="si-LK"/>
        </w:rPr>
        <w:t>,</w:t>
      </w:r>
      <w:r w:rsidRPr="008869EA">
        <w:rPr>
          <w:rFonts w:ascii="Times New Roman" w:hAnsi="Times New Roman"/>
          <w:b/>
          <w:sz w:val="22"/>
          <w:szCs w:val="22"/>
          <w:lang w:val="en-IN" w:eastAsia="x-none" w:bidi="si-LK"/>
        </w:rPr>
        <w:t xml:space="preserve"> Abdul</w:t>
      </w:r>
      <w:r>
        <w:rPr>
          <w:rFonts w:ascii="Times New Roman" w:hAnsi="Times New Roman"/>
          <w:b/>
          <w:sz w:val="22"/>
          <w:szCs w:val="22"/>
          <w:lang w:val="en-IN" w:eastAsia="x-none" w:bidi="si-LK"/>
        </w:rPr>
        <w:t xml:space="preserve"> </w:t>
      </w:r>
      <w:r w:rsidRPr="008869EA">
        <w:rPr>
          <w:rFonts w:ascii="Times New Roman" w:hAnsi="Times New Roman"/>
          <w:b/>
          <w:sz w:val="22"/>
          <w:szCs w:val="22"/>
          <w:lang w:val="en-IN" w:eastAsia="x-none" w:bidi="si-LK"/>
        </w:rPr>
        <w:t>Eizad Asif</w:t>
      </w:r>
      <w:r w:rsidRPr="008869EA">
        <w:rPr>
          <w:rFonts w:ascii="Times New Roman" w:hAnsi="Times New Roman"/>
          <w:b/>
          <w:sz w:val="22"/>
          <w:szCs w:val="22"/>
          <w:vertAlign w:val="superscript"/>
          <w:lang w:val="en-IN" w:eastAsia="x-none" w:bidi="si-LK"/>
        </w:rPr>
        <w:t>7</w:t>
      </w:r>
      <w:r>
        <w:rPr>
          <w:rFonts w:ascii="Times New Roman" w:hAnsi="Times New Roman"/>
          <w:b/>
          <w:sz w:val="22"/>
          <w:szCs w:val="22"/>
          <w:lang w:val="en-IN" w:eastAsia="x-none" w:bidi="si-LK"/>
        </w:rPr>
        <w:t>,</w:t>
      </w:r>
      <w:r w:rsidRPr="008869EA">
        <w:rPr>
          <w:rFonts w:ascii="Times New Roman" w:hAnsi="Times New Roman"/>
          <w:b/>
          <w:sz w:val="22"/>
          <w:szCs w:val="22"/>
          <w:lang w:val="en-IN" w:eastAsia="x-none" w:bidi="si-LK"/>
        </w:rPr>
        <w:t xml:space="preserve"> </w:t>
      </w:r>
      <w:r w:rsidR="009131BC" w:rsidRPr="009131BC">
        <w:rPr>
          <w:rFonts w:ascii="Times New Roman" w:hAnsi="Times New Roman"/>
          <w:b/>
          <w:sz w:val="22"/>
          <w:szCs w:val="22"/>
          <w:lang w:eastAsia="x-none" w:bidi="si-LK"/>
        </w:rPr>
        <w:t>FNU Kashish</w:t>
      </w:r>
      <w:r w:rsidR="009131BC">
        <w:rPr>
          <w:rFonts w:ascii="Times New Roman" w:hAnsi="Times New Roman"/>
          <w:b/>
          <w:sz w:val="22"/>
          <w:szCs w:val="22"/>
          <w:vertAlign w:val="superscript"/>
          <w:lang w:val="en-IN" w:eastAsia="x-none" w:bidi="si-LK"/>
        </w:rPr>
        <w:t>8</w:t>
      </w:r>
      <w:r w:rsidR="001846B8">
        <w:rPr>
          <w:rFonts w:ascii="Times New Roman" w:hAnsi="Times New Roman"/>
          <w:b/>
          <w:sz w:val="22"/>
          <w:szCs w:val="22"/>
          <w:lang w:eastAsia="x-none" w:bidi="si-LK"/>
        </w:rPr>
        <w:t xml:space="preserve">, </w:t>
      </w:r>
      <w:r w:rsidR="009131BC" w:rsidRPr="009131BC">
        <w:rPr>
          <w:rFonts w:ascii="Times New Roman" w:hAnsi="Times New Roman"/>
          <w:b/>
          <w:sz w:val="22"/>
          <w:szCs w:val="22"/>
          <w:lang w:eastAsia="x-none" w:bidi="si-LK"/>
        </w:rPr>
        <w:t>Razaan Khan</w:t>
      </w:r>
      <w:r w:rsidR="009131BC">
        <w:rPr>
          <w:rFonts w:ascii="Times New Roman" w:hAnsi="Times New Roman"/>
          <w:b/>
          <w:sz w:val="22"/>
          <w:szCs w:val="22"/>
          <w:vertAlign w:val="superscript"/>
          <w:lang w:val="en-IN" w:eastAsia="x-none" w:bidi="si-LK"/>
        </w:rPr>
        <w:t>9</w:t>
      </w:r>
      <w:r w:rsidR="009131BC">
        <w:rPr>
          <w:rFonts w:ascii="Times New Roman" w:hAnsi="Times New Roman"/>
          <w:b/>
          <w:sz w:val="22"/>
          <w:szCs w:val="22"/>
          <w:lang w:eastAsia="x-none" w:bidi="si-LK"/>
        </w:rPr>
        <w:t xml:space="preserve">, </w:t>
      </w:r>
      <w:r w:rsidR="009131BC" w:rsidRPr="009131BC">
        <w:rPr>
          <w:rFonts w:ascii="Times New Roman" w:hAnsi="Times New Roman"/>
          <w:b/>
          <w:sz w:val="22"/>
          <w:szCs w:val="22"/>
          <w:lang w:eastAsia="x-none" w:bidi="si-LK"/>
        </w:rPr>
        <w:t>Avinash Nankani</w:t>
      </w:r>
      <w:r w:rsidR="009131BC">
        <w:rPr>
          <w:rFonts w:ascii="Times New Roman" w:hAnsi="Times New Roman"/>
          <w:b/>
          <w:sz w:val="22"/>
          <w:szCs w:val="22"/>
          <w:vertAlign w:val="superscript"/>
          <w:lang w:val="en-IN" w:eastAsia="x-none" w:bidi="si-LK"/>
        </w:rPr>
        <w:t>10</w:t>
      </w:r>
      <w:r w:rsidR="009131BC">
        <w:rPr>
          <w:rFonts w:ascii="Times New Roman" w:hAnsi="Times New Roman"/>
          <w:b/>
          <w:sz w:val="22"/>
          <w:szCs w:val="22"/>
          <w:lang w:eastAsia="x-none" w:bidi="si-LK"/>
        </w:rPr>
        <w:t xml:space="preserve">, </w:t>
      </w:r>
      <w:r w:rsidRPr="008869EA">
        <w:rPr>
          <w:rFonts w:ascii="Times New Roman" w:hAnsi="Times New Roman"/>
          <w:b/>
          <w:sz w:val="22"/>
          <w:szCs w:val="22"/>
          <w:lang w:val="en-IN" w:eastAsia="x-none" w:bidi="si-LK"/>
        </w:rPr>
        <w:t>Muhammad Sohail S Mirza</w:t>
      </w:r>
      <w:r w:rsidR="009131BC">
        <w:rPr>
          <w:rFonts w:ascii="Times New Roman" w:hAnsi="Times New Roman"/>
          <w:b/>
          <w:sz w:val="22"/>
          <w:szCs w:val="22"/>
          <w:vertAlign w:val="superscript"/>
          <w:lang w:val="en-IN" w:eastAsia="x-none" w:bidi="si-LK"/>
        </w:rPr>
        <w:t>11</w:t>
      </w:r>
      <w:r w:rsidRPr="00503D69">
        <w:rPr>
          <w:rFonts w:ascii="Times New Roman" w:hAnsi="Times New Roman"/>
          <w:b/>
          <w:sz w:val="22"/>
          <w:szCs w:val="22"/>
          <w:vertAlign w:val="superscript"/>
          <w:lang w:val="en-IN" w:eastAsia="x-none" w:bidi="si-LK"/>
        </w:rPr>
        <w:t>*</w:t>
      </w:r>
    </w:p>
    <w:p w14:paraId="4870AF68" w14:textId="77777777" w:rsidR="008869EA" w:rsidRPr="008869EA" w:rsidRDefault="008869EA" w:rsidP="00575188">
      <w:pPr>
        <w:spacing w:after="0" w:line="360" w:lineRule="auto"/>
        <w:jc w:val="both"/>
        <w:rPr>
          <w:rFonts w:ascii="Times New Roman" w:hAnsi="Times New Roman"/>
          <w:b/>
          <w:sz w:val="22"/>
          <w:szCs w:val="22"/>
          <w:lang w:val="en-IN" w:eastAsia="x-none" w:bidi="si-LK"/>
        </w:rPr>
      </w:pPr>
    </w:p>
    <w:p w14:paraId="6AE23D71" w14:textId="7438490C" w:rsidR="008869EA" w:rsidRPr="008869EA" w:rsidRDefault="008869EA"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8869EA">
        <w:rPr>
          <w:rFonts w:ascii="Times New Roman" w:eastAsia="Times New Roman" w:hAnsi="Times New Roman" w:cs="Times New Roman"/>
          <w:sz w:val="20"/>
          <w:szCs w:val="20"/>
          <w:vertAlign w:val="superscript"/>
          <w:lang w:val="en-IN" w:eastAsia="en-IN"/>
        </w:rPr>
        <w:t>1</w:t>
      </w:r>
      <w:r w:rsidRPr="008869EA">
        <w:rPr>
          <w:rFonts w:ascii="Times New Roman" w:eastAsia="Times New Roman" w:hAnsi="Times New Roman" w:cs="Times New Roman"/>
          <w:sz w:val="20"/>
          <w:szCs w:val="20"/>
          <w:lang w:val="en-IN" w:eastAsia="en-IN"/>
        </w:rPr>
        <w:t xml:space="preserve">School </w:t>
      </w:r>
      <w:r w:rsidR="009131BC">
        <w:rPr>
          <w:rFonts w:ascii="Times New Roman" w:eastAsia="Times New Roman" w:hAnsi="Times New Roman" w:cs="Times New Roman"/>
          <w:sz w:val="20"/>
          <w:szCs w:val="20"/>
          <w:lang w:val="en-IN" w:eastAsia="en-IN"/>
        </w:rPr>
        <w:t>o</w:t>
      </w:r>
      <w:r w:rsidRPr="008869EA">
        <w:rPr>
          <w:rFonts w:ascii="Times New Roman" w:eastAsia="Times New Roman" w:hAnsi="Times New Roman" w:cs="Times New Roman"/>
          <w:sz w:val="20"/>
          <w:szCs w:val="20"/>
          <w:lang w:val="en-IN" w:eastAsia="en-IN"/>
        </w:rPr>
        <w:t xml:space="preserve">f Medicine, University </w:t>
      </w:r>
      <w:r w:rsidR="00D60E88" w:rsidRPr="008869EA">
        <w:rPr>
          <w:rFonts w:ascii="Times New Roman" w:eastAsia="Times New Roman" w:hAnsi="Times New Roman" w:cs="Times New Roman"/>
          <w:sz w:val="20"/>
          <w:szCs w:val="20"/>
          <w:lang w:val="en-IN" w:eastAsia="en-IN"/>
        </w:rPr>
        <w:t>of</w:t>
      </w:r>
      <w:r w:rsidRPr="008869EA">
        <w:rPr>
          <w:rFonts w:ascii="Times New Roman" w:eastAsia="Times New Roman" w:hAnsi="Times New Roman" w:cs="Times New Roman"/>
          <w:sz w:val="20"/>
          <w:szCs w:val="20"/>
          <w:lang w:val="en-IN" w:eastAsia="en-IN"/>
        </w:rPr>
        <w:t xml:space="preserve"> Warmia and Mazury, Olsztyn, Poland </w:t>
      </w:r>
    </w:p>
    <w:p w14:paraId="045BF710" w14:textId="01E6FE22" w:rsidR="008869EA" w:rsidRPr="008869EA" w:rsidRDefault="008869EA"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8869EA">
        <w:rPr>
          <w:rFonts w:ascii="Times New Roman" w:eastAsia="Times New Roman" w:hAnsi="Times New Roman" w:cs="Times New Roman"/>
          <w:sz w:val="20"/>
          <w:szCs w:val="20"/>
          <w:vertAlign w:val="superscript"/>
          <w:lang w:val="en-IN" w:eastAsia="en-IN"/>
        </w:rPr>
        <w:t>2</w:t>
      </w:r>
      <w:r w:rsidRPr="008869EA">
        <w:rPr>
          <w:rFonts w:ascii="Times New Roman" w:eastAsia="Times New Roman" w:hAnsi="Times New Roman" w:cs="Times New Roman"/>
          <w:sz w:val="20"/>
          <w:szCs w:val="20"/>
          <w:lang w:val="en-IN" w:eastAsia="en-IN"/>
        </w:rPr>
        <w:t xml:space="preserve">C.U. Shah Medical College, Surendranagar, Gujarat, India </w:t>
      </w:r>
    </w:p>
    <w:p w14:paraId="5721E093" w14:textId="15B01A72" w:rsidR="008869EA" w:rsidRPr="008869EA" w:rsidRDefault="008869EA"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8869EA">
        <w:rPr>
          <w:rFonts w:ascii="Times New Roman" w:eastAsia="Times New Roman" w:hAnsi="Times New Roman" w:cs="Times New Roman"/>
          <w:sz w:val="20"/>
          <w:szCs w:val="20"/>
          <w:vertAlign w:val="superscript"/>
          <w:lang w:val="en-IN" w:eastAsia="en-IN"/>
        </w:rPr>
        <w:t>3</w:t>
      </w:r>
      <w:r w:rsidRPr="008869EA">
        <w:rPr>
          <w:rFonts w:ascii="Times New Roman" w:eastAsia="Times New Roman" w:hAnsi="Times New Roman" w:cs="Times New Roman"/>
          <w:sz w:val="20"/>
          <w:szCs w:val="20"/>
          <w:lang w:val="en-IN" w:eastAsia="en-IN"/>
        </w:rPr>
        <w:t xml:space="preserve">Rajiv Gandhi Institute of Medical Sciences, Adilabad, Telangana, India </w:t>
      </w:r>
    </w:p>
    <w:p w14:paraId="49B15758" w14:textId="20B50782" w:rsidR="008869EA" w:rsidRPr="008869EA" w:rsidRDefault="008869EA"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8869EA">
        <w:rPr>
          <w:rFonts w:ascii="Times New Roman" w:eastAsia="Times New Roman" w:hAnsi="Times New Roman" w:cs="Times New Roman"/>
          <w:sz w:val="20"/>
          <w:szCs w:val="20"/>
          <w:vertAlign w:val="superscript"/>
          <w:lang w:val="en-IN" w:eastAsia="en-IN"/>
        </w:rPr>
        <w:t>4</w:t>
      </w:r>
      <w:r w:rsidR="00575188">
        <w:rPr>
          <w:rFonts w:ascii="Times New Roman" w:eastAsia="Times New Roman" w:hAnsi="Times New Roman" w:cs="Times New Roman"/>
          <w:sz w:val="20"/>
          <w:szCs w:val="20"/>
          <w:vertAlign w:val="superscript"/>
          <w:lang w:val="en-IN" w:eastAsia="en-IN"/>
        </w:rPr>
        <w:t xml:space="preserve"> </w:t>
      </w:r>
      <w:r w:rsidRPr="008869EA">
        <w:rPr>
          <w:rFonts w:ascii="Times New Roman" w:eastAsia="Times New Roman" w:hAnsi="Times New Roman" w:cs="Times New Roman"/>
          <w:sz w:val="20"/>
          <w:szCs w:val="20"/>
          <w:lang w:val="en-IN" w:eastAsia="en-IN"/>
        </w:rPr>
        <w:t xml:space="preserve">St. Mary Medical Center, Pennsylvania, USA </w:t>
      </w:r>
    </w:p>
    <w:p w14:paraId="3370B30C" w14:textId="5509B8C1" w:rsidR="008869EA" w:rsidRPr="008869EA" w:rsidRDefault="008869EA"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8869EA">
        <w:rPr>
          <w:rFonts w:ascii="Times New Roman" w:eastAsia="Times New Roman" w:hAnsi="Times New Roman" w:cs="Times New Roman"/>
          <w:sz w:val="20"/>
          <w:szCs w:val="20"/>
          <w:vertAlign w:val="superscript"/>
          <w:lang w:val="en-IN" w:eastAsia="en-IN"/>
        </w:rPr>
        <w:t>5</w:t>
      </w:r>
      <w:r w:rsidRPr="008869EA">
        <w:rPr>
          <w:rFonts w:ascii="Times New Roman" w:eastAsia="Times New Roman" w:hAnsi="Times New Roman" w:cs="Times New Roman"/>
          <w:sz w:val="20"/>
          <w:szCs w:val="20"/>
          <w:lang w:val="en-IN" w:eastAsia="en-IN"/>
        </w:rPr>
        <w:t xml:space="preserve">Nazareth Hospital, Philadelphia, Pennsylvania, USA </w:t>
      </w:r>
    </w:p>
    <w:p w14:paraId="0591924E" w14:textId="7101B45A" w:rsidR="008869EA" w:rsidRPr="008869EA" w:rsidRDefault="008869EA"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8869EA">
        <w:rPr>
          <w:rFonts w:ascii="Times New Roman" w:eastAsia="Times New Roman" w:hAnsi="Times New Roman" w:cs="Times New Roman"/>
          <w:sz w:val="20"/>
          <w:szCs w:val="20"/>
          <w:vertAlign w:val="superscript"/>
          <w:lang w:val="en-IN" w:eastAsia="en-IN"/>
        </w:rPr>
        <w:t>6</w:t>
      </w:r>
      <w:r w:rsidRPr="008869EA">
        <w:rPr>
          <w:rFonts w:ascii="Times New Roman" w:eastAsia="Times New Roman" w:hAnsi="Times New Roman" w:cs="Times New Roman"/>
          <w:sz w:val="20"/>
          <w:szCs w:val="20"/>
          <w:lang w:val="en-IN" w:eastAsia="en-IN"/>
        </w:rPr>
        <w:t xml:space="preserve">Chittagong Medical College Hospital, Chittagong, Bangladesh </w:t>
      </w:r>
    </w:p>
    <w:p w14:paraId="3CA65DA1" w14:textId="7490D62B" w:rsidR="008869EA" w:rsidRDefault="008869EA"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8869EA">
        <w:rPr>
          <w:rFonts w:ascii="Times New Roman" w:eastAsia="Times New Roman" w:hAnsi="Times New Roman" w:cs="Times New Roman"/>
          <w:sz w:val="20"/>
          <w:szCs w:val="20"/>
          <w:vertAlign w:val="superscript"/>
          <w:lang w:val="en-IN" w:eastAsia="en-IN"/>
        </w:rPr>
        <w:t>7</w:t>
      </w:r>
      <w:r w:rsidRPr="008869EA">
        <w:rPr>
          <w:rFonts w:ascii="Times New Roman" w:eastAsia="Times New Roman" w:hAnsi="Times New Roman" w:cs="Times New Roman"/>
          <w:sz w:val="20"/>
          <w:szCs w:val="20"/>
          <w:lang w:val="en-IN" w:eastAsia="en-IN"/>
        </w:rPr>
        <w:t>Shalamar Medical and Dental College, Lahore, Pakistan</w:t>
      </w:r>
    </w:p>
    <w:p w14:paraId="7264FBA3" w14:textId="2F4452C1" w:rsidR="009131BC" w:rsidRDefault="009131BC" w:rsidP="00575188">
      <w:pPr>
        <w:pStyle w:val="ListParagraph"/>
        <w:spacing w:after="0" w:line="360" w:lineRule="auto"/>
        <w:ind w:left="0"/>
        <w:contextualSpacing w:val="0"/>
        <w:jc w:val="both"/>
        <w:rPr>
          <w:rFonts w:ascii="Times New Roman" w:eastAsia="Times New Roman" w:hAnsi="Times New Roman" w:cs="Times New Roman"/>
          <w:bCs/>
          <w:sz w:val="20"/>
          <w:szCs w:val="20"/>
          <w:lang w:val="en-IN" w:eastAsia="en-IN"/>
        </w:rPr>
      </w:pPr>
      <w:r w:rsidRPr="009131BC">
        <w:rPr>
          <w:rFonts w:ascii="Times New Roman" w:hAnsi="Times New Roman"/>
          <w:bCs/>
          <w:sz w:val="22"/>
          <w:szCs w:val="22"/>
          <w:vertAlign w:val="superscript"/>
          <w:lang w:val="en-IN" w:eastAsia="x-none" w:bidi="si-LK"/>
        </w:rPr>
        <w:t>8</w:t>
      </w:r>
      <w:r w:rsidRPr="009131BC">
        <w:rPr>
          <w:rFonts w:ascii="Times New Roman" w:eastAsia="Times New Roman" w:hAnsi="Times New Roman" w:cs="Times New Roman"/>
          <w:bCs/>
          <w:sz w:val="20"/>
          <w:szCs w:val="20"/>
          <w:lang w:val="en-IN" w:eastAsia="en-IN"/>
        </w:rPr>
        <w:t>Dow International Medical College, Dow University of Health Sciences, Karachi, Pakistan</w:t>
      </w:r>
    </w:p>
    <w:p w14:paraId="5096EE7D" w14:textId="2D5B34CB" w:rsidR="009131BC" w:rsidRDefault="009131BC" w:rsidP="00575188">
      <w:pPr>
        <w:pStyle w:val="ListParagraph"/>
        <w:spacing w:after="0" w:line="360" w:lineRule="auto"/>
        <w:ind w:left="0"/>
        <w:contextualSpacing w:val="0"/>
        <w:jc w:val="both"/>
        <w:rPr>
          <w:rFonts w:ascii="Times New Roman" w:eastAsia="Times New Roman" w:hAnsi="Times New Roman" w:cs="Times New Roman"/>
          <w:bCs/>
          <w:sz w:val="20"/>
          <w:szCs w:val="20"/>
          <w:lang w:eastAsia="en-IN"/>
        </w:rPr>
      </w:pPr>
      <w:r>
        <w:rPr>
          <w:rFonts w:ascii="Times New Roman" w:hAnsi="Times New Roman"/>
          <w:bCs/>
          <w:sz w:val="22"/>
          <w:szCs w:val="22"/>
          <w:vertAlign w:val="superscript"/>
          <w:lang w:val="en-IN" w:eastAsia="x-none" w:bidi="si-LK"/>
        </w:rPr>
        <w:t>9</w:t>
      </w:r>
      <w:r w:rsidRPr="009131BC">
        <w:rPr>
          <w:rFonts w:ascii="Times New Roman" w:eastAsia="Times New Roman" w:hAnsi="Times New Roman" w:cs="Times New Roman"/>
          <w:bCs/>
          <w:sz w:val="20"/>
          <w:szCs w:val="20"/>
          <w:lang w:eastAsia="en-IN"/>
        </w:rPr>
        <w:t>Dow International Medical College, Dow University of Health Sciences, Karachi, Pakistan</w:t>
      </w:r>
    </w:p>
    <w:p w14:paraId="7C4AC4C5" w14:textId="4627C99D" w:rsidR="009131BC" w:rsidRPr="009131BC" w:rsidRDefault="009131BC" w:rsidP="00575188">
      <w:pPr>
        <w:pStyle w:val="ListParagraph"/>
        <w:spacing w:after="0" w:line="360" w:lineRule="auto"/>
        <w:ind w:left="0"/>
        <w:contextualSpacing w:val="0"/>
        <w:jc w:val="both"/>
        <w:rPr>
          <w:rFonts w:ascii="Times New Roman" w:eastAsia="Times New Roman" w:hAnsi="Times New Roman" w:cs="Times New Roman"/>
          <w:bCs/>
          <w:sz w:val="20"/>
          <w:szCs w:val="20"/>
          <w:lang w:val="en-IN" w:eastAsia="en-IN"/>
        </w:rPr>
      </w:pPr>
      <w:r>
        <w:rPr>
          <w:rFonts w:ascii="Times New Roman" w:hAnsi="Times New Roman"/>
          <w:bCs/>
          <w:sz w:val="22"/>
          <w:szCs w:val="22"/>
          <w:vertAlign w:val="superscript"/>
          <w:lang w:val="en-IN" w:eastAsia="x-none" w:bidi="si-LK"/>
        </w:rPr>
        <w:t>10</w:t>
      </w:r>
      <w:r w:rsidRPr="009131BC">
        <w:rPr>
          <w:rFonts w:ascii="Times New Roman" w:eastAsia="Times New Roman" w:hAnsi="Times New Roman" w:cs="Times New Roman"/>
          <w:bCs/>
          <w:sz w:val="20"/>
          <w:szCs w:val="20"/>
          <w:lang w:eastAsia="en-IN"/>
        </w:rPr>
        <w:t>Dow International Medical College, Dow University of Health Sciences, Karachi, Pakistan</w:t>
      </w:r>
    </w:p>
    <w:p w14:paraId="080C69A2" w14:textId="44759168" w:rsidR="008706FC" w:rsidRDefault="009131BC"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Pr>
          <w:rFonts w:ascii="Times New Roman" w:eastAsia="Times New Roman" w:hAnsi="Times New Roman" w:cs="Times New Roman"/>
          <w:sz w:val="20"/>
          <w:szCs w:val="20"/>
          <w:vertAlign w:val="superscript"/>
          <w:lang w:val="en-IN" w:eastAsia="en-IN"/>
        </w:rPr>
        <w:t>11</w:t>
      </w:r>
      <w:r w:rsidR="008869EA" w:rsidRPr="008869EA">
        <w:rPr>
          <w:rFonts w:ascii="Times New Roman" w:eastAsia="Times New Roman" w:hAnsi="Times New Roman" w:cs="Times New Roman"/>
          <w:sz w:val="20"/>
          <w:szCs w:val="20"/>
          <w:lang w:val="en-IN" w:eastAsia="en-IN"/>
        </w:rPr>
        <w:t>Shandong University School of Medicine, Jinan, China</w:t>
      </w:r>
    </w:p>
    <w:p w14:paraId="30CB117A" w14:textId="77777777" w:rsidR="00D60E88" w:rsidRPr="008869EA" w:rsidRDefault="00D60E88" w:rsidP="008869EA">
      <w:pPr>
        <w:pStyle w:val="ListParagraph"/>
        <w:spacing w:after="0" w:line="360" w:lineRule="auto"/>
        <w:ind w:left="0"/>
        <w:contextualSpacing w:val="0"/>
        <w:jc w:val="both"/>
        <w:rPr>
          <w:rFonts w:ascii="Times New Roman" w:hAnsi="Times New Roman"/>
          <w:sz w:val="16"/>
          <w:szCs w:val="16"/>
          <w:lang w:eastAsia="x-none" w:bidi="si-LK"/>
        </w:rPr>
      </w:pPr>
    </w:p>
    <w:p w14:paraId="4D703362" w14:textId="32681B5E" w:rsidR="00EA2E8C" w:rsidRDefault="000B2B4E"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A55166" w:rsidRPr="00ED506B">
        <w:rPr>
          <w:rFonts w:ascii="Times New Roman" w:hAnsi="Times New Roman"/>
          <w:b/>
          <w:color w:val="0070C0"/>
          <w:sz w:val="22"/>
          <w:szCs w:val="22"/>
        </w:rPr>
        <w:t>:</w:t>
      </w:r>
      <w:r w:rsidR="00A55166" w:rsidRPr="00ED506B">
        <w:rPr>
          <w:rFonts w:ascii="Times New Roman" w:hAnsi="Times New Roman"/>
          <w:color w:val="0070C0"/>
          <w:sz w:val="22"/>
          <w:szCs w:val="22"/>
        </w:rPr>
        <w:t xml:space="preserve"> </w:t>
      </w:r>
      <w:r w:rsidR="00D60E88" w:rsidRPr="00D60E88">
        <w:rPr>
          <w:rFonts w:ascii="Times New Roman" w:hAnsi="Times New Roman"/>
          <w:bCs/>
          <w:sz w:val="20"/>
          <w:szCs w:val="20"/>
          <w:lang w:val="en-IN" w:eastAsia="x-none" w:bidi="si-LK"/>
        </w:rPr>
        <w:t>Muhammad Sohail Mirza</w:t>
      </w:r>
      <w:r w:rsidR="00BA62BB">
        <w:rPr>
          <w:rFonts w:ascii="Times New Roman" w:hAnsi="Times New Roman"/>
          <w:bCs/>
          <w:sz w:val="20"/>
          <w:szCs w:val="20"/>
          <w:lang w:val="en-IN" w:eastAsia="x-none" w:bidi="si-LK"/>
        </w:rPr>
        <w:t xml:space="preserve"> </w:t>
      </w:r>
      <w:r w:rsidR="00503D69">
        <w:rPr>
          <w:rFonts w:ascii="Times New Roman" w:hAnsi="Times New Roman"/>
          <w:bCs/>
          <w:sz w:val="20"/>
          <w:szCs w:val="20"/>
          <w:lang w:val="en-IN" w:eastAsia="x-none" w:bidi="si-LK"/>
        </w:rPr>
        <w:t>S</w:t>
      </w:r>
      <w:r w:rsidR="00D60E88">
        <w:rPr>
          <w:rFonts w:ascii="Times New Roman" w:hAnsi="Times New Roman"/>
          <w:bCs/>
          <w:sz w:val="20"/>
          <w:szCs w:val="20"/>
          <w:lang w:val="en-IN" w:eastAsia="x-none" w:bidi="si-LK"/>
        </w:rPr>
        <w:t>,</w:t>
      </w:r>
      <w:r w:rsidR="00D60E88" w:rsidRPr="00D60E88">
        <w:rPr>
          <w:rFonts w:ascii="Times New Roman" w:eastAsia="Times New Roman" w:hAnsi="Times New Roman" w:cs="Times New Roman"/>
          <w:sz w:val="20"/>
          <w:szCs w:val="20"/>
          <w:lang w:val="en-IN" w:eastAsia="en-IN"/>
        </w:rPr>
        <w:t xml:space="preserve"> </w:t>
      </w:r>
      <w:r w:rsidR="00D60E88" w:rsidRPr="008869EA">
        <w:rPr>
          <w:rFonts w:ascii="Times New Roman" w:eastAsia="Times New Roman" w:hAnsi="Times New Roman" w:cs="Times New Roman"/>
          <w:sz w:val="20"/>
          <w:szCs w:val="20"/>
          <w:lang w:val="en-IN" w:eastAsia="en-IN"/>
        </w:rPr>
        <w:t>Shandong University School of Medicine, Jinan, China</w:t>
      </w:r>
      <w:r w:rsidR="00575188">
        <w:rPr>
          <w:rFonts w:ascii="Times New Roman" w:eastAsia="Times New Roman" w:hAnsi="Times New Roman" w:cs="Times New Roman"/>
          <w:sz w:val="20"/>
          <w:szCs w:val="20"/>
          <w:lang w:val="en-IN" w:eastAsia="en-IN"/>
        </w:rPr>
        <w:t>.</w:t>
      </w:r>
    </w:p>
    <w:p w14:paraId="14208F65" w14:textId="77777777" w:rsidR="00575188" w:rsidRPr="00575188" w:rsidRDefault="00575188" w:rsidP="00575188">
      <w:pPr>
        <w:pStyle w:val="ListParagraph"/>
        <w:spacing w:after="0" w:line="360" w:lineRule="auto"/>
        <w:ind w:left="0"/>
        <w:contextualSpacing w:val="0"/>
        <w:jc w:val="both"/>
        <w:rPr>
          <w:rFonts w:ascii="Times New Roman" w:eastAsia="Times New Roman" w:hAnsi="Times New Roman" w:cs="Times New Roman"/>
          <w:sz w:val="20"/>
          <w:szCs w:val="20"/>
          <w:lang w:val="en-IN" w:eastAsia="en-IN"/>
        </w:rPr>
      </w:pPr>
    </w:p>
    <w:p w14:paraId="0DB52272" w14:textId="082288FE" w:rsidR="000B2B4E" w:rsidRPr="00995891" w:rsidRDefault="00FA4FDF" w:rsidP="00BA62BB">
      <w:pPr>
        <w:spacing w:after="0" w:line="360" w:lineRule="auto"/>
        <w:jc w:val="both"/>
        <w:rPr>
          <w:rFonts w:ascii="Times New Roman" w:hAnsi="Times New Roman"/>
          <w:sz w:val="20"/>
          <w:szCs w:val="20"/>
        </w:rPr>
      </w:pPr>
      <w:r w:rsidRPr="003257ED">
        <w:rPr>
          <w:rFonts w:ascii="Times New Roman" w:hAnsi="Times New Roman"/>
          <w:b/>
          <w:color w:val="0070C0"/>
          <w:sz w:val="20"/>
          <w:szCs w:val="20"/>
        </w:rPr>
        <w:t xml:space="preserve">Received: </w:t>
      </w:r>
      <w:r w:rsidR="00503D69">
        <w:rPr>
          <w:rFonts w:ascii="Times New Roman" w:hAnsi="Times New Roman"/>
          <w:sz w:val="20"/>
          <w:szCs w:val="20"/>
        </w:rPr>
        <w:t>15</w:t>
      </w:r>
      <w:r w:rsidR="00511F99">
        <w:rPr>
          <w:rFonts w:ascii="Times New Roman" w:hAnsi="Times New Roman"/>
          <w:sz w:val="20"/>
          <w:szCs w:val="20"/>
        </w:rPr>
        <w:t xml:space="preserve"> </w:t>
      </w:r>
      <w:r w:rsidR="00503D69">
        <w:rPr>
          <w:rFonts w:ascii="Times New Roman" w:hAnsi="Times New Roman"/>
          <w:sz w:val="20"/>
          <w:szCs w:val="20"/>
        </w:rPr>
        <w:t>April</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503D69">
        <w:rPr>
          <w:rFonts w:ascii="Times New Roman" w:hAnsi="Times New Roman"/>
          <w:sz w:val="20"/>
          <w:szCs w:val="20"/>
        </w:rPr>
        <w:t>21</w:t>
      </w:r>
      <w:r w:rsidR="0075430D" w:rsidRPr="00ED1CEC">
        <w:rPr>
          <w:rFonts w:ascii="Times New Roman" w:hAnsi="Times New Roman"/>
          <w:sz w:val="20"/>
          <w:szCs w:val="20"/>
        </w:rPr>
        <w:t xml:space="preserve"> </w:t>
      </w:r>
      <w:r w:rsidR="00511F99">
        <w:rPr>
          <w:rFonts w:ascii="Times New Roman" w:hAnsi="Times New Roman"/>
          <w:sz w:val="20"/>
          <w:szCs w:val="20"/>
        </w:rPr>
        <w:t xml:space="preserve">April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5F0890">
        <w:rPr>
          <w:rFonts w:ascii="Times New Roman" w:hAnsi="Times New Roman"/>
          <w:sz w:val="20"/>
          <w:szCs w:val="20"/>
        </w:rPr>
        <w:t>11 June</w:t>
      </w:r>
      <w:r w:rsidR="00503D69">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mirrorIndents/>
        <w:jc w:val="both"/>
        <w:rPr>
          <w:rFonts w:ascii="Times New Roman" w:hAnsi="Times New Roman"/>
          <w:sz w:val="20"/>
          <w:szCs w:val="20"/>
        </w:rPr>
      </w:pPr>
    </w:p>
    <w:p w14:paraId="2D3893A5" w14:textId="462931A1" w:rsidR="003B566A" w:rsidRPr="00D60E88" w:rsidRDefault="000B2B4E" w:rsidP="00BA62BB">
      <w:pPr>
        <w:spacing w:after="0" w:line="360" w:lineRule="auto"/>
        <w:jc w:val="both"/>
        <w:rPr>
          <w:rFonts w:ascii="Times New Roman" w:hAnsi="Times New Roman"/>
          <w:b/>
          <w:sz w:val="22"/>
          <w:szCs w:val="22"/>
          <w:lang w:val="en-IN" w:eastAsia="x-none" w:bidi="si-LK"/>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D60E88" w:rsidRPr="00D60E88">
        <w:rPr>
          <w:rFonts w:ascii="Times New Roman" w:hAnsi="Times New Roman"/>
          <w:b/>
          <w:sz w:val="22"/>
          <w:szCs w:val="22"/>
          <w:lang w:val="en-IN" w:eastAsia="x-none" w:bidi="si-LK"/>
        </w:rPr>
        <w:t xml:space="preserve"> </w:t>
      </w:r>
      <w:r w:rsidR="00D60E88" w:rsidRPr="00D60E88">
        <w:rPr>
          <w:rFonts w:ascii="Times New Roman" w:hAnsi="Times New Roman"/>
          <w:bCs/>
          <w:sz w:val="20"/>
          <w:szCs w:val="20"/>
          <w:lang w:val="en-IN" w:eastAsia="x-none" w:bidi="si-LK"/>
        </w:rPr>
        <w:t>Souzan</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AI</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Bitar,</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Shabnam</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Abdulaziz</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Memon,</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Divya</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Bandi,</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Aishwarya</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Arunkumar</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Kamble, Aneek</w:t>
      </w:r>
      <w:r w:rsidR="00D60E88">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 xml:space="preserve">Ghosh, Aminul H. Chowdhury, Abdul Eizad Asif, </w:t>
      </w:r>
      <w:r w:rsidR="00627E16" w:rsidRPr="00627E16">
        <w:rPr>
          <w:rFonts w:ascii="Times New Roman" w:hAnsi="Times New Roman"/>
          <w:bCs/>
          <w:sz w:val="20"/>
          <w:szCs w:val="20"/>
          <w:lang w:val="en-IN" w:eastAsia="x-none" w:bidi="si-LK"/>
        </w:rPr>
        <w:t>FNU Kashish, Razaan Khan, Avinash Nankani</w:t>
      </w:r>
      <w:r w:rsidR="00627E16">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Muhammad Sohail S</w:t>
      </w:r>
      <w:r w:rsidR="003F28A4">
        <w:rPr>
          <w:rFonts w:ascii="Times New Roman" w:hAnsi="Times New Roman"/>
          <w:bCs/>
          <w:sz w:val="20"/>
          <w:szCs w:val="20"/>
          <w:lang w:val="en-IN" w:eastAsia="x-none" w:bidi="si-LK"/>
        </w:rPr>
        <w:t xml:space="preserve"> </w:t>
      </w:r>
      <w:r w:rsidR="00D60E88" w:rsidRPr="00D60E88">
        <w:rPr>
          <w:rFonts w:ascii="Times New Roman" w:hAnsi="Times New Roman"/>
          <w:bCs/>
          <w:sz w:val="20"/>
          <w:szCs w:val="20"/>
          <w:lang w:val="en-IN" w:eastAsia="x-none" w:bidi="si-LK"/>
        </w:rPr>
        <w:t>Mirza</w:t>
      </w:r>
      <w:r w:rsidR="003F28A4">
        <w:rPr>
          <w:rFonts w:ascii="Times New Roman" w:hAnsi="Times New Roman"/>
          <w:color w:val="000000"/>
          <w:spacing w:val="-1"/>
          <w:sz w:val="20"/>
          <w:szCs w:val="20"/>
        </w:rPr>
        <w:t xml:space="preserve">. </w:t>
      </w:r>
      <w:r w:rsidR="00FE2D0D" w:rsidRPr="00FE2D0D">
        <w:rPr>
          <w:rFonts w:ascii="Times New Roman" w:hAnsi="Times New Roman"/>
          <w:color w:val="000000"/>
          <w:spacing w:val="-1"/>
          <w:sz w:val="20"/>
          <w:szCs w:val="20"/>
        </w:rPr>
        <w:t>Cardiology and Cardiovascular Medicine</w:t>
      </w:r>
      <w:r w:rsidR="00FE2D0D">
        <w:rPr>
          <w:rFonts w:ascii="Times New Roman" w:hAnsi="Times New Roman"/>
          <w:color w:val="000000"/>
          <w:spacing w:val="-1"/>
          <w:sz w:val="20"/>
          <w:szCs w:val="20"/>
        </w:rPr>
        <w:t xml:space="preserve"> 9</w:t>
      </w:r>
      <w:r w:rsidR="00ED506B">
        <w:rPr>
          <w:rFonts w:ascii="Times New Roman" w:hAnsi="Times New Roman"/>
          <w:color w:val="000000"/>
          <w:spacing w:val="-1"/>
          <w:sz w:val="20"/>
          <w:szCs w:val="20"/>
        </w:rPr>
        <w:t xml:space="preserve"> </w:t>
      </w:r>
      <w:r w:rsidR="00FE2D0D">
        <w:rPr>
          <w:rFonts w:ascii="Times New Roman" w:hAnsi="Times New Roman"/>
          <w:color w:val="000000"/>
          <w:spacing w:val="-1"/>
          <w:sz w:val="20"/>
          <w:szCs w:val="20"/>
        </w:rPr>
        <w:t>(2026): XX-XX</w:t>
      </w:r>
    </w:p>
    <w:p w14:paraId="73804956" w14:textId="77777777" w:rsidR="003B566A" w:rsidRDefault="003B566A" w:rsidP="00C01777">
      <w:pPr>
        <w:spacing w:after="0" w:line="360" w:lineRule="auto"/>
        <w:contextualSpacing/>
        <w:mirrorIndents/>
        <w:jc w:val="both"/>
        <w:rPr>
          <w:rFonts w:ascii="Times New Roman" w:hAnsi="Times New Roman"/>
          <w:color w:val="000000"/>
          <w:sz w:val="20"/>
          <w:szCs w:val="20"/>
        </w:rPr>
      </w:pPr>
    </w:p>
    <w:p w14:paraId="53096ACA" w14:textId="77777777"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58226E60" w14:textId="4A6CD368" w:rsidR="00D60E88" w:rsidRDefault="00D60E88" w:rsidP="00AE6C40">
      <w:pPr>
        <w:spacing w:after="0" w:line="360" w:lineRule="auto"/>
        <w:jc w:val="both"/>
        <w:rPr>
          <w:rFonts w:ascii="Times New Roman" w:hAnsi="Times New Roman"/>
          <w:color w:val="000000"/>
          <w:sz w:val="20"/>
          <w:szCs w:val="20"/>
          <w:shd w:val="clear" w:color="auto" w:fill="FFFFFF"/>
        </w:rPr>
      </w:pPr>
      <w:r w:rsidRPr="00D60E88">
        <w:rPr>
          <w:rFonts w:ascii="Times New Roman" w:hAnsi="Times New Roman"/>
          <w:color w:val="000000"/>
          <w:sz w:val="20"/>
          <w:szCs w:val="20"/>
          <w:shd w:val="clear" w:color="auto" w:fill="FFFFFF"/>
        </w:rPr>
        <w:lastRenderedPageBreak/>
        <w:t xml:space="preserve">This Systematic review and meta-analysis pooled analyses of studies that compared the efficacy and safety of intravascular lithotripsy (IVL) with rotational atherectomy (RA) for lesion modification in patients with heavily calcified coronary lesions undergoing PCI. IVL twin-blade balloon procedure resulted in similar outcomes for MACE and procedural success. IVL correlated with a reduced chance of coronary perforation and slow-flow/no-reflow events. No difference was seen for longer-term clinical outcomes. There were five comparative studies. There were 1,088 enrolled patients (357 IVL and 731 RA). All studies involved patients with severely calcified CAD who underwent PCI. Sirolimus- and paclitaxel-eluting stents were the </w:t>
      </w:r>
      <w:r w:rsidR="00575188" w:rsidRPr="00D60E88">
        <w:rPr>
          <w:rFonts w:ascii="Times New Roman" w:hAnsi="Times New Roman"/>
          <w:color w:val="000000"/>
          <w:sz w:val="20"/>
          <w:szCs w:val="20"/>
          <w:shd w:val="clear" w:color="auto" w:fill="FFFFFF"/>
        </w:rPr>
        <w:t xml:space="preserve">most </w:t>
      </w:r>
      <w:r w:rsidR="00B42AFD">
        <w:rPr>
          <w:rFonts w:ascii="Times New Roman" w:hAnsi="Times New Roman"/>
          <w:color w:val="000000"/>
          <w:sz w:val="20"/>
          <w:szCs w:val="20"/>
          <w:shd w:val="clear" w:color="auto" w:fill="FFFFFF"/>
        </w:rPr>
        <w:t xml:space="preserve">commonly </w:t>
      </w:r>
      <w:r w:rsidR="00575188" w:rsidRPr="00D60E88">
        <w:rPr>
          <w:rFonts w:ascii="Times New Roman" w:hAnsi="Times New Roman"/>
          <w:color w:val="000000"/>
          <w:sz w:val="20"/>
          <w:szCs w:val="20"/>
          <w:shd w:val="clear" w:color="auto" w:fill="FFFFFF"/>
        </w:rPr>
        <w:t>used</w:t>
      </w:r>
      <w:r w:rsidRPr="00D60E88">
        <w:rPr>
          <w:rFonts w:ascii="Times New Roman" w:hAnsi="Times New Roman"/>
          <w:color w:val="000000"/>
          <w:sz w:val="20"/>
          <w:szCs w:val="20"/>
          <w:shd w:val="clear" w:color="auto" w:fill="FFFFFF"/>
        </w:rPr>
        <w:t xml:space="preserve"> drug-eluting stents. The main effectiveness outcome was procedural success (residual stenosis &lt;50% with TIMI 3 flow and no in-hospital MACE). Coronary perforation and slow-flow/no-reflow were safety outcomes. The secondary clinical outcomes consist of death, myocardial infarction (MI), target lesion revascularization, and stent thrombosis. A pooled analysis shows a modest but significant improvement in procedural success following IVL compared with RA, using the random-effects model (RR 1.03, 95% CI 1.01</w:t>
      </w:r>
      <w:r w:rsidR="00575188">
        <w:rPr>
          <w:rFonts w:ascii="Times New Roman" w:hAnsi="Times New Roman"/>
          <w:color w:val="000000"/>
          <w:sz w:val="20"/>
          <w:szCs w:val="20"/>
          <w:shd w:val="clear" w:color="auto" w:fill="FFFFFF"/>
        </w:rPr>
        <w:t>-</w:t>
      </w:r>
      <w:r w:rsidRPr="00D60E88">
        <w:rPr>
          <w:rFonts w:ascii="Times New Roman" w:hAnsi="Times New Roman"/>
          <w:color w:val="000000"/>
          <w:sz w:val="20"/>
          <w:szCs w:val="20"/>
          <w:shd w:val="clear" w:color="auto" w:fill="FFFFFF"/>
        </w:rPr>
        <w:t>1.06). No heterogeneity was detected (I2</w:t>
      </w:r>
      <w:r w:rsidR="00575188">
        <w:rPr>
          <w:rFonts w:ascii="Times New Roman" w:hAnsi="Times New Roman"/>
          <w:color w:val="000000"/>
          <w:sz w:val="20"/>
          <w:szCs w:val="20"/>
          <w:shd w:val="clear" w:color="auto" w:fill="FFFFFF"/>
        </w:rPr>
        <w:t>=</w:t>
      </w:r>
      <w:r w:rsidRPr="00D60E88">
        <w:rPr>
          <w:rFonts w:ascii="Times New Roman" w:hAnsi="Times New Roman"/>
          <w:color w:val="000000"/>
          <w:sz w:val="20"/>
          <w:szCs w:val="20"/>
          <w:shd w:val="clear" w:color="auto" w:fill="FFFFFF"/>
        </w:rPr>
        <w:t>0%). The danger. Research employing DUSG for CVC can be classified into two groups. To begin with, those appraising the ultrasound visual characteristics of the endothelial surface for clot detection. Secondly, ss randomized trials examining the technique's clinical utility.</w:t>
      </w:r>
    </w:p>
    <w:p w14:paraId="1AEF9119" w14:textId="77777777" w:rsidR="00D60E88" w:rsidRDefault="00D60E88" w:rsidP="00AE6C40">
      <w:pPr>
        <w:spacing w:after="0" w:line="360" w:lineRule="auto"/>
        <w:jc w:val="both"/>
        <w:rPr>
          <w:rFonts w:ascii="Times New Roman" w:hAnsi="Times New Roman"/>
          <w:color w:val="000000"/>
          <w:sz w:val="20"/>
          <w:szCs w:val="20"/>
          <w:shd w:val="clear" w:color="auto" w:fill="FFFFFF"/>
        </w:rPr>
      </w:pPr>
    </w:p>
    <w:p w14:paraId="422C76DC" w14:textId="77777777" w:rsidR="00D60E88" w:rsidRDefault="00D60E88" w:rsidP="00D60E88">
      <w:pPr>
        <w:spacing w:after="0" w:line="360" w:lineRule="auto"/>
        <w:jc w:val="both"/>
        <w:rPr>
          <w:rFonts w:ascii="Times New Roman" w:hAnsi="Times New Roman" w:cs="Times New Roman"/>
          <w:b/>
          <w:bCs/>
          <w:color w:val="0070C0"/>
          <w:sz w:val="22"/>
          <w:szCs w:val="22"/>
        </w:rPr>
      </w:pPr>
      <w:r w:rsidRPr="00D60E88">
        <w:rPr>
          <w:rFonts w:ascii="Times New Roman" w:hAnsi="Times New Roman" w:cs="Times New Roman"/>
          <w:b/>
          <w:bCs/>
          <w:color w:val="0070C0"/>
          <w:sz w:val="22"/>
          <w:szCs w:val="22"/>
        </w:rPr>
        <w:t>Introduction</w:t>
      </w:r>
    </w:p>
    <w:p w14:paraId="5A490968" w14:textId="14F576EF" w:rsidR="00D60E88" w:rsidRPr="00575188" w:rsidRDefault="00D60E88" w:rsidP="00D60E88">
      <w:pPr>
        <w:spacing w:after="0" w:line="360" w:lineRule="auto"/>
        <w:jc w:val="both"/>
        <w:rPr>
          <w:rFonts w:ascii="Times New Roman" w:hAnsi="Times New Roman" w:cs="Times New Roman"/>
          <w:b/>
          <w:bCs/>
          <w:color w:val="0070C0"/>
          <w:sz w:val="22"/>
          <w:szCs w:val="22"/>
        </w:rPr>
      </w:pPr>
      <w:r w:rsidRPr="00D60E88">
        <w:rPr>
          <w:rFonts w:ascii="Times New Roman" w:hAnsi="Times New Roman"/>
          <w:color w:val="000000"/>
          <w:sz w:val="20"/>
          <w:szCs w:val="20"/>
          <w:shd w:val="clear" w:color="auto" w:fill="FFFFFF"/>
        </w:rPr>
        <w:t>Coronary artery calcification is common in patients who undergo percutaneous coronary intervention (PCI) and is linked to bad results during and after the process [1,2]. About a quarter of lesions treated in modern PCI groups have moderate or severe coronary calcification shown on angiograms [2,3]. Calcified lesions can lead to problems like the stent not fully expanding, being misplaced, and the lesion not being properly prepared, which raises the chance of stent thrombosis, restenosis, and target lesion failure [4,5]. Even with newer drug-eluting stents, patients with moderate or severe calcification have higher rates of target-vessel myocardial infarction and stent thrombosis than those with mild or no calcification [6,7]. Analyses of patient data from recent stent trials also show that target lesion calcification is still linked to worse clinical results, even with better stent technology and medicine [8,9].</w:t>
      </w:r>
      <w:r w:rsidR="00575188">
        <w:rPr>
          <w:rFonts w:ascii="Times New Roman" w:hAnsi="Times New Roman" w:cs="Times New Roman"/>
          <w:b/>
          <w:bCs/>
          <w:color w:val="0070C0"/>
          <w:sz w:val="22"/>
          <w:szCs w:val="22"/>
        </w:rPr>
        <w:t xml:space="preserve"> </w:t>
      </w:r>
      <w:r w:rsidRPr="00D60E88">
        <w:rPr>
          <w:rFonts w:ascii="Times New Roman" w:hAnsi="Times New Roman"/>
          <w:color w:val="000000"/>
          <w:sz w:val="20"/>
          <w:szCs w:val="20"/>
          <w:shd w:val="clear" w:color="auto" w:fill="FFFFFF"/>
        </w:rPr>
        <w:t>Rotational atherectomy (RA) has been a main way to change heavily calcified coronary plaques. It uses a fast-rotating burr to remove calcium and help deliver the stent [6</w:t>
      </w:r>
      <w:r w:rsidR="00575188">
        <w:rPr>
          <w:rFonts w:ascii="Times New Roman" w:hAnsi="Times New Roman"/>
          <w:color w:val="000000"/>
          <w:sz w:val="20"/>
          <w:szCs w:val="20"/>
          <w:shd w:val="clear" w:color="auto" w:fill="FFFFFF"/>
        </w:rPr>
        <w:t>-</w:t>
      </w:r>
      <w:r w:rsidRPr="00D60E88">
        <w:rPr>
          <w:rFonts w:ascii="Times New Roman" w:hAnsi="Times New Roman"/>
          <w:color w:val="000000"/>
          <w:sz w:val="20"/>
          <w:szCs w:val="20"/>
          <w:shd w:val="clear" w:color="auto" w:fill="FFFFFF"/>
        </w:rPr>
        <w:t>10]. While RA can work well, it's hard to do and can cause problems like slow or no blood flow, coronary dissection, perforation, and sudden vessel closure [11,12]. Recent studies and meta-analyses point out that these problems happen at noticeable rates, especially in complex cases and patients with very weak left ventricular function [13,14]. Orbital atherectomy (OA) is another choice that doesn't need a rotating burr and might make lesion preparation easier, but it can also harm the vessel and cause embolization [15]. A meta-analysis of studies comparing OA and RA didn't find big differences in major results like death, myocardial infarction, target vessel revascularization, or major adverse cardiac events (MACE), though OA was linked to shorter fluoroscopy times [15,16]. These results suggest that finding the best way to deal with severe coronary calcification is still not clear, even with modern atherectomy methods.</w:t>
      </w:r>
      <w:r w:rsidR="00575188">
        <w:rPr>
          <w:rFonts w:ascii="Times New Roman" w:hAnsi="Times New Roman"/>
          <w:color w:val="000000"/>
          <w:sz w:val="20"/>
          <w:szCs w:val="20"/>
          <w:shd w:val="clear" w:color="auto" w:fill="FFFFFF"/>
        </w:rPr>
        <w:t xml:space="preserve"> </w:t>
      </w:r>
      <w:r w:rsidRPr="00D60E88">
        <w:rPr>
          <w:rFonts w:ascii="Times New Roman" w:hAnsi="Times New Roman"/>
          <w:color w:val="000000"/>
          <w:sz w:val="20"/>
          <w:szCs w:val="20"/>
          <w:shd w:val="clear" w:color="auto" w:fill="FFFFFF"/>
        </w:rPr>
        <w:t xml:space="preserve">Intravascular lithotripsy (IVL) is a new technology to change calcium that aims to fix some limits of mechanical atherectomy. IVL uses a balloon-based system to send pulsing sound waves that create fractures in both surface and deep calcium, which makes the vessel </w:t>
      </w:r>
      <w:r w:rsidRPr="00D60E88">
        <w:rPr>
          <w:rFonts w:ascii="Times New Roman" w:hAnsi="Times New Roman"/>
          <w:color w:val="000000"/>
          <w:sz w:val="20"/>
          <w:szCs w:val="20"/>
          <w:shd w:val="clear" w:color="auto" w:fill="FFFFFF"/>
        </w:rPr>
        <w:lastRenderedPageBreak/>
        <w:t xml:space="preserve">more flexible and helps the stent expand with little damage to soft tissue [17]. The Disrupt CAD I </w:t>
      </w:r>
      <w:r w:rsidR="00575188" w:rsidRPr="00D60E88">
        <w:rPr>
          <w:rFonts w:ascii="Times New Roman" w:hAnsi="Times New Roman"/>
          <w:color w:val="000000"/>
          <w:sz w:val="20"/>
          <w:szCs w:val="20"/>
          <w:shd w:val="clear" w:color="auto" w:fill="FFFFFF"/>
        </w:rPr>
        <w:t>studied</w:t>
      </w:r>
      <w:r w:rsidRPr="00D60E88">
        <w:rPr>
          <w:rFonts w:ascii="Times New Roman" w:hAnsi="Times New Roman"/>
          <w:color w:val="000000"/>
          <w:sz w:val="20"/>
          <w:szCs w:val="20"/>
          <w:shd w:val="clear" w:color="auto" w:fill="FFFFFF"/>
        </w:rPr>
        <w:t xml:space="preserve"> first showed that coronary IVL is safe and possible in humans, with no major dissections, perforations, sudden closure, or slow/no-flow events, and low rates of MACE in the hospital and at 30 days [17,18]. The Disrupt CAD II study at many centers said that the process worked well, with few MACE in the hospital and angiographic problems in patients with severe coronary artery calcification [18]. The bigger Disrupt CAD III study backed up these results, with the process working 92.4% of the time and a 30-day MACE rate of 7.8%. Longer follow-up showed it kept working well, with low rates of stent thrombosis [19,20]. A study that combined patient data from the Disrupt CAD I–IV program, with over 1,000 patients, showed the device and process worked well, with few serious angiographic problems across studies [21]. The Japanese Disrupt CAD IV study also had high success and low 30-day MACE, with lasting safety and low event rates at 1 and 2 years [22]. Reviews of the Disrupt CAD I–IV program have further supported that IVL is safe in complex calcified areas [21</w:t>
      </w:r>
      <w:r w:rsidR="00575188">
        <w:rPr>
          <w:rFonts w:ascii="Times New Roman" w:hAnsi="Times New Roman"/>
          <w:color w:val="000000"/>
          <w:sz w:val="20"/>
          <w:szCs w:val="20"/>
          <w:shd w:val="clear" w:color="auto" w:fill="FFFFFF"/>
        </w:rPr>
        <w:t>-</w:t>
      </w:r>
      <w:r w:rsidRPr="00D60E88">
        <w:rPr>
          <w:rFonts w:ascii="Times New Roman" w:hAnsi="Times New Roman"/>
          <w:color w:val="000000"/>
          <w:sz w:val="20"/>
          <w:szCs w:val="20"/>
          <w:shd w:val="clear" w:color="auto" w:fill="FFFFFF"/>
        </w:rPr>
        <w:t>23].</w:t>
      </w:r>
      <w:r w:rsidR="00575188">
        <w:rPr>
          <w:rFonts w:ascii="Times New Roman" w:hAnsi="Times New Roman" w:cs="Times New Roman"/>
          <w:b/>
          <w:bCs/>
          <w:color w:val="0070C0"/>
          <w:sz w:val="22"/>
          <w:szCs w:val="22"/>
        </w:rPr>
        <w:t xml:space="preserve"> </w:t>
      </w:r>
      <w:r w:rsidRPr="00D60E88">
        <w:rPr>
          <w:rFonts w:ascii="Times New Roman" w:hAnsi="Times New Roman"/>
          <w:color w:val="000000"/>
          <w:sz w:val="20"/>
          <w:szCs w:val="20"/>
          <w:shd w:val="clear" w:color="auto" w:fill="FFFFFF"/>
        </w:rPr>
        <w:t>Even with this encouraging info, it is still not clear how IVL compares to other ways to change calcium, like rotational atherectomy, in terms of how well they work and how safe they are. Most IVL data comes from single-arm studies or small, non-randomized comparisons, and there aren't many randomized trials that directly compare them [19</w:t>
      </w:r>
      <w:r w:rsidR="00575188">
        <w:rPr>
          <w:rFonts w:ascii="Times New Roman" w:hAnsi="Times New Roman"/>
          <w:color w:val="000000"/>
          <w:sz w:val="20"/>
          <w:szCs w:val="20"/>
          <w:shd w:val="clear" w:color="auto" w:fill="FFFFFF"/>
        </w:rPr>
        <w:t>-</w:t>
      </w:r>
      <w:r w:rsidRPr="00D60E88">
        <w:rPr>
          <w:rFonts w:ascii="Times New Roman" w:hAnsi="Times New Roman"/>
          <w:color w:val="000000"/>
          <w:sz w:val="20"/>
          <w:szCs w:val="20"/>
          <w:shd w:val="clear" w:color="auto" w:fill="FFFFFF"/>
        </w:rPr>
        <w:t>23]. Some meta-analyses have compared IVL with RA, but the results differ. A meta-analysis by Suruagy-Motta et al [1]. suggested IVL might take less time, use less fluoroscopy and contrast, and might be better at deploying stents and revascularizing target lesions, with no clear difference in mortality [24]. Another meta-analysis studied that IVL and RA were about the same in terms of MACE and clinical results in patients with calcific coronary lesions, but IVL had less risk of coronary perforation, slow or no blood flow, and took less time [1</w:t>
      </w:r>
      <w:r w:rsidR="00575188">
        <w:rPr>
          <w:rFonts w:ascii="Times New Roman" w:hAnsi="Times New Roman"/>
          <w:color w:val="000000"/>
          <w:sz w:val="20"/>
          <w:szCs w:val="20"/>
          <w:shd w:val="clear" w:color="auto" w:fill="FFFFFF"/>
        </w:rPr>
        <w:t>-</w:t>
      </w:r>
      <w:r w:rsidRPr="00D60E88">
        <w:rPr>
          <w:rFonts w:ascii="Times New Roman" w:hAnsi="Times New Roman"/>
          <w:color w:val="000000"/>
          <w:sz w:val="20"/>
          <w:szCs w:val="20"/>
          <w:shd w:val="clear" w:color="auto" w:fill="FFFFFF"/>
        </w:rPr>
        <w:t>19]. More recently, a meta-analysis found that IVL had less risk of coronary perforation and worked better than RA, but there were no big differences in death from any cause, myocardial infarction, target vessel revascularization, or slow/no-flow [1</w:t>
      </w:r>
      <w:r w:rsidR="00575188">
        <w:rPr>
          <w:rFonts w:ascii="Times New Roman" w:hAnsi="Times New Roman"/>
          <w:color w:val="000000"/>
          <w:sz w:val="20"/>
          <w:szCs w:val="20"/>
          <w:shd w:val="clear" w:color="auto" w:fill="FFFFFF"/>
        </w:rPr>
        <w:t>-</w:t>
      </w:r>
      <w:r w:rsidRPr="00D60E88">
        <w:rPr>
          <w:rFonts w:ascii="Times New Roman" w:hAnsi="Times New Roman"/>
          <w:color w:val="000000"/>
          <w:sz w:val="20"/>
          <w:szCs w:val="20"/>
          <w:shd w:val="clear" w:color="auto" w:fill="FFFFFF"/>
        </w:rPr>
        <w:t>24]. A review of randomized trials in PCI for calcified lesions said that it's still not certain which calcium modification method is best in IVL, RA, OA, or others, and that we need randomized trials with enough power [15]. So, a review of the available data is needed. This systematic review and meta-analysis aim to see how well intravascular lithotripsy works and how safe it is compared to rotational atherectomy and other ways to change lesions, in patients with very calcified coronary artery lesions getting PCI. It will look at process and clinical results to guide practice and find areas for future randomized trials.</w:t>
      </w:r>
    </w:p>
    <w:p w14:paraId="301B8A41" w14:textId="77777777" w:rsidR="00D60E88" w:rsidRDefault="00D60E88" w:rsidP="00D60E88">
      <w:pPr>
        <w:spacing w:after="0" w:line="360" w:lineRule="auto"/>
        <w:jc w:val="both"/>
        <w:rPr>
          <w:rFonts w:ascii="Times New Roman" w:hAnsi="Times New Roman"/>
          <w:color w:val="000000"/>
          <w:sz w:val="20"/>
          <w:szCs w:val="20"/>
          <w:shd w:val="clear" w:color="auto" w:fill="FFFFFF"/>
        </w:rPr>
      </w:pPr>
    </w:p>
    <w:p w14:paraId="6D628BC4" w14:textId="77777777" w:rsidR="00D60E88" w:rsidRPr="00D60E88" w:rsidRDefault="00D60E88" w:rsidP="00D60E88">
      <w:pPr>
        <w:spacing w:after="0" w:line="360" w:lineRule="auto"/>
        <w:jc w:val="both"/>
        <w:rPr>
          <w:rFonts w:ascii="Times New Roman" w:hAnsi="Times New Roman" w:cs="Times New Roman"/>
          <w:b/>
          <w:bCs/>
          <w:color w:val="0070C0"/>
          <w:sz w:val="22"/>
          <w:szCs w:val="22"/>
        </w:rPr>
      </w:pPr>
      <w:r w:rsidRPr="00D60E88">
        <w:rPr>
          <w:rFonts w:ascii="Times New Roman" w:hAnsi="Times New Roman" w:cs="Times New Roman"/>
          <w:b/>
          <w:bCs/>
          <w:color w:val="0070C0"/>
          <w:sz w:val="22"/>
          <w:szCs w:val="22"/>
        </w:rPr>
        <w:t>Methods</w:t>
      </w:r>
    </w:p>
    <w:p w14:paraId="7898CBE5" w14:textId="77777777" w:rsidR="00D60E88" w:rsidRDefault="00D60E88" w:rsidP="00D60E88">
      <w:pPr>
        <w:spacing w:after="0" w:line="360" w:lineRule="auto"/>
        <w:jc w:val="both"/>
        <w:rPr>
          <w:rFonts w:ascii="Times New Roman" w:hAnsi="Times New Roman" w:cs="Times New Roman"/>
          <w:sz w:val="20"/>
          <w:szCs w:val="20"/>
        </w:rPr>
      </w:pPr>
      <w:r w:rsidRPr="00D60E88">
        <w:rPr>
          <w:rFonts w:ascii="Times New Roman" w:hAnsi="Times New Roman" w:cs="Times New Roman"/>
          <w:sz w:val="20"/>
          <w:szCs w:val="20"/>
        </w:rPr>
        <w:t xml:space="preserve">This systematic review and meta-analysis followed the PRISMA 2020 rules for how to do these studies </w:t>
      </w:r>
      <w:sdt>
        <w:sdtPr>
          <w:rPr>
            <w:rFonts w:ascii="Times New Roman" w:hAnsi="Times New Roman" w:cs="Times New Roman"/>
            <w:color w:val="000000"/>
            <w:sz w:val="20"/>
            <w:szCs w:val="20"/>
          </w:rPr>
          <w:tag w:val="MENDELEY_CITATION_v3_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"/>
          <w:id w:val="1806732149"/>
          <w:placeholder>
            <w:docPart w:val="5A4189D6D3944F89B81E6DCBD53636A8"/>
          </w:placeholder>
        </w:sdtPr>
        <w:sdtContent>
          <w:r w:rsidRPr="00D60E88">
            <w:rPr>
              <w:rFonts w:ascii="Times New Roman" w:hAnsi="Times New Roman" w:cs="Times New Roman"/>
              <w:color w:val="000000"/>
              <w:sz w:val="20"/>
              <w:szCs w:val="20"/>
            </w:rPr>
            <w:t>[25]</w:t>
          </w:r>
        </w:sdtContent>
      </w:sdt>
      <w:r w:rsidRPr="00D60E88">
        <w:rPr>
          <w:rFonts w:ascii="Times New Roman" w:hAnsi="Times New Roman" w:cs="Times New Roman"/>
          <w:sz w:val="20"/>
          <w:szCs w:val="20"/>
        </w:rPr>
        <w:t xml:space="preserve">. We used methods from the Cochrane Handbook for Systematic Reviews of Interventions </w:t>
      </w:r>
      <w:sdt>
        <w:sdtPr>
          <w:rPr>
            <w:rFonts w:ascii="Times New Roman" w:hAnsi="Times New Roman" w:cs="Times New Roman"/>
            <w:color w:val="000000"/>
            <w:sz w:val="20"/>
            <w:szCs w:val="20"/>
          </w:rPr>
          <w:tag w:val="MENDELEY_CITATION_v3_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"/>
          <w:id w:val="759722134"/>
          <w:placeholder>
            <w:docPart w:val="5A4189D6D3944F89B81E6DCBD53636A8"/>
          </w:placeholder>
        </w:sdtPr>
        <w:sdtContent>
          <w:r w:rsidRPr="00D60E88">
            <w:rPr>
              <w:rFonts w:ascii="Times New Roman" w:hAnsi="Times New Roman" w:cs="Times New Roman"/>
              <w:color w:val="000000"/>
              <w:sz w:val="20"/>
              <w:szCs w:val="20"/>
            </w:rPr>
            <w:t>[26]</w:t>
          </w:r>
        </w:sdtContent>
      </w:sdt>
      <w:r w:rsidRPr="00D60E88">
        <w:rPr>
          <w:rFonts w:ascii="Times New Roman" w:hAnsi="Times New Roman" w:cs="Times New Roman"/>
          <w:sz w:val="20"/>
          <w:szCs w:val="20"/>
        </w:rPr>
        <w:t>.</w:t>
      </w:r>
    </w:p>
    <w:p w14:paraId="275C3B95" w14:textId="77777777" w:rsidR="00D60E88" w:rsidRDefault="00D60E88" w:rsidP="00D60E88">
      <w:pPr>
        <w:spacing w:after="0" w:line="360" w:lineRule="auto"/>
        <w:jc w:val="both"/>
        <w:rPr>
          <w:rFonts w:ascii="Times New Roman" w:hAnsi="Times New Roman" w:cs="Times New Roman"/>
          <w:sz w:val="20"/>
          <w:szCs w:val="20"/>
        </w:rPr>
      </w:pPr>
    </w:p>
    <w:p w14:paraId="637BC102" w14:textId="77777777" w:rsidR="00D60E88" w:rsidRPr="00D60E88" w:rsidRDefault="00D60E88" w:rsidP="00D60E88">
      <w:pPr>
        <w:spacing w:after="0" w:line="360" w:lineRule="auto"/>
        <w:jc w:val="both"/>
        <w:rPr>
          <w:rFonts w:ascii="Times New Roman" w:hAnsi="Times New Roman" w:cs="Times New Roman"/>
          <w:b/>
          <w:bCs/>
          <w:color w:val="0070C0"/>
          <w:sz w:val="20"/>
          <w:szCs w:val="20"/>
        </w:rPr>
      </w:pPr>
      <w:r w:rsidRPr="00D60E88">
        <w:rPr>
          <w:rFonts w:ascii="Times New Roman" w:hAnsi="Times New Roman" w:cs="Times New Roman"/>
          <w:b/>
          <w:bCs/>
          <w:color w:val="0070C0"/>
          <w:sz w:val="20"/>
          <w:szCs w:val="20"/>
        </w:rPr>
        <w:t>Eligibility Criteria</w:t>
      </w:r>
    </w:p>
    <w:p w14:paraId="330B2E7E" w14:textId="605BFC74" w:rsidR="00D60E88" w:rsidRDefault="00D60E88" w:rsidP="00D60E88">
      <w:pPr>
        <w:spacing w:after="0" w:line="360" w:lineRule="auto"/>
        <w:jc w:val="both"/>
        <w:rPr>
          <w:rFonts w:ascii="Times New Roman" w:hAnsi="Times New Roman" w:cs="Times New Roman"/>
          <w:sz w:val="20"/>
          <w:szCs w:val="20"/>
        </w:rPr>
      </w:pPr>
      <w:r w:rsidRPr="00D60E88">
        <w:rPr>
          <w:rFonts w:ascii="Times New Roman" w:hAnsi="Times New Roman" w:cs="Times New Roman"/>
          <w:sz w:val="20"/>
          <w:szCs w:val="20"/>
        </w:rPr>
        <w:t xml:space="preserve">We picked studies using a PICOS system (Population, Intervention, Comparator, Outcomes, Study design) as in </w:t>
      </w:r>
      <w:r w:rsidR="00503D69">
        <w:rPr>
          <w:rFonts w:ascii="Times New Roman" w:hAnsi="Times New Roman" w:cs="Times New Roman"/>
          <w:sz w:val="20"/>
          <w:szCs w:val="20"/>
        </w:rPr>
        <w:t>(t</w:t>
      </w:r>
      <w:r w:rsidRPr="00D60E88">
        <w:rPr>
          <w:rFonts w:ascii="Times New Roman" w:hAnsi="Times New Roman" w:cs="Times New Roman"/>
          <w:sz w:val="20"/>
          <w:szCs w:val="20"/>
        </w:rPr>
        <w:t>able 1</w:t>
      </w:r>
      <w:r w:rsidR="00503D69">
        <w:rPr>
          <w:rFonts w:ascii="Times New Roman" w:hAnsi="Times New Roman" w:cs="Times New Roman"/>
          <w:sz w:val="20"/>
          <w:szCs w:val="20"/>
        </w:rPr>
        <w:t>)</w:t>
      </w:r>
      <w:r w:rsidRPr="00D60E88">
        <w:rPr>
          <w:rFonts w:ascii="Times New Roman" w:hAnsi="Times New Roman" w:cs="Times New Roman"/>
          <w:sz w:val="20"/>
          <w:szCs w:val="20"/>
        </w:rPr>
        <w:t xml:space="preserve">. We looked at studies with adults aged 18+ getting percutaneous coronary intervention (PCI) for very calcified coronary artery lesions. We called lesions severe if they had moderate to severe calcification on angiography or a calcium score of 270°+ on intravascular imaging (OCT/IVUS). The treatment we wanted to study </w:t>
      </w:r>
      <w:r w:rsidRPr="00D60E88">
        <w:rPr>
          <w:rFonts w:ascii="Times New Roman" w:hAnsi="Times New Roman" w:cs="Times New Roman"/>
          <w:sz w:val="20"/>
          <w:szCs w:val="20"/>
        </w:rPr>
        <w:lastRenderedPageBreak/>
        <w:t>was intravascular lithotripsy (IVL) to change the lesion before putting in a stent. The comparison was rotational atherectomy (RA) or orbital atherectomy (OA) as the main way to change the plaque. For results, the main thing we looked at was if the process worked, which we said was less than 50% stenosis left with TIMI 3 flow and no major cardiovascular events (MACE) in the hospital. We also checked how well the treatment worked, as well as target lesion revascularization (TLR), all-cause mortality, myocardial infarction, coronary perforation, slow-flow/no-reflow, stent thrombosis, and MACE while the patient was in the hospital. Our search included both randomized controlled trials (RCTs) and prospective or retrospective cohort studies. We did not include case reports, studies without a comparison group, or conference info without full data.</w:t>
      </w:r>
    </w:p>
    <w:p w14:paraId="6E0EED25" w14:textId="77777777" w:rsidR="00D60E88" w:rsidRDefault="00D60E88" w:rsidP="00D60E88">
      <w:pPr>
        <w:spacing w:after="0" w:line="360" w:lineRule="auto"/>
        <w:jc w:val="both"/>
        <w:rPr>
          <w:rFonts w:ascii="Times New Roman" w:hAnsi="Times New Roman" w:cs="Times New Roman"/>
          <w:sz w:val="20"/>
          <w:szCs w:val="20"/>
        </w:rPr>
      </w:pPr>
    </w:p>
    <w:p w14:paraId="729FA669" w14:textId="27E061B4" w:rsidR="00D60E88" w:rsidRDefault="00D60E88" w:rsidP="00D60E88">
      <w:pPr>
        <w:spacing w:after="0" w:line="360" w:lineRule="auto"/>
        <w:jc w:val="center"/>
        <w:rPr>
          <w:rFonts w:ascii="Times New Roman" w:hAnsi="Times New Roman" w:cs="Times New Roman"/>
          <w:sz w:val="20"/>
          <w:szCs w:val="20"/>
        </w:rPr>
      </w:pPr>
      <w:r w:rsidRPr="00D60E88">
        <w:rPr>
          <w:rFonts w:ascii="Times New Roman" w:hAnsi="Times New Roman" w:cs="Times New Roman"/>
          <w:b/>
          <w:bCs/>
          <w:color w:val="0070C0"/>
          <w:sz w:val="20"/>
          <w:szCs w:val="20"/>
        </w:rPr>
        <w:t>Table 1:</w:t>
      </w:r>
      <w:r w:rsidRPr="00D60E88">
        <w:rPr>
          <w:rFonts w:ascii="Times New Roman" w:hAnsi="Times New Roman" w:cs="Times New Roman"/>
          <w:color w:val="0070C0"/>
          <w:sz w:val="20"/>
          <w:szCs w:val="20"/>
        </w:rPr>
        <w:t xml:space="preserve"> </w:t>
      </w:r>
      <w:r w:rsidRPr="00D60E88">
        <w:rPr>
          <w:rFonts w:ascii="Times New Roman" w:hAnsi="Times New Roman" w:cs="Times New Roman"/>
          <w:sz w:val="20"/>
          <w:szCs w:val="20"/>
        </w:rPr>
        <w:t>PICOS Framework and Eligibility Criteria for Study Inclusion</w:t>
      </w:r>
      <w:r w:rsidR="00BA62BB">
        <w:rPr>
          <w:rFonts w:ascii="Times New Roman" w:hAnsi="Times New Roman" w:cs="Times New Roman"/>
          <w:sz w:val="20"/>
          <w:szCs w:val="20"/>
        </w:rPr>
        <w:t>.</w:t>
      </w:r>
    </w:p>
    <w:tbl>
      <w:tblPr>
        <w:tblW w:w="5000" w:type="pct"/>
        <w:jc w:val="center"/>
        <w:tblLook w:val="04A0" w:firstRow="1" w:lastRow="0" w:firstColumn="1" w:lastColumn="0" w:noHBand="0" w:noVBand="1"/>
      </w:tblPr>
      <w:tblGrid>
        <w:gridCol w:w="1517"/>
        <w:gridCol w:w="8059"/>
      </w:tblGrid>
      <w:tr w:rsidR="008B34BE" w:rsidRPr="008B34BE" w14:paraId="06EBB15A" w14:textId="77777777" w:rsidTr="00BA62BB">
        <w:trPr>
          <w:trHeight w:val="288"/>
          <w:jc w:val="center"/>
        </w:trPr>
        <w:tc>
          <w:tcPr>
            <w:tcW w:w="792" w:type="pct"/>
            <w:tcBorders>
              <w:top w:val="single" w:sz="4" w:space="0" w:color="auto"/>
              <w:left w:val="single" w:sz="4" w:space="0" w:color="auto"/>
              <w:bottom w:val="single" w:sz="4" w:space="0" w:color="auto"/>
              <w:right w:val="single" w:sz="4" w:space="0" w:color="auto"/>
            </w:tcBorders>
            <w:noWrap/>
            <w:vAlign w:val="center"/>
            <w:hideMark/>
          </w:tcPr>
          <w:p w14:paraId="1E91BEC1" w14:textId="77777777" w:rsidR="008B34BE" w:rsidRPr="008B34BE" w:rsidRDefault="008B34BE" w:rsidP="00C97033">
            <w:pPr>
              <w:spacing w:after="0" w:line="360" w:lineRule="auto"/>
              <w:jc w:val="center"/>
              <w:rPr>
                <w:rFonts w:ascii="Times New Roman" w:eastAsia="Times New Roman" w:hAnsi="Times New Roman" w:cs="Times New Roman"/>
                <w:b/>
                <w:bCs/>
                <w:color w:val="000000"/>
                <w:sz w:val="20"/>
                <w:szCs w:val="20"/>
                <w:lang w:val="en-IN" w:eastAsia="en-IN"/>
              </w:rPr>
            </w:pPr>
            <w:r w:rsidRPr="008B34BE">
              <w:rPr>
                <w:rFonts w:ascii="Times New Roman" w:eastAsia="Times New Roman" w:hAnsi="Times New Roman" w:cs="Times New Roman"/>
                <w:b/>
                <w:bCs/>
                <w:color w:val="000000"/>
                <w:sz w:val="20"/>
                <w:szCs w:val="20"/>
                <w:lang w:eastAsia="en-IN"/>
              </w:rPr>
              <w:t>Component</w:t>
            </w:r>
          </w:p>
        </w:tc>
        <w:tc>
          <w:tcPr>
            <w:tcW w:w="4208" w:type="pct"/>
            <w:tcBorders>
              <w:top w:val="single" w:sz="4" w:space="0" w:color="auto"/>
              <w:left w:val="nil"/>
              <w:bottom w:val="single" w:sz="4" w:space="0" w:color="auto"/>
              <w:right w:val="single" w:sz="4" w:space="0" w:color="auto"/>
            </w:tcBorders>
            <w:noWrap/>
            <w:vAlign w:val="center"/>
            <w:hideMark/>
          </w:tcPr>
          <w:p w14:paraId="584FC2A9" w14:textId="77777777" w:rsidR="008B34BE" w:rsidRPr="008B34BE" w:rsidRDefault="008B34BE" w:rsidP="00C97033">
            <w:pPr>
              <w:spacing w:after="0" w:line="360" w:lineRule="auto"/>
              <w:jc w:val="center"/>
              <w:rPr>
                <w:rFonts w:ascii="Times New Roman" w:eastAsia="Times New Roman" w:hAnsi="Times New Roman" w:cs="Times New Roman"/>
                <w:b/>
                <w:bCs/>
                <w:color w:val="000000"/>
                <w:sz w:val="20"/>
                <w:szCs w:val="20"/>
                <w:lang w:val="en-IN" w:eastAsia="en-IN"/>
              </w:rPr>
            </w:pPr>
            <w:r w:rsidRPr="008B34BE">
              <w:rPr>
                <w:rFonts w:ascii="Times New Roman" w:eastAsia="Times New Roman" w:hAnsi="Times New Roman" w:cs="Times New Roman"/>
                <w:b/>
                <w:bCs/>
                <w:color w:val="000000"/>
                <w:sz w:val="20"/>
                <w:szCs w:val="20"/>
                <w:lang w:eastAsia="en-IN"/>
              </w:rPr>
              <w:t>Criteria</w:t>
            </w:r>
          </w:p>
        </w:tc>
      </w:tr>
      <w:tr w:rsidR="008B34BE" w:rsidRPr="008B34BE" w14:paraId="7720AB24" w14:textId="77777777" w:rsidTr="00BA62BB">
        <w:trPr>
          <w:trHeight w:val="288"/>
          <w:jc w:val="center"/>
        </w:trPr>
        <w:tc>
          <w:tcPr>
            <w:tcW w:w="792" w:type="pct"/>
            <w:tcBorders>
              <w:top w:val="nil"/>
              <w:left w:val="single" w:sz="4" w:space="0" w:color="auto"/>
              <w:bottom w:val="single" w:sz="4" w:space="0" w:color="auto"/>
              <w:right w:val="single" w:sz="4" w:space="0" w:color="auto"/>
            </w:tcBorders>
            <w:noWrap/>
            <w:vAlign w:val="center"/>
            <w:hideMark/>
          </w:tcPr>
          <w:p w14:paraId="1AFF8903"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Population</w:t>
            </w:r>
          </w:p>
        </w:tc>
        <w:tc>
          <w:tcPr>
            <w:tcW w:w="4208" w:type="pct"/>
            <w:tcBorders>
              <w:top w:val="nil"/>
              <w:left w:val="nil"/>
              <w:bottom w:val="single" w:sz="4" w:space="0" w:color="auto"/>
              <w:right w:val="single" w:sz="4" w:space="0" w:color="auto"/>
            </w:tcBorders>
            <w:noWrap/>
            <w:vAlign w:val="center"/>
            <w:hideMark/>
          </w:tcPr>
          <w:p w14:paraId="5837FE39"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Adult patients (≥18 years) with severely calcified coronary lesions undergoing PCI.</w:t>
            </w:r>
          </w:p>
        </w:tc>
      </w:tr>
      <w:tr w:rsidR="008B34BE" w:rsidRPr="008B34BE" w14:paraId="6ADA31B2" w14:textId="77777777" w:rsidTr="00BA62BB">
        <w:trPr>
          <w:trHeight w:val="288"/>
          <w:jc w:val="center"/>
        </w:trPr>
        <w:tc>
          <w:tcPr>
            <w:tcW w:w="792" w:type="pct"/>
            <w:tcBorders>
              <w:top w:val="nil"/>
              <w:left w:val="single" w:sz="4" w:space="0" w:color="auto"/>
              <w:bottom w:val="single" w:sz="4" w:space="0" w:color="auto"/>
              <w:right w:val="single" w:sz="4" w:space="0" w:color="auto"/>
            </w:tcBorders>
            <w:noWrap/>
            <w:vAlign w:val="center"/>
            <w:hideMark/>
          </w:tcPr>
          <w:p w14:paraId="3B528D7F"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Intervention</w:t>
            </w:r>
          </w:p>
        </w:tc>
        <w:tc>
          <w:tcPr>
            <w:tcW w:w="4208" w:type="pct"/>
            <w:tcBorders>
              <w:top w:val="nil"/>
              <w:left w:val="nil"/>
              <w:bottom w:val="single" w:sz="4" w:space="0" w:color="auto"/>
              <w:right w:val="single" w:sz="4" w:space="0" w:color="auto"/>
            </w:tcBorders>
            <w:noWrap/>
            <w:vAlign w:val="center"/>
            <w:hideMark/>
          </w:tcPr>
          <w:p w14:paraId="690B2012"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Intravascular Lithotripsy (IVL) for lesion modification.</w:t>
            </w:r>
          </w:p>
        </w:tc>
      </w:tr>
      <w:tr w:rsidR="008B34BE" w:rsidRPr="008B34BE" w14:paraId="693BFFC2" w14:textId="77777777" w:rsidTr="00BA62BB">
        <w:trPr>
          <w:trHeight w:val="288"/>
          <w:jc w:val="center"/>
        </w:trPr>
        <w:tc>
          <w:tcPr>
            <w:tcW w:w="792" w:type="pct"/>
            <w:tcBorders>
              <w:top w:val="nil"/>
              <w:left w:val="single" w:sz="4" w:space="0" w:color="auto"/>
              <w:bottom w:val="single" w:sz="4" w:space="0" w:color="auto"/>
              <w:right w:val="single" w:sz="4" w:space="0" w:color="auto"/>
            </w:tcBorders>
            <w:noWrap/>
            <w:vAlign w:val="center"/>
            <w:hideMark/>
          </w:tcPr>
          <w:p w14:paraId="4FB16DBA"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Comparator</w:t>
            </w:r>
          </w:p>
        </w:tc>
        <w:tc>
          <w:tcPr>
            <w:tcW w:w="4208" w:type="pct"/>
            <w:tcBorders>
              <w:top w:val="nil"/>
              <w:left w:val="nil"/>
              <w:bottom w:val="single" w:sz="4" w:space="0" w:color="auto"/>
              <w:right w:val="single" w:sz="4" w:space="0" w:color="auto"/>
            </w:tcBorders>
            <w:noWrap/>
            <w:vAlign w:val="center"/>
            <w:hideMark/>
          </w:tcPr>
          <w:p w14:paraId="64CB6058"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Rotational Atherectomy (RA) or Orbital Atherectomy (OA).</w:t>
            </w:r>
          </w:p>
        </w:tc>
      </w:tr>
      <w:tr w:rsidR="008B34BE" w:rsidRPr="008B34BE" w14:paraId="62F7500D" w14:textId="77777777" w:rsidTr="00BA62BB">
        <w:trPr>
          <w:trHeight w:val="288"/>
          <w:jc w:val="center"/>
        </w:trPr>
        <w:tc>
          <w:tcPr>
            <w:tcW w:w="792" w:type="pct"/>
            <w:vMerge w:val="restart"/>
            <w:tcBorders>
              <w:top w:val="nil"/>
              <w:left w:val="single" w:sz="4" w:space="0" w:color="auto"/>
              <w:bottom w:val="single" w:sz="4" w:space="0" w:color="auto"/>
              <w:right w:val="single" w:sz="4" w:space="0" w:color="auto"/>
            </w:tcBorders>
            <w:noWrap/>
            <w:vAlign w:val="center"/>
            <w:hideMark/>
          </w:tcPr>
          <w:p w14:paraId="3DCFB5FB"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Outcomes</w:t>
            </w:r>
          </w:p>
        </w:tc>
        <w:tc>
          <w:tcPr>
            <w:tcW w:w="4208" w:type="pct"/>
            <w:tcBorders>
              <w:top w:val="nil"/>
              <w:left w:val="nil"/>
              <w:bottom w:val="single" w:sz="4" w:space="0" w:color="auto"/>
              <w:right w:val="single" w:sz="4" w:space="0" w:color="auto"/>
            </w:tcBorders>
            <w:noWrap/>
            <w:vAlign w:val="center"/>
            <w:hideMark/>
          </w:tcPr>
          <w:p w14:paraId="6485255D"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Primary: Procedural success.</w:t>
            </w:r>
          </w:p>
        </w:tc>
      </w:tr>
      <w:tr w:rsidR="008B34BE" w:rsidRPr="008B34BE" w14:paraId="6BEFFAB7" w14:textId="77777777" w:rsidTr="00BA62BB">
        <w:trPr>
          <w:trHeight w:val="288"/>
          <w:jc w:val="center"/>
        </w:trPr>
        <w:tc>
          <w:tcPr>
            <w:tcW w:w="792" w:type="pct"/>
            <w:vMerge/>
            <w:tcBorders>
              <w:top w:val="nil"/>
              <w:left w:val="single" w:sz="4" w:space="0" w:color="auto"/>
              <w:bottom w:val="single" w:sz="4" w:space="0" w:color="auto"/>
              <w:right w:val="single" w:sz="4" w:space="0" w:color="auto"/>
            </w:tcBorders>
            <w:vAlign w:val="center"/>
            <w:hideMark/>
          </w:tcPr>
          <w:p w14:paraId="44C6F8CF"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p>
        </w:tc>
        <w:tc>
          <w:tcPr>
            <w:tcW w:w="4208" w:type="pct"/>
            <w:tcBorders>
              <w:top w:val="nil"/>
              <w:left w:val="nil"/>
              <w:bottom w:val="single" w:sz="4" w:space="0" w:color="auto"/>
              <w:right w:val="single" w:sz="4" w:space="0" w:color="auto"/>
            </w:tcBorders>
            <w:noWrap/>
            <w:vAlign w:val="center"/>
            <w:hideMark/>
          </w:tcPr>
          <w:p w14:paraId="2044013B"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val="en-IN" w:eastAsia="en-IN"/>
              </w:rPr>
              <w:t>Secondary: MACE, mortality, perforation, slow-flow, TLR.</w:t>
            </w:r>
          </w:p>
        </w:tc>
      </w:tr>
      <w:tr w:rsidR="008B34BE" w:rsidRPr="008B34BE" w14:paraId="2BEB4DFE" w14:textId="77777777" w:rsidTr="00BA62BB">
        <w:trPr>
          <w:trHeight w:val="288"/>
          <w:jc w:val="center"/>
        </w:trPr>
        <w:tc>
          <w:tcPr>
            <w:tcW w:w="792" w:type="pct"/>
            <w:tcBorders>
              <w:top w:val="nil"/>
              <w:left w:val="single" w:sz="4" w:space="0" w:color="auto"/>
              <w:bottom w:val="single" w:sz="4" w:space="0" w:color="auto"/>
              <w:right w:val="single" w:sz="4" w:space="0" w:color="auto"/>
            </w:tcBorders>
            <w:noWrap/>
            <w:vAlign w:val="center"/>
            <w:hideMark/>
          </w:tcPr>
          <w:p w14:paraId="707226DA"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Study Design</w:t>
            </w:r>
          </w:p>
        </w:tc>
        <w:tc>
          <w:tcPr>
            <w:tcW w:w="4208" w:type="pct"/>
            <w:tcBorders>
              <w:top w:val="nil"/>
              <w:left w:val="nil"/>
              <w:bottom w:val="single" w:sz="4" w:space="0" w:color="auto"/>
              <w:right w:val="single" w:sz="4" w:space="0" w:color="auto"/>
            </w:tcBorders>
            <w:noWrap/>
            <w:vAlign w:val="center"/>
            <w:hideMark/>
          </w:tcPr>
          <w:p w14:paraId="66497A72" w14:textId="77777777" w:rsidR="008B34BE" w:rsidRPr="008B34BE" w:rsidRDefault="008B34BE" w:rsidP="00C97033">
            <w:pPr>
              <w:spacing w:after="0" w:line="360" w:lineRule="auto"/>
              <w:jc w:val="center"/>
              <w:rPr>
                <w:rFonts w:ascii="Times New Roman" w:eastAsia="Times New Roman" w:hAnsi="Times New Roman" w:cs="Times New Roman"/>
                <w:color w:val="000000"/>
                <w:sz w:val="20"/>
                <w:szCs w:val="20"/>
                <w:lang w:val="en-IN" w:eastAsia="en-IN"/>
              </w:rPr>
            </w:pPr>
            <w:r w:rsidRPr="008B34BE">
              <w:rPr>
                <w:rFonts w:ascii="Times New Roman" w:eastAsia="Times New Roman" w:hAnsi="Times New Roman" w:cs="Times New Roman"/>
                <w:color w:val="000000"/>
                <w:sz w:val="20"/>
                <w:szCs w:val="20"/>
                <w:lang w:eastAsia="en-IN"/>
              </w:rPr>
              <w:t>Randomized controlled trials (RCTs) and comparative observational studies.</w:t>
            </w:r>
          </w:p>
        </w:tc>
      </w:tr>
    </w:tbl>
    <w:p w14:paraId="7AE6FBF5" w14:textId="77777777" w:rsidR="008B34BE" w:rsidRDefault="008B34BE" w:rsidP="008B34BE">
      <w:pPr>
        <w:spacing w:after="0" w:line="360" w:lineRule="auto"/>
        <w:rPr>
          <w:rFonts w:ascii="Times New Roman" w:hAnsi="Times New Roman" w:cs="Times New Roman"/>
          <w:sz w:val="20"/>
          <w:szCs w:val="20"/>
        </w:rPr>
      </w:pPr>
    </w:p>
    <w:p w14:paraId="0DC7B4E7" w14:textId="77777777" w:rsidR="008B34BE" w:rsidRPr="00C97033" w:rsidRDefault="008B34BE" w:rsidP="008B34BE">
      <w:pPr>
        <w:spacing w:after="0" w:line="360" w:lineRule="auto"/>
        <w:jc w:val="both"/>
        <w:rPr>
          <w:rFonts w:ascii="Times New Roman" w:hAnsi="Times New Roman" w:cs="Times New Roman"/>
          <w:sz w:val="20"/>
          <w:szCs w:val="20"/>
        </w:rPr>
      </w:pPr>
      <w:r w:rsidRPr="00C97033">
        <w:rPr>
          <w:rFonts w:ascii="Times New Roman" w:hAnsi="Times New Roman" w:cs="Times New Roman"/>
          <w:sz w:val="20"/>
          <w:szCs w:val="20"/>
        </w:rPr>
        <w:t>Abbreviations: PICOS = Population, Intervention, Comparator, Outcomes, Study design; PCI = Percutaneous Coronary Intervention; IVL = Intravascular Lithotripsy; RA = Rotational Atherectomy; OA = Orbital Atherectomy; TIMI = Thrombolysis in Myocardial Infarction; MACE = Major Adverse Cardiac Events; TLR = Target Lesion Revascularization; RCT = Randomized Controlled Trial.</w:t>
      </w:r>
    </w:p>
    <w:p w14:paraId="35FB6B87" w14:textId="77777777" w:rsidR="008B34BE" w:rsidRPr="0093159E" w:rsidRDefault="008B34BE" w:rsidP="008B34BE">
      <w:pPr>
        <w:spacing w:after="0" w:line="360" w:lineRule="auto"/>
        <w:jc w:val="both"/>
        <w:rPr>
          <w:rFonts w:ascii="Times New Roman" w:hAnsi="Times New Roman" w:cs="Times New Roman"/>
        </w:rPr>
      </w:pPr>
    </w:p>
    <w:p w14:paraId="4173C069" w14:textId="77777777" w:rsidR="008B34BE" w:rsidRPr="008B34BE" w:rsidRDefault="008B34BE" w:rsidP="008B34BE">
      <w:pPr>
        <w:spacing w:after="0" w:line="360" w:lineRule="auto"/>
        <w:jc w:val="both"/>
        <w:rPr>
          <w:rFonts w:ascii="Times New Roman" w:hAnsi="Times New Roman" w:cs="Times New Roman"/>
          <w:b/>
          <w:bCs/>
          <w:color w:val="0070C0"/>
          <w:sz w:val="20"/>
          <w:szCs w:val="20"/>
        </w:rPr>
      </w:pPr>
      <w:r w:rsidRPr="008B34BE">
        <w:rPr>
          <w:rFonts w:ascii="Times New Roman" w:hAnsi="Times New Roman" w:cs="Times New Roman"/>
          <w:b/>
          <w:bCs/>
          <w:color w:val="0070C0"/>
          <w:sz w:val="20"/>
          <w:szCs w:val="20"/>
        </w:rPr>
        <w:t>Search Strategy</w:t>
      </w:r>
    </w:p>
    <w:p w14:paraId="10A9425B" w14:textId="77777777" w:rsidR="008B34BE" w:rsidRDefault="008B34BE" w:rsidP="008B34BE">
      <w:pPr>
        <w:spacing w:after="0" w:line="360" w:lineRule="auto"/>
        <w:jc w:val="both"/>
        <w:rPr>
          <w:rFonts w:ascii="Times New Roman" w:hAnsi="Times New Roman" w:cs="Times New Roman"/>
          <w:sz w:val="20"/>
          <w:szCs w:val="20"/>
        </w:rPr>
      </w:pPr>
      <w:r w:rsidRPr="008B34BE">
        <w:rPr>
          <w:rFonts w:ascii="Times New Roman" w:hAnsi="Times New Roman" w:cs="Times New Roman"/>
          <w:sz w:val="20"/>
          <w:szCs w:val="20"/>
        </w:rPr>
        <w:t xml:space="preserve">We did a deep literature search from January 2015 to December 2025, using PubMed/MEDLINE, Embase, Web of Science, Scopus, and the Cochrane Library. Our search terms included MeSH terms and keywords related to intravascular lithotripsy, coronary calcification, atherectomy, and percutaneous coronary intervention. To make sure we found all relevant studies, we did not restrict by language or date. We also reviewed the references of included articles and recent meta-analyses to identify any other studies </w:t>
      </w:r>
      <w:sdt>
        <w:sdtPr>
          <w:rPr>
            <w:rFonts w:ascii="Times New Roman" w:hAnsi="Times New Roman" w:cs="Times New Roman"/>
            <w:color w:val="000000"/>
            <w:sz w:val="20"/>
            <w:szCs w:val="20"/>
          </w:rPr>
          <w:tag w:val="MENDELEY_CITATION_v3_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"/>
          <w:id w:val="1061988142"/>
          <w:placeholder>
            <w:docPart w:val="DD4A89A237144DF0A52F4DA15173B8B3"/>
          </w:placeholder>
        </w:sdtPr>
        <w:sdtContent>
          <w:r w:rsidRPr="008B34BE">
            <w:rPr>
              <w:rFonts w:ascii="Times New Roman" w:hAnsi="Times New Roman" w:cs="Times New Roman"/>
              <w:color w:val="000000"/>
              <w:sz w:val="20"/>
              <w:szCs w:val="20"/>
            </w:rPr>
            <w:t>[27,28]</w:t>
          </w:r>
        </w:sdtContent>
      </w:sdt>
      <w:r w:rsidRPr="008B34BE">
        <w:rPr>
          <w:rFonts w:ascii="Times New Roman" w:hAnsi="Times New Roman" w:cs="Times New Roman"/>
          <w:sz w:val="20"/>
          <w:szCs w:val="20"/>
        </w:rPr>
        <w:t>.</w:t>
      </w:r>
    </w:p>
    <w:p w14:paraId="5C9696F4" w14:textId="77777777" w:rsidR="008B34BE" w:rsidRPr="008B34BE" w:rsidRDefault="008B34BE" w:rsidP="008B34BE">
      <w:pPr>
        <w:spacing w:after="0" w:line="360" w:lineRule="auto"/>
        <w:jc w:val="both"/>
        <w:rPr>
          <w:rFonts w:ascii="Times New Roman" w:hAnsi="Times New Roman" w:cs="Times New Roman"/>
          <w:sz w:val="20"/>
          <w:szCs w:val="20"/>
        </w:rPr>
      </w:pPr>
    </w:p>
    <w:p w14:paraId="4863581A" w14:textId="77777777" w:rsidR="008B34BE" w:rsidRPr="008B34BE" w:rsidRDefault="008B34BE" w:rsidP="008B34BE">
      <w:pPr>
        <w:spacing w:after="0" w:line="360" w:lineRule="auto"/>
        <w:jc w:val="both"/>
        <w:rPr>
          <w:rFonts w:ascii="Times New Roman" w:hAnsi="Times New Roman" w:cs="Times New Roman"/>
          <w:b/>
          <w:bCs/>
          <w:color w:val="0070C0"/>
          <w:sz w:val="20"/>
          <w:szCs w:val="20"/>
        </w:rPr>
      </w:pPr>
      <w:r w:rsidRPr="008B34BE">
        <w:rPr>
          <w:rFonts w:ascii="Times New Roman" w:hAnsi="Times New Roman" w:cs="Times New Roman"/>
          <w:b/>
          <w:bCs/>
          <w:color w:val="0070C0"/>
          <w:sz w:val="20"/>
          <w:szCs w:val="20"/>
        </w:rPr>
        <w:t>Study Selection</w:t>
      </w:r>
    </w:p>
    <w:p w14:paraId="2637BC62" w14:textId="77777777" w:rsidR="008B34BE" w:rsidRDefault="008B34BE" w:rsidP="008B34BE">
      <w:pPr>
        <w:spacing w:after="0" w:line="360" w:lineRule="auto"/>
        <w:jc w:val="both"/>
        <w:rPr>
          <w:rFonts w:ascii="Times New Roman" w:hAnsi="Times New Roman" w:cs="Times New Roman"/>
          <w:sz w:val="20"/>
          <w:szCs w:val="20"/>
        </w:rPr>
      </w:pPr>
      <w:r w:rsidRPr="008B34BE">
        <w:rPr>
          <w:rFonts w:ascii="Times New Roman" w:hAnsi="Times New Roman" w:cs="Times New Roman"/>
          <w:sz w:val="20"/>
          <w:szCs w:val="20"/>
        </w:rPr>
        <w:t>Two reviewers picked studies on their own using the same process. First, we put all the citations into reference software, removed duplicates, and had reviewers check titles and abstracts against what we were looking for. Then, we got the full articles of studies that might work and checked them closely. If there were disagreements, we talked it over or asked a third reviewer. The selection process is shown in a PRISMA 2020 flow diagram.</w:t>
      </w:r>
    </w:p>
    <w:p w14:paraId="04601579" w14:textId="77777777" w:rsidR="008B34BE" w:rsidRPr="008B34BE" w:rsidRDefault="008B34BE" w:rsidP="008B34BE">
      <w:pPr>
        <w:spacing w:after="0" w:line="360" w:lineRule="auto"/>
        <w:jc w:val="both"/>
        <w:rPr>
          <w:rFonts w:ascii="Times New Roman" w:hAnsi="Times New Roman" w:cs="Times New Roman"/>
          <w:sz w:val="20"/>
          <w:szCs w:val="20"/>
        </w:rPr>
      </w:pPr>
    </w:p>
    <w:p w14:paraId="4342B466" w14:textId="77777777" w:rsidR="008B34BE" w:rsidRPr="008B34BE" w:rsidRDefault="008B34BE" w:rsidP="008B34BE">
      <w:pPr>
        <w:spacing w:after="0" w:line="360" w:lineRule="auto"/>
        <w:jc w:val="both"/>
        <w:rPr>
          <w:rFonts w:ascii="Times New Roman" w:hAnsi="Times New Roman" w:cs="Times New Roman"/>
          <w:b/>
          <w:bCs/>
          <w:color w:val="0070C0"/>
          <w:sz w:val="20"/>
          <w:szCs w:val="20"/>
        </w:rPr>
      </w:pPr>
      <w:r w:rsidRPr="008B34BE">
        <w:rPr>
          <w:rFonts w:ascii="Times New Roman" w:hAnsi="Times New Roman" w:cs="Times New Roman"/>
          <w:b/>
          <w:bCs/>
          <w:color w:val="0070C0"/>
          <w:sz w:val="20"/>
          <w:szCs w:val="20"/>
        </w:rPr>
        <w:t>Data Extraction</w:t>
      </w:r>
    </w:p>
    <w:p w14:paraId="710F7AC1" w14:textId="77777777" w:rsidR="008B34BE" w:rsidRPr="00304B47" w:rsidRDefault="008B34BE" w:rsidP="008B34BE">
      <w:pPr>
        <w:spacing w:after="0" w:line="360" w:lineRule="auto"/>
        <w:jc w:val="both"/>
        <w:rPr>
          <w:rFonts w:ascii="Times New Roman" w:hAnsi="Times New Roman" w:cs="Times New Roman"/>
        </w:rPr>
      </w:pPr>
      <w:r w:rsidRPr="008B34BE">
        <w:rPr>
          <w:rFonts w:ascii="Times New Roman" w:hAnsi="Times New Roman" w:cs="Times New Roman"/>
          <w:sz w:val="20"/>
          <w:szCs w:val="20"/>
        </w:rPr>
        <w:lastRenderedPageBreak/>
        <w:t xml:space="preserve">The data was extracted by using a pilot tested form to make sure it was correct. We got the following info from each study: study details (author, year, country, design, sample size); patient info (age, gender, health problems, what brought them in); lesion and process details (vessel, imaging used, device details); and results. </w:t>
      </w:r>
      <w:r w:rsidRPr="00304B47">
        <w:rPr>
          <w:rFonts w:ascii="Times New Roman" w:hAnsi="Times New Roman" w:cs="Times New Roman"/>
        </w:rPr>
        <w:t xml:space="preserve">For yes/no results, </w:t>
      </w:r>
      <w:r w:rsidRPr="008B34BE">
        <w:rPr>
          <w:rFonts w:ascii="Times New Roman" w:hAnsi="Times New Roman" w:cs="Times New Roman"/>
          <w:sz w:val="20"/>
          <w:szCs w:val="20"/>
        </w:rPr>
        <w:t>we wrote down the number of events and total patients per group. For ongoing data (like process time), we wrote down means and standard deviations or medians and ranges.</w:t>
      </w:r>
    </w:p>
    <w:p w14:paraId="79E525D0" w14:textId="77777777" w:rsidR="008B34BE" w:rsidRPr="008B34BE" w:rsidRDefault="008B34BE" w:rsidP="008B34BE">
      <w:pPr>
        <w:spacing w:after="0" w:line="360" w:lineRule="auto"/>
        <w:jc w:val="both"/>
        <w:rPr>
          <w:rFonts w:ascii="Times New Roman" w:hAnsi="Times New Roman" w:cs="Times New Roman"/>
          <w:b/>
          <w:bCs/>
          <w:color w:val="0070C0"/>
          <w:sz w:val="20"/>
          <w:szCs w:val="20"/>
        </w:rPr>
      </w:pPr>
      <w:r w:rsidRPr="008B34BE">
        <w:rPr>
          <w:rFonts w:ascii="Times New Roman" w:hAnsi="Times New Roman" w:cs="Times New Roman"/>
          <w:b/>
          <w:bCs/>
          <w:color w:val="0070C0"/>
          <w:sz w:val="20"/>
          <w:szCs w:val="20"/>
        </w:rPr>
        <w:t>Risk of Bias Assessment</w:t>
      </w:r>
    </w:p>
    <w:p w14:paraId="66E88563" w14:textId="0BE2E552" w:rsidR="008B34BE" w:rsidRDefault="008B34BE" w:rsidP="008B34BE">
      <w:pPr>
        <w:spacing w:after="0" w:line="360" w:lineRule="auto"/>
        <w:jc w:val="both"/>
        <w:rPr>
          <w:rFonts w:ascii="Times New Roman" w:hAnsi="Times New Roman" w:cs="Times New Roman"/>
          <w:sz w:val="20"/>
          <w:szCs w:val="20"/>
        </w:rPr>
      </w:pPr>
      <w:r w:rsidRPr="008B34BE">
        <w:rPr>
          <w:rFonts w:ascii="Times New Roman" w:hAnsi="Times New Roman" w:cs="Times New Roman"/>
          <w:sz w:val="20"/>
          <w:szCs w:val="20"/>
        </w:rPr>
        <w:t xml:space="preserve">The studies were checked for how well they were done using tools based on the study design. We used the RoB 2 tool (Cochrane) for randomized trials, which checks for bias in how people were picked, if treatments were different, if data was missing, how the results were measured, and if results were picked to look better </w:t>
      </w:r>
      <w:sdt>
        <w:sdtPr>
          <w:rPr>
            <w:rFonts w:ascii="Times New Roman" w:hAnsi="Times New Roman" w:cs="Times New Roman"/>
            <w:color w:val="000000"/>
            <w:sz w:val="20"/>
            <w:szCs w:val="20"/>
          </w:rPr>
          <w:tag w:val="MENDELEY_CITATION_v3_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"/>
          <w:id w:val="-1838069955"/>
          <w:placeholder>
            <w:docPart w:val="DD4A89A237144DF0A52F4DA15173B8B3"/>
          </w:placeholder>
        </w:sdtPr>
        <w:sdtContent>
          <w:r w:rsidRPr="008B34BE">
            <w:rPr>
              <w:rFonts w:ascii="Times New Roman" w:hAnsi="Times New Roman" w:cs="Times New Roman"/>
              <w:color w:val="000000"/>
              <w:sz w:val="20"/>
              <w:szCs w:val="20"/>
            </w:rPr>
            <w:t>[29]</w:t>
          </w:r>
        </w:sdtContent>
      </w:sdt>
      <w:r w:rsidRPr="008B34BE">
        <w:rPr>
          <w:rFonts w:ascii="Times New Roman" w:hAnsi="Times New Roman" w:cs="Times New Roman"/>
          <w:sz w:val="20"/>
          <w:szCs w:val="20"/>
        </w:rPr>
        <w:t xml:space="preserve">. The ROBINS-I tool was used for studies that weren't randomized, which checks for bias in things that could mess up results, how people were picked, how treatments were assigned, if treatments were different, missing data, and how results were measured </w:t>
      </w:r>
      <w:sdt>
        <w:sdtPr>
          <w:rPr>
            <w:rFonts w:ascii="Times New Roman" w:hAnsi="Times New Roman" w:cs="Times New Roman"/>
            <w:color w:val="000000"/>
            <w:sz w:val="20"/>
            <w:szCs w:val="20"/>
          </w:rPr>
          <w:tag w:val="MENDELEY_CITATION_v3_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"/>
          <w:id w:val="-783800407"/>
          <w:placeholder>
            <w:docPart w:val="DD4A89A237144DF0A52F4DA15173B8B3"/>
          </w:placeholder>
        </w:sdtPr>
        <w:sdtContent>
          <w:r w:rsidRPr="008B34BE">
            <w:rPr>
              <w:rFonts w:ascii="Times New Roman" w:hAnsi="Times New Roman" w:cs="Times New Roman"/>
              <w:color w:val="000000"/>
              <w:sz w:val="20"/>
              <w:szCs w:val="20"/>
            </w:rPr>
            <w:t>[30]</w:t>
          </w:r>
        </w:sdtContent>
      </w:sdt>
      <w:r w:rsidRPr="008B34BE">
        <w:rPr>
          <w:rFonts w:ascii="Times New Roman" w:hAnsi="Times New Roman" w:cs="Times New Roman"/>
          <w:sz w:val="20"/>
          <w:szCs w:val="20"/>
        </w:rPr>
        <w:t xml:space="preserve">. We did this on our own and said that if studies were high risk, which meant we might leave them out in some </w:t>
      </w:r>
      <w:r w:rsidR="00C97033" w:rsidRPr="008B34BE">
        <w:rPr>
          <w:rFonts w:ascii="Times New Roman" w:hAnsi="Times New Roman" w:cs="Times New Roman"/>
          <w:sz w:val="20"/>
          <w:szCs w:val="20"/>
        </w:rPr>
        <w:t>analysis</w:t>
      </w:r>
      <w:r w:rsidRPr="008B34BE">
        <w:rPr>
          <w:rFonts w:ascii="Times New Roman" w:hAnsi="Times New Roman" w:cs="Times New Roman"/>
          <w:sz w:val="20"/>
          <w:szCs w:val="20"/>
        </w:rPr>
        <w:t>.</w:t>
      </w:r>
    </w:p>
    <w:p w14:paraId="3473478F" w14:textId="77777777" w:rsidR="008B34BE" w:rsidRPr="008B34BE" w:rsidRDefault="008B34BE" w:rsidP="008B34BE">
      <w:pPr>
        <w:spacing w:after="0" w:line="360" w:lineRule="auto"/>
        <w:jc w:val="both"/>
        <w:rPr>
          <w:rFonts w:ascii="Times New Roman" w:hAnsi="Times New Roman" w:cs="Times New Roman"/>
          <w:sz w:val="20"/>
          <w:szCs w:val="20"/>
        </w:rPr>
      </w:pPr>
    </w:p>
    <w:p w14:paraId="0152054E" w14:textId="77777777" w:rsidR="008B34BE" w:rsidRPr="008B34BE" w:rsidRDefault="008B34BE" w:rsidP="008B34BE">
      <w:pPr>
        <w:spacing w:after="0" w:line="360" w:lineRule="auto"/>
        <w:jc w:val="both"/>
        <w:rPr>
          <w:rFonts w:ascii="Times New Roman" w:hAnsi="Times New Roman" w:cs="Times New Roman"/>
          <w:b/>
          <w:bCs/>
          <w:color w:val="0070C0"/>
          <w:sz w:val="20"/>
          <w:szCs w:val="20"/>
        </w:rPr>
      </w:pPr>
      <w:r w:rsidRPr="008B34BE">
        <w:rPr>
          <w:rFonts w:ascii="Times New Roman" w:hAnsi="Times New Roman" w:cs="Times New Roman"/>
          <w:b/>
          <w:bCs/>
          <w:color w:val="0070C0"/>
          <w:sz w:val="20"/>
          <w:szCs w:val="20"/>
        </w:rPr>
        <w:t>Statistical Analysis</w:t>
      </w:r>
    </w:p>
    <w:p w14:paraId="42A228C0" w14:textId="77777777" w:rsidR="008B34BE" w:rsidRDefault="008B34BE" w:rsidP="008B34BE">
      <w:pPr>
        <w:spacing w:after="0" w:line="360" w:lineRule="auto"/>
        <w:jc w:val="both"/>
        <w:rPr>
          <w:rFonts w:ascii="Times New Roman" w:hAnsi="Times New Roman" w:cs="Times New Roman"/>
          <w:sz w:val="20"/>
          <w:szCs w:val="20"/>
        </w:rPr>
      </w:pPr>
      <w:r w:rsidRPr="008B34BE">
        <w:rPr>
          <w:rFonts w:ascii="Times New Roman" w:hAnsi="Times New Roman" w:cs="Times New Roman"/>
          <w:sz w:val="20"/>
          <w:szCs w:val="20"/>
        </w:rPr>
        <w:t xml:space="preserve">We used R (version 4+) to do the math, with the meta and metafor packages </w:t>
      </w:r>
      <w:sdt>
        <w:sdtPr>
          <w:rPr>
            <w:rFonts w:ascii="Times New Roman" w:hAnsi="Times New Roman" w:cs="Times New Roman"/>
            <w:color w:val="000000"/>
            <w:sz w:val="20"/>
            <w:szCs w:val="20"/>
          </w:rPr>
          <w:tag w:val="MENDELEY_CITATION_v3_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"/>
          <w:id w:val="-592471254"/>
          <w:placeholder>
            <w:docPart w:val="DD4A89A237144DF0A52F4DA15173B8B3"/>
          </w:placeholder>
        </w:sdtPr>
        <w:sdtContent>
          <w:r w:rsidRPr="008B34BE">
            <w:rPr>
              <w:rFonts w:ascii="Times New Roman" w:hAnsi="Times New Roman" w:cs="Times New Roman"/>
              <w:color w:val="000000"/>
              <w:sz w:val="20"/>
              <w:szCs w:val="20"/>
            </w:rPr>
            <w:t>[31]</w:t>
          </w:r>
        </w:sdtContent>
      </w:sdt>
      <w:r w:rsidRPr="008B34BE">
        <w:rPr>
          <w:rFonts w:ascii="Times New Roman" w:hAnsi="Times New Roman" w:cs="Times New Roman"/>
          <w:sz w:val="20"/>
          <w:szCs w:val="20"/>
        </w:rPr>
        <w:t xml:space="preserve">. For yes/no results, we used Risk Ratios (RR) with 95% Confidence Intervals (CI). For data that went on (like time), we used Mean Differences (MD). To address study variations, our main analysis used a random-effects model (Der Simonian–Laird method). The I² statistic helped us assess the levels of variation, with 25%, 50%, and 75% indicating low, medium, and high levels, respectively. We showed results using Forest Plots. If we had enough studies (10+), we checked for publication bias using funnel plots and Egger’s test </w:t>
      </w:r>
      <w:sdt>
        <w:sdtPr>
          <w:rPr>
            <w:rFonts w:ascii="Times New Roman" w:hAnsi="Times New Roman" w:cs="Times New Roman"/>
            <w:color w:val="000000"/>
            <w:sz w:val="20"/>
            <w:szCs w:val="20"/>
          </w:rPr>
          <w:tag w:val="MENDELEY_CITATION_v3_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"/>
          <w:id w:val="1322398166"/>
          <w:placeholder>
            <w:docPart w:val="DD4A89A237144DF0A52F4DA15173B8B3"/>
          </w:placeholder>
        </w:sdtPr>
        <w:sdtContent>
          <w:r w:rsidRPr="008B34BE">
            <w:rPr>
              <w:rFonts w:ascii="Times New Roman" w:hAnsi="Times New Roman" w:cs="Times New Roman"/>
              <w:color w:val="000000"/>
              <w:sz w:val="20"/>
              <w:szCs w:val="20"/>
            </w:rPr>
            <w:t>[32]</w:t>
          </w:r>
        </w:sdtContent>
      </w:sdt>
      <w:r w:rsidRPr="008B34BE">
        <w:rPr>
          <w:rFonts w:ascii="Times New Roman" w:hAnsi="Times New Roman" w:cs="Times New Roman"/>
          <w:sz w:val="20"/>
          <w:szCs w:val="20"/>
        </w:rPr>
        <w:t>.</w:t>
      </w:r>
    </w:p>
    <w:p w14:paraId="2E263E7C" w14:textId="77777777" w:rsidR="008B34BE" w:rsidRPr="008B34BE" w:rsidRDefault="008B34BE" w:rsidP="008B34BE">
      <w:pPr>
        <w:spacing w:after="0" w:line="360" w:lineRule="auto"/>
        <w:jc w:val="both"/>
        <w:rPr>
          <w:rFonts w:ascii="Times New Roman" w:hAnsi="Times New Roman" w:cs="Times New Roman"/>
          <w:sz w:val="20"/>
          <w:szCs w:val="20"/>
        </w:rPr>
      </w:pPr>
    </w:p>
    <w:p w14:paraId="6202160E" w14:textId="77777777" w:rsidR="008B34BE" w:rsidRPr="008B34BE" w:rsidRDefault="008B34BE" w:rsidP="008B34BE">
      <w:pPr>
        <w:spacing w:after="0" w:line="360" w:lineRule="auto"/>
        <w:jc w:val="both"/>
        <w:rPr>
          <w:rFonts w:ascii="Times New Roman" w:hAnsi="Times New Roman" w:cs="Times New Roman"/>
          <w:b/>
          <w:bCs/>
          <w:color w:val="0070C0"/>
          <w:sz w:val="20"/>
          <w:szCs w:val="20"/>
        </w:rPr>
      </w:pPr>
      <w:r w:rsidRPr="008B34BE">
        <w:rPr>
          <w:rFonts w:ascii="Times New Roman" w:hAnsi="Times New Roman" w:cs="Times New Roman"/>
          <w:b/>
          <w:bCs/>
          <w:color w:val="0070C0"/>
          <w:sz w:val="20"/>
          <w:szCs w:val="20"/>
        </w:rPr>
        <w:t>Subgroup and Sensitivity Analyses</w:t>
      </w:r>
    </w:p>
    <w:p w14:paraId="05150742" w14:textId="77777777" w:rsidR="008B34BE" w:rsidRDefault="008B34BE" w:rsidP="008B34BE">
      <w:pPr>
        <w:spacing w:after="0" w:line="360" w:lineRule="auto"/>
        <w:jc w:val="both"/>
        <w:rPr>
          <w:rFonts w:ascii="Times New Roman" w:hAnsi="Times New Roman" w:cs="Times New Roman"/>
          <w:sz w:val="20"/>
          <w:szCs w:val="20"/>
        </w:rPr>
      </w:pPr>
      <w:r w:rsidRPr="008B34BE">
        <w:rPr>
          <w:rFonts w:ascii="Times New Roman" w:hAnsi="Times New Roman" w:cs="Times New Roman"/>
          <w:sz w:val="20"/>
          <w:szCs w:val="20"/>
        </w:rPr>
        <w:t>To see why studies might be different and check if our results were solid, we did some subgroup analyses. We split studies by type (Rotational Atherectomy vs. Orbital Atherectomy), study design (RCT vs. Observational), imaging used (OCT/IVUS vs. angiography alone), and patient type (Stable CAD vs. Acute Coronary Syndromes). To test the strength of our findings, we left out studies with a high risk of bias, as well as those with fewer than 50 patients. We used two-sided tests, and we considered results with p-values less than 0.05 to be meaningful.</w:t>
      </w:r>
    </w:p>
    <w:p w14:paraId="68D5EFBE" w14:textId="77777777" w:rsidR="008B34BE" w:rsidRPr="008B34BE" w:rsidRDefault="008B34BE" w:rsidP="008B34BE">
      <w:pPr>
        <w:spacing w:after="0" w:line="360" w:lineRule="auto"/>
        <w:jc w:val="both"/>
        <w:rPr>
          <w:rFonts w:ascii="Times New Roman" w:hAnsi="Times New Roman" w:cs="Times New Roman"/>
          <w:color w:val="0070C0"/>
          <w:sz w:val="22"/>
          <w:szCs w:val="22"/>
        </w:rPr>
      </w:pPr>
    </w:p>
    <w:p w14:paraId="15247DE1" w14:textId="77777777" w:rsidR="008B34BE" w:rsidRPr="008B34BE" w:rsidRDefault="008B34BE" w:rsidP="008B34BE">
      <w:pPr>
        <w:spacing w:after="0" w:line="360" w:lineRule="auto"/>
        <w:jc w:val="both"/>
        <w:rPr>
          <w:rFonts w:ascii="Times New Roman" w:hAnsi="Times New Roman" w:cs="Times New Roman"/>
          <w:b/>
          <w:bCs/>
          <w:color w:val="0070C0"/>
          <w:sz w:val="22"/>
          <w:szCs w:val="22"/>
        </w:rPr>
      </w:pPr>
      <w:r w:rsidRPr="008B34BE">
        <w:rPr>
          <w:rFonts w:ascii="Times New Roman" w:hAnsi="Times New Roman" w:cs="Times New Roman"/>
          <w:b/>
          <w:bCs/>
          <w:color w:val="0070C0"/>
          <w:sz w:val="22"/>
          <w:szCs w:val="22"/>
        </w:rPr>
        <w:t>Results</w:t>
      </w:r>
    </w:p>
    <w:p w14:paraId="33FDDD0E" w14:textId="77777777" w:rsidR="008B34BE" w:rsidRPr="008B34BE" w:rsidRDefault="008B34BE" w:rsidP="008B34BE">
      <w:pPr>
        <w:spacing w:after="0" w:line="360" w:lineRule="auto"/>
        <w:jc w:val="both"/>
        <w:rPr>
          <w:rFonts w:ascii="Times New Roman" w:hAnsi="Times New Roman" w:cs="Times New Roman"/>
          <w:b/>
          <w:bCs/>
          <w:color w:val="0070C0"/>
          <w:sz w:val="20"/>
          <w:szCs w:val="20"/>
        </w:rPr>
      </w:pPr>
      <w:r w:rsidRPr="008B34BE">
        <w:rPr>
          <w:rFonts w:ascii="Times New Roman" w:hAnsi="Times New Roman" w:cs="Times New Roman"/>
          <w:b/>
          <w:bCs/>
          <w:color w:val="0070C0"/>
          <w:sz w:val="20"/>
          <w:szCs w:val="20"/>
        </w:rPr>
        <w:t>Study Selection</w:t>
      </w:r>
    </w:p>
    <w:p w14:paraId="2D164465" w14:textId="08FAE56D" w:rsidR="008B34BE" w:rsidRDefault="008B34BE" w:rsidP="008B34BE">
      <w:pPr>
        <w:spacing w:after="0" w:line="360" w:lineRule="auto"/>
        <w:jc w:val="both"/>
        <w:rPr>
          <w:rFonts w:ascii="Times New Roman" w:hAnsi="Times New Roman" w:cs="Times New Roman"/>
          <w:sz w:val="20"/>
          <w:szCs w:val="20"/>
        </w:rPr>
      </w:pPr>
      <w:r w:rsidRPr="008B34BE">
        <w:rPr>
          <w:rFonts w:ascii="Times New Roman" w:hAnsi="Times New Roman" w:cs="Times New Roman"/>
          <w:sz w:val="20"/>
          <w:szCs w:val="20"/>
        </w:rPr>
        <w:t>We found 560 articles from our search. After removing duplicates, we checked 219 titles and abstracts. We looked at 219 full articles to see if they were fit. In the end, 5 studies fit what we were looking for and were used in our write-up and math. The figure shows how we picked the studies (</w:t>
      </w:r>
      <w:r w:rsidR="00503D69">
        <w:rPr>
          <w:rFonts w:ascii="Times New Roman" w:hAnsi="Times New Roman" w:cs="Times New Roman"/>
          <w:sz w:val="20"/>
          <w:szCs w:val="20"/>
        </w:rPr>
        <w:t>f</w:t>
      </w:r>
      <w:r w:rsidRPr="008B34BE">
        <w:rPr>
          <w:rFonts w:ascii="Times New Roman" w:hAnsi="Times New Roman" w:cs="Times New Roman"/>
          <w:sz w:val="20"/>
          <w:szCs w:val="20"/>
        </w:rPr>
        <w:t>igure 1)</w:t>
      </w:r>
    </w:p>
    <w:p w14:paraId="60A6B1AF" w14:textId="77777777" w:rsidR="008B34BE" w:rsidRDefault="008B34BE" w:rsidP="008B34BE">
      <w:pPr>
        <w:spacing w:after="0" w:line="360" w:lineRule="auto"/>
        <w:jc w:val="both"/>
        <w:rPr>
          <w:rFonts w:ascii="Times New Roman" w:hAnsi="Times New Roman" w:cs="Times New Roman"/>
          <w:sz w:val="20"/>
          <w:szCs w:val="20"/>
        </w:rPr>
      </w:pPr>
    </w:p>
    <w:p w14:paraId="4C0FA1BE" w14:textId="260A2EA0" w:rsidR="008B34BE" w:rsidRDefault="008B34BE" w:rsidP="008B34BE">
      <w:pPr>
        <w:spacing w:after="0" w:line="360" w:lineRule="auto"/>
        <w:jc w:val="center"/>
        <w:rPr>
          <w:rFonts w:ascii="Times New Roman" w:hAnsi="Times New Roman" w:cs="Times New Roman"/>
          <w:noProof/>
          <w:sz w:val="20"/>
          <w:szCs w:val="20"/>
        </w:rPr>
      </w:pPr>
      <w:r>
        <w:rPr>
          <w:rFonts w:ascii="Times New Roman" w:hAnsi="Times New Roman" w:cs="Times New Roman"/>
          <w:noProof/>
          <w:sz w:val="20"/>
          <w:szCs w:val="20"/>
        </w:rPr>
        <w:lastRenderedPageBreak/>
        <w:drawing>
          <wp:inline distT="0" distB="0" distL="0" distR="0" wp14:anchorId="78510511" wp14:editId="1F42A89A">
            <wp:extent cx="2621280" cy="2960726"/>
            <wp:effectExtent l="0" t="0" r="7620" b="0"/>
            <wp:docPr id="282114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2207" cy="2973068"/>
                    </a:xfrm>
                    <a:prstGeom prst="rect">
                      <a:avLst/>
                    </a:prstGeom>
                    <a:noFill/>
                    <a:ln>
                      <a:noFill/>
                    </a:ln>
                  </pic:spPr>
                </pic:pic>
              </a:graphicData>
            </a:graphic>
          </wp:inline>
        </w:drawing>
      </w:r>
    </w:p>
    <w:p w14:paraId="4C4C8234" w14:textId="77777777" w:rsidR="008B34BE" w:rsidRPr="008B34BE" w:rsidRDefault="008B34BE" w:rsidP="008B34BE">
      <w:pPr>
        <w:spacing w:after="0" w:line="360" w:lineRule="auto"/>
        <w:jc w:val="center"/>
        <w:rPr>
          <w:rFonts w:ascii="Times New Roman" w:hAnsi="Times New Roman" w:cs="Times New Roman"/>
          <w:noProof/>
          <w:sz w:val="20"/>
          <w:szCs w:val="20"/>
        </w:rPr>
      </w:pPr>
    </w:p>
    <w:p w14:paraId="178173B1" w14:textId="51C7D6CA" w:rsidR="008B34BE" w:rsidRDefault="008B34BE" w:rsidP="008B34BE">
      <w:pPr>
        <w:spacing w:line="360" w:lineRule="auto"/>
        <w:jc w:val="center"/>
        <w:rPr>
          <w:rFonts w:ascii="Times New Roman" w:hAnsi="Times New Roman" w:cs="Times New Roman"/>
          <w:sz w:val="20"/>
          <w:szCs w:val="20"/>
        </w:rPr>
      </w:pPr>
      <w:r w:rsidRPr="008B34BE">
        <w:rPr>
          <w:rFonts w:ascii="Times New Roman" w:hAnsi="Times New Roman" w:cs="Times New Roman"/>
          <w:b/>
          <w:bCs/>
          <w:color w:val="0070C0"/>
          <w:sz w:val="20"/>
          <w:szCs w:val="20"/>
        </w:rPr>
        <w:t>Figure 1:</w:t>
      </w:r>
      <w:r w:rsidRPr="008B34BE">
        <w:rPr>
          <w:rFonts w:ascii="Times New Roman" w:hAnsi="Times New Roman" w:cs="Times New Roman"/>
          <w:color w:val="0070C0"/>
          <w:sz w:val="20"/>
          <w:szCs w:val="20"/>
        </w:rPr>
        <w:t xml:space="preserve"> </w:t>
      </w:r>
      <w:r w:rsidRPr="008B34BE">
        <w:rPr>
          <w:rFonts w:ascii="Times New Roman" w:hAnsi="Times New Roman" w:cs="Times New Roman"/>
          <w:sz w:val="20"/>
          <w:szCs w:val="20"/>
        </w:rPr>
        <w:t>PRISMA 2020 Flow Diagram of Study Selection.</w:t>
      </w:r>
    </w:p>
    <w:p w14:paraId="62BF0C9B" w14:textId="27CC251F" w:rsidR="008B34BE" w:rsidRDefault="008B34BE" w:rsidP="008B34BE">
      <w:pPr>
        <w:spacing w:after="0" w:line="360" w:lineRule="auto"/>
        <w:jc w:val="both"/>
        <w:rPr>
          <w:rFonts w:ascii="Times New Roman" w:hAnsi="Times New Roman" w:cs="Times New Roman"/>
          <w:sz w:val="20"/>
          <w:szCs w:val="20"/>
        </w:rPr>
      </w:pPr>
      <w:r w:rsidRPr="008B34BE">
        <w:rPr>
          <w:rFonts w:ascii="Times New Roman" w:hAnsi="Times New Roman" w:cs="Times New Roman"/>
          <w:sz w:val="20"/>
          <w:szCs w:val="20"/>
        </w:rPr>
        <w:t>A total of 5 comparative studies involving 1,088 patients (357 in the IVL group and 731 in the RA group) were included. Three were retrospective observational cohorts, and two were randomized controlled trials, conducted across Asia (Singapore and China), Europe (the Czech Republic), and international/multicenter settings. The patient groups were similar, with average ages between 65 and 72. Most patients were male (53</w:t>
      </w:r>
      <w:r w:rsidR="00C97033">
        <w:rPr>
          <w:rFonts w:ascii="Times New Roman" w:hAnsi="Times New Roman" w:cs="Times New Roman"/>
          <w:sz w:val="20"/>
          <w:szCs w:val="20"/>
        </w:rPr>
        <w:t>-</w:t>
      </w:r>
      <w:r w:rsidRPr="008B34BE">
        <w:rPr>
          <w:rFonts w:ascii="Times New Roman" w:hAnsi="Times New Roman" w:cs="Times New Roman"/>
          <w:sz w:val="20"/>
          <w:szCs w:val="20"/>
        </w:rPr>
        <w:t>77%), and a large number had diabetes (39</w:t>
      </w:r>
      <w:r w:rsidR="00C97033">
        <w:rPr>
          <w:rFonts w:ascii="Times New Roman" w:hAnsi="Times New Roman" w:cs="Times New Roman"/>
          <w:sz w:val="20"/>
          <w:szCs w:val="20"/>
        </w:rPr>
        <w:t>-</w:t>
      </w:r>
      <w:r w:rsidRPr="008B34BE">
        <w:rPr>
          <w:rFonts w:ascii="Times New Roman" w:hAnsi="Times New Roman" w:cs="Times New Roman"/>
          <w:sz w:val="20"/>
          <w:szCs w:val="20"/>
        </w:rPr>
        <w:t xml:space="preserve">66%), indicating a high risk for heart issues. The studies all looked at coronary lesions with heavy calcification. Some studies concentrated on difficult-to-reach areas or the impact on small blood vessels (as shown in </w:t>
      </w:r>
      <w:r w:rsidR="00C97033">
        <w:rPr>
          <w:rFonts w:ascii="Times New Roman" w:hAnsi="Times New Roman" w:cs="Times New Roman"/>
          <w:sz w:val="20"/>
          <w:szCs w:val="20"/>
        </w:rPr>
        <w:t>t</w:t>
      </w:r>
      <w:r w:rsidRPr="008B34BE">
        <w:rPr>
          <w:rFonts w:ascii="Times New Roman" w:hAnsi="Times New Roman" w:cs="Times New Roman"/>
          <w:sz w:val="20"/>
          <w:szCs w:val="20"/>
        </w:rPr>
        <w:t>able 2). </w:t>
      </w:r>
    </w:p>
    <w:p w14:paraId="5DD6717C" w14:textId="77777777" w:rsidR="008B34BE" w:rsidRDefault="008B34BE" w:rsidP="008B34BE">
      <w:pPr>
        <w:spacing w:after="0" w:line="360" w:lineRule="auto"/>
        <w:jc w:val="both"/>
        <w:rPr>
          <w:rFonts w:ascii="Times New Roman" w:hAnsi="Times New Roman" w:cs="Times New Roman"/>
          <w:sz w:val="20"/>
          <w:szCs w:val="20"/>
        </w:rPr>
      </w:pPr>
    </w:p>
    <w:p w14:paraId="7636AE26" w14:textId="77777777" w:rsidR="008B34BE" w:rsidRDefault="008B34BE" w:rsidP="008B34BE">
      <w:pPr>
        <w:spacing w:after="0" w:line="360" w:lineRule="auto"/>
        <w:jc w:val="center"/>
        <w:rPr>
          <w:rFonts w:ascii="Times New Roman" w:hAnsi="Times New Roman" w:cs="Times New Roman"/>
          <w:sz w:val="20"/>
          <w:szCs w:val="20"/>
        </w:rPr>
      </w:pPr>
      <w:r w:rsidRPr="008B34BE">
        <w:rPr>
          <w:rFonts w:ascii="Times New Roman" w:hAnsi="Times New Roman" w:cs="Times New Roman"/>
          <w:b/>
          <w:bCs/>
          <w:color w:val="0070C0"/>
          <w:sz w:val="20"/>
          <w:szCs w:val="20"/>
        </w:rPr>
        <w:t>Table 2:</w:t>
      </w:r>
      <w:r w:rsidRPr="008B34BE">
        <w:rPr>
          <w:rFonts w:ascii="Times New Roman" w:hAnsi="Times New Roman" w:cs="Times New Roman"/>
          <w:color w:val="0070C0"/>
          <w:sz w:val="20"/>
          <w:szCs w:val="20"/>
        </w:rPr>
        <w:t xml:space="preserve"> </w:t>
      </w:r>
      <w:r w:rsidRPr="008B34BE">
        <w:rPr>
          <w:rFonts w:ascii="Times New Roman" w:hAnsi="Times New Roman" w:cs="Times New Roman"/>
          <w:sz w:val="20"/>
          <w:szCs w:val="20"/>
        </w:rPr>
        <w:t>Baseline Characteristics and Methodological Features of Included Comparative Studies</w:t>
      </w:r>
    </w:p>
    <w:tbl>
      <w:tblPr>
        <w:tblW w:w="5000" w:type="pct"/>
        <w:tblLook w:val="04A0" w:firstRow="1" w:lastRow="0" w:firstColumn="1" w:lastColumn="0" w:noHBand="0" w:noVBand="1"/>
      </w:tblPr>
      <w:tblGrid>
        <w:gridCol w:w="677"/>
        <w:gridCol w:w="779"/>
        <w:gridCol w:w="809"/>
        <w:gridCol w:w="521"/>
        <w:gridCol w:w="558"/>
        <w:gridCol w:w="863"/>
        <w:gridCol w:w="587"/>
        <w:gridCol w:w="611"/>
        <w:gridCol w:w="797"/>
        <w:gridCol w:w="929"/>
        <w:gridCol w:w="785"/>
        <w:gridCol w:w="983"/>
        <w:gridCol w:w="677"/>
      </w:tblGrid>
      <w:tr w:rsidR="00BA62BB" w:rsidRPr="00BA62BB" w14:paraId="4E93B1B0" w14:textId="77777777" w:rsidTr="00BA62BB">
        <w:trPr>
          <w:trHeight w:val="396"/>
        </w:trPr>
        <w:tc>
          <w:tcPr>
            <w:tcW w:w="355" w:type="pct"/>
            <w:tcBorders>
              <w:top w:val="single" w:sz="4" w:space="0" w:color="auto"/>
              <w:left w:val="single" w:sz="4" w:space="0" w:color="auto"/>
              <w:bottom w:val="single" w:sz="4" w:space="0" w:color="auto"/>
              <w:right w:val="single" w:sz="4" w:space="0" w:color="auto"/>
            </w:tcBorders>
            <w:vAlign w:val="center"/>
            <w:hideMark/>
          </w:tcPr>
          <w:p w14:paraId="1C57D9C8"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Study (Year)</w:t>
            </w:r>
          </w:p>
        </w:tc>
        <w:tc>
          <w:tcPr>
            <w:tcW w:w="406" w:type="pct"/>
            <w:tcBorders>
              <w:top w:val="single" w:sz="4" w:space="0" w:color="auto"/>
              <w:left w:val="nil"/>
              <w:bottom w:val="single" w:sz="4" w:space="0" w:color="auto"/>
              <w:right w:val="single" w:sz="4" w:space="0" w:color="auto"/>
            </w:tcBorders>
            <w:vAlign w:val="center"/>
            <w:hideMark/>
          </w:tcPr>
          <w:p w14:paraId="714A7DC2"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Country / Region</w:t>
            </w:r>
          </w:p>
        </w:tc>
        <w:tc>
          <w:tcPr>
            <w:tcW w:w="422" w:type="pct"/>
            <w:tcBorders>
              <w:top w:val="single" w:sz="4" w:space="0" w:color="auto"/>
              <w:left w:val="nil"/>
              <w:bottom w:val="single" w:sz="4" w:space="0" w:color="auto"/>
              <w:right w:val="single" w:sz="4" w:space="0" w:color="auto"/>
            </w:tcBorders>
            <w:vAlign w:val="center"/>
            <w:hideMark/>
          </w:tcPr>
          <w:p w14:paraId="51C76CD8"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Study Design</w:t>
            </w:r>
          </w:p>
        </w:tc>
        <w:tc>
          <w:tcPr>
            <w:tcW w:w="273" w:type="pct"/>
            <w:tcBorders>
              <w:top w:val="single" w:sz="4" w:space="0" w:color="auto"/>
              <w:left w:val="nil"/>
              <w:bottom w:val="single" w:sz="4" w:space="0" w:color="auto"/>
              <w:right w:val="single" w:sz="4" w:space="0" w:color="auto"/>
            </w:tcBorders>
            <w:vAlign w:val="center"/>
            <w:hideMark/>
          </w:tcPr>
          <w:p w14:paraId="6AA76D90"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Study Period</w:t>
            </w:r>
          </w:p>
        </w:tc>
        <w:tc>
          <w:tcPr>
            <w:tcW w:w="292" w:type="pct"/>
            <w:tcBorders>
              <w:top w:val="single" w:sz="4" w:space="0" w:color="auto"/>
              <w:left w:val="nil"/>
              <w:bottom w:val="single" w:sz="4" w:space="0" w:color="auto"/>
              <w:right w:val="single" w:sz="4" w:space="0" w:color="auto"/>
            </w:tcBorders>
            <w:vAlign w:val="center"/>
            <w:hideMark/>
          </w:tcPr>
          <w:p w14:paraId="34231803"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Sample Size (IVL / RA)</w:t>
            </w:r>
          </w:p>
        </w:tc>
        <w:tc>
          <w:tcPr>
            <w:tcW w:w="450" w:type="pct"/>
            <w:tcBorders>
              <w:top w:val="single" w:sz="4" w:space="0" w:color="auto"/>
              <w:left w:val="nil"/>
              <w:bottom w:val="single" w:sz="4" w:space="0" w:color="auto"/>
              <w:right w:val="single" w:sz="4" w:space="0" w:color="auto"/>
            </w:tcBorders>
            <w:vAlign w:val="center"/>
            <w:hideMark/>
          </w:tcPr>
          <w:p w14:paraId="415CF7BE"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Mean/Median Age (IVL / RA)</w:t>
            </w:r>
          </w:p>
        </w:tc>
        <w:tc>
          <w:tcPr>
            <w:tcW w:w="307" w:type="pct"/>
            <w:tcBorders>
              <w:top w:val="single" w:sz="4" w:space="0" w:color="auto"/>
              <w:left w:val="nil"/>
              <w:bottom w:val="single" w:sz="4" w:space="0" w:color="auto"/>
              <w:right w:val="single" w:sz="4" w:space="0" w:color="auto"/>
            </w:tcBorders>
            <w:vAlign w:val="center"/>
            <w:hideMark/>
          </w:tcPr>
          <w:p w14:paraId="269906E5"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Male (%) (IVL / RA)</w:t>
            </w:r>
          </w:p>
        </w:tc>
        <w:tc>
          <w:tcPr>
            <w:tcW w:w="320" w:type="pct"/>
            <w:tcBorders>
              <w:top w:val="single" w:sz="4" w:space="0" w:color="auto"/>
              <w:left w:val="nil"/>
              <w:bottom w:val="single" w:sz="4" w:space="0" w:color="auto"/>
              <w:right w:val="single" w:sz="4" w:space="0" w:color="auto"/>
            </w:tcBorders>
            <w:vAlign w:val="center"/>
            <w:hideMark/>
          </w:tcPr>
          <w:p w14:paraId="57AA54FC"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Diabetes (%) (IVL / RA)</w:t>
            </w:r>
          </w:p>
        </w:tc>
        <w:tc>
          <w:tcPr>
            <w:tcW w:w="416" w:type="pct"/>
            <w:tcBorders>
              <w:top w:val="single" w:sz="4" w:space="0" w:color="auto"/>
              <w:left w:val="nil"/>
              <w:bottom w:val="single" w:sz="4" w:space="0" w:color="auto"/>
              <w:right w:val="single" w:sz="4" w:space="0" w:color="auto"/>
            </w:tcBorders>
            <w:vAlign w:val="center"/>
            <w:hideMark/>
          </w:tcPr>
          <w:p w14:paraId="3C8B2090"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Clinical Presentation</w:t>
            </w:r>
          </w:p>
        </w:tc>
        <w:tc>
          <w:tcPr>
            <w:tcW w:w="485" w:type="pct"/>
            <w:tcBorders>
              <w:top w:val="single" w:sz="4" w:space="0" w:color="auto"/>
              <w:left w:val="nil"/>
              <w:bottom w:val="single" w:sz="4" w:space="0" w:color="auto"/>
              <w:right w:val="single" w:sz="4" w:space="0" w:color="auto"/>
            </w:tcBorders>
            <w:vAlign w:val="center"/>
            <w:hideMark/>
          </w:tcPr>
          <w:p w14:paraId="406D060F"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Lesion Characteristics</w:t>
            </w:r>
          </w:p>
        </w:tc>
        <w:tc>
          <w:tcPr>
            <w:tcW w:w="409" w:type="pct"/>
            <w:tcBorders>
              <w:top w:val="single" w:sz="4" w:space="0" w:color="auto"/>
              <w:left w:val="nil"/>
              <w:bottom w:val="single" w:sz="4" w:space="0" w:color="auto"/>
              <w:right w:val="single" w:sz="4" w:space="0" w:color="auto"/>
            </w:tcBorders>
            <w:vAlign w:val="center"/>
            <w:hideMark/>
          </w:tcPr>
          <w:p w14:paraId="318E4DCF"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Imaging Guidance</w:t>
            </w:r>
          </w:p>
        </w:tc>
        <w:tc>
          <w:tcPr>
            <w:tcW w:w="513" w:type="pct"/>
            <w:tcBorders>
              <w:top w:val="single" w:sz="4" w:space="0" w:color="auto"/>
              <w:left w:val="nil"/>
              <w:bottom w:val="single" w:sz="4" w:space="0" w:color="auto"/>
              <w:right w:val="single" w:sz="4" w:space="0" w:color="auto"/>
            </w:tcBorders>
            <w:vAlign w:val="center"/>
            <w:hideMark/>
          </w:tcPr>
          <w:p w14:paraId="3B4BC84E"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Primary Endpoint / Definition</w:t>
            </w:r>
          </w:p>
        </w:tc>
        <w:tc>
          <w:tcPr>
            <w:tcW w:w="353" w:type="pct"/>
            <w:tcBorders>
              <w:top w:val="single" w:sz="4" w:space="0" w:color="auto"/>
              <w:left w:val="nil"/>
              <w:bottom w:val="single" w:sz="4" w:space="0" w:color="auto"/>
              <w:right w:val="single" w:sz="4" w:space="0" w:color="auto"/>
            </w:tcBorders>
            <w:vAlign w:val="center"/>
            <w:hideMark/>
          </w:tcPr>
          <w:p w14:paraId="65502476" w14:textId="77777777" w:rsidR="00BA62BB" w:rsidRPr="00BA62BB" w:rsidRDefault="00BA62BB" w:rsidP="00BA62BB">
            <w:pPr>
              <w:spacing w:after="0" w:line="240" w:lineRule="auto"/>
              <w:rPr>
                <w:rFonts w:ascii="Times New Roman" w:eastAsia="Times New Roman" w:hAnsi="Times New Roman" w:cs="Times New Roman"/>
                <w:b/>
                <w:bCs/>
                <w:color w:val="000000"/>
                <w:sz w:val="18"/>
                <w:szCs w:val="18"/>
                <w:lang w:val="en-IN" w:eastAsia="en-IN"/>
              </w:rPr>
            </w:pPr>
            <w:r w:rsidRPr="00BA62BB">
              <w:rPr>
                <w:rFonts w:ascii="Times New Roman" w:eastAsia="Times New Roman" w:hAnsi="Times New Roman" w:cs="Times New Roman"/>
                <w:b/>
                <w:bCs/>
                <w:color w:val="000000"/>
                <w:sz w:val="18"/>
                <w:szCs w:val="18"/>
                <w:lang w:eastAsia="en-IN"/>
              </w:rPr>
              <w:t>Follow-up Duration</w:t>
            </w:r>
          </w:p>
        </w:tc>
      </w:tr>
      <w:tr w:rsidR="00BA62BB" w:rsidRPr="00BA62BB" w14:paraId="07157598" w14:textId="77777777" w:rsidTr="00BA62BB">
        <w:trPr>
          <w:trHeight w:val="1788"/>
        </w:trPr>
        <w:tc>
          <w:tcPr>
            <w:tcW w:w="355" w:type="pct"/>
            <w:tcBorders>
              <w:top w:val="nil"/>
              <w:left w:val="single" w:sz="4" w:space="0" w:color="auto"/>
              <w:bottom w:val="single" w:sz="4" w:space="0" w:color="auto"/>
              <w:right w:val="single" w:sz="4" w:space="0" w:color="auto"/>
            </w:tcBorders>
            <w:vAlign w:val="center"/>
            <w:hideMark/>
          </w:tcPr>
          <w:p w14:paraId="13147938"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Wong et al. (2022) [33]</w:t>
            </w:r>
          </w:p>
        </w:tc>
        <w:tc>
          <w:tcPr>
            <w:tcW w:w="406" w:type="pct"/>
            <w:tcBorders>
              <w:top w:val="nil"/>
              <w:left w:val="nil"/>
              <w:bottom w:val="single" w:sz="4" w:space="0" w:color="auto"/>
              <w:right w:val="single" w:sz="4" w:space="0" w:color="auto"/>
            </w:tcBorders>
            <w:vAlign w:val="center"/>
            <w:hideMark/>
          </w:tcPr>
          <w:p w14:paraId="137B0960"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Singapore (Asian population)</w:t>
            </w:r>
          </w:p>
        </w:tc>
        <w:tc>
          <w:tcPr>
            <w:tcW w:w="422" w:type="pct"/>
            <w:tcBorders>
              <w:top w:val="nil"/>
              <w:left w:val="nil"/>
              <w:bottom w:val="single" w:sz="4" w:space="0" w:color="auto"/>
              <w:right w:val="single" w:sz="4" w:space="0" w:color="auto"/>
            </w:tcBorders>
            <w:vAlign w:val="center"/>
            <w:hideMark/>
          </w:tcPr>
          <w:p w14:paraId="72236BE8"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Retrospective cohort</w:t>
            </w:r>
          </w:p>
        </w:tc>
        <w:tc>
          <w:tcPr>
            <w:tcW w:w="273" w:type="pct"/>
            <w:tcBorders>
              <w:top w:val="nil"/>
              <w:left w:val="nil"/>
              <w:bottom w:val="single" w:sz="4" w:space="0" w:color="auto"/>
              <w:right w:val="single" w:sz="4" w:space="0" w:color="auto"/>
            </w:tcBorders>
            <w:vAlign w:val="center"/>
            <w:hideMark/>
          </w:tcPr>
          <w:p w14:paraId="53EFA0C9"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Real-world (NR)</w:t>
            </w:r>
          </w:p>
        </w:tc>
        <w:tc>
          <w:tcPr>
            <w:tcW w:w="292" w:type="pct"/>
            <w:tcBorders>
              <w:top w:val="nil"/>
              <w:left w:val="nil"/>
              <w:bottom w:val="single" w:sz="4" w:space="0" w:color="auto"/>
              <w:right w:val="single" w:sz="4" w:space="0" w:color="auto"/>
            </w:tcBorders>
            <w:vAlign w:val="center"/>
            <w:hideMark/>
          </w:tcPr>
          <w:p w14:paraId="2AF82273"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53 / 271</w:t>
            </w:r>
          </w:p>
        </w:tc>
        <w:tc>
          <w:tcPr>
            <w:tcW w:w="450" w:type="pct"/>
            <w:tcBorders>
              <w:top w:val="nil"/>
              <w:left w:val="nil"/>
              <w:bottom w:val="single" w:sz="4" w:space="0" w:color="auto"/>
              <w:right w:val="single" w:sz="4" w:space="0" w:color="auto"/>
            </w:tcBorders>
            <w:vAlign w:val="center"/>
            <w:hideMark/>
          </w:tcPr>
          <w:p w14:paraId="0C4E710B"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72 (64–78) / 70 (64–78)</w:t>
            </w:r>
          </w:p>
        </w:tc>
        <w:tc>
          <w:tcPr>
            <w:tcW w:w="307" w:type="pct"/>
            <w:tcBorders>
              <w:top w:val="nil"/>
              <w:left w:val="nil"/>
              <w:bottom w:val="single" w:sz="4" w:space="0" w:color="auto"/>
              <w:right w:val="single" w:sz="4" w:space="0" w:color="auto"/>
            </w:tcBorders>
            <w:vAlign w:val="center"/>
            <w:hideMark/>
          </w:tcPr>
          <w:p w14:paraId="38536F9D"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74% / 73%</w:t>
            </w:r>
          </w:p>
        </w:tc>
        <w:tc>
          <w:tcPr>
            <w:tcW w:w="320" w:type="pct"/>
            <w:tcBorders>
              <w:top w:val="nil"/>
              <w:left w:val="nil"/>
              <w:bottom w:val="single" w:sz="4" w:space="0" w:color="auto"/>
              <w:right w:val="single" w:sz="4" w:space="0" w:color="auto"/>
            </w:tcBorders>
            <w:vAlign w:val="center"/>
            <w:hideMark/>
          </w:tcPr>
          <w:p w14:paraId="73EDB1D9"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66% / 65%</w:t>
            </w:r>
          </w:p>
        </w:tc>
        <w:tc>
          <w:tcPr>
            <w:tcW w:w="416" w:type="pct"/>
            <w:tcBorders>
              <w:top w:val="nil"/>
              <w:left w:val="nil"/>
              <w:bottom w:val="single" w:sz="4" w:space="0" w:color="auto"/>
              <w:right w:val="single" w:sz="4" w:space="0" w:color="auto"/>
            </w:tcBorders>
            <w:vAlign w:val="center"/>
            <w:hideMark/>
          </w:tcPr>
          <w:p w14:paraId="00CCCD8B"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Mixed (Stable CAD + ACS)</w:t>
            </w:r>
          </w:p>
        </w:tc>
        <w:tc>
          <w:tcPr>
            <w:tcW w:w="485" w:type="pct"/>
            <w:tcBorders>
              <w:top w:val="nil"/>
              <w:left w:val="nil"/>
              <w:bottom w:val="single" w:sz="4" w:space="0" w:color="auto"/>
              <w:right w:val="single" w:sz="4" w:space="0" w:color="auto"/>
            </w:tcBorders>
            <w:vAlign w:val="center"/>
            <w:hideMark/>
          </w:tcPr>
          <w:p w14:paraId="4BF5FCC7"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Heavy/severe calcification (angiographic)</w:t>
            </w:r>
          </w:p>
        </w:tc>
        <w:tc>
          <w:tcPr>
            <w:tcW w:w="409" w:type="pct"/>
            <w:tcBorders>
              <w:top w:val="nil"/>
              <w:left w:val="nil"/>
              <w:bottom w:val="single" w:sz="4" w:space="0" w:color="auto"/>
              <w:right w:val="single" w:sz="4" w:space="0" w:color="auto"/>
            </w:tcBorders>
            <w:vAlign w:val="center"/>
            <w:hideMark/>
          </w:tcPr>
          <w:p w14:paraId="36EF2960"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Angiography mainly</w:t>
            </w:r>
          </w:p>
        </w:tc>
        <w:tc>
          <w:tcPr>
            <w:tcW w:w="513" w:type="pct"/>
            <w:tcBorders>
              <w:top w:val="nil"/>
              <w:left w:val="nil"/>
              <w:bottom w:val="single" w:sz="4" w:space="0" w:color="auto"/>
              <w:right w:val="single" w:sz="4" w:space="0" w:color="auto"/>
            </w:tcBorders>
            <w:vAlign w:val="center"/>
            <w:hideMark/>
          </w:tcPr>
          <w:p w14:paraId="101306F8"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In-hospital MACE, procedural success, complications</w:t>
            </w:r>
          </w:p>
        </w:tc>
        <w:tc>
          <w:tcPr>
            <w:tcW w:w="353" w:type="pct"/>
            <w:tcBorders>
              <w:top w:val="nil"/>
              <w:left w:val="nil"/>
              <w:bottom w:val="single" w:sz="4" w:space="0" w:color="auto"/>
              <w:right w:val="single" w:sz="4" w:space="0" w:color="auto"/>
            </w:tcBorders>
            <w:vAlign w:val="center"/>
            <w:hideMark/>
          </w:tcPr>
          <w:p w14:paraId="44FF0952"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In-hospital + 30 days</w:t>
            </w:r>
          </w:p>
        </w:tc>
      </w:tr>
      <w:tr w:rsidR="00BA62BB" w:rsidRPr="00BA62BB" w14:paraId="71FDE6BD" w14:textId="77777777" w:rsidTr="00BA62BB">
        <w:trPr>
          <w:trHeight w:val="510"/>
        </w:trPr>
        <w:tc>
          <w:tcPr>
            <w:tcW w:w="355" w:type="pct"/>
            <w:tcBorders>
              <w:top w:val="nil"/>
              <w:left w:val="single" w:sz="4" w:space="0" w:color="auto"/>
              <w:bottom w:val="single" w:sz="4" w:space="0" w:color="auto"/>
              <w:right w:val="single" w:sz="4" w:space="0" w:color="auto"/>
            </w:tcBorders>
            <w:vAlign w:val="center"/>
            <w:hideMark/>
          </w:tcPr>
          <w:p w14:paraId="5D4D03C9"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Zhao et al. (2024) [34]</w:t>
            </w:r>
          </w:p>
        </w:tc>
        <w:tc>
          <w:tcPr>
            <w:tcW w:w="406" w:type="pct"/>
            <w:tcBorders>
              <w:top w:val="nil"/>
              <w:left w:val="nil"/>
              <w:bottom w:val="single" w:sz="4" w:space="0" w:color="auto"/>
              <w:right w:val="single" w:sz="4" w:space="0" w:color="auto"/>
            </w:tcBorders>
            <w:vAlign w:val="center"/>
            <w:hideMark/>
          </w:tcPr>
          <w:p w14:paraId="6E971F5E"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China</w:t>
            </w:r>
          </w:p>
        </w:tc>
        <w:tc>
          <w:tcPr>
            <w:tcW w:w="422" w:type="pct"/>
            <w:tcBorders>
              <w:top w:val="nil"/>
              <w:left w:val="nil"/>
              <w:bottom w:val="single" w:sz="4" w:space="0" w:color="auto"/>
              <w:right w:val="single" w:sz="4" w:space="0" w:color="auto"/>
            </w:tcBorders>
            <w:vAlign w:val="center"/>
            <w:hideMark/>
          </w:tcPr>
          <w:p w14:paraId="369B41D3"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Retrospective single-center</w:t>
            </w:r>
          </w:p>
        </w:tc>
        <w:tc>
          <w:tcPr>
            <w:tcW w:w="273" w:type="pct"/>
            <w:tcBorders>
              <w:top w:val="nil"/>
              <w:left w:val="nil"/>
              <w:bottom w:val="single" w:sz="4" w:space="0" w:color="auto"/>
              <w:right w:val="single" w:sz="4" w:space="0" w:color="auto"/>
            </w:tcBorders>
            <w:vAlign w:val="center"/>
            <w:hideMark/>
          </w:tcPr>
          <w:p w14:paraId="7D390C0C"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Jan 2023 – No</w:t>
            </w:r>
            <w:r w:rsidRPr="00BA62BB">
              <w:rPr>
                <w:rFonts w:ascii="Times New Roman" w:eastAsia="Times New Roman" w:hAnsi="Times New Roman" w:cs="Times New Roman"/>
                <w:color w:val="000000"/>
                <w:sz w:val="18"/>
                <w:szCs w:val="18"/>
                <w:lang w:eastAsia="en-IN"/>
              </w:rPr>
              <w:lastRenderedPageBreak/>
              <w:t>v 2023</w:t>
            </w:r>
          </w:p>
        </w:tc>
        <w:tc>
          <w:tcPr>
            <w:tcW w:w="292" w:type="pct"/>
            <w:tcBorders>
              <w:top w:val="nil"/>
              <w:left w:val="nil"/>
              <w:bottom w:val="single" w:sz="4" w:space="0" w:color="auto"/>
              <w:right w:val="single" w:sz="4" w:space="0" w:color="auto"/>
            </w:tcBorders>
            <w:vAlign w:val="center"/>
            <w:hideMark/>
          </w:tcPr>
          <w:p w14:paraId="109024BE"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lastRenderedPageBreak/>
              <w:t>152 / 238</w:t>
            </w:r>
          </w:p>
        </w:tc>
        <w:tc>
          <w:tcPr>
            <w:tcW w:w="450" w:type="pct"/>
            <w:tcBorders>
              <w:top w:val="nil"/>
              <w:left w:val="nil"/>
              <w:bottom w:val="single" w:sz="4" w:space="0" w:color="auto"/>
              <w:right w:val="single" w:sz="4" w:space="0" w:color="auto"/>
            </w:tcBorders>
            <w:vAlign w:val="center"/>
            <w:hideMark/>
          </w:tcPr>
          <w:p w14:paraId="04DE5495"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~65–66 (similar)</w:t>
            </w:r>
          </w:p>
        </w:tc>
        <w:tc>
          <w:tcPr>
            <w:tcW w:w="307" w:type="pct"/>
            <w:tcBorders>
              <w:top w:val="nil"/>
              <w:left w:val="nil"/>
              <w:bottom w:val="single" w:sz="4" w:space="0" w:color="auto"/>
              <w:right w:val="single" w:sz="4" w:space="0" w:color="auto"/>
            </w:tcBorders>
            <w:vAlign w:val="center"/>
            <w:hideMark/>
          </w:tcPr>
          <w:p w14:paraId="605F9D83"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~75% / ~66%</w:t>
            </w:r>
          </w:p>
        </w:tc>
        <w:tc>
          <w:tcPr>
            <w:tcW w:w="320" w:type="pct"/>
            <w:tcBorders>
              <w:top w:val="nil"/>
              <w:left w:val="nil"/>
              <w:bottom w:val="single" w:sz="4" w:space="0" w:color="auto"/>
              <w:right w:val="single" w:sz="4" w:space="0" w:color="auto"/>
            </w:tcBorders>
            <w:vAlign w:val="center"/>
            <w:hideMark/>
          </w:tcPr>
          <w:p w14:paraId="4F2A8C12"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~41% / ~48%</w:t>
            </w:r>
          </w:p>
        </w:tc>
        <w:tc>
          <w:tcPr>
            <w:tcW w:w="416" w:type="pct"/>
            <w:tcBorders>
              <w:top w:val="nil"/>
              <w:left w:val="nil"/>
              <w:bottom w:val="single" w:sz="4" w:space="0" w:color="auto"/>
              <w:right w:val="single" w:sz="4" w:space="0" w:color="auto"/>
            </w:tcBorders>
            <w:vAlign w:val="center"/>
            <w:hideMark/>
          </w:tcPr>
          <w:p w14:paraId="2E4C7471"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 xml:space="preserve">Mostly UA (&gt;60%), some </w:t>
            </w:r>
            <w:r w:rsidRPr="00BA62BB">
              <w:rPr>
                <w:rFonts w:ascii="Times New Roman" w:eastAsia="Times New Roman" w:hAnsi="Times New Roman" w:cs="Times New Roman"/>
                <w:color w:val="000000"/>
                <w:sz w:val="18"/>
                <w:szCs w:val="18"/>
                <w:lang w:eastAsia="en-IN"/>
              </w:rPr>
              <w:lastRenderedPageBreak/>
              <w:t>ACS</w:t>
            </w:r>
          </w:p>
        </w:tc>
        <w:tc>
          <w:tcPr>
            <w:tcW w:w="485" w:type="pct"/>
            <w:tcBorders>
              <w:top w:val="nil"/>
              <w:left w:val="nil"/>
              <w:bottom w:val="single" w:sz="4" w:space="0" w:color="auto"/>
              <w:right w:val="single" w:sz="4" w:space="0" w:color="auto"/>
            </w:tcBorders>
            <w:vAlign w:val="center"/>
            <w:hideMark/>
          </w:tcPr>
          <w:p w14:paraId="461BEE17"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lastRenderedPageBreak/>
              <w:t xml:space="preserve">Severe CAC (angiographic + </w:t>
            </w:r>
            <w:r w:rsidRPr="00BA62BB">
              <w:rPr>
                <w:rFonts w:ascii="Times New Roman" w:eastAsia="Times New Roman" w:hAnsi="Times New Roman" w:cs="Times New Roman"/>
                <w:color w:val="000000"/>
                <w:sz w:val="18"/>
                <w:szCs w:val="18"/>
                <w:lang w:eastAsia="en-IN"/>
              </w:rPr>
              <w:lastRenderedPageBreak/>
              <w:t>length ~41 mm)</w:t>
            </w:r>
          </w:p>
        </w:tc>
        <w:tc>
          <w:tcPr>
            <w:tcW w:w="409" w:type="pct"/>
            <w:tcBorders>
              <w:top w:val="nil"/>
              <w:left w:val="nil"/>
              <w:bottom w:val="single" w:sz="4" w:space="0" w:color="auto"/>
              <w:right w:val="single" w:sz="4" w:space="0" w:color="auto"/>
            </w:tcBorders>
            <w:vAlign w:val="center"/>
            <w:hideMark/>
          </w:tcPr>
          <w:p w14:paraId="3889B66E"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lastRenderedPageBreak/>
              <w:t xml:space="preserve">IVUS/OCT is higher in IVL </w:t>
            </w:r>
            <w:r w:rsidRPr="00BA62BB">
              <w:rPr>
                <w:rFonts w:ascii="Times New Roman" w:eastAsia="Times New Roman" w:hAnsi="Times New Roman" w:cs="Times New Roman"/>
                <w:color w:val="000000"/>
                <w:sz w:val="18"/>
                <w:szCs w:val="18"/>
                <w:lang w:eastAsia="en-IN"/>
              </w:rPr>
              <w:lastRenderedPageBreak/>
              <w:t>(56%)</w:t>
            </w:r>
          </w:p>
        </w:tc>
        <w:tc>
          <w:tcPr>
            <w:tcW w:w="513" w:type="pct"/>
            <w:tcBorders>
              <w:top w:val="nil"/>
              <w:left w:val="nil"/>
              <w:bottom w:val="single" w:sz="4" w:space="0" w:color="auto"/>
              <w:right w:val="single" w:sz="4" w:space="0" w:color="auto"/>
            </w:tcBorders>
            <w:vAlign w:val="center"/>
            <w:hideMark/>
          </w:tcPr>
          <w:p w14:paraId="16287E25"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lastRenderedPageBreak/>
              <w:t xml:space="preserve">Procedural success, complications, </w:t>
            </w:r>
            <w:r w:rsidRPr="00BA62BB">
              <w:rPr>
                <w:rFonts w:ascii="Times New Roman" w:eastAsia="Times New Roman" w:hAnsi="Times New Roman" w:cs="Times New Roman"/>
                <w:color w:val="000000"/>
                <w:sz w:val="18"/>
                <w:szCs w:val="18"/>
                <w:lang w:eastAsia="en-IN"/>
              </w:rPr>
              <w:lastRenderedPageBreak/>
              <w:t>MACE</w:t>
            </w:r>
          </w:p>
        </w:tc>
        <w:tc>
          <w:tcPr>
            <w:tcW w:w="353" w:type="pct"/>
            <w:tcBorders>
              <w:top w:val="nil"/>
              <w:left w:val="nil"/>
              <w:bottom w:val="single" w:sz="4" w:space="0" w:color="auto"/>
              <w:right w:val="single" w:sz="4" w:space="0" w:color="auto"/>
            </w:tcBorders>
            <w:vAlign w:val="center"/>
            <w:hideMark/>
          </w:tcPr>
          <w:p w14:paraId="2A7BFF4D"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lastRenderedPageBreak/>
              <w:t>In-hospital + short-</w:t>
            </w:r>
            <w:r w:rsidRPr="00BA62BB">
              <w:rPr>
                <w:rFonts w:ascii="Times New Roman" w:eastAsia="Times New Roman" w:hAnsi="Times New Roman" w:cs="Times New Roman"/>
                <w:color w:val="000000"/>
                <w:sz w:val="18"/>
                <w:szCs w:val="18"/>
                <w:lang w:eastAsia="en-IN"/>
              </w:rPr>
              <w:lastRenderedPageBreak/>
              <w:t>term</w:t>
            </w:r>
          </w:p>
        </w:tc>
      </w:tr>
      <w:tr w:rsidR="00BA62BB" w:rsidRPr="00BA62BB" w14:paraId="74BFE414" w14:textId="77777777" w:rsidTr="00BA62BB">
        <w:trPr>
          <w:trHeight w:val="1680"/>
        </w:trPr>
        <w:tc>
          <w:tcPr>
            <w:tcW w:w="355" w:type="pct"/>
            <w:tcBorders>
              <w:top w:val="nil"/>
              <w:left w:val="single" w:sz="4" w:space="0" w:color="auto"/>
              <w:bottom w:val="single" w:sz="4" w:space="0" w:color="auto"/>
              <w:right w:val="single" w:sz="4" w:space="0" w:color="auto"/>
            </w:tcBorders>
            <w:vAlign w:val="center"/>
            <w:hideMark/>
          </w:tcPr>
          <w:p w14:paraId="3489E296"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lastRenderedPageBreak/>
              <w:t>Pleva et al. (2025) [35]</w:t>
            </w:r>
          </w:p>
        </w:tc>
        <w:tc>
          <w:tcPr>
            <w:tcW w:w="406" w:type="pct"/>
            <w:tcBorders>
              <w:top w:val="nil"/>
              <w:left w:val="nil"/>
              <w:bottom w:val="single" w:sz="4" w:space="0" w:color="auto"/>
              <w:right w:val="single" w:sz="4" w:space="0" w:color="auto"/>
            </w:tcBorders>
            <w:vAlign w:val="center"/>
            <w:hideMark/>
          </w:tcPr>
          <w:p w14:paraId="28C66D22"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Czech Republic (Europe)</w:t>
            </w:r>
          </w:p>
        </w:tc>
        <w:tc>
          <w:tcPr>
            <w:tcW w:w="422" w:type="pct"/>
            <w:tcBorders>
              <w:top w:val="nil"/>
              <w:left w:val="nil"/>
              <w:bottom w:val="single" w:sz="4" w:space="0" w:color="auto"/>
              <w:right w:val="single" w:sz="4" w:space="0" w:color="auto"/>
            </w:tcBorders>
            <w:vAlign w:val="center"/>
            <w:hideMark/>
          </w:tcPr>
          <w:p w14:paraId="5F55869E"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Prospective randomized (pilot RCT)</w:t>
            </w:r>
          </w:p>
        </w:tc>
        <w:tc>
          <w:tcPr>
            <w:tcW w:w="273" w:type="pct"/>
            <w:tcBorders>
              <w:top w:val="nil"/>
              <w:left w:val="nil"/>
              <w:bottom w:val="single" w:sz="4" w:space="0" w:color="auto"/>
              <w:right w:val="single" w:sz="4" w:space="0" w:color="auto"/>
            </w:tcBorders>
            <w:vAlign w:val="center"/>
            <w:hideMark/>
          </w:tcPr>
          <w:p w14:paraId="6F1A505C"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NR</w:t>
            </w:r>
          </w:p>
        </w:tc>
        <w:tc>
          <w:tcPr>
            <w:tcW w:w="292" w:type="pct"/>
            <w:tcBorders>
              <w:top w:val="nil"/>
              <w:left w:val="nil"/>
              <w:bottom w:val="single" w:sz="4" w:space="0" w:color="auto"/>
              <w:right w:val="single" w:sz="4" w:space="0" w:color="auto"/>
            </w:tcBorders>
            <w:vAlign w:val="center"/>
            <w:hideMark/>
          </w:tcPr>
          <w:p w14:paraId="5F89C804"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25 / 25</w:t>
            </w:r>
          </w:p>
        </w:tc>
        <w:tc>
          <w:tcPr>
            <w:tcW w:w="450" w:type="pct"/>
            <w:tcBorders>
              <w:top w:val="nil"/>
              <w:left w:val="nil"/>
              <w:bottom w:val="single" w:sz="4" w:space="0" w:color="auto"/>
              <w:right w:val="single" w:sz="4" w:space="0" w:color="auto"/>
            </w:tcBorders>
            <w:vAlign w:val="center"/>
            <w:hideMark/>
          </w:tcPr>
          <w:p w14:paraId="43CB1F30"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Comparable (NR exact)</w:t>
            </w:r>
          </w:p>
        </w:tc>
        <w:tc>
          <w:tcPr>
            <w:tcW w:w="307" w:type="pct"/>
            <w:tcBorders>
              <w:top w:val="nil"/>
              <w:left w:val="nil"/>
              <w:bottom w:val="single" w:sz="4" w:space="0" w:color="auto"/>
              <w:right w:val="single" w:sz="4" w:space="0" w:color="auto"/>
            </w:tcBorders>
            <w:vAlign w:val="center"/>
            <w:hideMark/>
          </w:tcPr>
          <w:p w14:paraId="62785731"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NR</w:t>
            </w:r>
          </w:p>
        </w:tc>
        <w:tc>
          <w:tcPr>
            <w:tcW w:w="320" w:type="pct"/>
            <w:tcBorders>
              <w:top w:val="nil"/>
              <w:left w:val="nil"/>
              <w:bottom w:val="single" w:sz="4" w:space="0" w:color="auto"/>
              <w:right w:val="single" w:sz="4" w:space="0" w:color="auto"/>
            </w:tcBorders>
            <w:vAlign w:val="center"/>
            <w:hideMark/>
          </w:tcPr>
          <w:p w14:paraId="3DB5DC13"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NR</w:t>
            </w:r>
          </w:p>
        </w:tc>
        <w:tc>
          <w:tcPr>
            <w:tcW w:w="416" w:type="pct"/>
            <w:tcBorders>
              <w:top w:val="nil"/>
              <w:left w:val="nil"/>
              <w:bottom w:val="single" w:sz="4" w:space="0" w:color="auto"/>
              <w:right w:val="single" w:sz="4" w:space="0" w:color="auto"/>
            </w:tcBorders>
            <w:vAlign w:val="center"/>
            <w:hideMark/>
          </w:tcPr>
          <w:p w14:paraId="04C8A69D"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Calcified lesions requiring DES</w:t>
            </w:r>
          </w:p>
        </w:tc>
        <w:tc>
          <w:tcPr>
            <w:tcW w:w="485" w:type="pct"/>
            <w:tcBorders>
              <w:top w:val="nil"/>
              <w:left w:val="nil"/>
              <w:bottom w:val="single" w:sz="4" w:space="0" w:color="auto"/>
              <w:right w:val="single" w:sz="4" w:space="0" w:color="auto"/>
            </w:tcBorders>
            <w:vAlign w:val="center"/>
            <w:hideMark/>
          </w:tcPr>
          <w:p w14:paraId="20AC831E"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Calcified coronary lesions (severe)</w:t>
            </w:r>
          </w:p>
        </w:tc>
        <w:tc>
          <w:tcPr>
            <w:tcW w:w="409" w:type="pct"/>
            <w:tcBorders>
              <w:top w:val="nil"/>
              <w:left w:val="nil"/>
              <w:bottom w:val="single" w:sz="4" w:space="0" w:color="auto"/>
              <w:right w:val="single" w:sz="4" w:space="0" w:color="auto"/>
            </w:tcBorders>
            <w:vAlign w:val="center"/>
            <w:hideMark/>
          </w:tcPr>
          <w:p w14:paraId="152EE493"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Angiography + QCA</w:t>
            </w:r>
          </w:p>
        </w:tc>
        <w:tc>
          <w:tcPr>
            <w:tcW w:w="513" w:type="pct"/>
            <w:tcBorders>
              <w:top w:val="nil"/>
              <w:left w:val="nil"/>
              <w:bottom w:val="single" w:sz="4" w:space="0" w:color="auto"/>
              <w:right w:val="single" w:sz="4" w:space="0" w:color="auto"/>
            </w:tcBorders>
            <w:vAlign w:val="center"/>
            <w:hideMark/>
          </w:tcPr>
          <w:p w14:paraId="4303AA9A"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Procedural success (84% IVL vs 96% RA), 12-month LLL, ISR, MACE/TLR/TLF</w:t>
            </w:r>
          </w:p>
        </w:tc>
        <w:tc>
          <w:tcPr>
            <w:tcW w:w="353" w:type="pct"/>
            <w:tcBorders>
              <w:top w:val="nil"/>
              <w:left w:val="nil"/>
              <w:bottom w:val="single" w:sz="4" w:space="0" w:color="auto"/>
              <w:right w:val="single" w:sz="4" w:space="0" w:color="auto"/>
            </w:tcBorders>
            <w:vAlign w:val="center"/>
            <w:hideMark/>
          </w:tcPr>
          <w:p w14:paraId="7EB4AF8E"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In-hospital + 12 months</w:t>
            </w:r>
          </w:p>
        </w:tc>
      </w:tr>
      <w:tr w:rsidR="00BA62BB" w:rsidRPr="00BA62BB" w14:paraId="03F0CCD9" w14:textId="77777777" w:rsidTr="00BA62BB">
        <w:trPr>
          <w:trHeight w:val="1200"/>
        </w:trPr>
        <w:tc>
          <w:tcPr>
            <w:tcW w:w="355" w:type="pct"/>
            <w:tcBorders>
              <w:top w:val="nil"/>
              <w:left w:val="single" w:sz="4" w:space="0" w:color="auto"/>
              <w:bottom w:val="single" w:sz="4" w:space="0" w:color="auto"/>
              <w:right w:val="single" w:sz="4" w:space="0" w:color="auto"/>
            </w:tcBorders>
            <w:vAlign w:val="center"/>
            <w:hideMark/>
          </w:tcPr>
          <w:p w14:paraId="009DB919"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Zhang et al. (2025) [36]</w:t>
            </w:r>
          </w:p>
        </w:tc>
        <w:tc>
          <w:tcPr>
            <w:tcW w:w="406" w:type="pct"/>
            <w:tcBorders>
              <w:top w:val="nil"/>
              <w:left w:val="nil"/>
              <w:bottom w:val="single" w:sz="4" w:space="0" w:color="auto"/>
              <w:right w:val="single" w:sz="4" w:space="0" w:color="auto"/>
            </w:tcBorders>
            <w:vAlign w:val="center"/>
            <w:hideMark/>
          </w:tcPr>
          <w:p w14:paraId="3DD2A1DD"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China (multicenter)</w:t>
            </w:r>
          </w:p>
        </w:tc>
        <w:tc>
          <w:tcPr>
            <w:tcW w:w="422" w:type="pct"/>
            <w:tcBorders>
              <w:top w:val="nil"/>
              <w:left w:val="nil"/>
              <w:bottom w:val="single" w:sz="4" w:space="0" w:color="auto"/>
              <w:right w:val="single" w:sz="4" w:space="0" w:color="auto"/>
            </w:tcBorders>
            <w:vAlign w:val="center"/>
            <w:hideMark/>
          </w:tcPr>
          <w:p w14:paraId="54987473"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Retrospective propensity-matched</w:t>
            </w:r>
          </w:p>
        </w:tc>
        <w:tc>
          <w:tcPr>
            <w:tcW w:w="273" w:type="pct"/>
            <w:tcBorders>
              <w:top w:val="nil"/>
              <w:left w:val="nil"/>
              <w:bottom w:val="single" w:sz="4" w:space="0" w:color="auto"/>
              <w:right w:val="single" w:sz="4" w:space="0" w:color="auto"/>
            </w:tcBorders>
            <w:vAlign w:val="center"/>
            <w:hideMark/>
          </w:tcPr>
          <w:p w14:paraId="77B84AEC"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NR</w:t>
            </w:r>
          </w:p>
        </w:tc>
        <w:tc>
          <w:tcPr>
            <w:tcW w:w="292" w:type="pct"/>
            <w:tcBorders>
              <w:top w:val="nil"/>
              <w:left w:val="nil"/>
              <w:bottom w:val="single" w:sz="4" w:space="0" w:color="auto"/>
              <w:right w:val="single" w:sz="4" w:space="0" w:color="auto"/>
            </w:tcBorders>
            <w:vAlign w:val="center"/>
            <w:hideMark/>
          </w:tcPr>
          <w:p w14:paraId="741F3631"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70 / 140</w:t>
            </w:r>
          </w:p>
        </w:tc>
        <w:tc>
          <w:tcPr>
            <w:tcW w:w="450" w:type="pct"/>
            <w:tcBorders>
              <w:top w:val="nil"/>
              <w:left w:val="nil"/>
              <w:bottom w:val="single" w:sz="4" w:space="0" w:color="auto"/>
              <w:right w:val="single" w:sz="4" w:space="0" w:color="auto"/>
            </w:tcBorders>
            <w:vAlign w:val="center"/>
            <w:hideMark/>
          </w:tcPr>
          <w:p w14:paraId="6C6EFCBF"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65 (median) / 66 (median)</w:t>
            </w:r>
          </w:p>
        </w:tc>
        <w:tc>
          <w:tcPr>
            <w:tcW w:w="307" w:type="pct"/>
            <w:tcBorders>
              <w:top w:val="nil"/>
              <w:left w:val="nil"/>
              <w:bottom w:val="single" w:sz="4" w:space="0" w:color="auto"/>
              <w:right w:val="single" w:sz="4" w:space="0" w:color="auto"/>
            </w:tcBorders>
            <w:vAlign w:val="center"/>
            <w:hideMark/>
          </w:tcPr>
          <w:p w14:paraId="78E30A78"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53% / 58%</w:t>
            </w:r>
          </w:p>
        </w:tc>
        <w:tc>
          <w:tcPr>
            <w:tcW w:w="320" w:type="pct"/>
            <w:tcBorders>
              <w:top w:val="nil"/>
              <w:left w:val="nil"/>
              <w:bottom w:val="single" w:sz="4" w:space="0" w:color="auto"/>
              <w:right w:val="single" w:sz="4" w:space="0" w:color="auto"/>
            </w:tcBorders>
            <w:vAlign w:val="center"/>
            <w:hideMark/>
          </w:tcPr>
          <w:p w14:paraId="39158AC4"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39% / 44%</w:t>
            </w:r>
          </w:p>
        </w:tc>
        <w:tc>
          <w:tcPr>
            <w:tcW w:w="416" w:type="pct"/>
            <w:tcBorders>
              <w:top w:val="nil"/>
              <w:left w:val="nil"/>
              <w:bottom w:val="single" w:sz="4" w:space="0" w:color="auto"/>
              <w:right w:val="single" w:sz="4" w:space="0" w:color="auto"/>
            </w:tcBorders>
            <w:vAlign w:val="center"/>
            <w:hideMark/>
          </w:tcPr>
          <w:p w14:paraId="0A794DB5"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Heavily calcified lesions</w:t>
            </w:r>
          </w:p>
        </w:tc>
        <w:tc>
          <w:tcPr>
            <w:tcW w:w="485" w:type="pct"/>
            <w:tcBorders>
              <w:top w:val="nil"/>
              <w:left w:val="nil"/>
              <w:bottom w:val="single" w:sz="4" w:space="0" w:color="auto"/>
              <w:right w:val="single" w:sz="4" w:space="0" w:color="auto"/>
            </w:tcBorders>
            <w:vAlign w:val="center"/>
            <w:hideMark/>
          </w:tcPr>
          <w:p w14:paraId="6AA6DDB0"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Severe calcification, focus on microcirculation</w:t>
            </w:r>
          </w:p>
        </w:tc>
        <w:tc>
          <w:tcPr>
            <w:tcW w:w="409" w:type="pct"/>
            <w:tcBorders>
              <w:top w:val="nil"/>
              <w:left w:val="nil"/>
              <w:bottom w:val="single" w:sz="4" w:space="0" w:color="auto"/>
              <w:right w:val="single" w:sz="4" w:space="0" w:color="auto"/>
            </w:tcBorders>
            <w:vAlign w:val="center"/>
            <w:hideMark/>
          </w:tcPr>
          <w:p w14:paraId="1E9386FA"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Angiography + AMR</w:t>
            </w:r>
          </w:p>
        </w:tc>
        <w:tc>
          <w:tcPr>
            <w:tcW w:w="513" w:type="pct"/>
            <w:tcBorders>
              <w:top w:val="nil"/>
              <w:left w:val="nil"/>
              <w:bottom w:val="single" w:sz="4" w:space="0" w:color="auto"/>
              <w:right w:val="single" w:sz="4" w:space="0" w:color="auto"/>
            </w:tcBorders>
            <w:vAlign w:val="center"/>
            <w:hideMark/>
          </w:tcPr>
          <w:p w14:paraId="1CADD6BA"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Post-PCI AMR (microvascular function), PPAEs</w:t>
            </w:r>
          </w:p>
        </w:tc>
        <w:tc>
          <w:tcPr>
            <w:tcW w:w="353" w:type="pct"/>
            <w:tcBorders>
              <w:top w:val="nil"/>
              <w:left w:val="nil"/>
              <w:bottom w:val="single" w:sz="4" w:space="0" w:color="auto"/>
              <w:right w:val="single" w:sz="4" w:space="0" w:color="auto"/>
            </w:tcBorders>
            <w:vAlign w:val="center"/>
            <w:hideMark/>
          </w:tcPr>
          <w:p w14:paraId="54134FFF"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Peri-procedural + short-term</w:t>
            </w:r>
          </w:p>
        </w:tc>
      </w:tr>
      <w:tr w:rsidR="00BA62BB" w:rsidRPr="00BA62BB" w14:paraId="7418B28C" w14:textId="77777777" w:rsidTr="00BA62BB">
        <w:trPr>
          <w:trHeight w:val="1200"/>
        </w:trPr>
        <w:tc>
          <w:tcPr>
            <w:tcW w:w="355" w:type="pct"/>
            <w:tcBorders>
              <w:top w:val="nil"/>
              <w:left w:val="single" w:sz="4" w:space="0" w:color="auto"/>
              <w:bottom w:val="single" w:sz="4" w:space="0" w:color="auto"/>
              <w:right w:val="single" w:sz="4" w:space="0" w:color="auto"/>
            </w:tcBorders>
            <w:vAlign w:val="center"/>
            <w:hideMark/>
          </w:tcPr>
          <w:p w14:paraId="47EF40D4"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Jurado-Román et al. (2025) – ROLLER COASTR-EPIC22 [37]</w:t>
            </w:r>
          </w:p>
        </w:tc>
        <w:tc>
          <w:tcPr>
            <w:tcW w:w="406" w:type="pct"/>
            <w:tcBorders>
              <w:top w:val="nil"/>
              <w:left w:val="nil"/>
              <w:bottom w:val="single" w:sz="4" w:space="0" w:color="auto"/>
              <w:right w:val="single" w:sz="4" w:space="0" w:color="auto"/>
            </w:tcBorders>
            <w:vAlign w:val="center"/>
            <w:hideMark/>
          </w:tcPr>
          <w:p w14:paraId="4096CDFF"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International (multicenter)</w:t>
            </w:r>
          </w:p>
        </w:tc>
        <w:tc>
          <w:tcPr>
            <w:tcW w:w="422" w:type="pct"/>
            <w:tcBorders>
              <w:top w:val="nil"/>
              <w:left w:val="nil"/>
              <w:bottom w:val="single" w:sz="4" w:space="0" w:color="auto"/>
              <w:right w:val="single" w:sz="4" w:space="0" w:color="auto"/>
            </w:tcBorders>
            <w:vAlign w:val="center"/>
            <w:hideMark/>
          </w:tcPr>
          <w:p w14:paraId="74698653"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Randomized controlled trial</w:t>
            </w:r>
          </w:p>
        </w:tc>
        <w:tc>
          <w:tcPr>
            <w:tcW w:w="273" w:type="pct"/>
            <w:tcBorders>
              <w:top w:val="nil"/>
              <w:left w:val="nil"/>
              <w:bottom w:val="single" w:sz="4" w:space="0" w:color="auto"/>
              <w:right w:val="single" w:sz="4" w:space="0" w:color="auto"/>
            </w:tcBorders>
            <w:vAlign w:val="center"/>
            <w:hideMark/>
          </w:tcPr>
          <w:p w14:paraId="0F53246D"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NR</w:t>
            </w:r>
          </w:p>
        </w:tc>
        <w:tc>
          <w:tcPr>
            <w:tcW w:w="292" w:type="pct"/>
            <w:tcBorders>
              <w:top w:val="nil"/>
              <w:left w:val="nil"/>
              <w:bottom w:val="single" w:sz="4" w:space="0" w:color="auto"/>
              <w:right w:val="single" w:sz="4" w:space="0" w:color="auto"/>
            </w:tcBorders>
            <w:vAlign w:val="center"/>
            <w:hideMark/>
          </w:tcPr>
          <w:p w14:paraId="03A93042"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57 / 57</w:t>
            </w:r>
          </w:p>
        </w:tc>
        <w:tc>
          <w:tcPr>
            <w:tcW w:w="450" w:type="pct"/>
            <w:tcBorders>
              <w:top w:val="nil"/>
              <w:left w:val="nil"/>
              <w:bottom w:val="single" w:sz="4" w:space="0" w:color="auto"/>
              <w:right w:val="single" w:sz="4" w:space="0" w:color="auto"/>
            </w:tcBorders>
            <w:vAlign w:val="center"/>
            <w:hideMark/>
          </w:tcPr>
          <w:p w14:paraId="0CAD1278"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~71 (overall ~70.9 ± 8.2)</w:t>
            </w:r>
          </w:p>
        </w:tc>
        <w:tc>
          <w:tcPr>
            <w:tcW w:w="307" w:type="pct"/>
            <w:tcBorders>
              <w:top w:val="nil"/>
              <w:left w:val="nil"/>
              <w:bottom w:val="single" w:sz="4" w:space="0" w:color="auto"/>
              <w:right w:val="single" w:sz="4" w:space="0" w:color="auto"/>
            </w:tcBorders>
            <w:vAlign w:val="center"/>
            <w:hideMark/>
          </w:tcPr>
          <w:p w14:paraId="66AA4BCD"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~77% (overall)</w:t>
            </w:r>
          </w:p>
        </w:tc>
        <w:tc>
          <w:tcPr>
            <w:tcW w:w="320" w:type="pct"/>
            <w:tcBorders>
              <w:top w:val="nil"/>
              <w:left w:val="nil"/>
              <w:bottom w:val="single" w:sz="4" w:space="0" w:color="auto"/>
              <w:right w:val="single" w:sz="4" w:space="0" w:color="auto"/>
            </w:tcBorders>
            <w:vAlign w:val="center"/>
            <w:hideMark/>
          </w:tcPr>
          <w:p w14:paraId="2E2AD8E1"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NR</w:t>
            </w:r>
          </w:p>
        </w:tc>
        <w:tc>
          <w:tcPr>
            <w:tcW w:w="416" w:type="pct"/>
            <w:tcBorders>
              <w:top w:val="nil"/>
              <w:left w:val="nil"/>
              <w:bottom w:val="single" w:sz="4" w:space="0" w:color="auto"/>
              <w:right w:val="single" w:sz="4" w:space="0" w:color="auto"/>
            </w:tcBorders>
            <w:vAlign w:val="center"/>
            <w:hideMark/>
          </w:tcPr>
          <w:p w14:paraId="3CCF0EAC"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Chronic coronary syndrome (64%) + ACS (36%)</w:t>
            </w:r>
          </w:p>
        </w:tc>
        <w:tc>
          <w:tcPr>
            <w:tcW w:w="485" w:type="pct"/>
            <w:tcBorders>
              <w:top w:val="nil"/>
              <w:left w:val="nil"/>
              <w:bottom w:val="single" w:sz="4" w:space="0" w:color="auto"/>
              <w:right w:val="single" w:sz="4" w:space="0" w:color="auto"/>
            </w:tcBorders>
            <w:vAlign w:val="center"/>
            <w:hideMark/>
          </w:tcPr>
          <w:p w14:paraId="6E72BBA4"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Severe angiographic calcification (82.5%)</w:t>
            </w:r>
          </w:p>
        </w:tc>
        <w:tc>
          <w:tcPr>
            <w:tcW w:w="409" w:type="pct"/>
            <w:tcBorders>
              <w:top w:val="nil"/>
              <w:left w:val="nil"/>
              <w:bottom w:val="single" w:sz="4" w:space="0" w:color="auto"/>
              <w:right w:val="single" w:sz="4" w:space="0" w:color="auto"/>
            </w:tcBorders>
            <w:vAlign w:val="center"/>
            <w:hideMark/>
          </w:tcPr>
          <w:p w14:paraId="429576A4"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Angiography</w:t>
            </w:r>
          </w:p>
        </w:tc>
        <w:tc>
          <w:tcPr>
            <w:tcW w:w="513" w:type="pct"/>
            <w:tcBorders>
              <w:top w:val="nil"/>
              <w:left w:val="nil"/>
              <w:bottom w:val="single" w:sz="4" w:space="0" w:color="auto"/>
              <w:right w:val="single" w:sz="4" w:space="0" w:color="auto"/>
            </w:tcBorders>
            <w:vAlign w:val="center"/>
            <w:hideMark/>
          </w:tcPr>
          <w:p w14:paraId="7AF5595A"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Procedural success, stent expansion/MSA, complications</w:t>
            </w:r>
          </w:p>
        </w:tc>
        <w:tc>
          <w:tcPr>
            <w:tcW w:w="353" w:type="pct"/>
            <w:tcBorders>
              <w:top w:val="nil"/>
              <w:left w:val="nil"/>
              <w:bottom w:val="single" w:sz="4" w:space="0" w:color="auto"/>
              <w:right w:val="single" w:sz="4" w:space="0" w:color="auto"/>
            </w:tcBorders>
            <w:vAlign w:val="center"/>
            <w:hideMark/>
          </w:tcPr>
          <w:p w14:paraId="3171C17D" w14:textId="77777777" w:rsidR="00BA62BB" w:rsidRPr="00BA62BB" w:rsidRDefault="00BA62BB" w:rsidP="00BA62BB">
            <w:pPr>
              <w:spacing w:after="0" w:line="240" w:lineRule="auto"/>
              <w:rPr>
                <w:rFonts w:ascii="Times New Roman" w:eastAsia="Times New Roman" w:hAnsi="Times New Roman" w:cs="Times New Roman"/>
                <w:color w:val="000000"/>
                <w:sz w:val="18"/>
                <w:szCs w:val="18"/>
                <w:lang w:val="en-IN" w:eastAsia="en-IN"/>
              </w:rPr>
            </w:pPr>
            <w:r w:rsidRPr="00BA62BB">
              <w:rPr>
                <w:rFonts w:ascii="Times New Roman" w:eastAsia="Times New Roman" w:hAnsi="Times New Roman" w:cs="Times New Roman"/>
                <w:color w:val="000000"/>
                <w:sz w:val="18"/>
                <w:szCs w:val="18"/>
                <w:lang w:eastAsia="en-IN"/>
              </w:rPr>
              <w:t>In-hospital + procedural</w:t>
            </w:r>
          </w:p>
        </w:tc>
      </w:tr>
    </w:tbl>
    <w:p w14:paraId="71055FBC" w14:textId="77777777" w:rsidR="008B34BE" w:rsidRPr="008B34BE" w:rsidRDefault="008B34BE" w:rsidP="008B34BE">
      <w:pPr>
        <w:spacing w:after="0" w:line="360" w:lineRule="auto"/>
        <w:jc w:val="both"/>
        <w:rPr>
          <w:rFonts w:ascii="Times New Roman" w:hAnsi="Times New Roman" w:cs="Times New Roman"/>
          <w:sz w:val="20"/>
          <w:szCs w:val="20"/>
        </w:rPr>
      </w:pPr>
    </w:p>
    <w:p w14:paraId="513A1374" w14:textId="77777777" w:rsidR="00AD7C11" w:rsidRPr="00AD7C11" w:rsidRDefault="00AD7C11" w:rsidP="00AD7C11">
      <w:pPr>
        <w:spacing w:after="0" w:line="360" w:lineRule="auto"/>
        <w:jc w:val="both"/>
        <w:rPr>
          <w:rFonts w:ascii="Times New Roman" w:hAnsi="Times New Roman" w:cs="Times New Roman"/>
          <w:sz w:val="20"/>
          <w:szCs w:val="20"/>
        </w:rPr>
      </w:pPr>
      <w:r w:rsidRPr="00AD7C11">
        <w:rPr>
          <w:rFonts w:ascii="Times New Roman" w:hAnsi="Times New Roman" w:cs="Times New Roman"/>
          <w:sz w:val="20"/>
          <w:szCs w:val="20"/>
        </w:rPr>
        <w:t>NR = Not Reported (meaning the information is either not provided or not specified in the abstract or full text).</w:t>
      </w:r>
    </w:p>
    <w:p w14:paraId="3C091F15" w14:textId="130FB7F6" w:rsidR="00AD7C11" w:rsidRPr="00AD7C11" w:rsidRDefault="00AD7C11" w:rsidP="00AD7C11">
      <w:pPr>
        <w:spacing w:after="0" w:line="360" w:lineRule="auto"/>
        <w:jc w:val="both"/>
        <w:rPr>
          <w:rFonts w:ascii="Times New Roman" w:hAnsi="Times New Roman" w:cs="Times New Roman"/>
          <w:sz w:val="20"/>
          <w:szCs w:val="20"/>
        </w:rPr>
      </w:pPr>
      <w:r w:rsidRPr="00AD7C11">
        <w:rPr>
          <w:rFonts w:ascii="Times New Roman" w:hAnsi="Times New Roman" w:cs="Times New Roman"/>
          <w:sz w:val="20"/>
          <w:szCs w:val="20"/>
        </w:rPr>
        <w:t>ACS = Acute Coronary Syndrome; UA = Unstable Angina; CAD = coronary artery disease.</w:t>
      </w:r>
    </w:p>
    <w:p w14:paraId="309FA03D" w14:textId="44FA4F95" w:rsidR="008B34BE" w:rsidRDefault="00AD7C11" w:rsidP="00AD7C11">
      <w:pPr>
        <w:spacing w:after="0" w:line="360" w:lineRule="auto"/>
        <w:jc w:val="both"/>
        <w:rPr>
          <w:rFonts w:ascii="Times New Roman" w:hAnsi="Times New Roman" w:cs="Times New Roman"/>
          <w:sz w:val="20"/>
          <w:szCs w:val="20"/>
        </w:rPr>
      </w:pPr>
      <w:r w:rsidRPr="00AD7C11">
        <w:rPr>
          <w:rFonts w:ascii="Times New Roman" w:hAnsi="Times New Roman" w:cs="Times New Roman"/>
          <w:sz w:val="20"/>
          <w:szCs w:val="20"/>
        </w:rPr>
        <w:t>CAC = Coronary Artery Calcification; LLL = Late Lumen Loss; ISR = In-Stent Restenosis; TLR = Target Lesion Revascularization; TLF = Target Lesion Failure; MACE = Major Adverse Cardiac Events; PPAEs = Peri-Procedural Adverse Events; AMR = Angiographic Microvascular Resistance; MSA = Minimum Stent Area.</w:t>
      </w:r>
    </w:p>
    <w:p w14:paraId="712985E8" w14:textId="77777777" w:rsidR="00AD7C11" w:rsidRDefault="00AD7C11" w:rsidP="00AD7C11">
      <w:pPr>
        <w:spacing w:after="0" w:line="360" w:lineRule="auto"/>
        <w:jc w:val="both"/>
        <w:rPr>
          <w:rFonts w:ascii="Times New Roman" w:hAnsi="Times New Roman" w:cs="Times New Roman"/>
          <w:sz w:val="20"/>
          <w:szCs w:val="20"/>
        </w:rPr>
      </w:pPr>
    </w:p>
    <w:p w14:paraId="1623C1E0" w14:textId="77777777" w:rsidR="00AD7C11" w:rsidRPr="00AD7C11" w:rsidRDefault="00AD7C11" w:rsidP="00AD7C11">
      <w:pPr>
        <w:spacing w:after="0" w:line="360" w:lineRule="auto"/>
        <w:jc w:val="both"/>
        <w:rPr>
          <w:rFonts w:ascii="Times New Roman" w:hAnsi="Times New Roman" w:cs="Times New Roman"/>
          <w:b/>
          <w:bCs/>
          <w:color w:val="0070C0"/>
          <w:sz w:val="20"/>
          <w:szCs w:val="20"/>
        </w:rPr>
      </w:pPr>
      <w:r w:rsidRPr="00AD7C11">
        <w:rPr>
          <w:rFonts w:ascii="Times New Roman" w:hAnsi="Times New Roman" w:cs="Times New Roman"/>
          <w:b/>
          <w:bCs/>
          <w:color w:val="0070C0"/>
          <w:sz w:val="20"/>
          <w:szCs w:val="20"/>
        </w:rPr>
        <w:t>Risk of Bias and Heterogeneity</w:t>
      </w:r>
    </w:p>
    <w:p w14:paraId="0F2528D1" w14:textId="74D161D9" w:rsidR="00AD7C11" w:rsidRDefault="00AD7C11" w:rsidP="00AD7C11">
      <w:pPr>
        <w:spacing w:after="0" w:line="360" w:lineRule="auto"/>
        <w:jc w:val="both"/>
        <w:rPr>
          <w:rFonts w:ascii="Times New Roman" w:hAnsi="Times New Roman" w:cs="Times New Roman"/>
          <w:sz w:val="20"/>
          <w:szCs w:val="20"/>
        </w:rPr>
      </w:pPr>
      <w:r w:rsidRPr="00AD7C11">
        <w:rPr>
          <w:rFonts w:ascii="Times New Roman" w:hAnsi="Times New Roman" w:cs="Times New Roman"/>
          <w:sz w:val="20"/>
          <w:szCs w:val="20"/>
        </w:rPr>
        <w:t>Most observational studies were at a moderate to serious risk of bias (confounding and selection mostly favouring IVL for more complex lesions). The risk involved in the RCTs was low. The overall heterogeneity across outcomes was low (I² = 0% in most analyses), consistent with largely homogeneous populations and endpoint definitions (Figure 2).</w:t>
      </w:r>
    </w:p>
    <w:p w14:paraId="2E5FBCF3" w14:textId="77777777" w:rsidR="00AD7C11" w:rsidRDefault="00AD7C11" w:rsidP="00AD7C11">
      <w:pPr>
        <w:spacing w:after="0" w:line="360" w:lineRule="auto"/>
        <w:jc w:val="both"/>
        <w:rPr>
          <w:rFonts w:ascii="Times New Roman" w:hAnsi="Times New Roman" w:cs="Times New Roman"/>
          <w:sz w:val="20"/>
          <w:szCs w:val="20"/>
        </w:rPr>
      </w:pPr>
    </w:p>
    <w:p w14:paraId="26284A88" w14:textId="65664804" w:rsidR="00AD7C11" w:rsidRDefault="00AD7C11" w:rsidP="00AD7C11">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2D344870" wp14:editId="1D42225E">
            <wp:extent cx="3002915" cy="1256470"/>
            <wp:effectExtent l="0" t="0" r="6985" b="1270"/>
            <wp:docPr id="20763984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940" cy="1260246"/>
                    </a:xfrm>
                    <a:prstGeom prst="rect">
                      <a:avLst/>
                    </a:prstGeom>
                    <a:noFill/>
                    <a:ln>
                      <a:noFill/>
                    </a:ln>
                  </pic:spPr>
                </pic:pic>
              </a:graphicData>
            </a:graphic>
          </wp:inline>
        </w:drawing>
      </w:r>
    </w:p>
    <w:p w14:paraId="18661B2B" w14:textId="77777777" w:rsidR="00AD7C11" w:rsidRPr="008B34BE" w:rsidRDefault="00AD7C11" w:rsidP="00AD7C11">
      <w:pPr>
        <w:spacing w:after="0" w:line="360" w:lineRule="auto"/>
        <w:jc w:val="center"/>
        <w:rPr>
          <w:rFonts w:ascii="Times New Roman" w:hAnsi="Times New Roman" w:cs="Times New Roman"/>
          <w:sz w:val="20"/>
          <w:szCs w:val="20"/>
        </w:rPr>
      </w:pPr>
    </w:p>
    <w:p w14:paraId="2B0F8756" w14:textId="46E31591" w:rsidR="008B34BE" w:rsidRDefault="00AD7C11" w:rsidP="00AD7C11">
      <w:pPr>
        <w:spacing w:after="0" w:line="360" w:lineRule="auto"/>
        <w:jc w:val="center"/>
        <w:rPr>
          <w:rFonts w:ascii="Times New Roman" w:hAnsi="Times New Roman" w:cs="Times New Roman"/>
          <w:sz w:val="20"/>
          <w:szCs w:val="20"/>
        </w:rPr>
      </w:pPr>
      <w:r w:rsidRPr="00AD7C11">
        <w:rPr>
          <w:rFonts w:ascii="Times New Roman" w:hAnsi="Times New Roman" w:cs="Times New Roman"/>
          <w:b/>
          <w:bCs/>
          <w:color w:val="0070C0"/>
          <w:sz w:val="20"/>
          <w:szCs w:val="20"/>
        </w:rPr>
        <w:t>Figure 2:</w:t>
      </w:r>
      <w:r w:rsidRPr="00AD7C11">
        <w:rPr>
          <w:rFonts w:ascii="Times New Roman" w:hAnsi="Times New Roman" w:cs="Times New Roman"/>
          <w:color w:val="0070C0"/>
          <w:sz w:val="20"/>
          <w:szCs w:val="20"/>
        </w:rPr>
        <w:t xml:space="preserve"> </w:t>
      </w:r>
      <w:r w:rsidRPr="00AD7C11">
        <w:rPr>
          <w:rFonts w:ascii="Times New Roman" w:hAnsi="Times New Roman" w:cs="Times New Roman"/>
          <w:sz w:val="20"/>
          <w:szCs w:val="20"/>
        </w:rPr>
        <w:t>Risk of bias assessment using the ROBINS-I tool for included studies.</w:t>
      </w:r>
    </w:p>
    <w:p w14:paraId="72E4559D" w14:textId="77777777" w:rsidR="00AD7C11" w:rsidRPr="00AD7C11" w:rsidRDefault="00AD7C11" w:rsidP="00AD7C11">
      <w:pPr>
        <w:spacing w:after="0" w:line="360" w:lineRule="auto"/>
        <w:jc w:val="center"/>
        <w:rPr>
          <w:rFonts w:ascii="Times New Roman" w:hAnsi="Times New Roman" w:cs="Times New Roman"/>
          <w:sz w:val="20"/>
          <w:szCs w:val="20"/>
        </w:rPr>
      </w:pPr>
    </w:p>
    <w:p w14:paraId="60F190CC" w14:textId="352E0D66" w:rsidR="00AD7C11" w:rsidRPr="00AD7C11" w:rsidRDefault="00AD7C11" w:rsidP="00AD7C11">
      <w:pPr>
        <w:spacing w:after="0" w:line="360" w:lineRule="auto"/>
        <w:jc w:val="both"/>
        <w:rPr>
          <w:rFonts w:ascii="Times New Roman" w:eastAsia="Calibri" w:hAnsi="Times New Roman" w:cs="Times New Roman"/>
          <w:noProof/>
          <w:color w:val="0070C0"/>
          <w:kern w:val="2"/>
          <w:sz w:val="22"/>
          <w:szCs w:val="22"/>
          <w14:ligatures w14:val="standardContextual"/>
        </w:rPr>
      </w:pPr>
      <w:r w:rsidRPr="00AD7C11">
        <w:rPr>
          <w:rFonts w:ascii="Times New Roman" w:eastAsia="Calibri" w:hAnsi="Times New Roman" w:cs="Times New Roman"/>
          <w:b/>
          <w:bCs/>
          <w:color w:val="0070C0"/>
          <w:kern w:val="2"/>
          <w:sz w:val="22"/>
          <w:szCs w:val="22"/>
          <w14:ligatures w14:val="standardContextual"/>
        </w:rPr>
        <w:t>Result</w:t>
      </w:r>
      <w:r w:rsidR="00FC068B">
        <w:rPr>
          <w:rFonts w:ascii="Times New Roman" w:eastAsia="Calibri" w:hAnsi="Times New Roman" w:cs="Times New Roman"/>
          <w:b/>
          <w:bCs/>
          <w:color w:val="0070C0"/>
          <w:kern w:val="2"/>
          <w:sz w:val="22"/>
          <w:szCs w:val="22"/>
          <w14:ligatures w14:val="standardContextual"/>
        </w:rPr>
        <w:t>s</w:t>
      </w:r>
    </w:p>
    <w:p w14:paraId="2E4CCA90" w14:textId="77777777" w:rsidR="00AD7C11" w:rsidRPr="00C97033" w:rsidRDefault="00AD7C11" w:rsidP="00C97033">
      <w:pPr>
        <w:spacing w:after="0" w:line="360" w:lineRule="auto"/>
        <w:jc w:val="both"/>
        <w:rPr>
          <w:rFonts w:ascii="Times New Roman" w:eastAsia="Calibri" w:hAnsi="Times New Roman" w:cs="Times New Roman"/>
          <w:noProof/>
          <w:kern w:val="2"/>
          <w:sz w:val="20"/>
          <w:szCs w:val="20"/>
          <w14:ligatures w14:val="standardContextual"/>
        </w:rPr>
      </w:pPr>
      <w:r w:rsidRPr="00C97033">
        <w:rPr>
          <w:rFonts w:ascii="Times New Roman" w:eastAsia="Calibri" w:hAnsi="Times New Roman" w:cs="Times New Roman"/>
          <w:noProof/>
          <w:kern w:val="2"/>
          <w:sz w:val="20"/>
          <w:szCs w:val="20"/>
          <w14:ligatures w14:val="standardContextual"/>
        </w:rPr>
        <w:t>This meta-analysis examines five comparative studies. It includes 357 patients who underwent intravascular lithotripsy (IVL) and 731 patients who underwent rotational atherectomy (RA). The studies consist of three retrospective/observational cohorts (Wong 2022, Zhao 2024, Zhang 2025) and two randomized controlled trials (Pleva 2025, Jurado-Román 2025 [ROLLER COASTER-EPIC22 trial]).</w:t>
      </w:r>
    </w:p>
    <w:p w14:paraId="13D1E774" w14:textId="77777777" w:rsidR="00AD7C11" w:rsidRPr="00AD7C11" w:rsidRDefault="00AD7C11" w:rsidP="00AD7C11">
      <w:pPr>
        <w:spacing w:after="0" w:line="360" w:lineRule="auto"/>
        <w:jc w:val="both"/>
        <w:rPr>
          <w:rFonts w:ascii="Times New Roman" w:eastAsia="Calibri" w:hAnsi="Times New Roman" w:cs="Times New Roman"/>
          <w:noProof/>
          <w:kern w:val="2"/>
          <w:sz w:val="24"/>
          <w:szCs w:val="24"/>
          <w14:ligatures w14:val="standardContextual"/>
        </w:rPr>
      </w:pPr>
    </w:p>
    <w:p w14:paraId="5303B1BB" w14:textId="77777777" w:rsidR="00AD7C11" w:rsidRPr="00AD7C11" w:rsidRDefault="00AD7C11" w:rsidP="00AD7C11">
      <w:pPr>
        <w:spacing w:after="0" w:line="360" w:lineRule="auto"/>
        <w:jc w:val="both"/>
        <w:rPr>
          <w:rFonts w:ascii="Times New Roman" w:eastAsia="Calibri" w:hAnsi="Times New Roman" w:cs="Times New Roman"/>
          <w:b/>
          <w:bCs/>
          <w:noProof/>
          <w:color w:val="0070C0"/>
          <w:kern w:val="2"/>
          <w:sz w:val="20"/>
          <w:szCs w:val="20"/>
          <w14:ligatures w14:val="standardContextual"/>
        </w:rPr>
      </w:pPr>
      <w:r w:rsidRPr="00AD7C11">
        <w:rPr>
          <w:rFonts w:ascii="Times New Roman" w:eastAsia="Calibri" w:hAnsi="Times New Roman" w:cs="Times New Roman"/>
          <w:b/>
          <w:bCs/>
          <w:noProof/>
          <w:color w:val="0070C0"/>
          <w:kern w:val="2"/>
          <w:sz w:val="20"/>
          <w:szCs w:val="20"/>
          <w14:ligatures w14:val="standardContextual"/>
        </w:rPr>
        <w:t>Primary Outcome: Procedural Success</w:t>
      </w:r>
    </w:p>
    <w:p w14:paraId="21F74480" w14:textId="4FC62E58" w:rsidR="00D60E88" w:rsidRPr="000372B1" w:rsidRDefault="00AD7C11" w:rsidP="000372B1">
      <w:pPr>
        <w:spacing w:after="0" w:line="360" w:lineRule="auto"/>
        <w:jc w:val="both"/>
        <w:rPr>
          <w:rFonts w:ascii="Times New Roman" w:eastAsia="Calibri" w:hAnsi="Times New Roman" w:cs="Times New Roman"/>
          <w:noProof/>
          <w:kern w:val="2"/>
          <w:sz w:val="20"/>
          <w:szCs w:val="20"/>
          <w14:ligatures w14:val="standardContextual"/>
        </w:rPr>
      </w:pPr>
      <w:r w:rsidRPr="000372B1">
        <w:rPr>
          <w:rFonts w:ascii="Times New Roman" w:eastAsia="Calibri" w:hAnsi="Times New Roman" w:cs="Times New Roman"/>
          <w:noProof/>
          <w:kern w:val="2"/>
          <w:sz w:val="20"/>
          <w:szCs w:val="20"/>
          <w14:ligatures w14:val="standardContextual"/>
        </w:rPr>
        <w:t>In both groups, the procedures were generally successful, meaning patients had less than 50% residual stenosis, TIMI 3 flow, and no major cardiac events while hospitalized. A combined analysis showed that IVL had a slight but steady edge, with a risk ratio of 1.03 (95% CI: 1.01–1.06) in both common-effect and random-effects models (p ≈ 0.02–0.03 across models). There was almost no variation between studies (I² = 0%, τ² &lt; 0.0001, p = 0.5165). When we broke down the analysis by study design, there were no key differences (test for subgroup differences: χ² = 1.71–1.93, df = 1, p = 0.16–0.19). In observational studies, the risk ratio was 1.03 (95% CI: 1.01–1.06). For RCTs, the combined estimate was 0.95 (95% CI: 0.83–1.08), with wider confidence intervals because the RCTs included fewer patients. The prediction interval remained narrow, supporting the idea that IVL has a small but consistent advantage (Figure 3).</w:t>
      </w:r>
    </w:p>
    <w:p w14:paraId="4CE85ACD" w14:textId="45438C91" w:rsidR="00AD7C11" w:rsidRDefault="00EF20E8" w:rsidP="00EF20E8">
      <w:pPr>
        <w:spacing w:after="0" w:line="360" w:lineRule="auto"/>
        <w:jc w:val="center"/>
        <w:rPr>
          <w:rFonts w:ascii="Times New Roman" w:eastAsia="Calibri" w:hAnsi="Times New Roman" w:cs="Times New Roman"/>
          <w:noProof/>
          <w:kern w:val="2"/>
          <w:sz w:val="24"/>
          <w:szCs w:val="24"/>
          <w14:ligatures w14:val="standardContextual"/>
        </w:rPr>
      </w:pPr>
      <w:r>
        <w:rPr>
          <w:rFonts w:ascii="Times New Roman" w:eastAsia="Calibri" w:hAnsi="Times New Roman" w:cs="Times New Roman"/>
          <w:noProof/>
          <w:kern w:val="2"/>
          <w:sz w:val="24"/>
          <w:szCs w:val="24"/>
          <w14:ligatures w14:val="standardContextual"/>
        </w:rPr>
        <w:drawing>
          <wp:inline distT="0" distB="0" distL="0" distR="0" wp14:anchorId="235BF081" wp14:editId="6505860B">
            <wp:extent cx="3836022" cy="1203960"/>
            <wp:effectExtent l="0" t="0" r="0" b="0"/>
            <wp:docPr id="10291849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1370" cy="1205638"/>
                    </a:xfrm>
                    <a:prstGeom prst="rect">
                      <a:avLst/>
                    </a:prstGeom>
                    <a:noFill/>
                    <a:ln>
                      <a:noFill/>
                    </a:ln>
                  </pic:spPr>
                </pic:pic>
              </a:graphicData>
            </a:graphic>
          </wp:inline>
        </w:drawing>
      </w:r>
    </w:p>
    <w:p w14:paraId="0708E540" w14:textId="7D93E973" w:rsidR="00AD7C11" w:rsidRDefault="00EF20E8" w:rsidP="00EF20E8">
      <w:pPr>
        <w:spacing w:after="0" w:line="360" w:lineRule="auto"/>
        <w:jc w:val="center"/>
        <w:rPr>
          <w:rFonts w:ascii="Times New Roman" w:hAnsi="Times New Roman" w:cs="Times New Roman"/>
          <w:sz w:val="20"/>
          <w:szCs w:val="20"/>
        </w:rPr>
      </w:pPr>
      <w:r w:rsidRPr="00EF20E8">
        <w:rPr>
          <w:rFonts w:ascii="Times New Roman" w:hAnsi="Times New Roman" w:cs="Times New Roman"/>
          <w:b/>
          <w:bCs/>
          <w:color w:val="0070C0"/>
          <w:sz w:val="20"/>
          <w:szCs w:val="20"/>
        </w:rPr>
        <w:t>Figure 3:</w:t>
      </w:r>
      <w:r w:rsidRPr="00EF20E8">
        <w:rPr>
          <w:rFonts w:ascii="Times New Roman" w:hAnsi="Times New Roman" w:cs="Times New Roman"/>
          <w:color w:val="0070C0"/>
          <w:sz w:val="20"/>
          <w:szCs w:val="20"/>
        </w:rPr>
        <w:t xml:space="preserve"> </w:t>
      </w:r>
      <w:r w:rsidRPr="00EF20E8">
        <w:rPr>
          <w:rFonts w:ascii="Times New Roman" w:hAnsi="Times New Roman" w:cs="Times New Roman"/>
          <w:sz w:val="20"/>
          <w:szCs w:val="20"/>
        </w:rPr>
        <w:t>Forest Plot of Procedural Success: Intravascular Lithotripsy (IVL) versus Rotational Atherectomy (RA).</w:t>
      </w:r>
    </w:p>
    <w:p w14:paraId="5159A2C7" w14:textId="77777777" w:rsidR="00EF20E8" w:rsidRDefault="00EF20E8" w:rsidP="00EF20E8">
      <w:pPr>
        <w:spacing w:after="0" w:line="360" w:lineRule="auto"/>
        <w:jc w:val="center"/>
        <w:rPr>
          <w:rFonts w:ascii="Times New Roman" w:hAnsi="Times New Roman" w:cs="Times New Roman"/>
          <w:sz w:val="20"/>
          <w:szCs w:val="20"/>
        </w:rPr>
      </w:pPr>
    </w:p>
    <w:p w14:paraId="0A488914" w14:textId="77777777" w:rsidR="00EF20E8" w:rsidRPr="00EF20E8" w:rsidRDefault="00EF20E8" w:rsidP="00EF20E8">
      <w:pPr>
        <w:spacing w:after="0" w:line="360" w:lineRule="auto"/>
        <w:jc w:val="both"/>
        <w:rPr>
          <w:rFonts w:ascii="Times New Roman" w:eastAsia="Calibri" w:hAnsi="Times New Roman" w:cs="Times New Roman"/>
          <w:b/>
          <w:bCs/>
          <w:noProof/>
          <w:color w:val="0070C0"/>
          <w:kern w:val="2"/>
          <w:sz w:val="20"/>
          <w:szCs w:val="20"/>
          <w14:ligatures w14:val="standardContextual"/>
        </w:rPr>
      </w:pPr>
      <w:r w:rsidRPr="00EF20E8">
        <w:rPr>
          <w:rFonts w:ascii="Times New Roman" w:eastAsia="Calibri" w:hAnsi="Times New Roman" w:cs="Times New Roman"/>
          <w:b/>
          <w:bCs/>
          <w:noProof/>
          <w:color w:val="0070C0"/>
          <w:kern w:val="2"/>
          <w:sz w:val="20"/>
          <w:szCs w:val="20"/>
          <w14:ligatures w14:val="standardContextual"/>
        </w:rPr>
        <w:t>Secondary Outcome: Coronary Perforation</w:t>
      </w:r>
    </w:p>
    <w:p w14:paraId="15A3A885" w14:textId="659464B1" w:rsidR="00EF20E8" w:rsidRPr="000372B1" w:rsidRDefault="00EF20E8" w:rsidP="00EF20E8">
      <w:pPr>
        <w:spacing w:after="0" w:line="360" w:lineRule="auto"/>
        <w:jc w:val="both"/>
        <w:rPr>
          <w:rFonts w:ascii="Times New Roman" w:hAnsi="Times New Roman" w:cs="Times New Roman"/>
          <w:sz w:val="16"/>
          <w:szCs w:val="16"/>
        </w:rPr>
      </w:pPr>
      <w:r w:rsidRPr="000372B1">
        <w:rPr>
          <w:rFonts w:ascii="Times New Roman" w:eastAsia="Calibri" w:hAnsi="Times New Roman" w:cs="Times New Roman"/>
          <w:noProof/>
          <w:kern w:val="2"/>
          <w:sz w:val="20"/>
          <w:szCs w:val="20"/>
          <w14:ligatures w14:val="standardContextual"/>
        </w:rPr>
        <w:t xml:space="preserve">Coronary perforation occurs infrequently and is usually self-limiting. Compared to RA, the IVL was linked to a numerical reduction in risk (pooled RR 0.57, 95% CI: 0.20–1.62 with both models). The confidence interval does </w:t>
      </w:r>
      <w:r w:rsidRPr="000372B1">
        <w:rPr>
          <w:rFonts w:ascii="Times New Roman" w:eastAsia="Calibri" w:hAnsi="Times New Roman" w:cs="Times New Roman"/>
          <w:noProof/>
          <w:kern w:val="2"/>
          <w:sz w:val="20"/>
          <w:szCs w:val="20"/>
          <w14:ligatures w14:val="standardContextual"/>
        </w:rPr>
        <w:lastRenderedPageBreak/>
        <w:t>cross one, meaning there is no statistically significant difference between the groups (p value is approximately 0.3</w:t>
      </w:r>
      <w:r w:rsidR="002969D9">
        <w:rPr>
          <w:rFonts w:ascii="Times New Roman" w:eastAsia="Calibri" w:hAnsi="Times New Roman" w:cs="Times New Roman"/>
          <w:noProof/>
          <w:kern w:val="2"/>
          <w:sz w:val="20"/>
          <w:szCs w:val="20"/>
          <w14:ligatures w14:val="standardContextual"/>
        </w:rPr>
        <w:t>-</w:t>
      </w:r>
      <w:r w:rsidRPr="000372B1">
        <w:rPr>
          <w:rFonts w:ascii="Times New Roman" w:eastAsia="Calibri" w:hAnsi="Times New Roman" w:cs="Times New Roman"/>
          <w:noProof/>
          <w:kern w:val="2"/>
          <w:sz w:val="20"/>
          <w:szCs w:val="20"/>
          <w14:ligatures w14:val="standardContextual"/>
        </w:rPr>
        <w:t>0.4). Heterogeneity is absent (I2 = 0%, τ² = 0, p= 0.950 (</w:t>
      </w:r>
      <w:r w:rsidR="000372B1">
        <w:rPr>
          <w:rFonts w:ascii="Times New Roman" w:eastAsia="Calibri" w:hAnsi="Times New Roman" w:cs="Times New Roman"/>
          <w:noProof/>
          <w:kern w:val="2"/>
          <w:sz w:val="20"/>
          <w:szCs w:val="20"/>
          <w14:ligatures w14:val="standardContextual"/>
        </w:rPr>
        <w:t>f</w:t>
      </w:r>
      <w:r w:rsidRPr="000372B1">
        <w:rPr>
          <w:rFonts w:ascii="Times New Roman" w:eastAsia="Calibri" w:hAnsi="Times New Roman" w:cs="Times New Roman"/>
          <w:noProof/>
          <w:kern w:val="2"/>
          <w:sz w:val="20"/>
          <w:szCs w:val="20"/>
          <w14:ligatures w14:val="standardContextual"/>
        </w:rPr>
        <w:t>igure 4)</w:t>
      </w:r>
      <w:r w:rsidR="000372B1">
        <w:rPr>
          <w:rFonts w:ascii="Times New Roman" w:eastAsia="Calibri" w:hAnsi="Times New Roman" w:cs="Times New Roman"/>
          <w:noProof/>
          <w:kern w:val="2"/>
          <w:sz w:val="20"/>
          <w:szCs w:val="20"/>
          <w14:ligatures w14:val="standardContextual"/>
        </w:rPr>
        <w:t>.</w:t>
      </w:r>
    </w:p>
    <w:p w14:paraId="5E2FDDF3" w14:textId="01A73D67" w:rsidR="00D60E88" w:rsidRDefault="00EF20E8" w:rsidP="00EF20E8">
      <w:pPr>
        <w:spacing w:after="0" w:line="360" w:lineRule="auto"/>
        <w:jc w:val="center"/>
        <w:rPr>
          <w:rFonts w:ascii="Times New Roman" w:hAnsi="Times New Roman"/>
          <w:color w:val="000000"/>
          <w:sz w:val="20"/>
          <w:szCs w:val="20"/>
          <w:shd w:val="clear" w:color="auto" w:fill="FFFFFF"/>
        </w:rPr>
      </w:pPr>
      <w:r>
        <w:rPr>
          <w:rFonts w:ascii="Times New Roman" w:hAnsi="Times New Roman"/>
          <w:noProof/>
          <w:color w:val="000000"/>
          <w:sz w:val="20"/>
          <w:szCs w:val="20"/>
          <w:shd w:val="clear" w:color="auto" w:fill="FFFFFF"/>
        </w:rPr>
        <w:drawing>
          <wp:inline distT="0" distB="0" distL="0" distR="0" wp14:anchorId="49EBA48F" wp14:editId="59EE994D">
            <wp:extent cx="3756309" cy="1501140"/>
            <wp:effectExtent l="0" t="0" r="0" b="3810"/>
            <wp:docPr id="12725159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0583" cy="1502848"/>
                    </a:xfrm>
                    <a:prstGeom prst="rect">
                      <a:avLst/>
                    </a:prstGeom>
                    <a:noFill/>
                    <a:ln>
                      <a:noFill/>
                    </a:ln>
                  </pic:spPr>
                </pic:pic>
              </a:graphicData>
            </a:graphic>
          </wp:inline>
        </w:drawing>
      </w:r>
    </w:p>
    <w:p w14:paraId="62BB52A1" w14:textId="77777777" w:rsidR="00EF20E8" w:rsidRDefault="00EF20E8" w:rsidP="00EF20E8">
      <w:pPr>
        <w:spacing w:line="360" w:lineRule="auto"/>
        <w:jc w:val="center"/>
        <w:rPr>
          <w:rFonts w:ascii="Times New Roman" w:hAnsi="Times New Roman" w:cs="Times New Roman"/>
          <w:sz w:val="20"/>
          <w:szCs w:val="20"/>
        </w:rPr>
      </w:pPr>
      <w:r w:rsidRPr="00EF20E8">
        <w:rPr>
          <w:rFonts w:ascii="Times New Roman" w:hAnsi="Times New Roman" w:cs="Times New Roman"/>
          <w:b/>
          <w:bCs/>
          <w:noProof/>
          <w:color w:val="0070C0"/>
          <w:sz w:val="20"/>
          <w:szCs w:val="20"/>
        </w:rPr>
        <w:t>Figure 4:</w:t>
      </w:r>
      <w:r w:rsidRPr="00EF20E8">
        <w:rPr>
          <w:rFonts w:ascii="Times New Roman" w:hAnsi="Times New Roman" w:cs="Times New Roman"/>
          <w:noProof/>
          <w:color w:val="0070C0"/>
          <w:sz w:val="20"/>
          <w:szCs w:val="20"/>
        </w:rPr>
        <w:t xml:space="preserve"> </w:t>
      </w:r>
      <w:r w:rsidRPr="00EF20E8">
        <w:rPr>
          <w:rFonts w:ascii="Times New Roman" w:hAnsi="Times New Roman" w:cs="Times New Roman"/>
          <w:sz w:val="20"/>
          <w:szCs w:val="20"/>
        </w:rPr>
        <w:t>Forest Plot of Coronary Perforation: IVL versus RA.</w:t>
      </w:r>
    </w:p>
    <w:p w14:paraId="760CA053" w14:textId="11CC45D3" w:rsidR="00EF20E8" w:rsidRPr="00EF20E8" w:rsidRDefault="00EF20E8" w:rsidP="00EF20E8">
      <w:pPr>
        <w:spacing w:after="0" w:line="360" w:lineRule="auto"/>
        <w:jc w:val="both"/>
        <w:rPr>
          <w:rFonts w:ascii="Times New Roman" w:hAnsi="Times New Roman" w:cs="Times New Roman"/>
          <w:noProof/>
          <w:sz w:val="20"/>
          <w:szCs w:val="20"/>
        </w:rPr>
      </w:pPr>
      <w:r w:rsidRPr="00EF20E8">
        <w:rPr>
          <w:rFonts w:ascii="Times New Roman" w:hAnsi="Times New Roman" w:cs="Times New Roman"/>
          <w:noProof/>
          <w:sz w:val="20"/>
          <w:szCs w:val="20"/>
        </w:rPr>
        <w:t>There were a few slow-flow or no-reflow events. The results showed a tendency towards safety with IVL (RR 0.41, 95% CI: 0.16–1.04 random effects model, where the upper bound approaches but does not cross statistical significance on several models), near-zero heterogeneity.</w:t>
      </w:r>
    </w:p>
    <w:p w14:paraId="7ED3B4E6" w14:textId="77777777" w:rsidR="00EF20E8" w:rsidRDefault="00EF20E8" w:rsidP="00EF20E8">
      <w:pPr>
        <w:spacing w:after="0" w:line="360" w:lineRule="auto"/>
        <w:jc w:val="center"/>
        <w:rPr>
          <w:rFonts w:ascii="Times New Roman" w:hAnsi="Times New Roman"/>
          <w:color w:val="000000"/>
          <w:sz w:val="20"/>
          <w:szCs w:val="20"/>
          <w:shd w:val="clear" w:color="auto" w:fill="FFFFFF"/>
        </w:rPr>
      </w:pPr>
    </w:p>
    <w:p w14:paraId="0DB87EDC" w14:textId="7628B827" w:rsidR="00EF20E8" w:rsidRDefault="00EF20E8" w:rsidP="00EF20E8">
      <w:pPr>
        <w:spacing w:after="0" w:line="360" w:lineRule="auto"/>
        <w:jc w:val="center"/>
        <w:rPr>
          <w:rFonts w:ascii="Times New Roman" w:hAnsi="Times New Roman"/>
          <w:color w:val="000000"/>
          <w:sz w:val="20"/>
          <w:szCs w:val="20"/>
          <w:shd w:val="clear" w:color="auto" w:fill="FFFFFF"/>
        </w:rPr>
      </w:pPr>
      <w:r>
        <w:rPr>
          <w:rFonts w:ascii="Times New Roman" w:hAnsi="Times New Roman"/>
          <w:noProof/>
          <w:color w:val="000000"/>
          <w:sz w:val="20"/>
          <w:szCs w:val="20"/>
          <w:shd w:val="clear" w:color="auto" w:fill="FFFFFF"/>
        </w:rPr>
        <w:drawing>
          <wp:inline distT="0" distB="0" distL="0" distR="0" wp14:anchorId="727D55D7" wp14:editId="46E26425">
            <wp:extent cx="4762500" cy="1615440"/>
            <wp:effectExtent l="0" t="0" r="0" b="3810"/>
            <wp:docPr id="3526214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1615440"/>
                    </a:xfrm>
                    <a:prstGeom prst="rect">
                      <a:avLst/>
                    </a:prstGeom>
                    <a:noFill/>
                    <a:ln>
                      <a:noFill/>
                    </a:ln>
                  </pic:spPr>
                </pic:pic>
              </a:graphicData>
            </a:graphic>
          </wp:inline>
        </w:drawing>
      </w:r>
    </w:p>
    <w:p w14:paraId="37489AA9" w14:textId="77777777" w:rsidR="00EF20E8" w:rsidRPr="00EF20E8" w:rsidRDefault="00EF20E8" w:rsidP="00EF20E8">
      <w:pPr>
        <w:spacing w:line="360" w:lineRule="auto"/>
        <w:jc w:val="center"/>
        <w:rPr>
          <w:rFonts w:ascii="Times New Roman" w:hAnsi="Times New Roman" w:cs="Times New Roman"/>
          <w:noProof/>
          <w:sz w:val="20"/>
          <w:szCs w:val="20"/>
        </w:rPr>
      </w:pPr>
      <w:r w:rsidRPr="00EF20E8">
        <w:rPr>
          <w:rFonts w:ascii="Times New Roman" w:hAnsi="Times New Roman" w:cs="Times New Roman"/>
          <w:b/>
          <w:bCs/>
          <w:noProof/>
          <w:color w:val="0070C0"/>
          <w:sz w:val="20"/>
          <w:szCs w:val="20"/>
        </w:rPr>
        <w:t>Figure 5:</w:t>
      </w:r>
      <w:r w:rsidRPr="00EF20E8">
        <w:rPr>
          <w:rFonts w:ascii="Times New Roman" w:hAnsi="Times New Roman" w:cs="Times New Roman"/>
          <w:noProof/>
          <w:color w:val="0070C0"/>
          <w:sz w:val="20"/>
          <w:szCs w:val="20"/>
        </w:rPr>
        <w:t xml:space="preserve"> </w:t>
      </w:r>
      <w:r w:rsidRPr="00EF20E8">
        <w:rPr>
          <w:rFonts w:ascii="Times New Roman" w:hAnsi="Times New Roman" w:cs="Times New Roman"/>
          <w:sz w:val="20"/>
          <w:szCs w:val="20"/>
        </w:rPr>
        <w:t>Forest Plot of Slow-Flow/No-Reflow Phenomenon: IVL versus RA.</w:t>
      </w:r>
    </w:p>
    <w:p w14:paraId="776215A4" w14:textId="77777777" w:rsidR="00EF20E8" w:rsidRDefault="00EF20E8" w:rsidP="00EF20E8">
      <w:pPr>
        <w:spacing w:after="0" w:line="360" w:lineRule="auto"/>
        <w:jc w:val="both"/>
        <w:rPr>
          <w:rFonts w:ascii="Times New Roman" w:hAnsi="Times New Roman" w:cs="Times New Roman"/>
          <w:noProof/>
          <w:sz w:val="20"/>
          <w:szCs w:val="20"/>
        </w:rPr>
      </w:pPr>
      <w:r w:rsidRPr="00EF20E8">
        <w:rPr>
          <w:rFonts w:ascii="Times New Roman" w:hAnsi="Times New Roman" w:cs="Times New Roman"/>
          <w:noProof/>
          <w:sz w:val="20"/>
          <w:szCs w:val="20"/>
        </w:rPr>
        <w:t>(I² = 0%, τ² = 0, p = 0.9524), and similar outcomes on the common-effect model (Figure 5)</w:t>
      </w:r>
    </w:p>
    <w:p w14:paraId="735E8212" w14:textId="77777777" w:rsidR="00EF20E8" w:rsidRPr="00EF20E8" w:rsidRDefault="00EF20E8" w:rsidP="00EF20E8">
      <w:pPr>
        <w:spacing w:after="0" w:line="360" w:lineRule="auto"/>
        <w:jc w:val="both"/>
        <w:rPr>
          <w:rFonts w:ascii="Times New Roman" w:hAnsi="Times New Roman" w:cs="Times New Roman"/>
          <w:noProof/>
          <w:sz w:val="20"/>
          <w:szCs w:val="20"/>
        </w:rPr>
      </w:pPr>
    </w:p>
    <w:p w14:paraId="08E52307" w14:textId="77777777" w:rsidR="00EF20E8" w:rsidRPr="00EF20E8" w:rsidRDefault="00EF20E8" w:rsidP="00EF20E8">
      <w:pPr>
        <w:spacing w:after="0" w:line="360" w:lineRule="auto"/>
        <w:jc w:val="both"/>
        <w:rPr>
          <w:rFonts w:ascii="Times New Roman" w:hAnsi="Times New Roman" w:cs="Times New Roman"/>
          <w:b/>
          <w:bCs/>
          <w:noProof/>
          <w:color w:val="0070C0"/>
          <w:sz w:val="20"/>
          <w:szCs w:val="20"/>
        </w:rPr>
      </w:pPr>
      <w:r w:rsidRPr="00EF20E8">
        <w:rPr>
          <w:rFonts w:ascii="Times New Roman" w:hAnsi="Times New Roman" w:cs="Times New Roman"/>
          <w:b/>
          <w:bCs/>
          <w:noProof/>
          <w:color w:val="0070C0"/>
          <w:sz w:val="20"/>
          <w:szCs w:val="20"/>
        </w:rPr>
        <w:t>Other Outcomes</w:t>
      </w:r>
    </w:p>
    <w:p w14:paraId="597D6D20" w14:textId="77777777" w:rsidR="00EF20E8" w:rsidRDefault="00EF20E8" w:rsidP="00EF20E8">
      <w:pPr>
        <w:spacing w:after="0" w:line="360" w:lineRule="auto"/>
        <w:jc w:val="both"/>
        <w:rPr>
          <w:rFonts w:ascii="Times New Roman" w:hAnsi="Times New Roman" w:cs="Times New Roman"/>
          <w:noProof/>
          <w:sz w:val="20"/>
          <w:szCs w:val="20"/>
        </w:rPr>
      </w:pPr>
      <w:r w:rsidRPr="00EF20E8">
        <w:rPr>
          <w:rFonts w:ascii="Times New Roman" w:hAnsi="Times New Roman" w:cs="Times New Roman"/>
          <w:noProof/>
          <w:sz w:val="20"/>
          <w:szCs w:val="20"/>
        </w:rPr>
        <w:t>Studies that looked at inpatient or longer-term medical events showed that using “all” the patients yielded unreliable data.  Other terms where the data wasn’t useful due to the low numbers were “all cause” mortality, myocardial infarction, and stent thrombosis. There were no significant differences between the IVL and RA groups. None of the studies had a material effect on the results in sensitivity analyses (leave-one-out).</w:t>
      </w:r>
    </w:p>
    <w:p w14:paraId="1B1881FC" w14:textId="77777777" w:rsidR="00EF20E8" w:rsidRDefault="00EF20E8" w:rsidP="00EF20E8">
      <w:pPr>
        <w:spacing w:after="0" w:line="360" w:lineRule="auto"/>
        <w:jc w:val="both"/>
        <w:rPr>
          <w:rFonts w:ascii="Times New Roman" w:hAnsi="Times New Roman" w:cs="Times New Roman"/>
          <w:noProof/>
          <w:sz w:val="20"/>
          <w:szCs w:val="20"/>
        </w:rPr>
      </w:pPr>
    </w:p>
    <w:p w14:paraId="1A4A3088" w14:textId="24E7F95D" w:rsidR="00EF20E8" w:rsidRDefault="00EF20E8" w:rsidP="00EF20E8">
      <w:pPr>
        <w:spacing w:after="0" w:line="360" w:lineRule="auto"/>
        <w:jc w:val="center"/>
        <w:rPr>
          <w:rFonts w:ascii="Times New Roman" w:hAnsi="Times New Roman" w:cs="Times New Roman"/>
          <w:noProof/>
          <w:sz w:val="20"/>
          <w:szCs w:val="20"/>
        </w:rPr>
      </w:pPr>
      <w:r>
        <w:rPr>
          <w:rFonts w:ascii="Times New Roman" w:hAnsi="Times New Roman" w:cs="Times New Roman"/>
          <w:noProof/>
          <w:sz w:val="20"/>
          <w:szCs w:val="20"/>
        </w:rPr>
        <w:lastRenderedPageBreak/>
        <w:drawing>
          <wp:inline distT="0" distB="0" distL="0" distR="0" wp14:anchorId="64FB8084" wp14:editId="11C9255A">
            <wp:extent cx="3543300" cy="1583925"/>
            <wp:effectExtent l="0" t="0" r="0" b="0"/>
            <wp:docPr id="17684951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53433" cy="1588455"/>
                    </a:xfrm>
                    <a:prstGeom prst="rect">
                      <a:avLst/>
                    </a:prstGeom>
                    <a:noFill/>
                    <a:ln>
                      <a:noFill/>
                    </a:ln>
                  </pic:spPr>
                </pic:pic>
              </a:graphicData>
            </a:graphic>
          </wp:inline>
        </w:drawing>
      </w:r>
    </w:p>
    <w:p w14:paraId="03D3C8E8" w14:textId="77777777" w:rsidR="002969D9" w:rsidRDefault="00EF20E8" w:rsidP="002969D9">
      <w:pPr>
        <w:spacing w:line="360" w:lineRule="auto"/>
        <w:jc w:val="center"/>
        <w:rPr>
          <w:rFonts w:ascii="Times New Roman" w:hAnsi="Times New Roman" w:cs="Times New Roman"/>
          <w:sz w:val="20"/>
          <w:szCs w:val="20"/>
        </w:rPr>
      </w:pPr>
      <w:r w:rsidRPr="00EF20E8">
        <w:rPr>
          <w:rFonts w:ascii="Times New Roman" w:hAnsi="Times New Roman" w:cs="Times New Roman"/>
          <w:b/>
          <w:bCs/>
          <w:color w:val="0070C0"/>
          <w:sz w:val="20"/>
          <w:szCs w:val="20"/>
        </w:rPr>
        <w:t>Figure 6:</w:t>
      </w:r>
      <w:r w:rsidRPr="00EF20E8">
        <w:rPr>
          <w:rFonts w:ascii="Times New Roman" w:hAnsi="Times New Roman" w:cs="Times New Roman"/>
          <w:color w:val="0070C0"/>
          <w:sz w:val="20"/>
          <w:szCs w:val="20"/>
        </w:rPr>
        <w:t xml:space="preserve"> </w:t>
      </w:r>
      <w:r w:rsidRPr="00EF20E8">
        <w:rPr>
          <w:rFonts w:ascii="Times New Roman" w:hAnsi="Times New Roman" w:cs="Times New Roman"/>
          <w:sz w:val="20"/>
          <w:szCs w:val="20"/>
        </w:rPr>
        <w:t>Overall, Forest Plot Summary of Procedural Success (RR &gt; 1 Favors IVL).</w:t>
      </w:r>
    </w:p>
    <w:p w14:paraId="36876B67" w14:textId="40186B29" w:rsidR="00EF20E8" w:rsidRDefault="00EF20E8" w:rsidP="002969D9">
      <w:pPr>
        <w:spacing w:after="0" w:line="360" w:lineRule="auto"/>
        <w:jc w:val="both"/>
        <w:rPr>
          <w:rFonts w:ascii="Times New Roman" w:hAnsi="Times New Roman" w:cs="Times New Roman"/>
          <w:sz w:val="20"/>
          <w:szCs w:val="20"/>
        </w:rPr>
      </w:pPr>
      <w:r w:rsidRPr="004F7B9E">
        <w:rPr>
          <w:rFonts w:ascii="Times New Roman" w:hAnsi="Times New Roman" w:cs="Times New Roman"/>
        </w:rPr>
        <w:br/>
      </w:r>
      <w:r w:rsidRPr="00EF20E8">
        <w:rPr>
          <w:rFonts w:ascii="Times New Roman" w:hAnsi="Times New Roman" w:cs="Times New Roman"/>
          <w:sz w:val="20"/>
          <w:szCs w:val="20"/>
        </w:rPr>
        <w:t>The forest plot summarizes the combined results of the included studies regarding procedural success. The vertical line indicates no difference between treatments (RR = 1). Results to the right of this line (RR &gt; 1) suggest that intravascular lithotripsy (IVL) is advantageous. The combined random effects estimate shows that IVL leads to a statistically noticeable increase in procedural success compared to rotational atherectomy (RA), with very little variability between the studies (I² = 0%).</w:t>
      </w:r>
    </w:p>
    <w:p w14:paraId="4650982D" w14:textId="77777777" w:rsidR="00EF20E8" w:rsidRDefault="00EF20E8" w:rsidP="00EF20E8">
      <w:pPr>
        <w:spacing w:after="0" w:line="360" w:lineRule="auto"/>
        <w:jc w:val="both"/>
        <w:rPr>
          <w:rFonts w:ascii="Times New Roman" w:hAnsi="Times New Roman" w:cs="Times New Roman"/>
          <w:sz w:val="20"/>
          <w:szCs w:val="20"/>
        </w:rPr>
      </w:pPr>
    </w:p>
    <w:p w14:paraId="765103A4" w14:textId="77777777" w:rsidR="00EF20E8" w:rsidRPr="00EF20E8" w:rsidRDefault="00EF20E8" w:rsidP="00FC068B">
      <w:pPr>
        <w:spacing w:after="0" w:line="360" w:lineRule="auto"/>
        <w:jc w:val="both"/>
        <w:rPr>
          <w:rFonts w:ascii="Times New Roman" w:hAnsi="Times New Roman" w:cs="Times New Roman"/>
          <w:b/>
          <w:bCs/>
          <w:color w:val="0070C0"/>
          <w:sz w:val="22"/>
          <w:szCs w:val="22"/>
        </w:rPr>
      </w:pPr>
      <w:r w:rsidRPr="00EF20E8">
        <w:rPr>
          <w:rFonts w:ascii="Times New Roman" w:hAnsi="Times New Roman" w:cs="Times New Roman"/>
          <w:b/>
          <w:bCs/>
          <w:color w:val="0070C0"/>
          <w:sz w:val="22"/>
          <w:szCs w:val="22"/>
        </w:rPr>
        <w:t>Discussion</w:t>
      </w:r>
    </w:p>
    <w:p w14:paraId="78BD0209" w14:textId="5F1EDEE7" w:rsidR="00EF20E8" w:rsidRDefault="00EF20E8" w:rsidP="00EF20E8">
      <w:pPr>
        <w:spacing w:after="0" w:line="360" w:lineRule="auto"/>
        <w:jc w:val="both"/>
        <w:rPr>
          <w:rFonts w:ascii="Times New Roman" w:hAnsi="Times New Roman" w:cs="Times New Roman"/>
          <w:sz w:val="20"/>
          <w:szCs w:val="20"/>
        </w:rPr>
      </w:pPr>
      <w:r w:rsidRPr="00EF20E8">
        <w:rPr>
          <w:rFonts w:ascii="Times New Roman" w:hAnsi="Times New Roman" w:cs="Times New Roman"/>
          <w:sz w:val="20"/>
          <w:szCs w:val="20"/>
        </w:rPr>
        <w:t xml:space="preserve">When taken as a whole, these five studies have reported a reasonably small but statistically significant enhancement in procedural success (pooled risk ratio [RR] 1.03, 95% confidence interval [CI] 1.01–1.06; I2 = 0%, τ2 &lt; 0.0001, p = 0.5165). Evidently, the results of the subgroup analyses demonstrated no significant interaction between study designs. Furthermore, these results point towards a plausible preference for operators to utilize the intravascular lithotripsy (IVL) device application on more anatomically complex lesions in a “real-world” setting.  Many </w:t>
      </w:r>
      <w:r w:rsidR="002969D9" w:rsidRPr="00EF20E8">
        <w:rPr>
          <w:rFonts w:ascii="Times New Roman" w:hAnsi="Times New Roman" w:cs="Times New Roman"/>
          <w:sz w:val="20"/>
          <w:szCs w:val="20"/>
        </w:rPr>
        <w:t>large</w:t>
      </w:r>
      <w:r w:rsidRPr="00EF20E8">
        <w:rPr>
          <w:rFonts w:ascii="Times New Roman" w:hAnsi="Times New Roman" w:cs="Times New Roman"/>
          <w:sz w:val="20"/>
          <w:szCs w:val="20"/>
        </w:rPr>
        <w:t xml:space="preserve"> newer meta-analyses have come to this conclusion. In a recent meta-synthesis focusing on coronary artery calcification, Kayani et al (2025) reported a similar modest association of IVL with procedural success (RR 1.04, 95% CI 1.02–1.06; p = 0.0004) again. According to Pleva et al (2025) [35]. The pooled advantages of IVL for successful procedures were modest.</w:t>
      </w:r>
      <w:r>
        <w:rPr>
          <w:rFonts w:ascii="Times New Roman" w:hAnsi="Times New Roman" w:cs="Times New Roman"/>
          <w:sz w:val="20"/>
          <w:szCs w:val="20"/>
        </w:rPr>
        <w:t xml:space="preserve"> </w:t>
      </w:r>
      <w:r w:rsidRPr="00EF20E8">
        <w:rPr>
          <w:rFonts w:ascii="Times New Roman" w:hAnsi="Times New Roman" w:cs="Times New Roman"/>
          <w:sz w:val="20"/>
          <w:szCs w:val="20"/>
        </w:rPr>
        <w:t xml:space="preserve">Because of the negligible heterogeneity (I2 = 0%) and the narrow prediction interval ([1.00; 1.07]), there seems to be a reassurance of the presence of this modest but reproducible difference, which is apparent despite the limited number of direct head-to-head randomized trials analysed here. For periprocedural safety, we observed that the risk of coronary perforation was numerically lower with IVL (pooled RR: 0.57, 95% CI 0.20-1.62; I2=0%, τ2=0; p=0.9508), although the confidence interval includes unity due to low event rates and overall modest sample size. This directional indication receives very strong support from the much larger bodies of evidence: Moghadam et al. (2025) [38] found very significantly reduced perforation risk with IVL with an OR of 0.43 (95% CI 0.32–0.57; p &lt; 0.001). There were no major differences between IVL and RA for the longer-term clinical outcome events of major adverse cardiac </w:t>
      </w:r>
      <w:r w:rsidR="002969D9" w:rsidRPr="00EF20E8">
        <w:rPr>
          <w:rFonts w:ascii="Times New Roman" w:hAnsi="Times New Roman" w:cs="Times New Roman"/>
          <w:sz w:val="20"/>
          <w:szCs w:val="20"/>
        </w:rPr>
        <w:t>events</w:t>
      </w:r>
      <w:r w:rsidRPr="00EF20E8">
        <w:rPr>
          <w:rFonts w:ascii="Times New Roman" w:hAnsi="Times New Roman" w:cs="Times New Roman"/>
          <w:sz w:val="20"/>
          <w:szCs w:val="20"/>
        </w:rPr>
        <w:t xml:space="preserve"> (MACE), all-cause mortality, myocardial infarction, target lesion </w:t>
      </w:r>
      <w:r w:rsidR="002969D9" w:rsidRPr="00EF20E8">
        <w:rPr>
          <w:rFonts w:ascii="Times New Roman" w:hAnsi="Times New Roman" w:cs="Times New Roman"/>
          <w:sz w:val="20"/>
          <w:szCs w:val="20"/>
        </w:rPr>
        <w:t>revascularization</w:t>
      </w:r>
      <w:r w:rsidRPr="00EF20E8">
        <w:rPr>
          <w:rFonts w:ascii="Times New Roman" w:hAnsi="Times New Roman" w:cs="Times New Roman"/>
          <w:sz w:val="20"/>
          <w:szCs w:val="20"/>
        </w:rPr>
        <w:t xml:space="preserve"> (TLR), and stent thrombosis. These were amino acid bases not diverging within the recent meta-analysis. There was an equal risk of MACE (OR 0.81, 95% CI 0.57–1.16; p=0.26), as well as no difference in the rate of mortality, myocardial infarction, stroke, and repeat </w:t>
      </w:r>
      <w:r w:rsidR="002969D9" w:rsidRPr="00EF20E8">
        <w:rPr>
          <w:rFonts w:ascii="Times New Roman" w:hAnsi="Times New Roman" w:cs="Times New Roman"/>
          <w:sz w:val="20"/>
          <w:szCs w:val="20"/>
        </w:rPr>
        <w:t>revascularization</w:t>
      </w:r>
      <w:r w:rsidRPr="00EF20E8">
        <w:rPr>
          <w:rFonts w:ascii="Times New Roman" w:hAnsi="Times New Roman" w:cs="Times New Roman"/>
          <w:sz w:val="20"/>
          <w:szCs w:val="20"/>
        </w:rPr>
        <w:t xml:space="preserve">. Suruagy-Motta et </w:t>
      </w:r>
      <w:r w:rsidRPr="00EF20E8">
        <w:rPr>
          <w:rFonts w:ascii="Times New Roman" w:hAnsi="Times New Roman" w:cs="Times New Roman"/>
          <w:sz w:val="20"/>
          <w:szCs w:val="20"/>
        </w:rPr>
        <w:lastRenderedPageBreak/>
        <w:t>al. (2025) [1</w:t>
      </w:r>
      <w:r w:rsidR="002969D9" w:rsidRPr="00EF20E8">
        <w:rPr>
          <w:rFonts w:ascii="Times New Roman" w:hAnsi="Times New Roman" w:cs="Times New Roman"/>
          <w:sz w:val="20"/>
          <w:szCs w:val="20"/>
        </w:rPr>
        <w:t>] reported</w:t>
      </w:r>
      <w:r w:rsidRPr="00EF20E8">
        <w:rPr>
          <w:rFonts w:ascii="Times New Roman" w:hAnsi="Times New Roman" w:cs="Times New Roman"/>
          <w:sz w:val="20"/>
          <w:szCs w:val="20"/>
        </w:rPr>
        <w:t xml:space="preserve"> similar findings in that they observed no significant differences in hard cardiovascular outcomes, whereby most of the pooled estimates crossed unity in the forest plots and statistical heterogeneity was similarly low.</w:t>
      </w:r>
      <w:r>
        <w:rPr>
          <w:rFonts w:ascii="Times New Roman" w:hAnsi="Times New Roman" w:cs="Times New Roman"/>
          <w:sz w:val="20"/>
          <w:szCs w:val="20"/>
        </w:rPr>
        <w:t xml:space="preserve"> </w:t>
      </w:r>
      <w:r w:rsidRPr="00EF20E8">
        <w:rPr>
          <w:rFonts w:ascii="Times New Roman" w:hAnsi="Times New Roman" w:cs="Times New Roman"/>
          <w:sz w:val="20"/>
          <w:szCs w:val="20"/>
        </w:rPr>
        <w:t xml:space="preserve">Based on the currently available comparative clinical data, the above results indicate that the acute procedural and safety advantages of IVL may not confer long-term clinical benefits. Due to </w:t>
      </w:r>
      <w:r w:rsidR="002969D9" w:rsidRPr="00EF20E8">
        <w:rPr>
          <w:rFonts w:ascii="Times New Roman" w:hAnsi="Times New Roman" w:cs="Times New Roman"/>
          <w:sz w:val="20"/>
          <w:szCs w:val="20"/>
        </w:rPr>
        <w:t>divergent</w:t>
      </w:r>
      <w:r w:rsidRPr="00EF20E8">
        <w:rPr>
          <w:rFonts w:ascii="Times New Roman" w:hAnsi="Times New Roman" w:cs="Times New Roman"/>
          <w:sz w:val="20"/>
          <w:szCs w:val="20"/>
        </w:rPr>
        <w:t xml:space="preserve"> technology, the above differences are mechanistically explicable. IVL provides pulsatile sonic waves through a balloon that can circumferentially fracture intimal and medial calcium with little direct contact between the device and vessel wall, and little generation of heat or distal </w:t>
      </w:r>
      <w:r w:rsidR="002969D9" w:rsidRPr="00EF20E8">
        <w:rPr>
          <w:rFonts w:ascii="Times New Roman" w:hAnsi="Times New Roman" w:cs="Times New Roman"/>
          <w:sz w:val="20"/>
          <w:szCs w:val="20"/>
        </w:rPr>
        <w:t>embolization</w:t>
      </w:r>
      <w:r w:rsidRPr="00EF20E8">
        <w:rPr>
          <w:rFonts w:ascii="Times New Roman" w:hAnsi="Times New Roman" w:cs="Times New Roman"/>
          <w:sz w:val="20"/>
          <w:szCs w:val="20"/>
        </w:rPr>
        <w:t>. On the contrary, RA entails the use of a high-speed, abrasively debulking device that rotates upward.</w:t>
      </w:r>
      <w:r>
        <w:rPr>
          <w:rFonts w:ascii="Times New Roman" w:hAnsi="Times New Roman" w:cs="Times New Roman"/>
          <w:sz w:val="20"/>
          <w:szCs w:val="20"/>
        </w:rPr>
        <w:t xml:space="preserve"> </w:t>
      </w:r>
      <w:r w:rsidRPr="00EF20E8">
        <w:rPr>
          <w:rFonts w:ascii="Times New Roman" w:hAnsi="Times New Roman" w:cs="Times New Roman"/>
          <w:sz w:val="20"/>
          <w:szCs w:val="20"/>
        </w:rPr>
        <w:t xml:space="preserve">These findings can be attributed to the basic differences in the mechanism of action and procedural techniques of RA versus IVL.  The burr’s associated high-speed rotation is responsible for a greater incidence of slow/no-reflow as compared to IVL, due to many more intimal defects being produced, </w:t>
      </w:r>
      <w:r w:rsidR="002969D9" w:rsidRPr="00EF20E8">
        <w:rPr>
          <w:rFonts w:ascii="Times New Roman" w:hAnsi="Times New Roman" w:cs="Times New Roman"/>
          <w:sz w:val="20"/>
          <w:szCs w:val="20"/>
        </w:rPr>
        <w:t>and</w:t>
      </w:r>
      <w:r w:rsidRPr="00EF20E8">
        <w:rPr>
          <w:rFonts w:ascii="Times New Roman" w:hAnsi="Times New Roman" w:cs="Times New Roman"/>
          <w:sz w:val="20"/>
          <w:szCs w:val="20"/>
        </w:rPr>
        <w:t xml:space="preserve"> due to transient platelet aggregation and thrombus formation [39]. In addition, the circumferential and transmural nature of IVL’’s mechanism of action guided calcific fracture avoids ejectment of eccentrically or longitudinally biased deep dissections. These intrinsic differences may explain the significant association of IVL with shorter procedure/fluoro times, lower contrast volumes, and better vessel outcome [1</w:t>
      </w:r>
      <w:r w:rsidR="002969D9">
        <w:rPr>
          <w:rFonts w:ascii="Times New Roman" w:hAnsi="Times New Roman" w:cs="Times New Roman"/>
          <w:sz w:val="20"/>
          <w:szCs w:val="20"/>
        </w:rPr>
        <w:t>-</w:t>
      </w:r>
      <w:r w:rsidRPr="00EF20E8">
        <w:rPr>
          <w:rFonts w:ascii="Times New Roman" w:hAnsi="Times New Roman" w:cs="Times New Roman"/>
          <w:sz w:val="20"/>
          <w:szCs w:val="20"/>
        </w:rPr>
        <w:t>38]</w:t>
      </w:r>
      <w:r w:rsidR="002969D9">
        <w:rPr>
          <w:rFonts w:ascii="Times New Roman" w:hAnsi="Times New Roman" w:cs="Times New Roman"/>
          <w:sz w:val="20"/>
          <w:szCs w:val="20"/>
        </w:rPr>
        <w:t xml:space="preserve">. </w:t>
      </w:r>
      <w:r w:rsidRPr="00EF20E8">
        <w:rPr>
          <w:rFonts w:ascii="Times New Roman" w:hAnsi="Times New Roman" w:cs="Times New Roman"/>
          <w:sz w:val="20"/>
          <w:szCs w:val="20"/>
        </w:rPr>
        <w:t>We must keep in mind several limitations. As an emerging therapeutic area for severely calcified lesions, a modest number and size of studies included (particularly randomized controlled trials) were in the field. All observational comparative studies exhibited a risk of confounding and selection bias because IVL use was often chosen for higher-risk anatomical scenarios. Event rates for most rare complications were low, so that precise estimation of relative risks was not possible. Researchers analyzed data at the aggregate study level rather than at the individual patient level, according to the authors.</w:t>
      </w:r>
      <w:r>
        <w:rPr>
          <w:rFonts w:ascii="Times New Roman" w:hAnsi="Times New Roman" w:cs="Times New Roman"/>
          <w:sz w:val="20"/>
          <w:szCs w:val="20"/>
        </w:rPr>
        <w:t xml:space="preserve"> </w:t>
      </w:r>
      <w:r w:rsidRPr="00EF20E8">
        <w:rPr>
          <w:rFonts w:ascii="Times New Roman" w:hAnsi="Times New Roman" w:cs="Times New Roman"/>
          <w:sz w:val="20"/>
          <w:szCs w:val="20"/>
        </w:rPr>
        <w:t>Larger, adequately powered head-to-head randomized trials will be required to confirm these signals. Moreover, cost-effectiveness studies will be needed, along with measures of safety, durability, and clinical outcomes beyond 1–2 years. For instance, the ROLLER COASTER-EPIC22 trial recently reported by Jurado-Román et al. (2025) [37] showed comparable one-year MACE and noninferior stent expansion with IVL. Also, studies of hybrid approaches, for example, IVL plus RA for focal or nodular calcification, will also be welcome. Until such data are available, the building evidence supports IVL as a safer, vessel-preserving alternative.</w:t>
      </w:r>
    </w:p>
    <w:p w14:paraId="1AF562DA" w14:textId="77777777" w:rsidR="00EF20E8" w:rsidRPr="00EF20E8" w:rsidRDefault="00EF20E8" w:rsidP="00EF20E8">
      <w:pPr>
        <w:spacing w:after="0" w:line="360" w:lineRule="auto"/>
        <w:jc w:val="both"/>
        <w:rPr>
          <w:rFonts w:ascii="Times New Roman" w:hAnsi="Times New Roman" w:cs="Times New Roman"/>
          <w:color w:val="0070C0"/>
          <w:sz w:val="22"/>
          <w:szCs w:val="22"/>
        </w:rPr>
      </w:pPr>
    </w:p>
    <w:p w14:paraId="61CCFD17" w14:textId="77777777" w:rsidR="00EF20E8" w:rsidRPr="00EF20E8" w:rsidRDefault="00EF20E8" w:rsidP="00EF20E8">
      <w:pPr>
        <w:spacing w:after="0" w:line="360" w:lineRule="auto"/>
        <w:jc w:val="both"/>
        <w:rPr>
          <w:rFonts w:ascii="Times New Roman" w:hAnsi="Times New Roman" w:cs="Times New Roman"/>
          <w:b/>
          <w:bCs/>
          <w:color w:val="0070C0"/>
          <w:sz w:val="22"/>
          <w:szCs w:val="22"/>
        </w:rPr>
      </w:pPr>
      <w:r w:rsidRPr="00EF20E8">
        <w:rPr>
          <w:rFonts w:ascii="Times New Roman" w:hAnsi="Times New Roman" w:cs="Times New Roman"/>
          <w:b/>
          <w:bCs/>
          <w:color w:val="0070C0"/>
          <w:sz w:val="22"/>
          <w:szCs w:val="22"/>
        </w:rPr>
        <w:t>Conclusion</w:t>
      </w:r>
    </w:p>
    <w:p w14:paraId="101652B8" w14:textId="77777777" w:rsidR="00EF20E8" w:rsidRPr="00EF20E8" w:rsidRDefault="00EF20E8" w:rsidP="00EF20E8">
      <w:pPr>
        <w:spacing w:after="0" w:line="360" w:lineRule="auto"/>
        <w:jc w:val="both"/>
        <w:rPr>
          <w:rFonts w:ascii="Times New Roman" w:hAnsi="Times New Roman" w:cs="Times New Roman"/>
          <w:sz w:val="20"/>
          <w:szCs w:val="20"/>
        </w:rPr>
      </w:pPr>
      <w:r w:rsidRPr="00EF20E8">
        <w:rPr>
          <w:rFonts w:ascii="Times New Roman" w:hAnsi="Times New Roman" w:cs="Times New Roman"/>
          <w:sz w:val="20"/>
          <w:szCs w:val="20"/>
        </w:rPr>
        <w:t>This review and study suggest that when dealing with severely calcified coronary lesions, intravascular lithotripsy leads to better procedure results and fewer complications during the procedure, like coronary perforation and slow or no blood flow, when compared to rotational atherectomy. Since it's easy to use and appears safer, IVL should be strongly considered as the initial approach for modifying the lesion in these high-risk patients.</w:t>
      </w:r>
    </w:p>
    <w:p w14:paraId="322096FC" w14:textId="77777777" w:rsidR="00EF20E8" w:rsidRDefault="00EF20E8" w:rsidP="00EF20E8">
      <w:pPr>
        <w:rPr>
          <w:rFonts w:ascii="Times New Roman" w:hAnsi="Times New Roman" w:cs="Times New Roman"/>
        </w:rPr>
      </w:pPr>
    </w:p>
    <w:p w14:paraId="274D1C36" w14:textId="0346C8ED" w:rsidR="00EF20E8" w:rsidRPr="00EF20E8" w:rsidRDefault="00FC068B" w:rsidP="00EF20E8">
      <w:pPr>
        <w:spacing w:after="0" w:line="360" w:lineRule="auto"/>
        <w:jc w:val="both"/>
        <w:rPr>
          <w:rFonts w:ascii="Times New Roman" w:hAnsi="Times New Roman" w:cs="Times New Roman"/>
          <w:b/>
          <w:bCs/>
          <w:color w:val="0070C0"/>
          <w:sz w:val="20"/>
          <w:szCs w:val="20"/>
        </w:rPr>
      </w:pPr>
      <w:r w:rsidRPr="00EF20E8">
        <w:rPr>
          <w:rFonts w:ascii="Times New Roman" w:hAnsi="Times New Roman" w:cs="Times New Roman"/>
          <w:b/>
          <w:bCs/>
          <w:color w:val="0070C0"/>
          <w:sz w:val="20"/>
          <w:szCs w:val="20"/>
        </w:rPr>
        <w:t>Author Contributions</w:t>
      </w:r>
    </w:p>
    <w:p w14:paraId="54401537" w14:textId="77777777" w:rsidR="00EF20E8" w:rsidRPr="00575188" w:rsidRDefault="00EF20E8" w:rsidP="00EF20E8">
      <w:pPr>
        <w:spacing w:after="0" w:line="360" w:lineRule="auto"/>
        <w:jc w:val="both"/>
        <w:rPr>
          <w:rFonts w:ascii="Times New Roman" w:hAnsi="Times New Roman" w:cs="Times New Roman"/>
          <w:sz w:val="20"/>
          <w:szCs w:val="20"/>
        </w:rPr>
      </w:pPr>
      <w:r w:rsidRPr="00575188">
        <w:rPr>
          <w:rFonts w:ascii="Times New Roman" w:hAnsi="Times New Roman" w:cs="Times New Roman"/>
          <w:sz w:val="20"/>
          <w:szCs w:val="20"/>
        </w:rPr>
        <w:t>All authors contributed substantially to the conception and design of the study.</w:t>
      </w:r>
    </w:p>
    <w:p w14:paraId="323F42BB" w14:textId="77777777" w:rsidR="00FC068B" w:rsidRDefault="00FC068B" w:rsidP="00EF20E8">
      <w:pPr>
        <w:spacing w:after="0" w:line="360" w:lineRule="auto"/>
        <w:jc w:val="both"/>
        <w:rPr>
          <w:rFonts w:ascii="Times New Roman" w:hAnsi="Times New Roman" w:cs="Times New Roman"/>
          <w:sz w:val="20"/>
          <w:szCs w:val="20"/>
        </w:rPr>
      </w:pPr>
    </w:p>
    <w:p w14:paraId="397AB167" w14:textId="4D96EE42" w:rsidR="00EF20E8" w:rsidRPr="00575188" w:rsidRDefault="00EF20E8" w:rsidP="00EF20E8">
      <w:pPr>
        <w:spacing w:after="0" w:line="360" w:lineRule="auto"/>
        <w:jc w:val="both"/>
        <w:rPr>
          <w:rFonts w:ascii="Times New Roman" w:hAnsi="Times New Roman" w:cs="Times New Roman"/>
          <w:sz w:val="20"/>
          <w:szCs w:val="20"/>
        </w:rPr>
      </w:pPr>
      <w:r w:rsidRPr="00FC068B">
        <w:rPr>
          <w:rFonts w:ascii="Times New Roman" w:hAnsi="Times New Roman" w:cs="Times New Roman"/>
          <w:sz w:val="20"/>
          <w:szCs w:val="20"/>
        </w:rPr>
        <w:lastRenderedPageBreak/>
        <w:t>Souzan Al Bitar, Shabnam Abdulaziz Memon, Divya Bandi, and Ghazala S. Virk helped search for literature, pull data, and write the first version of the paper</w:t>
      </w:r>
      <w:r w:rsidRPr="00575188">
        <w:rPr>
          <w:rFonts w:ascii="Times New Roman" w:hAnsi="Times New Roman" w:cs="Times New Roman"/>
          <w:sz w:val="20"/>
          <w:szCs w:val="20"/>
        </w:rPr>
        <w:t>.</w:t>
      </w:r>
    </w:p>
    <w:p w14:paraId="32F48EC4" w14:textId="77777777" w:rsidR="00EF20E8" w:rsidRPr="00FC068B" w:rsidRDefault="00EF20E8" w:rsidP="00EF20E8">
      <w:pPr>
        <w:spacing w:after="0" w:line="360" w:lineRule="auto"/>
        <w:jc w:val="both"/>
        <w:rPr>
          <w:rFonts w:ascii="Times New Roman" w:hAnsi="Times New Roman" w:cs="Times New Roman"/>
          <w:sz w:val="20"/>
          <w:szCs w:val="20"/>
        </w:rPr>
      </w:pPr>
      <w:r w:rsidRPr="00FC068B">
        <w:rPr>
          <w:rFonts w:ascii="Times New Roman" w:hAnsi="Times New Roman" w:cs="Times New Roman"/>
          <w:sz w:val="20"/>
          <w:szCs w:val="20"/>
        </w:rPr>
        <w:t>Aneek Ghosh, Aminul H. Chowdhury, Abdul Eizad Asif, and Ahmed Mubarak checked the data, analyzed the statistics, and reviewed the paper, adding their crucial ideas.</w:t>
      </w:r>
    </w:p>
    <w:p w14:paraId="6B15C094" w14:textId="77777777" w:rsidR="00EF20E8" w:rsidRPr="00FC068B" w:rsidRDefault="00EF20E8" w:rsidP="00EF20E8">
      <w:pPr>
        <w:spacing w:after="0" w:line="360" w:lineRule="auto"/>
        <w:jc w:val="both"/>
        <w:rPr>
          <w:rFonts w:ascii="Times New Roman" w:hAnsi="Times New Roman" w:cs="Times New Roman"/>
          <w:sz w:val="20"/>
          <w:szCs w:val="20"/>
        </w:rPr>
      </w:pPr>
      <w:r w:rsidRPr="00FC068B">
        <w:rPr>
          <w:rFonts w:ascii="Times New Roman" w:hAnsi="Times New Roman" w:cs="Times New Roman"/>
          <w:sz w:val="20"/>
          <w:szCs w:val="20"/>
        </w:rPr>
        <w:t>Amogh Verma (Corresponding Author) oversaw the research, created the methods, supervised the statistics, drafted the paper, and gave the final okay for submission.</w:t>
      </w:r>
    </w:p>
    <w:p w14:paraId="3C89E3A1" w14:textId="77777777" w:rsidR="00EF20E8" w:rsidRPr="00FC068B" w:rsidRDefault="00EF20E8" w:rsidP="00EF20E8">
      <w:pPr>
        <w:spacing w:after="0" w:line="360" w:lineRule="auto"/>
        <w:jc w:val="both"/>
        <w:rPr>
          <w:rFonts w:ascii="Times New Roman" w:hAnsi="Times New Roman" w:cs="Times New Roman"/>
          <w:sz w:val="20"/>
          <w:szCs w:val="20"/>
        </w:rPr>
      </w:pPr>
      <w:r w:rsidRPr="00FC068B">
        <w:rPr>
          <w:rFonts w:ascii="Times New Roman" w:hAnsi="Times New Roman" w:cs="Times New Roman"/>
          <w:sz w:val="20"/>
          <w:szCs w:val="20"/>
        </w:rPr>
        <w:t>All authors read and approved the final paper and are responsible for every part of this work.</w:t>
      </w:r>
    </w:p>
    <w:p w14:paraId="10EE66B1" w14:textId="77777777" w:rsidR="00EF20E8" w:rsidRPr="00575188" w:rsidRDefault="00EF20E8" w:rsidP="00EF20E8">
      <w:pPr>
        <w:spacing w:after="0" w:line="360" w:lineRule="auto"/>
        <w:jc w:val="both"/>
        <w:rPr>
          <w:rFonts w:ascii="Times New Roman" w:hAnsi="Times New Roman" w:cs="Times New Roman"/>
          <w:sz w:val="20"/>
          <w:szCs w:val="20"/>
        </w:rPr>
      </w:pPr>
    </w:p>
    <w:p w14:paraId="24E6478E" w14:textId="6DE15F32" w:rsidR="00EF20E8" w:rsidRPr="00575188" w:rsidRDefault="00FC068B" w:rsidP="00EF20E8">
      <w:pPr>
        <w:spacing w:after="0" w:line="360" w:lineRule="auto"/>
        <w:jc w:val="both"/>
        <w:rPr>
          <w:rFonts w:ascii="Times New Roman" w:hAnsi="Times New Roman" w:cs="Times New Roman"/>
          <w:b/>
          <w:bCs/>
          <w:color w:val="0070C0"/>
          <w:sz w:val="20"/>
          <w:szCs w:val="20"/>
        </w:rPr>
      </w:pPr>
      <w:r w:rsidRPr="00575188">
        <w:rPr>
          <w:rFonts w:ascii="Times New Roman" w:hAnsi="Times New Roman" w:cs="Times New Roman"/>
          <w:b/>
          <w:bCs/>
          <w:color w:val="0070C0"/>
          <w:sz w:val="20"/>
          <w:szCs w:val="20"/>
        </w:rPr>
        <w:t xml:space="preserve">Declaration </w:t>
      </w:r>
      <w:r>
        <w:rPr>
          <w:rFonts w:ascii="Times New Roman" w:hAnsi="Times New Roman" w:cs="Times New Roman"/>
          <w:b/>
          <w:bCs/>
          <w:color w:val="0070C0"/>
          <w:sz w:val="20"/>
          <w:szCs w:val="20"/>
        </w:rPr>
        <w:t>o</w:t>
      </w:r>
      <w:r w:rsidRPr="00575188">
        <w:rPr>
          <w:rFonts w:ascii="Times New Roman" w:hAnsi="Times New Roman" w:cs="Times New Roman"/>
          <w:b/>
          <w:bCs/>
          <w:color w:val="0070C0"/>
          <w:sz w:val="20"/>
          <w:szCs w:val="20"/>
        </w:rPr>
        <w:t xml:space="preserve">f </w:t>
      </w:r>
      <w:r>
        <w:rPr>
          <w:rFonts w:ascii="Times New Roman" w:hAnsi="Times New Roman" w:cs="Times New Roman"/>
          <w:b/>
          <w:bCs/>
          <w:color w:val="0070C0"/>
          <w:sz w:val="20"/>
          <w:szCs w:val="20"/>
        </w:rPr>
        <w:t>c</w:t>
      </w:r>
      <w:r w:rsidRPr="00575188">
        <w:rPr>
          <w:rFonts w:ascii="Times New Roman" w:hAnsi="Times New Roman" w:cs="Times New Roman"/>
          <w:b/>
          <w:bCs/>
          <w:color w:val="0070C0"/>
          <w:sz w:val="20"/>
          <w:szCs w:val="20"/>
        </w:rPr>
        <w:t xml:space="preserve">onflicting </w:t>
      </w:r>
      <w:r>
        <w:rPr>
          <w:rFonts w:ascii="Times New Roman" w:hAnsi="Times New Roman" w:cs="Times New Roman"/>
          <w:b/>
          <w:bCs/>
          <w:color w:val="0070C0"/>
          <w:sz w:val="20"/>
          <w:szCs w:val="20"/>
        </w:rPr>
        <w:t>i</w:t>
      </w:r>
      <w:r w:rsidRPr="00575188">
        <w:rPr>
          <w:rFonts w:ascii="Times New Roman" w:hAnsi="Times New Roman" w:cs="Times New Roman"/>
          <w:b/>
          <w:bCs/>
          <w:color w:val="0070C0"/>
          <w:sz w:val="20"/>
          <w:szCs w:val="20"/>
        </w:rPr>
        <w:t>nterests</w:t>
      </w:r>
    </w:p>
    <w:p w14:paraId="3153CF5B" w14:textId="77777777" w:rsidR="00EF20E8" w:rsidRPr="00575188" w:rsidRDefault="00EF20E8" w:rsidP="00EF20E8">
      <w:pPr>
        <w:spacing w:after="0" w:line="360" w:lineRule="auto"/>
        <w:jc w:val="both"/>
        <w:rPr>
          <w:rFonts w:ascii="Times New Roman" w:hAnsi="Times New Roman" w:cs="Times New Roman"/>
          <w:sz w:val="20"/>
          <w:szCs w:val="20"/>
        </w:rPr>
      </w:pPr>
      <w:r w:rsidRPr="00575188">
        <w:rPr>
          <w:rFonts w:ascii="Times New Roman" w:hAnsi="Times New Roman" w:cs="Times New Roman"/>
          <w:sz w:val="20"/>
          <w:szCs w:val="20"/>
        </w:rPr>
        <w:t>The authors state that they have no conflicts of interest related to this work. They have no financial ties or ownership stakes in companies that produce intravascular lithotripsy or rotational atherectomy devices that could bias the results or interpretation of this study.</w:t>
      </w:r>
    </w:p>
    <w:p w14:paraId="77469572" w14:textId="77777777" w:rsidR="00EF20E8" w:rsidRPr="00980E51" w:rsidRDefault="00EF20E8" w:rsidP="00EF20E8">
      <w:pPr>
        <w:spacing w:after="0" w:line="360" w:lineRule="auto"/>
        <w:jc w:val="both"/>
        <w:rPr>
          <w:rFonts w:ascii="Times New Roman" w:hAnsi="Times New Roman" w:cs="Times New Roman"/>
        </w:rPr>
      </w:pPr>
    </w:p>
    <w:p w14:paraId="4D23830C" w14:textId="04631B67" w:rsidR="00575188" w:rsidRDefault="00FC068B" w:rsidP="00575188">
      <w:pPr>
        <w:spacing w:after="0" w:line="360" w:lineRule="auto"/>
        <w:jc w:val="both"/>
        <w:rPr>
          <w:rFonts w:ascii="Times New Roman" w:hAnsi="Times New Roman" w:cs="Times New Roman"/>
          <w:b/>
          <w:bCs/>
          <w:color w:val="0070C0"/>
          <w:sz w:val="20"/>
          <w:szCs w:val="20"/>
        </w:rPr>
      </w:pPr>
      <w:r w:rsidRPr="00575188">
        <w:rPr>
          <w:rFonts w:ascii="Times New Roman" w:hAnsi="Times New Roman" w:cs="Times New Roman"/>
          <w:b/>
          <w:bCs/>
          <w:color w:val="0070C0"/>
          <w:sz w:val="20"/>
          <w:szCs w:val="20"/>
        </w:rPr>
        <w:t>Funding</w:t>
      </w:r>
    </w:p>
    <w:p w14:paraId="57B37321" w14:textId="476D74B8" w:rsidR="00EF20E8" w:rsidRPr="00575188" w:rsidRDefault="00EF20E8" w:rsidP="00575188">
      <w:pPr>
        <w:spacing w:after="0" w:line="360" w:lineRule="auto"/>
        <w:jc w:val="both"/>
        <w:rPr>
          <w:rFonts w:ascii="Times New Roman" w:hAnsi="Times New Roman" w:cs="Times New Roman"/>
          <w:b/>
          <w:bCs/>
          <w:color w:val="0070C0"/>
          <w:sz w:val="20"/>
          <w:szCs w:val="20"/>
        </w:rPr>
      </w:pPr>
      <w:r w:rsidRPr="00575188">
        <w:rPr>
          <w:rFonts w:ascii="Times New Roman" w:hAnsi="Times New Roman" w:cs="Times New Roman"/>
          <w:sz w:val="20"/>
          <w:szCs w:val="20"/>
        </w:rPr>
        <w:t>This research was done without any specific grants from public, private, or non-profit organizations.</w:t>
      </w:r>
    </w:p>
    <w:p w14:paraId="1A54A364" w14:textId="77777777" w:rsidR="00EF20E8" w:rsidRPr="00575188" w:rsidRDefault="00EF20E8" w:rsidP="00575188">
      <w:pPr>
        <w:spacing w:after="0" w:line="360" w:lineRule="auto"/>
        <w:jc w:val="both"/>
        <w:rPr>
          <w:rFonts w:ascii="Times New Roman" w:hAnsi="Times New Roman" w:cs="Times New Roman"/>
          <w:sz w:val="20"/>
          <w:szCs w:val="20"/>
        </w:rPr>
      </w:pPr>
    </w:p>
    <w:p w14:paraId="3C0CE41B" w14:textId="65F25DD6" w:rsidR="00EF20E8" w:rsidRPr="00575188" w:rsidRDefault="008A67F1" w:rsidP="00575188">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A</w:t>
      </w:r>
      <w:r w:rsidRPr="00575188">
        <w:rPr>
          <w:rFonts w:ascii="Times New Roman" w:hAnsi="Times New Roman" w:cs="Times New Roman"/>
          <w:b/>
          <w:bCs/>
          <w:color w:val="0070C0"/>
          <w:sz w:val="20"/>
          <w:szCs w:val="20"/>
        </w:rPr>
        <w:t>cknowledgements</w:t>
      </w:r>
    </w:p>
    <w:p w14:paraId="5597C32A" w14:textId="77777777" w:rsidR="00EF20E8" w:rsidRPr="00575188" w:rsidRDefault="00EF20E8" w:rsidP="00575188">
      <w:pPr>
        <w:spacing w:after="0" w:line="360" w:lineRule="auto"/>
        <w:jc w:val="both"/>
        <w:rPr>
          <w:rFonts w:ascii="Times New Roman" w:hAnsi="Times New Roman" w:cs="Times New Roman"/>
          <w:sz w:val="20"/>
          <w:szCs w:val="20"/>
        </w:rPr>
      </w:pPr>
      <w:r w:rsidRPr="00575188">
        <w:rPr>
          <w:rFonts w:ascii="Times New Roman" w:hAnsi="Times New Roman" w:cs="Times New Roman"/>
          <w:sz w:val="20"/>
          <w:szCs w:val="20"/>
        </w:rPr>
        <w:t>The authors thank all the researchers whose studies were included in this review and meta-analysis. This paper was written without outside writing help.</w:t>
      </w:r>
    </w:p>
    <w:p w14:paraId="3A26F68E" w14:textId="77777777" w:rsidR="00EF20E8" w:rsidRPr="00575188" w:rsidRDefault="00EF20E8" w:rsidP="00575188">
      <w:pPr>
        <w:spacing w:after="0" w:line="360" w:lineRule="auto"/>
        <w:jc w:val="both"/>
        <w:rPr>
          <w:rFonts w:ascii="Times New Roman" w:hAnsi="Times New Roman" w:cs="Times New Roman"/>
          <w:sz w:val="20"/>
          <w:szCs w:val="20"/>
        </w:rPr>
      </w:pPr>
    </w:p>
    <w:p w14:paraId="03CD6654" w14:textId="52191565" w:rsidR="00EF20E8" w:rsidRPr="00575188" w:rsidRDefault="008A67F1" w:rsidP="00EF20E8">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D</w:t>
      </w:r>
      <w:r w:rsidRPr="00575188">
        <w:rPr>
          <w:rFonts w:ascii="Times New Roman" w:hAnsi="Times New Roman" w:cs="Times New Roman"/>
          <w:b/>
          <w:bCs/>
          <w:color w:val="0070C0"/>
          <w:sz w:val="20"/>
          <w:szCs w:val="20"/>
        </w:rPr>
        <w:t>ata availability statement</w:t>
      </w:r>
    </w:p>
    <w:p w14:paraId="2BA78CFB" w14:textId="79DB5597" w:rsidR="00EF20E8" w:rsidRPr="00575188" w:rsidRDefault="00EF20E8" w:rsidP="00EF20E8">
      <w:pPr>
        <w:spacing w:after="0" w:line="360" w:lineRule="auto"/>
        <w:jc w:val="both"/>
        <w:rPr>
          <w:rFonts w:ascii="Times New Roman" w:hAnsi="Times New Roman" w:cs="Times New Roman"/>
          <w:sz w:val="20"/>
          <w:szCs w:val="20"/>
        </w:rPr>
      </w:pPr>
      <w:r w:rsidRPr="00575188">
        <w:rPr>
          <w:rFonts w:ascii="Times New Roman" w:hAnsi="Times New Roman" w:cs="Times New Roman"/>
          <w:sz w:val="20"/>
          <w:szCs w:val="20"/>
        </w:rPr>
        <w:t>The data that supports the conclusions in this paper comes from earlier studies, which are listed in the text. The corresponding author can supply the datasets that were taken out and the code used for statistical analysis if asked.</w:t>
      </w:r>
    </w:p>
    <w:p w14:paraId="2B86ED3E" w14:textId="77777777" w:rsidR="00A50E24" w:rsidRDefault="00A50E24" w:rsidP="003257ED">
      <w:pPr>
        <w:pStyle w:val="NormalWeb"/>
        <w:shd w:val="clear" w:color="auto" w:fill="FFFFFF"/>
        <w:spacing w:before="0" w:beforeAutospacing="0" w:after="0" w:afterAutospacing="0" w:line="360" w:lineRule="auto"/>
        <w:jc w:val="both"/>
        <w:rPr>
          <w:sz w:val="20"/>
          <w:szCs w:val="20"/>
        </w:rPr>
      </w:pPr>
    </w:p>
    <w:p w14:paraId="6F52D2B0" w14:textId="0C9A5C50" w:rsidR="003257ED" w:rsidRPr="005F0890" w:rsidRDefault="003257ED" w:rsidP="003257ED">
      <w:pPr>
        <w:pStyle w:val="NormalWeb"/>
        <w:shd w:val="clear" w:color="auto" w:fill="FFFFFF"/>
        <w:spacing w:before="0" w:beforeAutospacing="0" w:after="0" w:afterAutospacing="0" w:line="360" w:lineRule="auto"/>
        <w:jc w:val="both"/>
        <w:rPr>
          <w:b/>
          <w:bCs/>
          <w:color w:val="0070C0"/>
          <w:sz w:val="22"/>
          <w:szCs w:val="22"/>
          <w:lang w:val="pt-BR"/>
        </w:rPr>
      </w:pPr>
      <w:r w:rsidRPr="005F0890">
        <w:rPr>
          <w:b/>
          <w:bCs/>
          <w:color w:val="0070C0"/>
          <w:sz w:val="22"/>
          <w:szCs w:val="22"/>
          <w:lang w:val="pt-BR"/>
        </w:rPr>
        <w:t>References</w:t>
      </w:r>
    </w:p>
    <w:p w14:paraId="098DB7D5" w14:textId="4C17D24F" w:rsidR="00575188" w:rsidRPr="00575188" w:rsidRDefault="00575188" w:rsidP="00575188">
      <w:pPr>
        <w:spacing w:after="0" w:line="360" w:lineRule="auto"/>
        <w:ind w:left="1077" w:hanging="720"/>
        <w:rPr>
          <w:rFonts w:ascii="Times New Roman" w:eastAsia="DengXian" w:hAnsi="Times New Roman"/>
          <w:sz w:val="20"/>
          <w:szCs w:val="20"/>
        </w:rPr>
      </w:pPr>
      <w:r w:rsidRPr="005F0890">
        <w:rPr>
          <w:rFonts w:ascii="Times New Roman" w:eastAsia="DengXian" w:hAnsi="Times New Roman"/>
          <w:sz w:val="20"/>
          <w:szCs w:val="20"/>
          <w:lang w:val="pt-BR"/>
        </w:rPr>
        <w:t>1.</w:t>
      </w:r>
      <w:r w:rsidRPr="005F0890">
        <w:rPr>
          <w:rFonts w:ascii="Times New Roman" w:eastAsia="DengXian" w:hAnsi="Times New Roman"/>
          <w:sz w:val="20"/>
          <w:szCs w:val="20"/>
          <w:lang w:val="pt-BR"/>
        </w:rPr>
        <w:tab/>
        <w:t>Suruagy‐Motta RFO, Cabe</w:t>
      </w:r>
      <w:r w:rsidR="002969D9" w:rsidRPr="005F0890">
        <w:rPr>
          <w:rFonts w:ascii="Times New Roman" w:eastAsia="DengXian" w:hAnsi="Times New Roman"/>
          <w:sz w:val="20"/>
          <w:szCs w:val="20"/>
          <w:lang w:val="pt-BR"/>
        </w:rPr>
        <w:t>c</w:t>
      </w:r>
      <w:r w:rsidRPr="005F0890">
        <w:rPr>
          <w:rFonts w:ascii="Times New Roman" w:eastAsia="DengXian" w:hAnsi="Times New Roman"/>
          <w:sz w:val="20"/>
          <w:szCs w:val="20"/>
          <w:lang w:val="pt-BR"/>
        </w:rPr>
        <w:t xml:space="preserve">a LS, Da Silva AMP, et al. </w:t>
      </w:r>
      <w:r w:rsidRPr="00575188">
        <w:rPr>
          <w:rFonts w:ascii="Times New Roman" w:eastAsia="DengXian" w:hAnsi="Times New Roman"/>
          <w:sz w:val="20"/>
          <w:szCs w:val="20"/>
        </w:rPr>
        <w:t>Intravascular Lithotripsy Versus Rotational Atherectomy for Calcified Coronary Lesions: A Systematic Review and an Updated Meta‐Analysis of Clinical Outcomes. Catheterization and Cardiovascular Interventions</w:t>
      </w:r>
      <w:r w:rsidR="002969D9">
        <w:rPr>
          <w:rFonts w:ascii="Times New Roman" w:eastAsia="DengXian" w:hAnsi="Times New Roman"/>
          <w:sz w:val="20"/>
          <w:szCs w:val="20"/>
        </w:rPr>
        <w:t xml:space="preserve"> 106 (</w:t>
      </w:r>
      <w:r w:rsidRPr="00575188">
        <w:rPr>
          <w:rFonts w:ascii="Times New Roman" w:eastAsia="DengXian" w:hAnsi="Times New Roman"/>
          <w:sz w:val="20"/>
          <w:szCs w:val="20"/>
        </w:rPr>
        <w:t>2025</w:t>
      </w:r>
      <w:r w:rsidR="002969D9">
        <w:rPr>
          <w:rFonts w:ascii="Times New Roman" w:eastAsia="DengXian" w:hAnsi="Times New Roman"/>
          <w:sz w:val="20"/>
          <w:szCs w:val="20"/>
        </w:rPr>
        <w:t>)</w:t>
      </w:r>
      <w:r w:rsidRPr="00575188">
        <w:rPr>
          <w:rFonts w:ascii="Times New Roman" w:eastAsia="DengXian" w:hAnsi="Times New Roman"/>
          <w:sz w:val="20"/>
          <w:szCs w:val="20"/>
        </w:rPr>
        <w:t>:</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563</w:t>
      </w:r>
      <w:r w:rsidR="002969D9">
        <w:rPr>
          <w:rFonts w:ascii="Times New Roman" w:eastAsia="DengXian" w:hAnsi="Times New Roman"/>
          <w:sz w:val="20"/>
          <w:szCs w:val="20"/>
        </w:rPr>
        <w:t>-5</w:t>
      </w:r>
      <w:r w:rsidRPr="00575188">
        <w:rPr>
          <w:rFonts w:ascii="Times New Roman" w:eastAsia="DengXian" w:hAnsi="Times New Roman"/>
          <w:sz w:val="20"/>
          <w:szCs w:val="20"/>
        </w:rPr>
        <w:t xml:space="preserve">72. </w:t>
      </w:r>
    </w:p>
    <w:p w14:paraId="1CD21C54" w14:textId="40162685"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w:t>
      </w:r>
      <w:r w:rsidRPr="00575188">
        <w:rPr>
          <w:rFonts w:ascii="Times New Roman" w:eastAsia="DengXian" w:hAnsi="Times New Roman"/>
          <w:sz w:val="20"/>
          <w:szCs w:val="20"/>
        </w:rPr>
        <w:tab/>
        <w:t>Copeland‐Halperin RS, Baber U, Aquino M, et al. Prevalence, correlates, and impact of coronary calcification on adverse events following PCI with newer‐generation DES: Findings from a large multiethnic registry. Catheterization and Cardiovascular Interventions</w:t>
      </w:r>
      <w:r w:rsidR="002969D9">
        <w:rPr>
          <w:rFonts w:ascii="Times New Roman" w:eastAsia="DengXian" w:hAnsi="Times New Roman"/>
          <w:sz w:val="20"/>
          <w:szCs w:val="20"/>
        </w:rPr>
        <w:t xml:space="preserve"> 91 (</w:t>
      </w:r>
      <w:r w:rsidRPr="00575188">
        <w:rPr>
          <w:rFonts w:ascii="Times New Roman" w:eastAsia="DengXian" w:hAnsi="Times New Roman"/>
          <w:sz w:val="20"/>
          <w:szCs w:val="20"/>
        </w:rPr>
        <w:t>2018</w:t>
      </w:r>
      <w:r w:rsidR="002969D9">
        <w:rPr>
          <w:rFonts w:ascii="Times New Roman" w:eastAsia="DengXian" w:hAnsi="Times New Roman"/>
          <w:sz w:val="20"/>
          <w:szCs w:val="20"/>
        </w:rPr>
        <w:t>)</w:t>
      </w:r>
      <w:r w:rsidRPr="00575188">
        <w:rPr>
          <w:rFonts w:ascii="Times New Roman" w:eastAsia="DengXian" w:hAnsi="Times New Roman"/>
          <w:sz w:val="20"/>
          <w:szCs w:val="20"/>
        </w:rPr>
        <w:t>:</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859</w:t>
      </w:r>
      <w:r w:rsidR="002969D9">
        <w:rPr>
          <w:rFonts w:ascii="Times New Roman" w:eastAsia="DengXian" w:hAnsi="Times New Roman"/>
          <w:sz w:val="20"/>
          <w:szCs w:val="20"/>
        </w:rPr>
        <w:t>-8</w:t>
      </w:r>
      <w:r w:rsidRPr="00575188">
        <w:rPr>
          <w:rFonts w:ascii="Times New Roman" w:eastAsia="DengXian" w:hAnsi="Times New Roman"/>
          <w:sz w:val="20"/>
          <w:szCs w:val="20"/>
        </w:rPr>
        <w:t xml:space="preserve">66. </w:t>
      </w:r>
    </w:p>
    <w:p w14:paraId="439593F6" w14:textId="3DF96513"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3.</w:t>
      </w:r>
      <w:r w:rsidRPr="00575188">
        <w:rPr>
          <w:rFonts w:ascii="Times New Roman" w:eastAsia="DengXian" w:hAnsi="Times New Roman"/>
          <w:sz w:val="20"/>
          <w:szCs w:val="20"/>
        </w:rPr>
        <w:tab/>
        <w:t>Généreux P, Madhavan M V, Mintz GS, et al.</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 xml:space="preserve">Ischemic Outcomes After Coronary Intervention of Calcified Vessels in Acute Coronary Syndromes. J Am Coll </w:t>
      </w:r>
      <w:r w:rsidR="002969D9" w:rsidRPr="00575188">
        <w:rPr>
          <w:rFonts w:ascii="Times New Roman" w:eastAsia="DengXian" w:hAnsi="Times New Roman"/>
          <w:sz w:val="20"/>
          <w:szCs w:val="20"/>
        </w:rPr>
        <w:t>Cardio</w:t>
      </w:r>
      <w:r w:rsidRPr="00575188">
        <w:rPr>
          <w:rFonts w:ascii="Times New Roman" w:eastAsia="DengXian" w:hAnsi="Times New Roman"/>
          <w:sz w:val="20"/>
          <w:szCs w:val="20"/>
        </w:rPr>
        <w:t xml:space="preserve"> </w:t>
      </w:r>
      <w:r w:rsidR="002969D9">
        <w:rPr>
          <w:rFonts w:ascii="Times New Roman" w:eastAsia="DengXian" w:hAnsi="Times New Roman"/>
          <w:sz w:val="20"/>
          <w:szCs w:val="20"/>
        </w:rPr>
        <w:t>63 (</w:t>
      </w:r>
      <w:r w:rsidRPr="00575188">
        <w:rPr>
          <w:rFonts w:ascii="Times New Roman" w:eastAsia="DengXian" w:hAnsi="Times New Roman"/>
          <w:sz w:val="20"/>
          <w:szCs w:val="20"/>
        </w:rPr>
        <w:t>2014</w:t>
      </w:r>
      <w:r w:rsidR="002969D9">
        <w:rPr>
          <w:rFonts w:ascii="Times New Roman" w:eastAsia="DengXian" w:hAnsi="Times New Roman"/>
          <w:sz w:val="20"/>
          <w:szCs w:val="20"/>
        </w:rPr>
        <w:t>)</w:t>
      </w:r>
      <w:r w:rsidRPr="00575188">
        <w:rPr>
          <w:rFonts w:ascii="Times New Roman" w:eastAsia="DengXian" w:hAnsi="Times New Roman"/>
          <w:sz w:val="20"/>
          <w:szCs w:val="20"/>
        </w:rPr>
        <w:t>:</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1845</w:t>
      </w:r>
      <w:r w:rsidR="002969D9">
        <w:rPr>
          <w:rFonts w:ascii="Times New Roman" w:eastAsia="DengXian" w:hAnsi="Times New Roman"/>
          <w:sz w:val="20"/>
          <w:szCs w:val="20"/>
        </w:rPr>
        <w:t>-18</w:t>
      </w:r>
      <w:r w:rsidRPr="00575188">
        <w:rPr>
          <w:rFonts w:ascii="Times New Roman" w:eastAsia="DengXian" w:hAnsi="Times New Roman"/>
          <w:sz w:val="20"/>
          <w:szCs w:val="20"/>
        </w:rPr>
        <w:t xml:space="preserve">54. </w:t>
      </w:r>
    </w:p>
    <w:p w14:paraId="5C5A2F37" w14:textId="46BABEB9"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4.</w:t>
      </w:r>
      <w:r w:rsidRPr="00575188">
        <w:rPr>
          <w:rFonts w:ascii="Times New Roman" w:eastAsia="DengXian" w:hAnsi="Times New Roman"/>
          <w:sz w:val="20"/>
          <w:szCs w:val="20"/>
        </w:rPr>
        <w:tab/>
        <w:t xml:space="preserve">Madhavan M V, Tarigopula M, Mintz GS, </w:t>
      </w:r>
      <w:r w:rsidR="002969D9">
        <w:rPr>
          <w:rFonts w:ascii="Times New Roman" w:eastAsia="DengXian" w:hAnsi="Times New Roman"/>
          <w:sz w:val="20"/>
          <w:szCs w:val="20"/>
        </w:rPr>
        <w:t>et al.</w:t>
      </w:r>
      <w:r w:rsidRPr="00575188">
        <w:rPr>
          <w:rFonts w:ascii="Times New Roman" w:eastAsia="DengXian" w:hAnsi="Times New Roman"/>
          <w:sz w:val="20"/>
          <w:szCs w:val="20"/>
        </w:rPr>
        <w:t xml:space="preserve"> Coronary Artery Calcification. J Am Coll </w:t>
      </w:r>
      <w:r w:rsidR="002969D9" w:rsidRPr="00575188">
        <w:rPr>
          <w:rFonts w:ascii="Times New Roman" w:eastAsia="DengXian" w:hAnsi="Times New Roman"/>
          <w:sz w:val="20"/>
          <w:szCs w:val="20"/>
        </w:rPr>
        <w:t>Cardio</w:t>
      </w:r>
      <w:r w:rsidR="002969D9">
        <w:rPr>
          <w:rFonts w:ascii="Times New Roman" w:eastAsia="DengXian" w:hAnsi="Times New Roman"/>
          <w:sz w:val="20"/>
          <w:szCs w:val="20"/>
        </w:rPr>
        <w:t xml:space="preserve"> 63 (</w:t>
      </w:r>
      <w:r w:rsidRPr="00575188">
        <w:rPr>
          <w:rFonts w:ascii="Times New Roman" w:eastAsia="DengXian" w:hAnsi="Times New Roman"/>
          <w:sz w:val="20"/>
          <w:szCs w:val="20"/>
        </w:rPr>
        <w:t>2014</w:t>
      </w:r>
      <w:r w:rsidR="002969D9">
        <w:rPr>
          <w:rFonts w:ascii="Times New Roman" w:eastAsia="DengXian" w:hAnsi="Times New Roman"/>
          <w:sz w:val="20"/>
          <w:szCs w:val="20"/>
        </w:rPr>
        <w:t>)</w:t>
      </w:r>
      <w:r w:rsidRPr="00575188">
        <w:rPr>
          <w:rFonts w:ascii="Times New Roman" w:eastAsia="DengXian" w:hAnsi="Times New Roman"/>
          <w:sz w:val="20"/>
          <w:szCs w:val="20"/>
        </w:rPr>
        <w:t>:</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1703</w:t>
      </w:r>
      <w:r w:rsidR="002969D9">
        <w:rPr>
          <w:rFonts w:ascii="Times New Roman" w:eastAsia="DengXian" w:hAnsi="Times New Roman"/>
          <w:sz w:val="20"/>
          <w:szCs w:val="20"/>
        </w:rPr>
        <w:t>-17</w:t>
      </w:r>
      <w:r w:rsidRPr="00575188">
        <w:rPr>
          <w:rFonts w:ascii="Times New Roman" w:eastAsia="DengXian" w:hAnsi="Times New Roman"/>
          <w:sz w:val="20"/>
          <w:szCs w:val="20"/>
        </w:rPr>
        <w:t xml:space="preserve">14. </w:t>
      </w:r>
    </w:p>
    <w:p w14:paraId="0AD22B93" w14:textId="54926801"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5.</w:t>
      </w:r>
      <w:r w:rsidRPr="00575188">
        <w:rPr>
          <w:rFonts w:ascii="Times New Roman" w:eastAsia="DengXian" w:hAnsi="Times New Roman"/>
          <w:sz w:val="20"/>
          <w:szCs w:val="20"/>
        </w:rPr>
        <w:tab/>
        <w:t>Guedeney P, Claessen BE, Mehran R, et al.</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Coronary Calcification and Long-Term Outcomes According to Drug-Eluting Stent Generation. JACC Cardiovasc Interv</w:t>
      </w:r>
      <w:r w:rsidR="002969D9">
        <w:rPr>
          <w:rFonts w:ascii="Times New Roman" w:eastAsia="DengXian" w:hAnsi="Times New Roman"/>
          <w:sz w:val="20"/>
          <w:szCs w:val="20"/>
        </w:rPr>
        <w:t xml:space="preserve"> 13 (</w:t>
      </w:r>
      <w:r w:rsidRPr="00575188">
        <w:rPr>
          <w:rFonts w:ascii="Times New Roman" w:eastAsia="DengXian" w:hAnsi="Times New Roman"/>
          <w:sz w:val="20"/>
          <w:szCs w:val="20"/>
        </w:rPr>
        <w:t>2020</w:t>
      </w:r>
      <w:r w:rsidR="002969D9">
        <w:rPr>
          <w:rFonts w:ascii="Times New Roman" w:eastAsia="DengXian" w:hAnsi="Times New Roman"/>
          <w:sz w:val="20"/>
          <w:szCs w:val="20"/>
        </w:rPr>
        <w:t>)</w:t>
      </w:r>
      <w:r w:rsidRPr="00575188">
        <w:rPr>
          <w:rFonts w:ascii="Times New Roman" w:eastAsia="DengXian" w:hAnsi="Times New Roman"/>
          <w:sz w:val="20"/>
          <w:szCs w:val="20"/>
        </w:rPr>
        <w:t>:</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1417</w:t>
      </w:r>
      <w:r w:rsidR="002969D9">
        <w:rPr>
          <w:rFonts w:ascii="Times New Roman" w:eastAsia="DengXian" w:hAnsi="Times New Roman"/>
          <w:sz w:val="20"/>
          <w:szCs w:val="20"/>
        </w:rPr>
        <w:t>-14</w:t>
      </w:r>
      <w:r w:rsidRPr="00575188">
        <w:rPr>
          <w:rFonts w:ascii="Times New Roman" w:eastAsia="DengXian" w:hAnsi="Times New Roman"/>
          <w:sz w:val="20"/>
          <w:szCs w:val="20"/>
        </w:rPr>
        <w:t xml:space="preserve">28. </w:t>
      </w:r>
    </w:p>
    <w:p w14:paraId="3BDE4AAB" w14:textId="6E55D714"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lastRenderedPageBreak/>
        <w:t>6.</w:t>
      </w:r>
      <w:r w:rsidRPr="00575188">
        <w:rPr>
          <w:rFonts w:ascii="Times New Roman" w:eastAsia="DengXian" w:hAnsi="Times New Roman"/>
          <w:sz w:val="20"/>
          <w:szCs w:val="20"/>
        </w:rPr>
        <w:tab/>
        <w:t>Bourantas C V, Zhang Y-J, Garg S, et al.</w:t>
      </w:r>
      <w:r w:rsidR="002969D9">
        <w:rPr>
          <w:rFonts w:ascii="Times New Roman" w:eastAsia="DengXian" w:hAnsi="Times New Roman"/>
          <w:sz w:val="20"/>
          <w:szCs w:val="20"/>
        </w:rPr>
        <w:t xml:space="preserve"> </w:t>
      </w:r>
      <w:r w:rsidRPr="00575188">
        <w:rPr>
          <w:rFonts w:ascii="Times New Roman" w:eastAsia="DengXian" w:hAnsi="Times New Roman"/>
          <w:sz w:val="20"/>
          <w:szCs w:val="20"/>
        </w:rPr>
        <w:t>Prognostic implications of coronary calcification in patients with obstructive coronary artery disease treated by percutaneous coronary intervention: a patient-level pooled analysis of 7 contemporary stent trials. Heart</w:t>
      </w:r>
      <w:r w:rsidR="002969D9">
        <w:rPr>
          <w:rFonts w:ascii="Times New Roman" w:eastAsia="DengXian" w:hAnsi="Times New Roman"/>
          <w:sz w:val="20"/>
          <w:szCs w:val="20"/>
        </w:rPr>
        <w:t xml:space="preserve"> 100 (</w:t>
      </w:r>
      <w:r w:rsidRPr="00575188">
        <w:rPr>
          <w:rFonts w:ascii="Times New Roman" w:eastAsia="DengXian" w:hAnsi="Times New Roman"/>
          <w:sz w:val="20"/>
          <w:szCs w:val="20"/>
        </w:rPr>
        <w:t>2014</w:t>
      </w:r>
      <w:r w:rsidR="002969D9">
        <w:rPr>
          <w:rFonts w:ascii="Times New Roman" w:eastAsia="DengXian" w:hAnsi="Times New Roman"/>
          <w:sz w:val="20"/>
          <w:szCs w:val="20"/>
        </w:rPr>
        <w:t>)</w:t>
      </w:r>
      <w:r w:rsidRPr="00575188">
        <w:rPr>
          <w:rFonts w:ascii="Times New Roman" w:eastAsia="DengXian" w:hAnsi="Times New Roman"/>
          <w:sz w:val="20"/>
          <w:szCs w:val="20"/>
        </w:rPr>
        <w:t>:</w:t>
      </w:r>
      <w:r w:rsidR="009924B8">
        <w:rPr>
          <w:rFonts w:ascii="Times New Roman" w:eastAsia="DengXian" w:hAnsi="Times New Roman"/>
          <w:sz w:val="20"/>
          <w:szCs w:val="20"/>
        </w:rPr>
        <w:t xml:space="preserve"> </w:t>
      </w:r>
      <w:r w:rsidRPr="00575188">
        <w:rPr>
          <w:rFonts w:ascii="Times New Roman" w:eastAsia="DengXian" w:hAnsi="Times New Roman"/>
          <w:sz w:val="20"/>
          <w:szCs w:val="20"/>
        </w:rPr>
        <w:t>1158</w:t>
      </w:r>
      <w:r w:rsidR="009924B8">
        <w:rPr>
          <w:rFonts w:ascii="Times New Roman" w:eastAsia="DengXian" w:hAnsi="Times New Roman"/>
          <w:sz w:val="20"/>
          <w:szCs w:val="20"/>
        </w:rPr>
        <w:t>-11</w:t>
      </w:r>
      <w:r w:rsidRPr="00575188">
        <w:rPr>
          <w:rFonts w:ascii="Times New Roman" w:eastAsia="DengXian" w:hAnsi="Times New Roman"/>
          <w:sz w:val="20"/>
          <w:szCs w:val="20"/>
        </w:rPr>
        <w:t xml:space="preserve">64. </w:t>
      </w:r>
    </w:p>
    <w:p w14:paraId="59E358A9" w14:textId="2F293BE2" w:rsidR="00575188" w:rsidRPr="009924B8" w:rsidRDefault="00575188" w:rsidP="00575188">
      <w:pPr>
        <w:spacing w:after="0" w:line="360" w:lineRule="auto"/>
        <w:ind w:left="1077" w:hanging="720"/>
        <w:rPr>
          <w:rFonts w:ascii="Times New Roman" w:eastAsia="DengXian" w:hAnsi="Times New Roman" w:cs="Times New Roman"/>
          <w:sz w:val="18"/>
          <w:szCs w:val="18"/>
        </w:rPr>
      </w:pPr>
      <w:r w:rsidRPr="00575188">
        <w:rPr>
          <w:rFonts w:ascii="Times New Roman" w:eastAsia="DengXian" w:hAnsi="Times New Roman"/>
          <w:sz w:val="20"/>
          <w:szCs w:val="20"/>
        </w:rPr>
        <w:t>7.</w:t>
      </w:r>
      <w:r w:rsidRPr="00575188">
        <w:rPr>
          <w:rFonts w:ascii="Times New Roman" w:eastAsia="DengXian" w:hAnsi="Times New Roman"/>
          <w:sz w:val="20"/>
          <w:szCs w:val="20"/>
        </w:rPr>
        <w:tab/>
        <w:t>Hemetsberger R, Abdelghani M, Toelg R, et al.</w:t>
      </w:r>
      <w:r w:rsidR="009924B8">
        <w:rPr>
          <w:rFonts w:ascii="Times New Roman" w:eastAsia="DengXian" w:hAnsi="Times New Roman"/>
          <w:sz w:val="20"/>
          <w:szCs w:val="20"/>
        </w:rPr>
        <w:t xml:space="preserve"> </w:t>
      </w:r>
      <w:r w:rsidRPr="00575188">
        <w:rPr>
          <w:rFonts w:ascii="Times New Roman" w:eastAsia="DengXian" w:hAnsi="Times New Roman"/>
          <w:sz w:val="20"/>
          <w:szCs w:val="20"/>
        </w:rPr>
        <w:t>Impact of Coronary Calcification on Clinical Outcomes After Implantation of Newer‐Generation Drug‐Eluting Stents. J Am Heart Assoc</w:t>
      </w:r>
      <w:r w:rsidR="009924B8">
        <w:rPr>
          <w:rFonts w:ascii="Times New Roman" w:eastAsia="DengXian" w:hAnsi="Times New Roman"/>
          <w:sz w:val="20"/>
          <w:szCs w:val="20"/>
        </w:rPr>
        <w:t xml:space="preserve"> 10 (</w:t>
      </w:r>
      <w:r w:rsidR="009924B8" w:rsidRPr="009924B8">
        <w:rPr>
          <w:rFonts w:ascii="Times New Roman" w:hAnsi="Times New Roman" w:cs="Times New Roman"/>
          <w:sz w:val="20"/>
          <w:szCs w:val="20"/>
          <w:shd w:val="clear" w:color="auto" w:fill="FFFFFF"/>
        </w:rPr>
        <w:t>2021</w:t>
      </w:r>
      <w:r w:rsidR="009924B8">
        <w:rPr>
          <w:rFonts w:ascii="Times New Roman" w:hAnsi="Times New Roman" w:cs="Times New Roman"/>
          <w:sz w:val="20"/>
          <w:szCs w:val="20"/>
          <w:shd w:val="clear" w:color="auto" w:fill="FFFFFF"/>
        </w:rPr>
        <w:t>)</w:t>
      </w:r>
      <w:r w:rsidR="009924B8" w:rsidRPr="009924B8">
        <w:rPr>
          <w:rFonts w:ascii="Times New Roman" w:hAnsi="Times New Roman" w:cs="Times New Roman"/>
          <w:sz w:val="20"/>
          <w:szCs w:val="20"/>
          <w:shd w:val="clear" w:color="auto" w:fill="FFFFFF"/>
        </w:rPr>
        <w:t>:</w:t>
      </w:r>
      <w:r w:rsidR="009924B8">
        <w:rPr>
          <w:rFonts w:ascii="Times New Roman" w:hAnsi="Times New Roman" w:cs="Times New Roman"/>
          <w:sz w:val="20"/>
          <w:szCs w:val="20"/>
          <w:shd w:val="clear" w:color="auto" w:fill="FFFFFF"/>
        </w:rPr>
        <w:t xml:space="preserve"> </w:t>
      </w:r>
      <w:r w:rsidR="009924B8" w:rsidRPr="009924B8">
        <w:rPr>
          <w:rFonts w:ascii="Times New Roman" w:hAnsi="Times New Roman" w:cs="Times New Roman"/>
          <w:sz w:val="20"/>
          <w:szCs w:val="20"/>
          <w:shd w:val="clear" w:color="auto" w:fill="FFFFFF"/>
        </w:rPr>
        <w:t>e019815</w:t>
      </w:r>
      <w:r w:rsidR="009924B8">
        <w:rPr>
          <w:rFonts w:ascii="Times New Roman" w:hAnsi="Times New Roman" w:cs="Times New Roman"/>
          <w:sz w:val="20"/>
          <w:szCs w:val="20"/>
          <w:shd w:val="clear" w:color="auto" w:fill="FFFFFF"/>
        </w:rPr>
        <w:t>.</w:t>
      </w:r>
    </w:p>
    <w:p w14:paraId="01CD43BC" w14:textId="21DAD6F4"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8.</w:t>
      </w:r>
      <w:r w:rsidRPr="00575188">
        <w:rPr>
          <w:rFonts w:ascii="Times New Roman" w:eastAsia="DengXian" w:hAnsi="Times New Roman"/>
          <w:sz w:val="20"/>
          <w:szCs w:val="20"/>
        </w:rPr>
        <w:tab/>
        <w:t xml:space="preserve">Kristensen AT, Faltermeier P, Kamp CB, </w:t>
      </w:r>
      <w:r w:rsidR="009924B8">
        <w:rPr>
          <w:rFonts w:ascii="Times New Roman" w:eastAsia="DengXian" w:hAnsi="Times New Roman"/>
          <w:sz w:val="20"/>
          <w:szCs w:val="20"/>
        </w:rPr>
        <w:t>et al.</w:t>
      </w:r>
      <w:r w:rsidRPr="00575188">
        <w:rPr>
          <w:rFonts w:ascii="Times New Roman" w:eastAsia="DengXian" w:hAnsi="Times New Roman"/>
          <w:sz w:val="20"/>
          <w:szCs w:val="20"/>
        </w:rPr>
        <w:t xml:space="preserve"> Percutaneous Coronary Interventions for Calcified Lesions: A Systematic Review with Meta-analyses of Randomised Trials. Interventional Cardiology: Reviews, Research, Resources</w:t>
      </w:r>
      <w:r w:rsidR="009924B8">
        <w:rPr>
          <w:rFonts w:ascii="Times New Roman" w:eastAsia="DengXian" w:hAnsi="Times New Roman"/>
          <w:sz w:val="20"/>
          <w:szCs w:val="20"/>
        </w:rPr>
        <w:t xml:space="preserve"> 19 (</w:t>
      </w:r>
      <w:r w:rsidR="009924B8" w:rsidRPr="009924B8">
        <w:rPr>
          <w:rFonts w:ascii="Times New Roman" w:eastAsia="DengXian" w:hAnsi="Times New Roman"/>
          <w:sz w:val="20"/>
          <w:szCs w:val="20"/>
        </w:rPr>
        <w:t>2025</w:t>
      </w:r>
      <w:r w:rsidR="009924B8">
        <w:rPr>
          <w:rFonts w:ascii="Times New Roman" w:eastAsia="DengXian" w:hAnsi="Times New Roman"/>
          <w:sz w:val="20"/>
          <w:szCs w:val="20"/>
        </w:rPr>
        <w:t>)</w:t>
      </w:r>
      <w:r w:rsidR="009924B8" w:rsidRPr="009924B8">
        <w:rPr>
          <w:rFonts w:ascii="Times New Roman" w:eastAsia="DengXian" w:hAnsi="Times New Roman"/>
          <w:sz w:val="20"/>
          <w:szCs w:val="20"/>
        </w:rPr>
        <w:t>:</w:t>
      </w:r>
      <w:r w:rsidR="009924B8">
        <w:rPr>
          <w:rFonts w:ascii="Times New Roman" w:eastAsia="DengXian" w:hAnsi="Times New Roman"/>
          <w:sz w:val="20"/>
          <w:szCs w:val="20"/>
        </w:rPr>
        <w:t xml:space="preserve"> </w:t>
      </w:r>
      <w:r w:rsidR="009924B8" w:rsidRPr="009924B8">
        <w:rPr>
          <w:rFonts w:ascii="Times New Roman" w:eastAsia="DengXian" w:hAnsi="Times New Roman"/>
          <w:sz w:val="20"/>
          <w:szCs w:val="20"/>
        </w:rPr>
        <w:t>e31</w:t>
      </w:r>
      <w:r w:rsidR="009924B8">
        <w:rPr>
          <w:rFonts w:ascii="Times New Roman" w:eastAsia="DengXian" w:hAnsi="Times New Roman"/>
          <w:sz w:val="20"/>
          <w:szCs w:val="20"/>
        </w:rPr>
        <w:t>.</w:t>
      </w:r>
    </w:p>
    <w:p w14:paraId="3AAC2BD5" w14:textId="61D403EB"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9.</w:t>
      </w:r>
      <w:r w:rsidRPr="00575188">
        <w:rPr>
          <w:rFonts w:ascii="Times New Roman" w:eastAsia="DengXian" w:hAnsi="Times New Roman"/>
          <w:sz w:val="20"/>
          <w:szCs w:val="20"/>
        </w:rPr>
        <w:tab/>
        <w:t>Huisman J, van der Heijden LC, Kok MM, et al. Impact of severe lesion calcification on clinical outcome of patients with stable angina, treated with newer generation permanent polymer-coated drug-eluting stents. Am Heart J</w:t>
      </w:r>
      <w:r w:rsidR="009924B8">
        <w:rPr>
          <w:rFonts w:ascii="Times New Roman" w:eastAsia="DengXian" w:hAnsi="Times New Roman"/>
          <w:sz w:val="20"/>
          <w:szCs w:val="20"/>
        </w:rPr>
        <w:t xml:space="preserve"> 175</w:t>
      </w:r>
      <w:r w:rsidRPr="00575188">
        <w:rPr>
          <w:rFonts w:ascii="Times New Roman" w:eastAsia="DengXian" w:hAnsi="Times New Roman"/>
          <w:sz w:val="20"/>
          <w:szCs w:val="20"/>
        </w:rPr>
        <w:t xml:space="preserve"> </w:t>
      </w:r>
      <w:r w:rsidR="009924B8">
        <w:rPr>
          <w:rFonts w:ascii="Times New Roman" w:eastAsia="DengXian" w:hAnsi="Times New Roman"/>
          <w:sz w:val="20"/>
          <w:szCs w:val="20"/>
        </w:rPr>
        <w:t>(</w:t>
      </w:r>
      <w:r w:rsidRPr="00575188">
        <w:rPr>
          <w:rFonts w:ascii="Times New Roman" w:eastAsia="DengXian" w:hAnsi="Times New Roman"/>
          <w:sz w:val="20"/>
          <w:szCs w:val="20"/>
        </w:rPr>
        <w:t>2016</w:t>
      </w:r>
      <w:r w:rsidR="009924B8">
        <w:rPr>
          <w:rFonts w:ascii="Times New Roman" w:eastAsia="DengXian" w:hAnsi="Times New Roman"/>
          <w:sz w:val="20"/>
          <w:szCs w:val="20"/>
        </w:rPr>
        <w:t>)</w:t>
      </w:r>
      <w:r w:rsidRPr="00575188">
        <w:rPr>
          <w:rFonts w:ascii="Times New Roman" w:eastAsia="DengXian" w:hAnsi="Times New Roman"/>
          <w:sz w:val="20"/>
          <w:szCs w:val="20"/>
        </w:rPr>
        <w:t>:</w:t>
      </w:r>
      <w:r w:rsidR="009924B8">
        <w:rPr>
          <w:rFonts w:ascii="Times New Roman" w:eastAsia="DengXian" w:hAnsi="Times New Roman"/>
          <w:sz w:val="20"/>
          <w:szCs w:val="20"/>
        </w:rPr>
        <w:t xml:space="preserve"> </w:t>
      </w:r>
      <w:r w:rsidRPr="00575188">
        <w:rPr>
          <w:rFonts w:ascii="Times New Roman" w:eastAsia="DengXian" w:hAnsi="Times New Roman"/>
          <w:sz w:val="20"/>
          <w:szCs w:val="20"/>
        </w:rPr>
        <w:t>121</w:t>
      </w:r>
      <w:r w:rsidR="009924B8">
        <w:rPr>
          <w:rFonts w:ascii="Times New Roman" w:eastAsia="DengXian" w:hAnsi="Times New Roman"/>
          <w:sz w:val="20"/>
          <w:szCs w:val="20"/>
        </w:rPr>
        <w:t>-12</w:t>
      </w:r>
      <w:r w:rsidRPr="00575188">
        <w:rPr>
          <w:rFonts w:ascii="Times New Roman" w:eastAsia="DengXian" w:hAnsi="Times New Roman"/>
          <w:sz w:val="20"/>
          <w:szCs w:val="20"/>
        </w:rPr>
        <w:t xml:space="preserve">9. </w:t>
      </w:r>
    </w:p>
    <w:p w14:paraId="7A1A6E7B" w14:textId="07C93354"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10.</w:t>
      </w:r>
      <w:r w:rsidRPr="00575188">
        <w:rPr>
          <w:rFonts w:ascii="Times New Roman" w:eastAsia="DengXian" w:hAnsi="Times New Roman"/>
          <w:sz w:val="20"/>
          <w:szCs w:val="20"/>
        </w:rPr>
        <w:tab/>
        <w:t>Abdel‐Wahab M, Baev R, Dieker P, et al. Long‐term clinical outcome of rotational atherectomy followed by drug‐eluting stent implantation in complex calcified coronary lesions. Catheterization and Cardiovascular Interventions</w:t>
      </w:r>
      <w:r w:rsidR="009924B8">
        <w:rPr>
          <w:rFonts w:ascii="Times New Roman" w:eastAsia="DengXian" w:hAnsi="Times New Roman"/>
          <w:sz w:val="20"/>
          <w:szCs w:val="20"/>
        </w:rPr>
        <w:t xml:space="preserve"> 81 (</w:t>
      </w:r>
      <w:r w:rsidRPr="00575188">
        <w:rPr>
          <w:rFonts w:ascii="Times New Roman" w:eastAsia="DengXian" w:hAnsi="Times New Roman"/>
          <w:sz w:val="20"/>
          <w:szCs w:val="20"/>
        </w:rPr>
        <w:t>2013</w:t>
      </w:r>
      <w:r w:rsidR="009924B8">
        <w:rPr>
          <w:rFonts w:ascii="Times New Roman" w:eastAsia="DengXian" w:hAnsi="Times New Roman"/>
          <w:sz w:val="20"/>
          <w:szCs w:val="20"/>
        </w:rPr>
        <w:t>)</w:t>
      </w:r>
      <w:r w:rsidRPr="00575188">
        <w:rPr>
          <w:rFonts w:ascii="Times New Roman" w:eastAsia="DengXian" w:hAnsi="Times New Roman"/>
          <w:sz w:val="20"/>
          <w:szCs w:val="20"/>
        </w:rPr>
        <w:t>:</w:t>
      </w:r>
      <w:r w:rsidR="009924B8">
        <w:rPr>
          <w:rFonts w:ascii="Times New Roman" w:eastAsia="DengXian" w:hAnsi="Times New Roman"/>
          <w:sz w:val="20"/>
          <w:szCs w:val="20"/>
        </w:rPr>
        <w:t xml:space="preserve"> </w:t>
      </w:r>
      <w:r w:rsidRPr="00575188">
        <w:rPr>
          <w:rFonts w:ascii="Times New Roman" w:eastAsia="DengXian" w:hAnsi="Times New Roman"/>
          <w:sz w:val="20"/>
          <w:szCs w:val="20"/>
        </w:rPr>
        <w:t>285</w:t>
      </w:r>
      <w:r w:rsidR="009924B8">
        <w:rPr>
          <w:rFonts w:ascii="Times New Roman" w:eastAsia="DengXian" w:hAnsi="Times New Roman"/>
          <w:sz w:val="20"/>
          <w:szCs w:val="20"/>
        </w:rPr>
        <w:t>-2</w:t>
      </w:r>
      <w:r w:rsidRPr="00575188">
        <w:rPr>
          <w:rFonts w:ascii="Times New Roman" w:eastAsia="DengXian" w:hAnsi="Times New Roman"/>
          <w:sz w:val="20"/>
          <w:szCs w:val="20"/>
        </w:rPr>
        <w:t xml:space="preserve">91. </w:t>
      </w:r>
    </w:p>
    <w:p w14:paraId="630D6F4D" w14:textId="53EBD305" w:rsidR="00575188" w:rsidRPr="005F0890" w:rsidRDefault="00575188" w:rsidP="00575188">
      <w:pPr>
        <w:spacing w:after="0" w:line="360" w:lineRule="auto"/>
        <w:ind w:left="1077" w:hanging="720"/>
        <w:rPr>
          <w:rFonts w:ascii="Times New Roman" w:eastAsia="DengXian" w:hAnsi="Times New Roman"/>
          <w:sz w:val="20"/>
          <w:szCs w:val="20"/>
          <w:lang w:val="pt-BR"/>
        </w:rPr>
      </w:pPr>
      <w:r w:rsidRPr="00575188">
        <w:rPr>
          <w:rFonts w:ascii="Times New Roman" w:eastAsia="DengXian" w:hAnsi="Times New Roman"/>
          <w:sz w:val="20"/>
          <w:szCs w:val="20"/>
        </w:rPr>
        <w:t>11.</w:t>
      </w:r>
      <w:r w:rsidRPr="00575188">
        <w:rPr>
          <w:rFonts w:ascii="Times New Roman" w:eastAsia="DengXian" w:hAnsi="Times New Roman"/>
          <w:sz w:val="20"/>
          <w:szCs w:val="20"/>
        </w:rPr>
        <w:tab/>
        <w:t xml:space="preserve">Sakakura K, Jinnouchi H, Taniguchi Y, et al. Comparison of the incidence of slow flow following rotational atherectomy to severely calcified coronary artery lesions between short single session and long single session strategies: the randomized ROTASOLO trial. </w:t>
      </w:r>
      <w:r w:rsidRPr="005F0890">
        <w:rPr>
          <w:rFonts w:ascii="Times New Roman" w:eastAsia="DengXian" w:hAnsi="Times New Roman"/>
          <w:sz w:val="20"/>
          <w:szCs w:val="20"/>
          <w:lang w:val="pt-BR"/>
        </w:rPr>
        <w:t>Cardiovasc Interv Ther</w:t>
      </w:r>
      <w:r w:rsidR="00C7472F" w:rsidRPr="005F0890">
        <w:rPr>
          <w:rFonts w:ascii="Times New Roman" w:eastAsia="DengXian" w:hAnsi="Times New Roman"/>
          <w:sz w:val="20"/>
          <w:szCs w:val="20"/>
          <w:lang w:val="pt-BR"/>
        </w:rPr>
        <w:t xml:space="preserve"> 40</w:t>
      </w:r>
      <w:r w:rsidRPr="005F0890">
        <w:rPr>
          <w:rFonts w:ascii="Times New Roman" w:eastAsia="DengXian" w:hAnsi="Times New Roman"/>
          <w:sz w:val="20"/>
          <w:szCs w:val="20"/>
          <w:lang w:val="pt-BR"/>
        </w:rPr>
        <w:t xml:space="preserve"> </w:t>
      </w:r>
      <w:r w:rsidR="00C7472F" w:rsidRPr="005F0890">
        <w:rPr>
          <w:rFonts w:ascii="Times New Roman" w:eastAsia="DengXian" w:hAnsi="Times New Roman"/>
          <w:sz w:val="20"/>
          <w:szCs w:val="20"/>
          <w:lang w:val="pt-BR"/>
        </w:rPr>
        <w:t>(</w:t>
      </w:r>
      <w:r w:rsidRPr="005F0890">
        <w:rPr>
          <w:rFonts w:ascii="Times New Roman" w:eastAsia="DengXian" w:hAnsi="Times New Roman"/>
          <w:sz w:val="20"/>
          <w:szCs w:val="20"/>
          <w:lang w:val="pt-BR"/>
        </w:rPr>
        <w:t>2025</w:t>
      </w:r>
      <w:r w:rsidR="00C7472F" w:rsidRPr="005F0890">
        <w:rPr>
          <w:rFonts w:ascii="Times New Roman" w:eastAsia="DengXian" w:hAnsi="Times New Roman"/>
          <w:sz w:val="20"/>
          <w:szCs w:val="20"/>
          <w:lang w:val="pt-BR"/>
        </w:rPr>
        <w:t>)</w:t>
      </w:r>
      <w:r w:rsidRPr="005F0890">
        <w:rPr>
          <w:rFonts w:ascii="Times New Roman" w:eastAsia="DengXian" w:hAnsi="Times New Roman"/>
          <w:sz w:val="20"/>
          <w:szCs w:val="20"/>
          <w:lang w:val="pt-BR"/>
        </w:rPr>
        <w:t>:</w:t>
      </w:r>
      <w:r w:rsidR="00C7472F" w:rsidRPr="005F0890">
        <w:rPr>
          <w:rFonts w:ascii="Times New Roman" w:eastAsia="DengXian" w:hAnsi="Times New Roman"/>
          <w:sz w:val="20"/>
          <w:szCs w:val="20"/>
          <w:lang w:val="pt-BR"/>
        </w:rPr>
        <w:t xml:space="preserve"> </w:t>
      </w:r>
      <w:r w:rsidRPr="005F0890">
        <w:rPr>
          <w:rFonts w:ascii="Times New Roman" w:eastAsia="DengXian" w:hAnsi="Times New Roman"/>
          <w:sz w:val="20"/>
          <w:szCs w:val="20"/>
          <w:lang w:val="pt-BR"/>
        </w:rPr>
        <w:t>827</w:t>
      </w:r>
      <w:r w:rsidR="00C7472F" w:rsidRPr="005F0890">
        <w:rPr>
          <w:rFonts w:ascii="Times New Roman" w:eastAsia="DengXian" w:hAnsi="Times New Roman"/>
          <w:sz w:val="20"/>
          <w:szCs w:val="20"/>
          <w:lang w:val="pt-BR"/>
        </w:rPr>
        <w:t>-8</w:t>
      </w:r>
      <w:r w:rsidRPr="005F0890">
        <w:rPr>
          <w:rFonts w:ascii="Times New Roman" w:eastAsia="DengXian" w:hAnsi="Times New Roman"/>
          <w:sz w:val="20"/>
          <w:szCs w:val="20"/>
          <w:lang w:val="pt-BR"/>
        </w:rPr>
        <w:t xml:space="preserve">39. </w:t>
      </w:r>
    </w:p>
    <w:p w14:paraId="1573B850" w14:textId="2F5030B0" w:rsidR="00575188" w:rsidRPr="00575188" w:rsidRDefault="00575188" w:rsidP="00575188">
      <w:pPr>
        <w:spacing w:after="0" w:line="360" w:lineRule="auto"/>
        <w:ind w:left="1077" w:hanging="720"/>
        <w:rPr>
          <w:rFonts w:ascii="Times New Roman" w:eastAsia="DengXian" w:hAnsi="Times New Roman"/>
          <w:sz w:val="20"/>
          <w:szCs w:val="20"/>
        </w:rPr>
      </w:pPr>
      <w:r w:rsidRPr="005F0890">
        <w:rPr>
          <w:rFonts w:ascii="Times New Roman" w:eastAsia="DengXian" w:hAnsi="Times New Roman"/>
          <w:sz w:val="20"/>
          <w:szCs w:val="20"/>
          <w:lang w:val="pt-BR"/>
        </w:rPr>
        <w:t>12.</w:t>
      </w:r>
      <w:r w:rsidRPr="005F0890">
        <w:rPr>
          <w:rFonts w:ascii="Times New Roman" w:eastAsia="DengXian" w:hAnsi="Times New Roman"/>
          <w:sz w:val="20"/>
          <w:szCs w:val="20"/>
          <w:lang w:val="pt-BR"/>
        </w:rPr>
        <w:tab/>
        <w:t>Kawamoto H, Latib A, Ruparelia N, et al.</w:t>
      </w:r>
      <w:r w:rsidR="00C7472F" w:rsidRPr="005F0890">
        <w:rPr>
          <w:rFonts w:ascii="Times New Roman" w:eastAsia="DengXian" w:hAnsi="Times New Roman"/>
          <w:sz w:val="20"/>
          <w:szCs w:val="20"/>
          <w:lang w:val="pt-BR"/>
        </w:rPr>
        <w:t xml:space="preserve"> </w:t>
      </w:r>
      <w:r w:rsidRPr="00575188">
        <w:rPr>
          <w:rFonts w:ascii="Times New Roman" w:eastAsia="DengXian" w:hAnsi="Times New Roman"/>
          <w:sz w:val="20"/>
          <w:szCs w:val="20"/>
        </w:rPr>
        <w:t>In-hospital and midterm clinical outcomes of rotational atherectomy followed by stent implantation: the ROTATE multicentre registry. EuroIntervention</w:t>
      </w:r>
      <w:r w:rsidR="00C7472F">
        <w:rPr>
          <w:rFonts w:ascii="Times New Roman" w:eastAsia="DengXian" w:hAnsi="Times New Roman"/>
          <w:sz w:val="20"/>
          <w:szCs w:val="20"/>
        </w:rPr>
        <w:t xml:space="preserve"> 12 (</w:t>
      </w:r>
      <w:r w:rsidRPr="00575188">
        <w:rPr>
          <w:rFonts w:ascii="Times New Roman" w:eastAsia="DengXian" w:hAnsi="Times New Roman"/>
          <w:sz w:val="20"/>
          <w:szCs w:val="20"/>
        </w:rPr>
        <w:t>2016</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1448</w:t>
      </w:r>
      <w:r w:rsidR="00C7472F">
        <w:rPr>
          <w:rFonts w:ascii="Times New Roman" w:eastAsia="DengXian" w:hAnsi="Times New Roman"/>
          <w:sz w:val="20"/>
          <w:szCs w:val="20"/>
        </w:rPr>
        <w:t>-14</w:t>
      </w:r>
      <w:r w:rsidRPr="00575188">
        <w:rPr>
          <w:rFonts w:ascii="Times New Roman" w:eastAsia="DengXian" w:hAnsi="Times New Roman"/>
          <w:sz w:val="20"/>
          <w:szCs w:val="20"/>
        </w:rPr>
        <w:t xml:space="preserve">56. </w:t>
      </w:r>
    </w:p>
    <w:p w14:paraId="137298A7" w14:textId="144DC1BD"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13.</w:t>
      </w:r>
      <w:r w:rsidRPr="00575188">
        <w:rPr>
          <w:rFonts w:ascii="Times New Roman" w:eastAsia="DengXian" w:hAnsi="Times New Roman"/>
          <w:sz w:val="20"/>
          <w:szCs w:val="20"/>
        </w:rPr>
        <w:tab/>
        <w:t>Sakakura K, Jinnouchi H, Taniguchi Y, et al.</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Comparison of the incidence of slow flow following rotational atherectomy to severely calcified coronary artery lesions between short single session and long single session strategies: the randomized ROTASOLO trial. Cardiovasc Interv Ther</w:t>
      </w:r>
      <w:r w:rsidR="00C7472F">
        <w:rPr>
          <w:rFonts w:ascii="Times New Roman" w:eastAsia="DengXian" w:hAnsi="Times New Roman"/>
          <w:sz w:val="20"/>
          <w:szCs w:val="20"/>
        </w:rPr>
        <w:t xml:space="preserve"> 40</w:t>
      </w:r>
      <w:r w:rsidRPr="00575188">
        <w:rPr>
          <w:rFonts w:ascii="Times New Roman" w:eastAsia="DengXian" w:hAnsi="Times New Roman"/>
          <w:sz w:val="20"/>
          <w:szCs w:val="20"/>
        </w:rPr>
        <w:t xml:space="preserve"> </w:t>
      </w:r>
      <w:r w:rsidR="00C7472F">
        <w:rPr>
          <w:rFonts w:ascii="Times New Roman" w:eastAsia="DengXian" w:hAnsi="Times New Roman"/>
          <w:sz w:val="20"/>
          <w:szCs w:val="20"/>
        </w:rPr>
        <w:t>(</w:t>
      </w:r>
      <w:r w:rsidRPr="00575188">
        <w:rPr>
          <w:rFonts w:ascii="Times New Roman" w:eastAsia="DengXian" w:hAnsi="Times New Roman"/>
          <w:sz w:val="20"/>
          <w:szCs w:val="20"/>
        </w:rPr>
        <w:t>2025</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827</w:t>
      </w:r>
      <w:r w:rsidR="00C7472F">
        <w:rPr>
          <w:rFonts w:ascii="Times New Roman" w:eastAsia="DengXian" w:hAnsi="Times New Roman"/>
          <w:sz w:val="20"/>
          <w:szCs w:val="20"/>
        </w:rPr>
        <w:t>-8</w:t>
      </w:r>
      <w:r w:rsidRPr="00575188">
        <w:rPr>
          <w:rFonts w:ascii="Times New Roman" w:eastAsia="DengXian" w:hAnsi="Times New Roman"/>
          <w:sz w:val="20"/>
          <w:szCs w:val="20"/>
        </w:rPr>
        <w:t xml:space="preserve">39. </w:t>
      </w:r>
    </w:p>
    <w:p w14:paraId="2E56EC00" w14:textId="386BC3CA"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14.</w:t>
      </w:r>
      <w:r w:rsidRPr="00575188">
        <w:rPr>
          <w:rFonts w:ascii="Times New Roman" w:eastAsia="DengXian" w:hAnsi="Times New Roman"/>
          <w:sz w:val="20"/>
          <w:szCs w:val="20"/>
        </w:rPr>
        <w:tab/>
        <w:t xml:space="preserve">Liu X, Wan L, Liu Y, </w:t>
      </w:r>
      <w:r w:rsidR="00C7472F">
        <w:rPr>
          <w:rFonts w:ascii="Times New Roman" w:eastAsia="DengXian" w:hAnsi="Times New Roman"/>
          <w:sz w:val="20"/>
          <w:szCs w:val="20"/>
        </w:rPr>
        <w:t>et al.</w:t>
      </w:r>
      <w:r w:rsidRPr="00575188">
        <w:rPr>
          <w:rFonts w:ascii="Times New Roman" w:eastAsia="DengXian" w:hAnsi="Times New Roman"/>
          <w:sz w:val="20"/>
          <w:szCs w:val="20"/>
        </w:rPr>
        <w:t xml:space="preserve"> Planned vs. rescue rotational atherectomy in severe coronary calcification: procedural complications and one-year clinical outcomes. Front Cardiovasc Med</w:t>
      </w:r>
      <w:r w:rsidR="00C7472F">
        <w:rPr>
          <w:rFonts w:ascii="Times New Roman" w:eastAsia="DengXian" w:hAnsi="Times New Roman"/>
          <w:sz w:val="20"/>
          <w:szCs w:val="20"/>
        </w:rPr>
        <w:t xml:space="preserve"> 19</w:t>
      </w:r>
      <w:r w:rsidRPr="00575188">
        <w:rPr>
          <w:rFonts w:ascii="Times New Roman" w:eastAsia="DengXian" w:hAnsi="Times New Roman"/>
          <w:sz w:val="20"/>
          <w:szCs w:val="20"/>
        </w:rPr>
        <w:t xml:space="preserve"> </w:t>
      </w:r>
      <w:r w:rsidR="00C7472F">
        <w:rPr>
          <w:rFonts w:ascii="Times New Roman" w:eastAsia="DengXian" w:hAnsi="Times New Roman"/>
          <w:sz w:val="20"/>
          <w:szCs w:val="20"/>
        </w:rPr>
        <w:t>(</w:t>
      </w:r>
      <w:r w:rsidR="00C7472F" w:rsidRPr="00C7472F">
        <w:rPr>
          <w:rFonts w:ascii="Times New Roman" w:eastAsia="DengXian" w:hAnsi="Times New Roman"/>
          <w:sz w:val="20"/>
          <w:szCs w:val="20"/>
        </w:rPr>
        <w:t>2025</w:t>
      </w:r>
      <w:r w:rsidR="00C7472F">
        <w:rPr>
          <w:rFonts w:ascii="Times New Roman" w:eastAsia="DengXian" w:hAnsi="Times New Roman"/>
          <w:sz w:val="20"/>
          <w:szCs w:val="20"/>
        </w:rPr>
        <w:t>)</w:t>
      </w:r>
      <w:r w:rsidR="00C7472F" w:rsidRPr="00C7472F">
        <w:rPr>
          <w:rFonts w:ascii="Times New Roman" w:eastAsia="DengXian" w:hAnsi="Times New Roman"/>
          <w:sz w:val="20"/>
          <w:szCs w:val="20"/>
        </w:rPr>
        <w:t>:1599091.</w:t>
      </w:r>
    </w:p>
    <w:p w14:paraId="57A891B8" w14:textId="56930DD7"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15.</w:t>
      </w:r>
      <w:r w:rsidRPr="00575188">
        <w:rPr>
          <w:rFonts w:ascii="Times New Roman" w:eastAsia="DengXian" w:hAnsi="Times New Roman"/>
          <w:sz w:val="20"/>
          <w:szCs w:val="20"/>
        </w:rPr>
        <w:tab/>
        <w:t>Goel S, Pasam RT, Chava S, et al. Orbital atherectomy versus rotational atherectomy: A systematic review and meta-analysis. Int J Cardiol</w:t>
      </w:r>
      <w:r w:rsidR="00C7472F">
        <w:rPr>
          <w:rFonts w:ascii="Times New Roman" w:eastAsia="DengXian" w:hAnsi="Times New Roman"/>
          <w:sz w:val="20"/>
          <w:szCs w:val="20"/>
        </w:rPr>
        <w:t xml:space="preserve"> 303</w:t>
      </w:r>
      <w:r w:rsidRPr="00575188">
        <w:rPr>
          <w:rFonts w:ascii="Times New Roman" w:eastAsia="DengXian" w:hAnsi="Times New Roman"/>
          <w:sz w:val="20"/>
          <w:szCs w:val="20"/>
        </w:rPr>
        <w:t xml:space="preserve"> </w:t>
      </w:r>
      <w:r w:rsidR="00C7472F">
        <w:rPr>
          <w:rFonts w:ascii="Times New Roman" w:eastAsia="DengXian" w:hAnsi="Times New Roman"/>
          <w:sz w:val="20"/>
          <w:szCs w:val="20"/>
        </w:rPr>
        <w:t>(</w:t>
      </w:r>
      <w:r w:rsidRPr="00575188">
        <w:rPr>
          <w:rFonts w:ascii="Times New Roman" w:eastAsia="DengXian" w:hAnsi="Times New Roman"/>
          <w:sz w:val="20"/>
          <w:szCs w:val="20"/>
        </w:rPr>
        <w:t>2020</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16</w:t>
      </w:r>
      <w:r w:rsidR="00C7472F">
        <w:rPr>
          <w:rFonts w:ascii="Times New Roman" w:eastAsia="DengXian" w:hAnsi="Times New Roman"/>
          <w:sz w:val="20"/>
          <w:szCs w:val="20"/>
        </w:rPr>
        <w:t>-</w:t>
      </w:r>
      <w:r w:rsidRPr="00575188">
        <w:rPr>
          <w:rFonts w:ascii="Times New Roman" w:eastAsia="DengXian" w:hAnsi="Times New Roman"/>
          <w:sz w:val="20"/>
          <w:szCs w:val="20"/>
        </w:rPr>
        <w:t xml:space="preserve">21. </w:t>
      </w:r>
    </w:p>
    <w:p w14:paraId="78EB11E3" w14:textId="5A959AD0"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16.</w:t>
      </w:r>
      <w:r w:rsidRPr="00575188">
        <w:rPr>
          <w:rFonts w:ascii="Times New Roman" w:eastAsia="DengXian" w:hAnsi="Times New Roman"/>
          <w:sz w:val="20"/>
          <w:szCs w:val="20"/>
        </w:rPr>
        <w:tab/>
        <w:t xml:space="preserve">Kristensen AT, Faltermeier P, Kamp CB, </w:t>
      </w:r>
      <w:r w:rsidR="00C7472F">
        <w:rPr>
          <w:rFonts w:ascii="Times New Roman" w:eastAsia="DengXian" w:hAnsi="Times New Roman"/>
          <w:sz w:val="20"/>
          <w:szCs w:val="20"/>
        </w:rPr>
        <w:t>et al.</w:t>
      </w:r>
      <w:r w:rsidRPr="00575188">
        <w:rPr>
          <w:rFonts w:ascii="Times New Roman" w:eastAsia="DengXian" w:hAnsi="Times New Roman"/>
          <w:sz w:val="20"/>
          <w:szCs w:val="20"/>
        </w:rPr>
        <w:t xml:space="preserve"> Percutaneous Coronary Interventions for Calcified Lesions: A Systematic Review with Meta-analyses of Randomised Trials. Interventional Cardiology: Reviews, Research, Resources</w:t>
      </w:r>
      <w:r w:rsidR="00C7472F">
        <w:rPr>
          <w:rFonts w:ascii="Times New Roman" w:eastAsia="DengXian" w:hAnsi="Times New Roman"/>
          <w:sz w:val="20"/>
          <w:szCs w:val="20"/>
        </w:rPr>
        <w:t xml:space="preserve"> 19 (</w:t>
      </w:r>
      <w:r w:rsidR="00C7472F" w:rsidRPr="00C7472F">
        <w:rPr>
          <w:rFonts w:ascii="Times New Roman" w:eastAsia="DengXian" w:hAnsi="Times New Roman"/>
          <w:sz w:val="20"/>
          <w:szCs w:val="20"/>
        </w:rPr>
        <w:t>2025</w:t>
      </w:r>
      <w:r w:rsidR="00C7472F">
        <w:rPr>
          <w:rFonts w:ascii="Times New Roman" w:eastAsia="DengXian" w:hAnsi="Times New Roman"/>
          <w:sz w:val="20"/>
          <w:szCs w:val="20"/>
        </w:rPr>
        <w:t>)</w:t>
      </w:r>
      <w:r w:rsidR="00C7472F" w:rsidRPr="00C7472F">
        <w:rPr>
          <w:rFonts w:ascii="Times New Roman" w:eastAsia="DengXian" w:hAnsi="Times New Roman"/>
          <w:sz w:val="20"/>
          <w:szCs w:val="20"/>
        </w:rPr>
        <w:t>:</w:t>
      </w:r>
      <w:r w:rsidR="00C7472F">
        <w:rPr>
          <w:rFonts w:ascii="Times New Roman" w:eastAsia="DengXian" w:hAnsi="Times New Roman"/>
          <w:sz w:val="20"/>
          <w:szCs w:val="20"/>
        </w:rPr>
        <w:t xml:space="preserve"> </w:t>
      </w:r>
      <w:r w:rsidR="00C7472F" w:rsidRPr="00C7472F">
        <w:rPr>
          <w:rFonts w:ascii="Times New Roman" w:eastAsia="DengXian" w:hAnsi="Times New Roman"/>
          <w:sz w:val="20"/>
          <w:szCs w:val="20"/>
        </w:rPr>
        <w:t>e31</w:t>
      </w:r>
      <w:r w:rsidR="00C7472F">
        <w:rPr>
          <w:rFonts w:ascii="Times New Roman" w:eastAsia="DengXian" w:hAnsi="Times New Roman"/>
          <w:sz w:val="20"/>
          <w:szCs w:val="20"/>
        </w:rPr>
        <w:t>.</w:t>
      </w:r>
    </w:p>
    <w:p w14:paraId="6D1A2DB2" w14:textId="63EC0966"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17.</w:t>
      </w:r>
      <w:r w:rsidRPr="00575188">
        <w:rPr>
          <w:rFonts w:ascii="Times New Roman" w:eastAsia="DengXian" w:hAnsi="Times New Roman"/>
          <w:sz w:val="20"/>
          <w:szCs w:val="20"/>
        </w:rPr>
        <w:tab/>
        <w:t xml:space="preserve">Ali ZA, Nef H, Escaned J, et al. Safety and Effectiveness of Coronary Intravascular Lithotripsy for Treatment of Severely Calcified Coronary Stenoses. Circ Cardiovasc Interv </w:t>
      </w:r>
      <w:r w:rsidR="00C7472F">
        <w:rPr>
          <w:rFonts w:ascii="Times New Roman" w:eastAsia="DengXian" w:hAnsi="Times New Roman"/>
          <w:sz w:val="20"/>
          <w:szCs w:val="20"/>
        </w:rPr>
        <w:t>110 (</w:t>
      </w:r>
      <w:r w:rsidR="00C7472F" w:rsidRPr="00C7472F">
        <w:rPr>
          <w:rFonts w:ascii="Times New Roman" w:eastAsia="DengXian" w:hAnsi="Times New Roman"/>
          <w:sz w:val="20"/>
          <w:szCs w:val="20"/>
        </w:rPr>
        <w:t>2020</w:t>
      </w:r>
      <w:r w:rsidR="00C7472F">
        <w:rPr>
          <w:rFonts w:ascii="Times New Roman" w:eastAsia="DengXian" w:hAnsi="Times New Roman"/>
          <w:sz w:val="20"/>
          <w:szCs w:val="20"/>
        </w:rPr>
        <w:t>)</w:t>
      </w:r>
      <w:r w:rsidR="00C7472F" w:rsidRPr="00C7472F">
        <w:rPr>
          <w:rFonts w:ascii="Times New Roman" w:eastAsia="DengXian" w:hAnsi="Times New Roman"/>
          <w:sz w:val="20"/>
          <w:szCs w:val="20"/>
        </w:rPr>
        <w:t>:</w:t>
      </w:r>
      <w:r w:rsidR="00C7472F">
        <w:rPr>
          <w:rFonts w:ascii="Times New Roman" w:eastAsia="DengXian" w:hAnsi="Times New Roman"/>
          <w:sz w:val="20"/>
          <w:szCs w:val="20"/>
        </w:rPr>
        <w:t xml:space="preserve"> </w:t>
      </w:r>
      <w:r w:rsidR="00C7472F" w:rsidRPr="00C7472F">
        <w:rPr>
          <w:rFonts w:ascii="Times New Roman" w:eastAsia="DengXian" w:hAnsi="Times New Roman"/>
          <w:sz w:val="20"/>
          <w:szCs w:val="20"/>
        </w:rPr>
        <w:t>228</w:t>
      </w:r>
      <w:r w:rsidR="00C7472F">
        <w:rPr>
          <w:rFonts w:ascii="Times New Roman" w:eastAsia="DengXian" w:hAnsi="Times New Roman"/>
          <w:sz w:val="20"/>
          <w:szCs w:val="20"/>
        </w:rPr>
        <w:t>-</w:t>
      </w:r>
      <w:r w:rsidR="00C7472F" w:rsidRPr="00C7472F">
        <w:rPr>
          <w:rFonts w:ascii="Times New Roman" w:eastAsia="DengXian" w:hAnsi="Times New Roman"/>
          <w:sz w:val="20"/>
          <w:szCs w:val="20"/>
        </w:rPr>
        <w:t>236.</w:t>
      </w:r>
      <w:r w:rsidRPr="00575188">
        <w:rPr>
          <w:rFonts w:ascii="Times New Roman" w:eastAsia="DengXian" w:hAnsi="Times New Roman"/>
          <w:sz w:val="20"/>
          <w:szCs w:val="20"/>
        </w:rPr>
        <w:t xml:space="preserve"> </w:t>
      </w:r>
    </w:p>
    <w:p w14:paraId="2057E5CD" w14:textId="640C1B75"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lastRenderedPageBreak/>
        <w:t>18.</w:t>
      </w:r>
      <w:r w:rsidRPr="00575188">
        <w:rPr>
          <w:rFonts w:ascii="Times New Roman" w:eastAsia="DengXian" w:hAnsi="Times New Roman"/>
          <w:sz w:val="20"/>
          <w:szCs w:val="20"/>
        </w:rPr>
        <w:tab/>
        <w:t>Visinoni ZM, Jurewitz DL, Kereiakes DJ, et al.: Coronary intravascular lithotripsy for severe coronary artery calcification: The Disrupt CAD I-IV trials. Cardiovascular Revascularization Medicine</w:t>
      </w:r>
      <w:r w:rsidR="00C7472F">
        <w:rPr>
          <w:rFonts w:ascii="Times New Roman" w:eastAsia="DengXian" w:hAnsi="Times New Roman"/>
          <w:sz w:val="20"/>
          <w:szCs w:val="20"/>
        </w:rPr>
        <w:t xml:space="preserve"> 65</w:t>
      </w:r>
      <w:r w:rsidRPr="00575188">
        <w:rPr>
          <w:rFonts w:ascii="Times New Roman" w:eastAsia="DengXian" w:hAnsi="Times New Roman"/>
          <w:sz w:val="20"/>
          <w:szCs w:val="20"/>
        </w:rPr>
        <w:t xml:space="preserve"> </w:t>
      </w:r>
      <w:r w:rsidR="00C7472F">
        <w:rPr>
          <w:rFonts w:ascii="Times New Roman" w:eastAsia="DengXian" w:hAnsi="Times New Roman"/>
          <w:sz w:val="20"/>
          <w:szCs w:val="20"/>
        </w:rPr>
        <w:t>(</w:t>
      </w:r>
      <w:r w:rsidRPr="00575188">
        <w:rPr>
          <w:rFonts w:ascii="Times New Roman" w:eastAsia="DengXian" w:hAnsi="Times New Roman"/>
          <w:sz w:val="20"/>
          <w:szCs w:val="20"/>
        </w:rPr>
        <w:t>2024</w:t>
      </w:r>
      <w:r w:rsidR="00C7472F">
        <w:rPr>
          <w:rFonts w:ascii="Times New Roman" w:eastAsia="DengXian" w:hAnsi="Times New Roman"/>
          <w:sz w:val="20"/>
          <w:szCs w:val="20"/>
        </w:rPr>
        <w:t>)</w:t>
      </w:r>
      <w:r w:rsidRPr="00575188">
        <w:rPr>
          <w:rFonts w:ascii="Times New Roman" w:eastAsia="DengXian" w:hAnsi="Times New Roman"/>
          <w:sz w:val="20"/>
          <w:szCs w:val="20"/>
        </w:rPr>
        <w:t>:81</w:t>
      </w:r>
      <w:r w:rsidR="00C7472F">
        <w:rPr>
          <w:rFonts w:ascii="Times New Roman" w:eastAsia="DengXian" w:hAnsi="Times New Roman"/>
          <w:sz w:val="20"/>
          <w:szCs w:val="20"/>
        </w:rPr>
        <w:t>-</w:t>
      </w:r>
      <w:r w:rsidRPr="00575188">
        <w:rPr>
          <w:rFonts w:ascii="Times New Roman" w:eastAsia="DengXian" w:hAnsi="Times New Roman"/>
          <w:sz w:val="20"/>
          <w:szCs w:val="20"/>
        </w:rPr>
        <w:t xml:space="preserve">7. </w:t>
      </w:r>
    </w:p>
    <w:p w14:paraId="67179EBF" w14:textId="2183F3D4"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19.</w:t>
      </w:r>
      <w:r w:rsidRPr="00575188">
        <w:rPr>
          <w:rFonts w:ascii="Times New Roman" w:eastAsia="DengXian" w:hAnsi="Times New Roman"/>
          <w:sz w:val="20"/>
          <w:szCs w:val="20"/>
        </w:rPr>
        <w:tab/>
        <w:t>Hill JM, Kereiakes DJ, Shlofmitz RA, et al. Intravascular Lithotripsy for Treatment of Severely Calcified Coronary Artery Disease. J Am Coll Cardiol</w:t>
      </w:r>
      <w:r w:rsidR="00C7472F">
        <w:rPr>
          <w:rFonts w:ascii="Times New Roman" w:eastAsia="DengXian" w:hAnsi="Times New Roman"/>
          <w:sz w:val="20"/>
          <w:szCs w:val="20"/>
        </w:rPr>
        <w:t xml:space="preserve"> 76 (</w:t>
      </w:r>
      <w:r w:rsidRPr="00575188">
        <w:rPr>
          <w:rFonts w:ascii="Times New Roman" w:eastAsia="DengXian" w:hAnsi="Times New Roman"/>
          <w:sz w:val="20"/>
          <w:szCs w:val="20"/>
        </w:rPr>
        <w:t>2020</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2635</w:t>
      </w:r>
      <w:r w:rsidR="00C7472F">
        <w:rPr>
          <w:rFonts w:ascii="Times New Roman" w:eastAsia="DengXian" w:hAnsi="Times New Roman"/>
          <w:sz w:val="20"/>
          <w:szCs w:val="20"/>
        </w:rPr>
        <w:t>-26</w:t>
      </w:r>
      <w:r w:rsidRPr="00575188">
        <w:rPr>
          <w:rFonts w:ascii="Times New Roman" w:eastAsia="DengXian" w:hAnsi="Times New Roman"/>
          <w:sz w:val="20"/>
          <w:szCs w:val="20"/>
        </w:rPr>
        <w:t xml:space="preserve">46. </w:t>
      </w:r>
    </w:p>
    <w:p w14:paraId="1031E4D9" w14:textId="6763EB3E"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20.</w:t>
      </w:r>
      <w:r w:rsidRPr="00575188">
        <w:rPr>
          <w:rFonts w:ascii="Times New Roman" w:eastAsia="DengXian" w:hAnsi="Times New Roman"/>
          <w:sz w:val="20"/>
          <w:szCs w:val="20"/>
        </w:rPr>
        <w:tab/>
        <w:t xml:space="preserve">Kereiakes DJ, Hill JM, Shlofmitz RA, et al. Intravascular Lithotripsy for Treatment of Severely Calcified Coronary Lesions: 1-Year Results </w:t>
      </w:r>
      <w:r w:rsidR="00C7472F" w:rsidRPr="00575188">
        <w:rPr>
          <w:rFonts w:ascii="Times New Roman" w:eastAsia="DengXian" w:hAnsi="Times New Roman"/>
          <w:sz w:val="20"/>
          <w:szCs w:val="20"/>
        </w:rPr>
        <w:t>from</w:t>
      </w:r>
      <w:r w:rsidRPr="00575188">
        <w:rPr>
          <w:rFonts w:ascii="Times New Roman" w:eastAsia="DengXian" w:hAnsi="Times New Roman"/>
          <w:sz w:val="20"/>
          <w:szCs w:val="20"/>
        </w:rPr>
        <w:t xml:space="preserve"> the Disrupt CAD III Study. Journal of the Society for Cardiovascular Angiography &amp; Interventions</w:t>
      </w:r>
      <w:r w:rsidR="00C7472F">
        <w:rPr>
          <w:rFonts w:ascii="Times New Roman" w:eastAsia="DengXian" w:hAnsi="Times New Roman"/>
          <w:sz w:val="20"/>
          <w:szCs w:val="20"/>
        </w:rPr>
        <w:t xml:space="preserve"> 1 (</w:t>
      </w:r>
      <w:r w:rsidRPr="00575188">
        <w:rPr>
          <w:rFonts w:ascii="Times New Roman" w:eastAsia="DengXian" w:hAnsi="Times New Roman"/>
          <w:sz w:val="20"/>
          <w:szCs w:val="20"/>
        </w:rPr>
        <w:t>2022</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 xml:space="preserve">100001. </w:t>
      </w:r>
    </w:p>
    <w:p w14:paraId="65251C0A" w14:textId="3084C3FC" w:rsidR="00575188" w:rsidRPr="00575188" w:rsidRDefault="00575188" w:rsidP="00C7472F">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21.</w:t>
      </w:r>
      <w:r w:rsidRPr="00575188">
        <w:rPr>
          <w:rFonts w:ascii="Times New Roman" w:eastAsia="DengXian" w:hAnsi="Times New Roman"/>
          <w:sz w:val="20"/>
          <w:szCs w:val="20"/>
        </w:rPr>
        <w:tab/>
        <w:t xml:space="preserve">Ali ZA, Kereiakes DJ, Hill JM, et al. Impact of Calcium Eccentricity on the Safety and Effectiveness of Coronary Intravascular Lithotripsy: Pooled Analysis </w:t>
      </w:r>
      <w:r w:rsidR="00C7472F" w:rsidRPr="00575188">
        <w:rPr>
          <w:rFonts w:ascii="Times New Roman" w:eastAsia="DengXian" w:hAnsi="Times New Roman"/>
          <w:sz w:val="20"/>
          <w:szCs w:val="20"/>
        </w:rPr>
        <w:t>from</w:t>
      </w:r>
      <w:r w:rsidRPr="00575188">
        <w:rPr>
          <w:rFonts w:ascii="Times New Roman" w:eastAsia="DengXian" w:hAnsi="Times New Roman"/>
          <w:sz w:val="20"/>
          <w:szCs w:val="20"/>
        </w:rPr>
        <w:t xml:space="preserve"> the Disrupt CAD Studies. Circ Cardiovasc Interv</w:t>
      </w:r>
      <w:r w:rsidR="00C7472F">
        <w:rPr>
          <w:rFonts w:ascii="Times New Roman" w:eastAsia="DengXian" w:hAnsi="Times New Roman"/>
          <w:sz w:val="20"/>
          <w:szCs w:val="20"/>
        </w:rPr>
        <w:t xml:space="preserve"> 16 (</w:t>
      </w:r>
      <w:r w:rsidRPr="00575188">
        <w:rPr>
          <w:rFonts w:ascii="Times New Roman" w:eastAsia="DengXian" w:hAnsi="Times New Roman"/>
          <w:sz w:val="20"/>
          <w:szCs w:val="20"/>
        </w:rPr>
        <w:t>2023</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 xml:space="preserve">e012898. </w:t>
      </w:r>
    </w:p>
    <w:p w14:paraId="5BB1A936" w14:textId="3D72A1B7"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22.</w:t>
      </w:r>
      <w:r w:rsidRPr="00575188">
        <w:rPr>
          <w:rFonts w:ascii="Times New Roman" w:eastAsia="DengXian" w:hAnsi="Times New Roman"/>
          <w:sz w:val="20"/>
          <w:szCs w:val="20"/>
        </w:rPr>
        <w:tab/>
        <w:t>Saito S, Yamazaki S, Takahashi A, et al. Intravascular Lithotripsy for Vessel Preparation in Calcified Coronary Arteries Prior to Stent Placement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Japanese Disrupt CAD IV Study 2-Year Results Circ Rep</w:t>
      </w:r>
      <w:r w:rsidR="00C7472F">
        <w:rPr>
          <w:rFonts w:ascii="Times New Roman" w:eastAsia="DengXian" w:hAnsi="Times New Roman"/>
          <w:sz w:val="20"/>
          <w:szCs w:val="20"/>
        </w:rPr>
        <w:t xml:space="preserve"> 5</w:t>
      </w:r>
      <w:r w:rsidRPr="00575188">
        <w:rPr>
          <w:rFonts w:ascii="Times New Roman" w:eastAsia="DengXian" w:hAnsi="Times New Roman"/>
          <w:sz w:val="20"/>
          <w:szCs w:val="20"/>
        </w:rPr>
        <w:t xml:space="preserve"> </w:t>
      </w:r>
      <w:r w:rsidR="00C7472F">
        <w:rPr>
          <w:rFonts w:ascii="Times New Roman" w:eastAsia="DengXian" w:hAnsi="Times New Roman"/>
          <w:sz w:val="20"/>
          <w:szCs w:val="20"/>
        </w:rPr>
        <w:t>(</w:t>
      </w:r>
      <w:r w:rsidRPr="00575188">
        <w:rPr>
          <w:rFonts w:ascii="Times New Roman" w:eastAsia="DengXian" w:hAnsi="Times New Roman"/>
          <w:sz w:val="20"/>
          <w:szCs w:val="20"/>
        </w:rPr>
        <w:t>2023</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23</w:t>
      </w:r>
      <w:r w:rsidR="00C7472F">
        <w:rPr>
          <w:rFonts w:ascii="Times New Roman" w:eastAsia="DengXian" w:hAnsi="Times New Roman"/>
          <w:sz w:val="20"/>
          <w:szCs w:val="20"/>
        </w:rPr>
        <w:t>-</w:t>
      </w:r>
      <w:r w:rsidRPr="00575188">
        <w:rPr>
          <w:rFonts w:ascii="Times New Roman" w:eastAsia="DengXian" w:hAnsi="Times New Roman"/>
          <w:sz w:val="20"/>
          <w:szCs w:val="20"/>
        </w:rPr>
        <w:t xml:space="preserve">82. </w:t>
      </w:r>
    </w:p>
    <w:p w14:paraId="49B566F1" w14:textId="13BD8EC7"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23.</w:t>
      </w:r>
      <w:r w:rsidRPr="00575188">
        <w:rPr>
          <w:rFonts w:ascii="Times New Roman" w:eastAsia="DengXian" w:hAnsi="Times New Roman"/>
          <w:sz w:val="20"/>
          <w:szCs w:val="20"/>
        </w:rPr>
        <w:tab/>
        <w:t>Visinoni ZM, Jurewitz DL, Kereiakes DJ, et al.</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Coronary intravascular lithotripsy for severe coronary artery calcification: The Disrupt CAD I-IV trials. Cardiovascular Revascularization Medicine</w:t>
      </w:r>
      <w:r w:rsidR="00C7472F">
        <w:rPr>
          <w:rFonts w:ascii="Times New Roman" w:eastAsia="DengXian" w:hAnsi="Times New Roman"/>
          <w:sz w:val="20"/>
          <w:szCs w:val="20"/>
        </w:rPr>
        <w:t xml:space="preserve"> 65</w:t>
      </w:r>
      <w:r w:rsidRPr="00575188">
        <w:rPr>
          <w:rFonts w:ascii="Times New Roman" w:eastAsia="DengXian" w:hAnsi="Times New Roman"/>
          <w:sz w:val="20"/>
          <w:szCs w:val="20"/>
        </w:rPr>
        <w:t xml:space="preserve"> </w:t>
      </w:r>
      <w:r w:rsidR="00C7472F">
        <w:rPr>
          <w:rFonts w:ascii="Times New Roman" w:eastAsia="DengXian" w:hAnsi="Times New Roman"/>
          <w:sz w:val="20"/>
          <w:szCs w:val="20"/>
        </w:rPr>
        <w:t>(</w:t>
      </w:r>
      <w:r w:rsidRPr="00575188">
        <w:rPr>
          <w:rFonts w:ascii="Times New Roman" w:eastAsia="DengXian" w:hAnsi="Times New Roman"/>
          <w:sz w:val="20"/>
          <w:szCs w:val="20"/>
        </w:rPr>
        <w:t>2024</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81</w:t>
      </w:r>
      <w:r w:rsidR="00C7472F">
        <w:rPr>
          <w:rFonts w:ascii="Times New Roman" w:eastAsia="DengXian" w:hAnsi="Times New Roman"/>
          <w:sz w:val="20"/>
          <w:szCs w:val="20"/>
        </w:rPr>
        <w:t>-8</w:t>
      </w:r>
      <w:r w:rsidRPr="00575188">
        <w:rPr>
          <w:rFonts w:ascii="Times New Roman" w:eastAsia="DengXian" w:hAnsi="Times New Roman"/>
          <w:sz w:val="20"/>
          <w:szCs w:val="20"/>
        </w:rPr>
        <w:t xml:space="preserve">7. </w:t>
      </w:r>
    </w:p>
    <w:p w14:paraId="4F3AFBB9" w14:textId="26772A46"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24.</w:t>
      </w:r>
      <w:r w:rsidRPr="00575188">
        <w:rPr>
          <w:rFonts w:ascii="Times New Roman" w:eastAsia="DengXian" w:hAnsi="Times New Roman"/>
          <w:sz w:val="20"/>
          <w:szCs w:val="20"/>
        </w:rPr>
        <w:tab/>
        <w:t>Gupta R, Hosseinpour A, Patel C, et al. Intravascular lithotripsy compared with rotational atherectomy for calcified coronary lesions: A meta-analysis of outcomes. Cardiovascular Revascularization Medicine</w:t>
      </w:r>
      <w:r w:rsidR="00C7472F">
        <w:rPr>
          <w:rFonts w:ascii="Times New Roman" w:eastAsia="DengXian" w:hAnsi="Times New Roman"/>
          <w:sz w:val="20"/>
          <w:szCs w:val="20"/>
        </w:rPr>
        <w:t xml:space="preserve"> 63</w:t>
      </w:r>
      <w:r w:rsidRPr="00575188">
        <w:rPr>
          <w:rFonts w:ascii="Times New Roman" w:eastAsia="DengXian" w:hAnsi="Times New Roman"/>
          <w:sz w:val="20"/>
          <w:szCs w:val="20"/>
        </w:rPr>
        <w:t xml:space="preserve"> </w:t>
      </w:r>
      <w:r w:rsidR="00C7472F">
        <w:rPr>
          <w:rFonts w:ascii="Times New Roman" w:eastAsia="DengXian" w:hAnsi="Times New Roman"/>
          <w:sz w:val="20"/>
          <w:szCs w:val="20"/>
        </w:rPr>
        <w:t>(</w:t>
      </w:r>
      <w:r w:rsidRPr="00575188">
        <w:rPr>
          <w:rFonts w:ascii="Times New Roman" w:eastAsia="DengXian" w:hAnsi="Times New Roman"/>
          <w:sz w:val="20"/>
          <w:szCs w:val="20"/>
        </w:rPr>
        <w:t>2024</w:t>
      </w:r>
      <w:r w:rsidR="00C7472F">
        <w:rPr>
          <w:rFonts w:ascii="Times New Roman" w:eastAsia="DengXian" w:hAnsi="Times New Roman"/>
          <w:sz w:val="20"/>
          <w:szCs w:val="20"/>
        </w:rPr>
        <w:t>)</w:t>
      </w:r>
      <w:r w:rsidRPr="00575188">
        <w:rPr>
          <w:rFonts w:ascii="Times New Roman" w:eastAsia="DengXian" w:hAnsi="Times New Roman"/>
          <w:sz w:val="20"/>
          <w:szCs w:val="20"/>
        </w:rPr>
        <w:t>:</w:t>
      </w:r>
      <w:r w:rsidR="00C7472F">
        <w:rPr>
          <w:rFonts w:ascii="Times New Roman" w:eastAsia="DengXian" w:hAnsi="Times New Roman"/>
          <w:sz w:val="20"/>
          <w:szCs w:val="20"/>
        </w:rPr>
        <w:t xml:space="preserve"> </w:t>
      </w:r>
      <w:r w:rsidRPr="00575188">
        <w:rPr>
          <w:rFonts w:ascii="Times New Roman" w:eastAsia="DengXian" w:hAnsi="Times New Roman"/>
          <w:sz w:val="20"/>
          <w:szCs w:val="20"/>
        </w:rPr>
        <w:t>76</w:t>
      </w:r>
      <w:r w:rsidR="00C7472F">
        <w:rPr>
          <w:rFonts w:ascii="Times New Roman" w:eastAsia="DengXian" w:hAnsi="Times New Roman"/>
          <w:sz w:val="20"/>
          <w:szCs w:val="20"/>
        </w:rPr>
        <w:t>-7</w:t>
      </w:r>
      <w:r w:rsidRPr="00575188">
        <w:rPr>
          <w:rFonts w:ascii="Times New Roman" w:eastAsia="DengXian" w:hAnsi="Times New Roman"/>
          <w:sz w:val="20"/>
          <w:szCs w:val="20"/>
        </w:rPr>
        <w:t xml:space="preserve">8. </w:t>
      </w:r>
    </w:p>
    <w:p w14:paraId="24D7CFAF" w14:textId="28E59AE1"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25.</w:t>
      </w:r>
      <w:r w:rsidRPr="00575188">
        <w:rPr>
          <w:rFonts w:ascii="Times New Roman" w:eastAsia="DengXian" w:hAnsi="Times New Roman"/>
          <w:sz w:val="20"/>
          <w:szCs w:val="20"/>
        </w:rPr>
        <w:tab/>
        <w:t>Page MJ, McKenzie JE, Bossuyt PM, et al. The PRISMA 2020 statement: an updated guideline for reporting systematic reviews. BMJ</w:t>
      </w:r>
      <w:r w:rsidR="00C7472F">
        <w:rPr>
          <w:rFonts w:ascii="Times New Roman" w:eastAsia="DengXian" w:hAnsi="Times New Roman"/>
          <w:sz w:val="20"/>
          <w:szCs w:val="20"/>
        </w:rPr>
        <w:t xml:space="preserve"> 88 (</w:t>
      </w:r>
      <w:r w:rsidR="00C7472F" w:rsidRPr="00C7472F">
        <w:rPr>
          <w:rFonts w:ascii="Times New Roman" w:eastAsia="DengXian" w:hAnsi="Times New Roman"/>
          <w:sz w:val="20"/>
          <w:szCs w:val="20"/>
        </w:rPr>
        <w:t>2021</w:t>
      </w:r>
      <w:r w:rsidR="00C7472F">
        <w:rPr>
          <w:rFonts w:ascii="Times New Roman" w:eastAsia="DengXian" w:hAnsi="Times New Roman"/>
          <w:sz w:val="20"/>
          <w:szCs w:val="20"/>
        </w:rPr>
        <w:t>)</w:t>
      </w:r>
      <w:r w:rsidR="00C7472F" w:rsidRPr="00C7472F">
        <w:rPr>
          <w:rFonts w:ascii="Times New Roman" w:eastAsia="DengXian" w:hAnsi="Times New Roman"/>
          <w:sz w:val="20"/>
          <w:szCs w:val="20"/>
        </w:rPr>
        <w:t>:</w:t>
      </w:r>
      <w:r w:rsidR="00C7472F">
        <w:rPr>
          <w:rFonts w:ascii="Times New Roman" w:eastAsia="DengXian" w:hAnsi="Times New Roman"/>
          <w:sz w:val="20"/>
          <w:szCs w:val="20"/>
        </w:rPr>
        <w:t xml:space="preserve"> </w:t>
      </w:r>
      <w:r w:rsidR="00C7472F" w:rsidRPr="00C7472F">
        <w:rPr>
          <w:rFonts w:ascii="Times New Roman" w:eastAsia="DengXian" w:hAnsi="Times New Roman"/>
          <w:sz w:val="20"/>
          <w:szCs w:val="20"/>
        </w:rPr>
        <w:t>105906</w:t>
      </w:r>
      <w:r w:rsidR="00C7472F">
        <w:rPr>
          <w:rFonts w:ascii="Times New Roman" w:eastAsia="DengXian" w:hAnsi="Times New Roman"/>
          <w:sz w:val="20"/>
          <w:szCs w:val="20"/>
        </w:rPr>
        <w:t>.</w:t>
      </w:r>
    </w:p>
    <w:p w14:paraId="0647407F" w14:textId="263C9A65" w:rsidR="00575188" w:rsidRPr="005F0890" w:rsidRDefault="00575188" w:rsidP="00575188">
      <w:pPr>
        <w:spacing w:after="0" w:line="360" w:lineRule="auto"/>
        <w:ind w:left="1077" w:hanging="720"/>
        <w:rPr>
          <w:rFonts w:ascii="Times New Roman" w:eastAsia="DengXian" w:hAnsi="Times New Roman"/>
          <w:sz w:val="20"/>
          <w:szCs w:val="20"/>
          <w:lang w:val="de-DE"/>
        </w:rPr>
      </w:pPr>
      <w:r w:rsidRPr="00575188">
        <w:rPr>
          <w:rFonts w:ascii="Times New Roman" w:eastAsia="DengXian" w:hAnsi="Times New Roman"/>
          <w:sz w:val="20"/>
          <w:szCs w:val="20"/>
        </w:rPr>
        <w:t>26.</w:t>
      </w:r>
      <w:r w:rsidRPr="00575188">
        <w:rPr>
          <w:rFonts w:ascii="Times New Roman" w:eastAsia="DengXian" w:hAnsi="Times New Roman"/>
          <w:sz w:val="20"/>
          <w:szCs w:val="20"/>
        </w:rPr>
        <w:tab/>
        <w:t xml:space="preserve">Higgins JPT, Thomas J, Chandler J, </w:t>
      </w:r>
      <w:r w:rsidR="00C7472F">
        <w:rPr>
          <w:rFonts w:ascii="Times New Roman" w:eastAsia="DengXian" w:hAnsi="Times New Roman"/>
          <w:sz w:val="20"/>
          <w:szCs w:val="20"/>
        </w:rPr>
        <w:t>et al.</w:t>
      </w:r>
      <w:r w:rsidRPr="00575188">
        <w:rPr>
          <w:rFonts w:ascii="Times New Roman" w:eastAsia="DengXian" w:hAnsi="Times New Roman"/>
          <w:sz w:val="20"/>
          <w:szCs w:val="20"/>
        </w:rPr>
        <w:t xml:space="preserve"> Cochrane Handbook for Systematic Reviews of Interventions. </w:t>
      </w:r>
      <w:r w:rsidRPr="005F0890">
        <w:rPr>
          <w:rFonts w:ascii="Times New Roman" w:eastAsia="DengXian" w:hAnsi="Times New Roman"/>
          <w:sz w:val="20"/>
          <w:szCs w:val="20"/>
          <w:lang w:val="de-DE"/>
        </w:rPr>
        <w:t>Wiley</w:t>
      </w:r>
      <w:r w:rsidR="00C7472F" w:rsidRPr="005F0890">
        <w:rPr>
          <w:rFonts w:ascii="Times New Roman" w:eastAsia="DengXian" w:hAnsi="Times New Roman"/>
          <w:sz w:val="20"/>
          <w:szCs w:val="20"/>
          <w:lang w:val="de-DE"/>
        </w:rPr>
        <w:t xml:space="preserve"> 10 (2019): ED000142.</w:t>
      </w:r>
      <w:r w:rsidRPr="005F0890">
        <w:rPr>
          <w:rFonts w:ascii="Times New Roman" w:eastAsia="DengXian" w:hAnsi="Times New Roman"/>
          <w:sz w:val="20"/>
          <w:szCs w:val="20"/>
          <w:lang w:val="de-DE"/>
        </w:rPr>
        <w:t xml:space="preserve"> </w:t>
      </w:r>
    </w:p>
    <w:p w14:paraId="76820C65" w14:textId="5660B957" w:rsidR="00575188" w:rsidRPr="00575188" w:rsidRDefault="00575188" w:rsidP="00575188">
      <w:pPr>
        <w:spacing w:after="0" w:line="360" w:lineRule="auto"/>
        <w:ind w:left="1077" w:hanging="720"/>
        <w:rPr>
          <w:rFonts w:ascii="Times New Roman" w:eastAsia="DengXian" w:hAnsi="Times New Roman"/>
          <w:sz w:val="20"/>
          <w:szCs w:val="20"/>
        </w:rPr>
      </w:pPr>
      <w:r w:rsidRPr="005F0890">
        <w:rPr>
          <w:rFonts w:ascii="Times New Roman" w:eastAsia="DengXian" w:hAnsi="Times New Roman"/>
          <w:sz w:val="20"/>
          <w:szCs w:val="20"/>
          <w:lang w:val="de-DE"/>
        </w:rPr>
        <w:t>27.</w:t>
      </w:r>
      <w:r w:rsidRPr="005F0890">
        <w:rPr>
          <w:rFonts w:ascii="Times New Roman" w:eastAsia="DengXian" w:hAnsi="Times New Roman"/>
          <w:sz w:val="20"/>
          <w:szCs w:val="20"/>
          <w:lang w:val="de-DE"/>
        </w:rPr>
        <w:tab/>
        <w:t xml:space="preserve">Rethlefsen ML, Kirtley S, Waffenschmidt S, et al. </w:t>
      </w:r>
      <w:r w:rsidRPr="00575188">
        <w:rPr>
          <w:rFonts w:ascii="Times New Roman" w:eastAsia="DengXian" w:hAnsi="Times New Roman"/>
          <w:sz w:val="20"/>
          <w:szCs w:val="20"/>
        </w:rPr>
        <w:t>PRISMA-S an extension to the PRISMA statement for reporting literature searches in systematic reviews. Journal of the Medical Library Association</w:t>
      </w:r>
      <w:r w:rsidR="00E7236D">
        <w:rPr>
          <w:rFonts w:ascii="Times New Roman" w:eastAsia="DengXian" w:hAnsi="Times New Roman"/>
          <w:sz w:val="20"/>
          <w:szCs w:val="20"/>
        </w:rPr>
        <w:t xml:space="preserve"> 109 (</w:t>
      </w:r>
      <w:r w:rsidR="00E7236D" w:rsidRPr="00E7236D">
        <w:rPr>
          <w:rFonts w:ascii="Times New Roman" w:eastAsia="DengXian" w:hAnsi="Times New Roman"/>
          <w:sz w:val="20"/>
          <w:szCs w:val="20"/>
        </w:rPr>
        <w:t>2021</w:t>
      </w:r>
      <w:r w:rsidR="00E7236D">
        <w:rPr>
          <w:rFonts w:ascii="Times New Roman" w:eastAsia="DengXian" w:hAnsi="Times New Roman"/>
          <w:sz w:val="20"/>
          <w:szCs w:val="20"/>
        </w:rPr>
        <w:t>)</w:t>
      </w:r>
      <w:r w:rsidR="00E7236D" w:rsidRPr="00E7236D">
        <w:rPr>
          <w:rFonts w:ascii="Times New Roman" w:eastAsia="DengXian" w:hAnsi="Times New Roman"/>
          <w:sz w:val="20"/>
          <w:szCs w:val="20"/>
        </w:rPr>
        <w:t>:</w:t>
      </w:r>
      <w:r w:rsidR="00E7236D">
        <w:rPr>
          <w:rFonts w:ascii="Times New Roman" w:eastAsia="DengXian" w:hAnsi="Times New Roman"/>
          <w:sz w:val="20"/>
          <w:szCs w:val="20"/>
        </w:rPr>
        <w:t xml:space="preserve"> </w:t>
      </w:r>
      <w:r w:rsidR="00E7236D" w:rsidRPr="00E7236D">
        <w:rPr>
          <w:rFonts w:ascii="Times New Roman" w:eastAsia="DengXian" w:hAnsi="Times New Roman"/>
          <w:sz w:val="20"/>
          <w:szCs w:val="20"/>
        </w:rPr>
        <w:t>174-200</w:t>
      </w:r>
      <w:r w:rsidR="00E7236D">
        <w:rPr>
          <w:rFonts w:ascii="Times New Roman" w:eastAsia="DengXian" w:hAnsi="Times New Roman"/>
          <w:sz w:val="20"/>
          <w:szCs w:val="20"/>
        </w:rPr>
        <w:t>.</w:t>
      </w:r>
    </w:p>
    <w:p w14:paraId="76226ABC" w14:textId="794313FB"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28.</w:t>
      </w:r>
      <w:r w:rsidRPr="00575188">
        <w:rPr>
          <w:rFonts w:ascii="Times New Roman" w:eastAsia="DengXian" w:hAnsi="Times New Roman"/>
          <w:sz w:val="20"/>
          <w:szCs w:val="20"/>
        </w:rPr>
        <w:tab/>
        <w:t>Suruagy‐Motta RFO, Cabe</w:t>
      </w:r>
      <w:r w:rsidR="00E7236D">
        <w:rPr>
          <w:rFonts w:ascii="Times New Roman" w:eastAsia="DengXian" w:hAnsi="Times New Roman"/>
          <w:sz w:val="20"/>
          <w:szCs w:val="20"/>
        </w:rPr>
        <w:t>c</w:t>
      </w:r>
      <w:r w:rsidRPr="00575188">
        <w:rPr>
          <w:rFonts w:ascii="Times New Roman" w:eastAsia="DengXian" w:hAnsi="Times New Roman"/>
          <w:sz w:val="20"/>
          <w:szCs w:val="20"/>
        </w:rPr>
        <w:t>a LS, Da Silva AMP, et al. Intravascular Lithotripsy Versus Rotational Atherectomy for Calcified Coronary Lesions: A Systematic Review and an Updated Meta‐Analysis of Clinical Outcomes. Catheterization and Cardiovascular Interventions</w:t>
      </w:r>
      <w:r w:rsidR="00E7236D">
        <w:rPr>
          <w:rFonts w:ascii="Times New Roman" w:eastAsia="DengXian" w:hAnsi="Times New Roman"/>
          <w:sz w:val="20"/>
          <w:szCs w:val="20"/>
        </w:rPr>
        <w:t xml:space="preserve"> 106</w:t>
      </w:r>
      <w:r w:rsidRPr="00575188">
        <w:rPr>
          <w:rFonts w:ascii="Times New Roman" w:eastAsia="DengXian" w:hAnsi="Times New Roman"/>
          <w:sz w:val="20"/>
          <w:szCs w:val="20"/>
        </w:rPr>
        <w:t xml:space="preserve"> </w:t>
      </w:r>
      <w:r w:rsidR="00E7236D">
        <w:rPr>
          <w:rFonts w:ascii="Times New Roman" w:eastAsia="DengXian" w:hAnsi="Times New Roman"/>
          <w:sz w:val="20"/>
          <w:szCs w:val="20"/>
        </w:rPr>
        <w:t>(</w:t>
      </w:r>
      <w:r w:rsidRPr="00575188">
        <w:rPr>
          <w:rFonts w:ascii="Times New Roman" w:eastAsia="DengXian" w:hAnsi="Times New Roman"/>
          <w:sz w:val="20"/>
          <w:szCs w:val="20"/>
        </w:rPr>
        <w:t>2025</w:t>
      </w:r>
      <w:r w:rsidR="00E7236D">
        <w:rPr>
          <w:rFonts w:ascii="Times New Roman" w:eastAsia="DengXian" w:hAnsi="Times New Roman"/>
          <w:sz w:val="20"/>
          <w:szCs w:val="20"/>
        </w:rPr>
        <w:t>)</w:t>
      </w:r>
      <w:r w:rsidRPr="00575188">
        <w:rPr>
          <w:rFonts w:ascii="Times New Roman" w:eastAsia="DengXian" w:hAnsi="Times New Roman"/>
          <w:sz w:val="20"/>
          <w:szCs w:val="20"/>
        </w:rPr>
        <w:t>:</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563</w:t>
      </w:r>
      <w:r w:rsidR="00E7236D">
        <w:rPr>
          <w:rFonts w:ascii="Times New Roman" w:eastAsia="DengXian" w:hAnsi="Times New Roman"/>
          <w:sz w:val="20"/>
          <w:szCs w:val="20"/>
        </w:rPr>
        <w:t>-5</w:t>
      </w:r>
      <w:r w:rsidRPr="00575188">
        <w:rPr>
          <w:rFonts w:ascii="Times New Roman" w:eastAsia="DengXian" w:hAnsi="Times New Roman"/>
          <w:sz w:val="20"/>
          <w:szCs w:val="20"/>
        </w:rPr>
        <w:t xml:space="preserve">72. </w:t>
      </w:r>
    </w:p>
    <w:p w14:paraId="2165ABCE" w14:textId="43F6A63C" w:rsidR="00575188" w:rsidRPr="005F0890" w:rsidRDefault="00575188" w:rsidP="00575188">
      <w:pPr>
        <w:spacing w:after="0" w:line="360" w:lineRule="auto"/>
        <w:ind w:left="1077" w:hanging="720"/>
        <w:rPr>
          <w:rFonts w:ascii="Times New Roman" w:eastAsia="DengXian" w:hAnsi="Times New Roman"/>
          <w:sz w:val="20"/>
          <w:szCs w:val="20"/>
          <w:lang w:val="de-DE"/>
        </w:rPr>
      </w:pPr>
      <w:r w:rsidRPr="00575188">
        <w:rPr>
          <w:rFonts w:ascii="Times New Roman" w:eastAsia="DengXian" w:hAnsi="Times New Roman"/>
          <w:sz w:val="20"/>
          <w:szCs w:val="20"/>
        </w:rPr>
        <w:t>29.</w:t>
      </w:r>
      <w:r w:rsidRPr="00575188">
        <w:rPr>
          <w:rFonts w:ascii="Times New Roman" w:eastAsia="DengXian" w:hAnsi="Times New Roman"/>
          <w:sz w:val="20"/>
          <w:szCs w:val="20"/>
        </w:rPr>
        <w:tab/>
        <w:t>Sterne JAC, Savovi</w:t>
      </w:r>
      <w:r w:rsidR="00E7236D">
        <w:rPr>
          <w:rFonts w:ascii="Times New Roman" w:eastAsia="DengXian" w:hAnsi="Times New Roman"/>
          <w:sz w:val="20"/>
          <w:szCs w:val="20"/>
        </w:rPr>
        <w:t xml:space="preserve">c </w:t>
      </w:r>
      <w:r w:rsidRPr="00575188">
        <w:rPr>
          <w:rFonts w:ascii="Times New Roman" w:eastAsia="DengXian" w:hAnsi="Times New Roman"/>
          <w:sz w:val="20"/>
          <w:szCs w:val="20"/>
        </w:rPr>
        <w:t xml:space="preserve">J, Page MJ, et al. RoB 2: a revised tool for assessing risk of bias in randomised trials. </w:t>
      </w:r>
      <w:r w:rsidRPr="005F0890">
        <w:rPr>
          <w:rFonts w:ascii="Times New Roman" w:eastAsia="DengXian" w:hAnsi="Times New Roman"/>
          <w:sz w:val="20"/>
          <w:szCs w:val="20"/>
          <w:lang w:val="de-DE"/>
        </w:rPr>
        <w:t>BMJ</w:t>
      </w:r>
      <w:r w:rsidR="00E7236D" w:rsidRPr="005F0890">
        <w:rPr>
          <w:rFonts w:ascii="Times New Roman" w:eastAsia="DengXian" w:hAnsi="Times New Roman"/>
          <w:sz w:val="20"/>
          <w:szCs w:val="20"/>
          <w:lang w:val="de-DE"/>
        </w:rPr>
        <w:t xml:space="preserve"> 20 (2019): l4898.</w:t>
      </w:r>
    </w:p>
    <w:p w14:paraId="547CBAE7" w14:textId="613BE666" w:rsidR="00575188" w:rsidRPr="00575188" w:rsidRDefault="00575188" w:rsidP="00575188">
      <w:pPr>
        <w:spacing w:after="0" w:line="360" w:lineRule="auto"/>
        <w:ind w:left="1077" w:hanging="720"/>
        <w:rPr>
          <w:rFonts w:ascii="Times New Roman" w:eastAsia="DengXian" w:hAnsi="Times New Roman"/>
          <w:sz w:val="20"/>
          <w:szCs w:val="20"/>
        </w:rPr>
      </w:pPr>
      <w:r w:rsidRPr="005F0890">
        <w:rPr>
          <w:rFonts w:ascii="Times New Roman" w:eastAsia="DengXian" w:hAnsi="Times New Roman"/>
          <w:sz w:val="20"/>
          <w:szCs w:val="20"/>
          <w:lang w:val="de-DE"/>
        </w:rPr>
        <w:t>30.</w:t>
      </w:r>
      <w:r w:rsidRPr="005F0890">
        <w:rPr>
          <w:rFonts w:ascii="Times New Roman" w:eastAsia="DengXian" w:hAnsi="Times New Roman"/>
          <w:sz w:val="20"/>
          <w:szCs w:val="20"/>
          <w:lang w:val="de-DE"/>
        </w:rPr>
        <w:tab/>
        <w:t>Sterne JA, Hern</w:t>
      </w:r>
      <w:r w:rsidR="00E7236D" w:rsidRPr="005F0890">
        <w:rPr>
          <w:rFonts w:ascii="Times New Roman" w:eastAsia="DengXian" w:hAnsi="Times New Roman"/>
          <w:sz w:val="20"/>
          <w:szCs w:val="20"/>
          <w:lang w:val="de-DE"/>
        </w:rPr>
        <w:t>a</w:t>
      </w:r>
      <w:r w:rsidRPr="005F0890">
        <w:rPr>
          <w:rFonts w:ascii="Times New Roman" w:eastAsia="DengXian" w:hAnsi="Times New Roman"/>
          <w:sz w:val="20"/>
          <w:szCs w:val="20"/>
          <w:lang w:val="de-DE"/>
        </w:rPr>
        <w:t xml:space="preserve">n MA, Reeves BC, et al. </w:t>
      </w:r>
      <w:r w:rsidRPr="00575188">
        <w:rPr>
          <w:rFonts w:ascii="Times New Roman" w:eastAsia="DengXian" w:hAnsi="Times New Roman"/>
          <w:sz w:val="20"/>
          <w:szCs w:val="20"/>
        </w:rPr>
        <w:t>ROBINS-I: a tool for assessing risk of bias in non-randomised studies of interventions. BMJ</w:t>
      </w:r>
      <w:r w:rsidR="00E7236D">
        <w:rPr>
          <w:rFonts w:ascii="Times New Roman" w:eastAsia="DengXian" w:hAnsi="Times New Roman"/>
          <w:sz w:val="20"/>
          <w:szCs w:val="20"/>
        </w:rPr>
        <w:t xml:space="preserve"> 12 (</w:t>
      </w:r>
      <w:r w:rsidR="00E7236D" w:rsidRPr="00E7236D">
        <w:rPr>
          <w:rFonts w:ascii="Times New Roman" w:eastAsia="DengXian" w:hAnsi="Times New Roman"/>
          <w:sz w:val="20"/>
          <w:szCs w:val="20"/>
        </w:rPr>
        <w:t>2016</w:t>
      </w:r>
      <w:r w:rsidR="00E7236D">
        <w:rPr>
          <w:rFonts w:ascii="Times New Roman" w:eastAsia="DengXian" w:hAnsi="Times New Roman"/>
          <w:sz w:val="20"/>
          <w:szCs w:val="20"/>
        </w:rPr>
        <w:t>)</w:t>
      </w:r>
      <w:r w:rsidR="00E7236D" w:rsidRPr="00E7236D">
        <w:rPr>
          <w:rFonts w:ascii="Times New Roman" w:eastAsia="DengXian" w:hAnsi="Times New Roman"/>
          <w:sz w:val="20"/>
          <w:szCs w:val="20"/>
        </w:rPr>
        <w:t>:</w:t>
      </w:r>
      <w:r w:rsidR="00E7236D">
        <w:rPr>
          <w:rFonts w:ascii="Times New Roman" w:eastAsia="DengXian" w:hAnsi="Times New Roman"/>
          <w:sz w:val="20"/>
          <w:szCs w:val="20"/>
        </w:rPr>
        <w:t xml:space="preserve"> </w:t>
      </w:r>
      <w:r w:rsidR="00E7236D" w:rsidRPr="00E7236D">
        <w:rPr>
          <w:rFonts w:ascii="Times New Roman" w:eastAsia="DengXian" w:hAnsi="Times New Roman"/>
          <w:sz w:val="20"/>
          <w:szCs w:val="20"/>
        </w:rPr>
        <w:t>4919</w:t>
      </w:r>
      <w:r w:rsidR="00E7236D">
        <w:rPr>
          <w:rFonts w:ascii="Times New Roman" w:eastAsia="DengXian" w:hAnsi="Times New Roman"/>
          <w:sz w:val="20"/>
          <w:szCs w:val="20"/>
        </w:rPr>
        <w:t>.</w:t>
      </w:r>
    </w:p>
    <w:p w14:paraId="501B0B2E" w14:textId="0D13AF9D"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31.</w:t>
      </w:r>
      <w:r w:rsidRPr="00575188">
        <w:rPr>
          <w:rFonts w:ascii="Times New Roman" w:eastAsia="DengXian" w:hAnsi="Times New Roman"/>
          <w:sz w:val="20"/>
          <w:szCs w:val="20"/>
        </w:rPr>
        <w:tab/>
        <w:t>Viechtbauer W</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Conducting Meta-Analyses in R with the metafor Package. J Stat Softw</w:t>
      </w:r>
      <w:r w:rsidR="00E7236D">
        <w:rPr>
          <w:rFonts w:ascii="Times New Roman" w:eastAsia="DengXian" w:hAnsi="Times New Roman"/>
          <w:sz w:val="20"/>
          <w:szCs w:val="20"/>
        </w:rPr>
        <w:t xml:space="preserve"> 36</w:t>
      </w:r>
      <w:r w:rsidRPr="00575188">
        <w:rPr>
          <w:rFonts w:ascii="Times New Roman" w:eastAsia="DengXian" w:hAnsi="Times New Roman"/>
          <w:sz w:val="20"/>
          <w:szCs w:val="20"/>
        </w:rPr>
        <w:t xml:space="preserve"> </w:t>
      </w:r>
      <w:r w:rsidR="00E7236D">
        <w:rPr>
          <w:rFonts w:ascii="Times New Roman" w:eastAsia="DengXian" w:hAnsi="Times New Roman"/>
          <w:sz w:val="20"/>
          <w:szCs w:val="20"/>
        </w:rPr>
        <w:t>(</w:t>
      </w:r>
      <w:r w:rsidRPr="00575188">
        <w:rPr>
          <w:rFonts w:ascii="Times New Roman" w:eastAsia="DengXian" w:hAnsi="Times New Roman"/>
          <w:sz w:val="20"/>
          <w:szCs w:val="20"/>
        </w:rPr>
        <w:t>2010</w:t>
      </w:r>
      <w:r w:rsidR="00E7236D">
        <w:rPr>
          <w:rFonts w:ascii="Times New Roman" w:eastAsia="DengXian" w:hAnsi="Times New Roman"/>
          <w:sz w:val="20"/>
          <w:szCs w:val="20"/>
        </w:rPr>
        <w:t>).</w:t>
      </w:r>
      <w:r w:rsidRPr="00575188">
        <w:rPr>
          <w:rFonts w:ascii="Times New Roman" w:eastAsia="DengXian" w:hAnsi="Times New Roman"/>
          <w:sz w:val="20"/>
          <w:szCs w:val="20"/>
        </w:rPr>
        <w:t xml:space="preserve"> </w:t>
      </w:r>
    </w:p>
    <w:p w14:paraId="3888C6B1" w14:textId="29D68C98"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32.</w:t>
      </w:r>
      <w:r w:rsidRPr="00575188">
        <w:rPr>
          <w:rFonts w:ascii="Times New Roman" w:eastAsia="DengXian" w:hAnsi="Times New Roman"/>
          <w:sz w:val="20"/>
          <w:szCs w:val="20"/>
        </w:rPr>
        <w:tab/>
        <w:t>Higgins JPT, Thompson SG: Quantifying heterogeneity in a meta-analysis. Stat Med</w:t>
      </w:r>
      <w:r w:rsidR="00E7236D">
        <w:rPr>
          <w:rFonts w:ascii="Times New Roman" w:eastAsia="DengXian" w:hAnsi="Times New Roman"/>
          <w:sz w:val="20"/>
          <w:szCs w:val="20"/>
        </w:rPr>
        <w:t xml:space="preserve"> 21</w:t>
      </w:r>
      <w:r w:rsidRPr="00575188">
        <w:rPr>
          <w:rFonts w:ascii="Times New Roman" w:eastAsia="DengXian" w:hAnsi="Times New Roman"/>
          <w:sz w:val="20"/>
          <w:szCs w:val="20"/>
        </w:rPr>
        <w:t xml:space="preserve"> </w:t>
      </w:r>
      <w:r w:rsidR="00E7236D">
        <w:rPr>
          <w:rFonts w:ascii="Times New Roman" w:eastAsia="DengXian" w:hAnsi="Times New Roman"/>
          <w:sz w:val="20"/>
          <w:szCs w:val="20"/>
        </w:rPr>
        <w:t>(</w:t>
      </w:r>
      <w:r w:rsidRPr="00575188">
        <w:rPr>
          <w:rFonts w:ascii="Times New Roman" w:eastAsia="DengXian" w:hAnsi="Times New Roman"/>
          <w:sz w:val="20"/>
          <w:szCs w:val="20"/>
        </w:rPr>
        <w:t>2002</w:t>
      </w:r>
      <w:r w:rsidR="00E7236D">
        <w:rPr>
          <w:rFonts w:ascii="Times New Roman" w:eastAsia="DengXian" w:hAnsi="Times New Roman"/>
          <w:sz w:val="20"/>
          <w:szCs w:val="20"/>
        </w:rPr>
        <w:t>)</w:t>
      </w:r>
      <w:r w:rsidRPr="00575188">
        <w:rPr>
          <w:rFonts w:ascii="Times New Roman" w:eastAsia="DengXian" w:hAnsi="Times New Roman"/>
          <w:sz w:val="20"/>
          <w:szCs w:val="20"/>
        </w:rPr>
        <w:t>:1539</w:t>
      </w:r>
      <w:r w:rsidR="00E7236D">
        <w:rPr>
          <w:rFonts w:ascii="Times New Roman" w:eastAsia="DengXian" w:hAnsi="Times New Roman"/>
          <w:sz w:val="20"/>
          <w:szCs w:val="20"/>
        </w:rPr>
        <w:t>-</w:t>
      </w:r>
      <w:r w:rsidRPr="00575188">
        <w:rPr>
          <w:rFonts w:ascii="Times New Roman" w:eastAsia="DengXian" w:hAnsi="Times New Roman"/>
          <w:sz w:val="20"/>
          <w:szCs w:val="20"/>
        </w:rPr>
        <w:t xml:space="preserve">58. </w:t>
      </w:r>
    </w:p>
    <w:p w14:paraId="723B4C1D" w14:textId="59DE7198"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lastRenderedPageBreak/>
        <w:t>33.</w:t>
      </w:r>
      <w:r w:rsidRPr="00575188">
        <w:rPr>
          <w:rFonts w:ascii="Times New Roman" w:eastAsia="DengXian" w:hAnsi="Times New Roman"/>
          <w:sz w:val="20"/>
          <w:szCs w:val="20"/>
        </w:rPr>
        <w:tab/>
        <w:t>Wong JJ, Umapathy S, Keh YS, et al. Coronary Intravascular Lithotripsy Versus Rotational Atherectomy in an Asian Population: Clinical Outcomes in Real-World Patients. Korean Circ J</w:t>
      </w:r>
      <w:r w:rsidR="00E7236D">
        <w:rPr>
          <w:rFonts w:ascii="Times New Roman" w:eastAsia="DengXian" w:hAnsi="Times New Roman"/>
          <w:sz w:val="20"/>
          <w:szCs w:val="20"/>
        </w:rPr>
        <w:t xml:space="preserve"> 52 (</w:t>
      </w:r>
      <w:r w:rsidRPr="00575188">
        <w:rPr>
          <w:rFonts w:ascii="Times New Roman" w:eastAsia="DengXian" w:hAnsi="Times New Roman"/>
          <w:sz w:val="20"/>
          <w:szCs w:val="20"/>
        </w:rPr>
        <w:t>2022</w:t>
      </w:r>
      <w:r w:rsidR="00E7236D">
        <w:rPr>
          <w:rFonts w:ascii="Times New Roman" w:eastAsia="DengXian" w:hAnsi="Times New Roman"/>
          <w:sz w:val="20"/>
          <w:szCs w:val="20"/>
        </w:rPr>
        <w:t>)</w:t>
      </w:r>
      <w:r w:rsidRPr="00575188">
        <w:rPr>
          <w:rFonts w:ascii="Times New Roman" w:eastAsia="DengXian" w:hAnsi="Times New Roman"/>
          <w:sz w:val="20"/>
          <w:szCs w:val="20"/>
        </w:rPr>
        <w:t>:</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 xml:space="preserve">288. </w:t>
      </w:r>
    </w:p>
    <w:p w14:paraId="67E3F03D" w14:textId="63CD532C"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34.</w:t>
      </w:r>
      <w:r w:rsidRPr="00575188">
        <w:rPr>
          <w:rFonts w:ascii="Times New Roman" w:eastAsia="DengXian" w:hAnsi="Times New Roman"/>
          <w:sz w:val="20"/>
          <w:szCs w:val="20"/>
        </w:rPr>
        <w:tab/>
        <w:t xml:space="preserve">Zhao Y, Wang P, Zheng Z, </w:t>
      </w:r>
      <w:r w:rsidR="00E7236D">
        <w:rPr>
          <w:rFonts w:ascii="Times New Roman" w:eastAsia="DengXian" w:hAnsi="Times New Roman"/>
          <w:sz w:val="20"/>
          <w:szCs w:val="20"/>
        </w:rPr>
        <w:t>et al.</w:t>
      </w:r>
      <w:r w:rsidRPr="00575188">
        <w:rPr>
          <w:rFonts w:ascii="Times New Roman" w:eastAsia="DengXian" w:hAnsi="Times New Roman"/>
          <w:sz w:val="20"/>
          <w:szCs w:val="20"/>
        </w:rPr>
        <w:t xml:space="preserve"> Comparison of intravascular lithotripsy versus rotational atherectomy for the treatment of severe coronary artery calcification. BMC Cardiovasc Disord</w:t>
      </w:r>
      <w:r w:rsidR="00E7236D">
        <w:rPr>
          <w:rFonts w:ascii="Times New Roman" w:eastAsia="DengXian" w:hAnsi="Times New Roman"/>
          <w:sz w:val="20"/>
          <w:szCs w:val="20"/>
        </w:rPr>
        <w:t xml:space="preserve"> 24 (</w:t>
      </w:r>
      <w:r w:rsidRPr="00575188">
        <w:rPr>
          <w:rFonts w:ascii="Times New Roman" w:eastAsia="DengXian" w:hAnsi="Times New Roman"/>
          <w:sz w:val="20"/>
          <w:szCs w:val="20"/>
        </w:rPr>
        <w:t>2024</w:t>
      </w:r>
      <w:r w:rsidR="00E7236D">
        <w:rPr>
          <w:rFonts w:ascii="Times New Roman" w:eastAsia="DengXian" w:hAnsi="Times New Roman"/>
          <w:sz w:val="20"/>
          <w:szCs w:val="20"/>
        </w:rPr>
        <w:t>)</w:t>
      </w:r>
      <w:r w:rsidRPr="00575188">
        <w:rPr>
          <w:rFonts w:ascii="Times New Roman" w:eastAsia="DengXian" w:hAnsi="Times New Roman"/>
          <w:sz w:val="20"/>
          <w:szCs w:val="20"/>
        </w:rPr>
        <w:t>:</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 xml:space="preserve">311. </w:t>
      </w:r>
    </w:p>
    <w:p w14:paraId="2E84502B" w14:textId="15DAA20A"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35.</w:t>
      </w:r>
      <w:r w:rsidRPr="00575188">
        <w:rPr>
          <w:rFonts w:ascii="Times New Roman" w:eastAsia="DengXian" w:hAnsi="Times New Roman"/>
          <w:sz w:val="20"/>
          <w:szCs w:val="20"/>
        </w:rPr>
        <w:tab/>
        <w:t>Pleva L, Kukla P, Konde A</w:t>
      </w:r>
      <w:r w:rsidR="00E7236D">
        <w:rPr>
          <w:rFonts w:ascii="Times New Roman" w:eastAsia="DengXian" w:hAnsi="Times New Roman"/>
          <w:sz w:val="20"/>
          <w:szCs w:val="20"/>
        </w:rPr>
        <w:t>.</w:t>
      </w:r>
      <w:r w:rsidRPr="00575188">
        <w:rPr>
          <w:rFonts w:ascii="Times New Roman" w:eastAsia="DengXian" w:hAnsi="Times New Roman"/>
          <w:sz w:val="20"/>
          <w:szCs w:val="20"/>
        </w:rPr>
        <w:t xml:space="preserve"> Comparison of the efficacy of intravascular lithotripsy and rotational atherectomy as adjunctive therapy before drug-eluting stent implantation in calcified coronary lesions (CCS– Coronary Calcification Study). BMC Cardiovasc Disord</w:t>
      </w:r>
      <w:r w:rsidR="00E7236D">
        <w:rPr>
          <w:rFonts w:ascii="Times New Roman" w:eastAsia="DengXian" w:hAnsi="Times New Roman"/>
          <w:sz w:val="20"/>
          <w:szCs w:val="20"/>
        </w:rPr>
        <w:t xml:space="preserve"> 25</w:t>
      </w:r>
      <w:r w:rsidRPr="00575188">
        <w:rPr>
          <w:rFonts w:ascii="Times New Roman" w:eastAsia="DengXian" w:hAnsi="Times New Roman"/>
          <w:sz w:val="20"/>
          <w:szCs w:val="20"/>
        </w:rPr>
        <w:t xml:space="preserve"> </w:t>
      </w:r>
      <w:r w:rsidR="00E7236D">
        <w:rPr>
          <w:rFonts w:ascii="Times New Roman" w:eastAsia="DengXian" w:hAnsi="Times New Roman"/>
          <w:sz w:val="20"/>
          <w:szCs w:val="20"/>
        </w:rPr>
        <w:t>(</w:t>
      </w:r>
      <w:r w:rsidRPr="00575188">
        <w:rPr>
          <w:rFonts w:ascii="Times New Roman" w:eastAsia="DengXian" w:hAnsi="Times New Roman"/>
          <w:sz w:val="20"/>
          <w:szCs w:val="20"/>
        </w:rPr>
        <w:t>2025</w:t>
      </w:r>
      <w:r w:rsidR="00E7236D">
        <w:rPr>
          <w:rFonts w:ascii="Times New Roman" w:eastAsia="DengXian" w:hAnsi="Times New Roman"/>
          <w:sz w:val="20"/>
          <w:szCs w:val="20"/>
        </w:rPr>
        <w:t>)</w:t>
      </w:r>
      <w:r w:rsidRPr="00575188">
        <w:rPr>
          <w:rFonts w:ascii="Times New Roman" w:eastAsia="DengXian" w:hAnsi="Times New Roman"/>
          <w:sz w:val="20"/>
          <w:szCs w:val="20"/>
        </w:rPr>
        <w:t>:</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 xml:space="preserve">648. </w:t>
      </w:r>
    </w:p>
    <w:p w14:paraId="25044CB4" w14:textId="6317C0D9" w:rsidR="00575188" w:rsidRPr="005F0890" w:rsidRDefault="00575188" w:rsidP="00575188">
      <w:pPr>
        <w:spacing w:after="0" w:line="360" w:lineRule="auto"/>
        <w:ind w:left="1077" w:hanging="720"/>
        <w:rPr>
          <w:rFonts w:ascii="Times New Roman" w:eastAsia="DengXian" w:hAnsi="Times New Roman"/>
          <w:sz w:val="20"/>
          <w:szCs w:val="20"/>
          <w:lang w:val="pt-BR"/>
        </w:rPr>
      </w:pPr>
      <w:r w:rsidRPr="00575188">
        <w:rPr>
          <w:rFonts w:ascii="Times New Roman" w:eastAsia="DengXian" w:hAnsi="Times New Roman"/>
          <w:sz w:val="20"/>
          <w:szCs w:val="20"/>
        </w:rPr>
        <w:t>36.</w:t>
      </w:r>
      <w:r w:rsidRPr="00575188">
        <w:rPr>
          <w:rFonts w:ascii="Times New Roman" w:eastAsia="DengXian" w:hAnsi="Times New Roman"/>
          <w:sz w:val="20"/>
          <w:szCs w:val="20"/>
        </w:rPr>
        <w:tab/>
        <w:t xml:space="preserve">Zhang X, Wang P, Li C, et al. Intravascular lithotripsy vs. rotational atherectomy on coronary microcirculation: a retrospective multicenter propensity-matched multicenter study. </w:t>
      </w:r>
      <w:r w:rsidRPr="005F0890">
        <w:rPr>
          <w:rFonts w:ascii="Times New Roman" w:eastAsia="DengXian" w:hAnsi="Times New Roman"/>
          <w:sz w:val="20"/>
          <w:szCs w:val="20"/>
          <w:lang w:val="pt-BR"/>
        </w:rPr>
        <w:t>Front Cardiovasc Med</w:t>
      </w:r>
      <w:r w:rsidR="00E7236D" w:rsidRPr="005F0890">
        <w:rPr>
          <w:rFonts w:ascii="Times New Roman" w:eastAsia="DengXian" w:hAnsi="Times New Roman"/>
          <w:sz w:val="20"/>
          <w:szCs w:val="20"/>
          <w:lang w:val="pt-BR"/>
        </w:rPr>
        <w:t xml:space="preserve"> 7 (2025): 1560743.</w:t>
      </w:r>
    </w:p>
    <w:p w14:paraId="30FF4904" w14:textId="1175C027" w:rsidR="00575188" w:rsidRPr="00575188" w:rsidRDefault="00575188" w:rsidP="00575188">
      <w:pPr>
        <w:spacing w:after="0" w:line="360" w:lineRule="auto"/>
        <w:ind w:left="1077" w:hanging="720"/>
        <w:rPr>
          <w:rFonts w:ascii="Times New Roman" w:eastAsia="DengXian" w:hAnsi="Times New Roman"/>
          <w:sz w:val="20"/>
          <w:szCs w:val="20"/>
        </w:rPr>
      </w:pPr>
      <w:r w:rsidRPr="005F0890">
        <w:rPr>
          <w:rFonts w:ascii="Times New Roman" w:eastAsia="DengXian" w:hAnsi="Times New Roman"/>
          <w:sz w:val="20"/>
          <w:szCs w:val="20"/>
          <w:lang w:val="pt-BR"/>
        </w:rPr>
        <w:t>37.</w:t>
      </w:r>
      <w:r w:rsidRPr="005F0890">
        <w:rPr>
          <w:rFonts w:ascii="Times New Roman" w:eastAsia="DengXian" w:hAnsi="Times New Roman"/>
          <w:sz w:val="20"/>
          <w:szCs w:val="20"/>
          <w:lang w:val="pt-BR"/>
        </w:rPr>
        <w:tab/>
        <w:t>Jurado-Rom</w:t>
      </w:r>
      <w:r w:rsidR="00E7236D" w:rsidRPr="005F0890">
        <w:rPr>
          <w:rFonts w:ascii="Times New Roman" w:eastAsia="DengXian" w:hAnsi="Times New Roman"/>
          <w:sz w:val="20"/>
          <w:szCs w:val="20"/>
          <w:lang w:val="pt-BR"/>
        </w:rPr>
        <w:t>a</w:t>
      </w:r>
      <w:r w:rsidRPr="005F0890">
        <w:rPr>
          <w:rFonts w:ascii="Times New Roman" w:eastAsia="DengXian" w:hAnsi="Times New Roman"/>
          <w:sz w:val="20"/>
          <w:szCs w:val="20"/>
          <w:lang w:val="pt-BR"/>
        </w:rPr>
        <w:t>n A, G</w:t>
      </w:r>
      <w:r w:rsidR="00E7236D" w:rsidRPr="005F0890">
        <w:rPr>
          <w:rFonts w:ascii="Times New Roman" w:eastAsia="DengXian" w:hAnsi="Times New Roman"/>
          <w:sz w:val="20"/>
          <w:szCs w:val="20"/>
          <w:lang w:val="pt-BR"/>
        </w:rPr>
        <w:t>o</w:t>
      </w:r>
      <w:r w:rsidRPr="005F0890">
        <w:rPr>
          <w:rFonts w:ascii="Times New Roman" w:eastAsia="DengXian" w:hAnsi="Times New Roman"/>
          <w:sz w:val="20"/>
          <w:szCs w:val="20"/>
          <w:lang w:val="pt-BR"/>
        </w:rPr>
        <w:t xml:space="preserve">mez-Menchero A, Rivero-Santana B, et al. </w:t>
      </w:r>
      <w:r w:rsidRPr="00575188">
        <w:rPr>
          <w:rFonts w:ascii="Times New Roman" w:eastAsia="DengXian" w:hAnsi="Times New Roman"/>
          <w:sz w:val="20"/>
          <w:szCs w:val="20"/>
        </w:rPr>
        <w:t>Rotational Atherectomy, Lithotripsy, or Laser for Calcified Coronary Stenosis. JACC Cardiovasc Interv</w:t>
      </w:r>
      <w:r w:rsidR="00E7236D">
        <w:rPr>
          <w:rFonts w:ascii="Times New Roman" w:eastAsia="DengXian" w:hAnsi="Times New Roman"/>
          <w:sz w:val="20"/>
          <w:szCs w:val="20"/>
        </w:rPr>
        <w:t xml:space="preserve"> 18 (</w:t>
      </w:r>
      <w:r w:rsidRPr="00575188">
        <w:rPr>
          <w:rFonts w:ascii="Times New Roman" w:eastAsia="DengXian" w:hAnsi="Times New Roman"/>
          <w:sz w:val="20"/>
          <w:szCs w:val="20"/>
        </w:rPr>
        <w:t>2025</w:t>
      </w:r>
      <w:r w:rsidR="00E7236D">
        <w:rPr>
          <w:rFonts w:ascii="Times New Roman" w:eastAsia="DengXian" w:hAnsi="Times New Roman"/>
          <w:sz w:val="20"/>
          <w:szCs w:val="20"/>
        </w:rPr>
        <w:t>)</w:t>
      </w:r>
      <w:r w:rsidRPr="00575188">
        <w:rPr>
          <w:rFonts w:ascii="Times New Roman" w:eastAsia="DengXian" w:hAnsi="Times New Roman"/>
          <w:sz w:val="20"/>
          <w:szCs w:val="20"/>
        </w:rPr>
        <w:t>:</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606</w:t>
      </w:r>
      <w:r w:rsidR="00E7236D">
        <w:rPr>
          <w:rFonts w:ascii="Times New Roman" w:eastAsia="DengXian" w:hAnsi="Times New Roman"/>
          <w:sz w:val="20"/>
          <w:szCs w:val="20"/>
        </w:rPr>
        <w:t>-6</w:t>
      </w:r>
      <w:r w:rsidRPr="00575188">
        <w:rPr>
          <w:rFonts w:ascii="Times New Roman" w:eastAsia="DengXian" w:hAnsi="Times New Roman"/>
          <w:sz w:val="20"/>
          <w:szCs w:val="20"/>
        </w:rPr>
        <w:t xml:space="preserve">18. </w:t>
      </w:r>
    </w:p>
    <w:p w14:paraId="4CA0FE10" w14:textId="194C769C" w:rsidR="00575188" w:rsidRPr="00575188" w:rsidRDefault="00575188" w:rsidP="00575188">
      <w:pPr>
        <w:spacing w:after="0" w:line="360" w:lineRule="auto"/>
        <w:ind w:left="1077" w:hanging="720"/>
        <w:rPr>
          <w:rFonts w:ascii="Times New Roman" w:eastAsia="DengXian" w:hAnsi="Times New Roman"/>
          <w:sz w:val="20"/>
          <w:szCs w:val="20"/>
        </w:rPr>
      </w:pPr>
      <w:r w:rsidRPr="00575188">
        <w:rPr>
          <w:rFonts w:ascii="Times New Roman" w:eastAsia="DengXian" w:hAnsi="Times New Roman"/>
          <w:sz w:val="20"/>
          <w:szCs w:val="20"/>
        </w:rPr>
        <w:t>38.</w:t>
      </w:r>
      <w:r w:rsidRPr="00575188">
        <w:rPr>
          <w:rFonts w:ascii="Times New Roman" w:eastAsia="DengXian" w:hAnsi="Times New Roman"/>
          <w:sz w:val="20"/>
          <w:szCs w:val="20"/>
        </w:rPr>
        <w:tab/>
        <w:t>Moghadam AS, Kakavand N, Shirmard FO, et al.</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Intravascular Lithotripsy Versus Rotational Atherectomy in the Management of Calcific Coronary Lesions: A Systematic Review and Meta‐Analysis. Catheterization and Cardiovascular Interventions</w:t>
      </w:r>
      <w:r w:rsidR="00E7236D">
        <w:rPr>
          <w:rFonts w:ascii="Times New Roman" w:eastAsia="DengXian" w:hAnsi="Times New Roman"/>
          <w:sz w:val="20"/>
          <w:szCs w:val="20"/>
        </w:rPr>
        <w:t xml:space="preserve"> 106 (</w:t>
      </w:r>
      <w:r w:rsidRPr="00575188">
        <w:rPr>
          <w:rFonts w:ascii="Times New Roman" w:eastAsia="DengXian" w:hAnsi="Times New Roman"/>
          <w:sz w:val="20"/>
          <w:szCs w:val="20"/>
        </w:rPr>
        <w:t>2025</w:t>
      </w:r>
      <w:r w:rsidR="00E7236D">
        <w:rPr>
          <w:rFonts w:ascii="Times New Roman" w:eastAsia="DengXian" w:hAnsi="Times New Roman"/>
          <w:sz w:val="20"/>
          <w:szCs w:val="20"/>
        </w:rPr>
        <w:t>)</w:t>
      </w:r>
      <w:r w:rsidRPr="00575188">
        <w:rPr>
          <w:rFonts w:ascii="Times New Roman" w:eastAsia="DengXian" w:hAnsi="Times New Roman"/>
          <w:sz w:val="20"/>
          <w:szCs w:val="20"/>
        </w:rPr>
        <w:t>:</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1142</w:t>
      </w:r>
      <w:r w:rsidR="00E7236D">
        <w:rPr>
          <w:rFonts w:ascii="Times New Roman" w:eastAsia="DengXian" w:hAnsi="Times New Roman"/>
          <w:sz w:val="20"/>
          <w:szCs w:val="20"/>
        </w:rPr>
        <w:t>-11</w:t>
      </w:r>
      <w:r w:rsidRPr="00575188">
        <w:rPr>
          <w:rFonts w:ascii="Times New Roman" w:eastAsia="DengXian" w:hAnsi="Times New Roman"/>
          <w:sz w:val="20"/>
          <w:szCs w:val="20"/>
        </w:rPr>
        <w:t xml:space="preserve">52. </w:t>
      </w:r>
    </w:p>
    <w:p w14:paraId="6D7ED8A4" w14:textId="28D2398E" w:rsidR="00F75148" w:rsidRPr="00504677" w:rsidRDefault="00575188" w:rsidP="00575188">
      <w:pPr>
        <w:spacing w:after="0" w:line="360" w:lineRule="auto"/>
        <w:ind w:left="1077" w:hanging="720"/>
      </w:pPr>
      <w:r w:rsidRPr="00575188">
        <w:rPr>
          <w:rFonts w:ascii="Times New Roman" w:eastAsia="DengXian" w:hAnsi="Times New Roman"/>
          <w:sz w:val="20"/>
          <w:szCs w:val="20"/>
        </w:rPr>
        <w:t>39.</w:t>
      </w:r>
      <w:r w:rsidRPr="00575188">
        <w:rPr>
          <w:rFonts w:ascii="Times New Roman" w:eastAsia="DengXian" w:hAnsi="Times New Roman"/>
          <w:sz w:val="20"/>
          <w:szCs w:val="20"/>
        </w:rPr>
        <w:tab/>
        <w:t>Matsuda H, Sakakura K, Taniguchi Y</w:t>
      </w:r>
      <w:r w:rsidR="00E7236D">
        <w:rPr>
          <w:rFonts w:ascii="Times New Roman" w:eastAsia="DengXian" w:hAnsi="Times New Roman"/>
          <w:sz w:val="20"/>
          <w:szCs w:val="20"/>
        </w:rPr>
        <w:t>, et al.</w:t>
      </w:r>
      <w:r w:rsidRPr="00575188">
        <w:rPr>
          <w:rFonts w:ascii="Times New Roman" w:eastAsia="DengXian" w:hAnsi="Times New Roman"/>
          <w:sz w:val="20"/>
          <w:szCs w:val="20"/>
        </w:rPr>
        <w:t xml:space="preserve"> Long-term outcomes of coronary artery bypass grafting versus percutaneous coronary intervention in patients with chronic kidney disease. Circulation Journal</w:t>
      </w:r>
      <w:r w:rsidR="00E7236D">
        <w:rPr>
          <w:rFonts w:ascii="Times New Roman" w:eastAsia="DengXian" w:hAnsi="Times New Roman"/>
          <w:sz w:val="20"/>
          <w:szCs w:val="20"/>
        </w:rPr>
        <w:t xml:space="preserve"> 86 (</w:t>
      </w:r>
      <w:r w:rsidRPr="00575188">
        <w:rPr>
          <w:rFonts w:ascii="Times New Roman" w:eastAsia="DengXian" w:hAnsi="Times New Roman"/>
          <w:sz w:val="20"/>
          <w:szCs w:val="20"/>
        </w:rPr>
        <w:t>2022</w:t>
      </w:r>
      <w:r w:rsidR="00E7236D">
        <w:rPr>
          <w:rFonts w:ascii="Times New Roman" w:eastAsia="DengXian" w:hAnsi="Times New Roman"/>
          <w:sz w:val="20"/>
          <w:szCs w:val="20"/>
        </w:rPr>
        <w:t>)</w:t>
      </w:r>
      <w:r w:rsidRPr="00575188">
        <w:rPr>
          <w:rFonts w:ascii="Times New Roman" w:eastAsia="DengXian" w:hAnsi="Times New Roman"/>
          <w:sz w:val="20"/>
          <w:szCs w:val="20"/>
        </w:rPr>
        <w:t>:</w:t>
      </w:r>
      <w:r w:rsidR="00E7236D">
        <w:rPr>
          <w:rFonts w:ascii="Times New Roman" w:eastAsia="DengXian" w:hAnsi="Times New Roman"/>
          <w:sz w:val="20"/>
          <w:szCs w:val="20"/>
        </w:rPr>
        <w:t xml:space="preserve"> </w:t>
      </w:r>
      <w:r w:rsidRPr="00575188">
        <w:rPr>
          <w:rFonts w:ascii="Times New Roman" w:eastAsia="DengXian" w:hAnsi="Times New Roman"/>
          <w:sz w:val="20"/>
          <w:szCs w:val="20"/>
        </w:rPr>
        <w:t>1123</w:t>
      </w:r>
      <w:r w:rsidR="00E7236D">
        <w:rPr>
          <w:rFonts w:ascii="Times New Roman" w:eastAsia="DengXian" w:hAnsi="Times New Roman"/>
          <w:sz w:val="20"/>
          <w:szCs w:val="20"/>
        </w:rPr>
        <w:t>-11</w:t>
      </w:r>
      <w:r w:rsidRPr="00575188">
        <w:rPr>
          <w:rFonts w:ascii="Times New Roman" w:eastAsia="DengXian" w:hAnsi="Times New Roman"/>
          <w:sz w:val="20"/>
          <w:szCs w:val="20"/>
        </w:rPr>
        <w:t xml:space="preserve">32. </w:t>
      </w:r>
    </w:p>
    <w:p w14:paraId="20E19177" w14:textId="77777777" w:rsidR="00A713E0" w:rsidRDefault="00A713E0" w:rsidP="00A713E0">
      <w:pPr>
        <w:spacing w:after="0" w:line="360" w:lineRule="auto"/>
        <w:ind w:left="1440" w:firstLine="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20"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21"/>
      <w:headerReference w:type="default" r:id="rId22"/>
      <w:footerReference w:type="even" r:id="rId23"/>
      <w:footerReference w:type="default" r:id="rId24"/>
      <w:headerReference w:type="first" r:id="rId25"/>
      <w:footerReference w:type="first" r:id="rId26"/>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FCA9E" w14:textId="77777777" w:rsidR="000C5899" w:rsidRDefault="000C5899" w:rsidP="00A62EFF">
      <w:pPr>
        <w:spacing w:after="0" w:line="240" w:lineRule="auto"/>
      </w:pPr>
      <w:r>
        <w:separator/>
      </w:r>
    </w:p>
  </w:endnote>
  <w:endnote w:type="continuationSeparator" w:id="0">
    <w:p w14:paraId="44FB3640" w14:textId="77777777" w:rsidR="000C5899" w:rsidRDefault="000C5899"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688D6752" w14:textId="5F6A1177" w:rsidR="00891703" w:rsidRPr="000A1553" w:rsidRDefault="00891703" w:rsidP="00891703">
    <w:pPr>
      <w:pStyle w:val="Footer"/>
      <w:rPr>
        <w:color w:val="0070C0"/>
        <w:sz w:val="20"/>
        <w:szCs w:val="20"/>
        <w:lang w:val="en-IN"/>
      </w:rPr>
    </w:pPr>
    <w:r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Pr>
        <w:rFonts w:asciiTheme="majorBidi" w:hAnsiTheme="majorBidi" w:cstheme="majorBidi"/>
        <w:b/>
        <w:bCs/>
        <w:color w:val="0070C0"/>
        <w:sz w:val="20"/>
        <w:szCs w:val="20"/>
      </w:rPr>
      <w:t>25</w:t>
    </w:r>
    <w:r w:rsidRPr="000A1553">
      <w:rPr>
        <w:rFonts w:asciiTheme="majorBidi" w:hAnsiTheme="majorBidi" w:cstheme="majorBidi"/>
        <w:b/>
        <w:bCs/>
        <w:noProof/>
        <w:color w:val="0070C0"/>
        <w:sz w:val="20"/>
        <w:szCs w:val="20"/>
      </w:rPr>
      <w:fldChar w:fldCharType="end"/>
    </w: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7D8BD" w14:textId="77777777" w:rsidR="000C5899" w:rsidRDefault="000C5899" w:rsidP="00A62EFF">
      <w:pPr>
        <w:spacing w:after="0" w:line="240" w:lineRule="auto"/>
      </w:pPr>
      <w:r>
        <w:separator/>
      </w:r>
    </w:p>
  </w:footnote>
  <w:footnote w:type="continuationSeparator" w:id="0">
    <w:p w14:paraId="4A7CD77A" w14:textId="77777777" w:rsidR="000C5899" w:rsidRDefault="000C5899"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241CDE48" w:rsidR="00891703" w:rsidRPr="00762E20" w:rsidRDefault="00891703" w:rsidP="00891703">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Cardiol Cardiovasc Med 2026; 10(</w:t>
    </w:r>
    <w:r w:rsidR="00942146">
      <w:rPr>
        <w:rFonts w:asciiTheme="majorBidi" w:hAnsiTheme="majorBidi" w:cstheme="majorBidi"/>
        <w:b/>
        <w:bCs/>
        <w:color w:val="0070C0"/>
        <w:sz w:val="20"/>
        <w:szCs w:val="20"/>
      </w:rPr>
      <w:t>2</w:t>
    </w:r>
    <w:r w:rsidRPr="00762E20">
      <w:rPr>
        <w:rFonts w:asciiTheme="majorBidi" w:hAnsiTheme="majorBidi" w:cstheme="majorBidi"/>
        <w:b/>
        <w:bCs/>
        <w:color w:val="0070C0"/>
        <w:sz w:val="20"/>
        <w:szCs w:val="20"/>
      </w:rPr>
      <w:t xml:space="preserve">): </w:t>
    </w:r>
    <w:r w:rsidR="00942146">
      <w:rPr>
        <w:rFonts w:asciiTheme="majorBidi" w:hAnsiTheme="majorBidi" w:cstheme="majorBidi"/>
        <w:b/>
        <w:bCs/>
        <w:color w:val="0070C0"/>
        <w:sz w:val="20"/>
        <w:szCs w:val="20"/>
      </w:rPr>
      <w:t>1</w:t>
    </w:r>
    <w:r w:rsidR="002F73E1">
      <w:rPr>
        <w:rFonts w:asciiTheme="majorBidi" w:hAnsiTheme="majorBidi" w:cstheme="majorBidi"/>
        <w:b/>
        <w:bCs/>
        <w:color w:val="0070C0"/>
        <w:sz w:val="20"/>
        <w:szCs w:val="20"/>
      </w:rPr>
      <w:t>54</w:t>
    </w:r>
    <w:r w:rsidRPr="00762E20">
      <w:rPr>
        <w:rFonts w:asciiTheme="majorBidi" w:hAnsiTheme="majorBidi" w:cstheme="majorBidi"/>
        <w:b/>
        <w:bCs/>
        <w:color w:val="0070C0"/>
        <w:sz w:val="20"/>
        <w:szCs w:val="20"/>
      </w:rPr>
      <w:t>-</w:t>
    </w:r>
    <w:r w:rsidR="002F73E1">
      <w:rPr>
        <w:rFonts w:asciiTheme="majorBidi" w:hAnsiTheme="majorBidi" w:cstheme="majorBidi"/>
        <w:b/>
        <w:bCs/>
        <w:color w:val="0070C0"/>
        <w:sz w:val="20"/>
        <w:szCs w:val="20"/>
      </w:rPr>
      <w:t>1</w:t>
    </w:r>
    <w:r w:rsidR="009C2595">
      <w:rPr>
        <w:rFonts w:asciiTheme="majorBidi" w:hAnsiTheme="majorBidi" w:cstheme="majorBidi"/>
        <w:b/>
        <w:bCs/>
        <w:color w:val="0070C0"/>
        <w:sz w:val="20"/>
        <w:szCs w:val="20"/>
      </w:rPr>
      <w:t>66</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 xml:space="preserve"> DOI:10.26502/fccm.9292048</w:t>
    </w:r>
    <w:r w:rsidR="002F73E1">
      <w:rPr>
        <w:rFonts w:asciiTheme="majorBidi" w:hAnsiTheme="majorBidi" w:cstheme="majorBidi"/>
        <w:b/>
        <w:bCs/>
        <w:color w:val="0070C0"/>
        <w:sz w:val="20"/>
        <w:szCs w:val="20"/>
      </w:rPr>
      <w:t>7</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 xml:space="preserve">Cardiol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5"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34"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7364187">
    <w:abstractNumId w:val="11"/>
  </w:num>
  <w:num w:numId="2" w16cid:durableId="881751739">
    <w:abstractNumId w:val="12"/>
  </w:num>
  <w:num w:numId="3" w16cid:durableId="1557858791">
    <w:abstractNumId w:val="4"/>
  </w:num>
  <w:num w:numId="4" w16cid:durableId="1452282351">
    <w:abstractNumId w:val="9"/>
  </w:num>
  <w:num w:numId="5" w16cid:durableId="2055155220">
    <w:abstractNumId w:val="33"/>
  </w:num>
  <w:num w:numId="6" w16cid:durableId="777725767">
    <w:abstractNumId w:val="0"/>
  </w:num>
  <w:num w:numId="7" w16cid:durableId="90123003">
    <w:abstractNumId w:val="6"/>
  </w:num>
  <w:num w:numId="8" w16cid:durableId="62989795">
    <w:abstractNumId w:val="16"/>
  </w:num>
  <w:num w:numId="9" w16cid:durableId="1593203606">
    <w:abstractNumId w:val="10"/>
  </w:num>
  <w:num w:numId="10" w16cid:durableId="199784957">
    <w:abstractNumId w:val="13"/>
  </w:num>
  <w:num w:numId="11" w16cid:durableId="1302930511">
    <w:abstractNumId w:val="34"/>
  </w:num>
  <w:num w:numId="12" w16cid:durableId="723144596">
    <w:abstractNumId w:val="29"/>
  </w:num>
  <w:num w:numId="13" w16cid:durableId="1329407569">
    <w:abstractNumId w:val="8"/>
  </w:num>
  <w:num w:numId="14" w16cid:durableId="736631971">
    <w:abstractNumId w:val="20"/>
  </w:num>
  <w:num w:numId="15" w16cid:durableId="994064963">
    <w:abstractNumId w:val="30"/>
  </w:num>
  <w:num w:numId="16" w16cid:durableId="1315993066">
    <w:abstractNumId w:val="27"/>
  </w:num>
  <w:num w:numId="17" w16cid:durableId="1775586322">
    <w:abstractNumId w:val="1"/>
  </w:num>
  <w:num w:numId="18" w16cid:durableId="695272741">
    <w:abstractNumId w:val="35"/>
  </w:num>
  <w:num w:numId="19" w16cid:durableId="2037198484">
    <w:abstractNumId w:val="23"/>
  </w:num>
  <w:num w:numId="20" w16cid:durableId="475530544">
    <w:abstractNumId w:val="24"/>
  </w:num>
  <w:num w:numId="21" w16cid:durableId="664086365">
    <w:abstractNumId w:val="25"/>
  </w:num>
  <w:num w:numId="22" w16cid:durableId="1370912985">
    <w:abstractNumId w:val="26"/>
  </w:num>
  <w:num w:numId="23" w16cid:durableId="1529948825">
    <w:abstractNumId w:val="7"/>
  </w:num>
  <w:num w:numId="24" w16cid:durableId="1772428237">
    <w:abstractNumId w:val="17"/>
  </w:num>
  <w:num w:numId="25" w16cid:durableId="295724694">
    <w:abstractNumId w:val="36"/>
  </w:num>
  <w:num w:numId="26" w16cid:durableId="1293824798">
    <w:abstractNumId w:val="21"/>
  </w:num>
  <w:num w:numId="27" w16cid:durableId="1596014857">
    <w:abstractNumId w:val="32"/>
  </w:num>
  <w:num w:numId="28" w16cid:durableId="1274631221">
    <w:abstractNumId w:val="15"/>
  </w:num>
  <w:num w:numId="29" w16cid:durableId="651103143">
    <w:abstractNumId w:val="14"/>
  </w:num>
  <w:num w:numId="30" w16cid:durableId="2122217136">
    <w:abstractNumId w:val="5"/>
  </w:num>
  <w:num w:numId="31" w16cid:durableId="1189565611">
    <w:abstractNumId w:val="28"/>
  </w:num>
  <w:num w:numId="32" w16cid:durableId="2097479920">
    <w:abstractNumId w:val="18"/>
  </w:num>
  <w:num w:numId="33" w16cid:durableId="75134129">
    <w:abstractNumId w:val="31"/>
  </w:num>
  <w:num w:numId="34" w16cid:durableId="782531063">
    <w:abstractNumId w:val="19"/>
  </w:num>
  <w:num w:numId="35" w16cid:durableId="850217954">
    <w:abstractNumId w:val="22"/>
  </w:num>
  <w:num w:numId="36" w16cid:durableId="747461938">
    <w:abstractNumId w:val="3"/>
  </w:num>
  <w:num w:numId="37" w16cid:durableId="116524528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29F"/>
    <w:rsid w:val="00000344"/>
    <w:rsid w:val="00000B4A"/>
    <w:rsid w:val="0000153A"/>
    <w:rsid w:val="000015D2"/>
    <w:rsid w:val="00001FB0"/>
    <w:rsid w:val="000027C2"/>
    <w:rsid w:val="00002C88"/>
    <w:rsid w:val="00002CC0"/>
    <w:rsid w:val="000039C4"/>
    <w:rsid w:val="000041B4"/>
    <w:rsid w:val="00004314"/>
    <w:rsid w:val="00004465"/>
    <w:rsid w:val="00004AAD"/>
    <w:rsid w:val="00004E80"/>
    <w:rsid w:val="00004F02"/>
    <w:rsid w:val="000060E9"/>
    <w:rsid w:val="0000627B"/>
    <w:rsid w:val="000067C7"/>
    <w:rsid w:val="00006985"/>
    <w:rsid w:val="00006A82"/>
    <w:rsid w:val="00006D7F"/>
    <w:rsid w:val="00006DC8"/>
    <w:rsid w:val="00007156"/>
    <w:rsid w:val="000073D6"/>
    <w:rsid w:val="0000755C"/>
    <w:rsid w:val="00007D30"/>
    <w:rsid w:val="00007E48"/>
    <w:rsid w:val="00010311"/>
    <w:rsid w:val="00010D3D"/>
    <w:rsid w:val="00010ED3"/>
    <w:rsid w:val="000111B7"/>
    <w:rsid w:val="0001169F"/>
    <w:rsid w:val="000117A2"/>
    <w:rsid w:val="00011834"/>
    <w:rsid w:val="000119E0"/>
    <w:rsid w:val="00011E48"/>
    <w:rsid w:val="00011EA6"/>
    <w:rsid w:val="0001249E"/>
    <w:rsid w:val="00012604"/>
    <w:rsid w:val="0001263D"/>
    <w:rsid w:val="0001306E"/>
    <w:rsid w:val="00013139"/>
    <w:rsid w:val="000132F3"/>
    <w:rsid w:val="000135E5"/>
    <w:rsid w:val="0001371B"/>
    <w:rsid w:val="00013D61"/>
    <w:rsid w:val="000146D2"/>
    <w:rsid w:val="00014866"/>
    <w:rsid w:val="0001486C"/>
    <w:rsid w:val="00015423"/>
    <w:rsid w:val="00015554"/>
    <w:rsid w:val="000157D3"/>
    <w:rsid w:val="00015950"/>
    <w:rsid w:val="00015D3F"/>
    <w:rsid w:val="00015EBE"/>
    <w:rsid w:val="00017406"/>
    <w:rsid w:val="00017935"/>
    <w:rsid w:val="00017A69"/>
    <w:rsid w:val="000203AF"/>
    <w:rsid w:val="0002077E"/>
    <w:rsid w:val="00020CB2"/>
    <w:rsid w:val="00020F7C"/>
    <w:rsid w:val="00021254"/>
    <w:rsid w:val="00021AFD"/>
    <w:rsid w:val="00021E53"/>
    <w:rsid w:val="00021F19"/>
    <w:rsid w:val="000223F6"/>
    <w:rsid w:val="0002287E"/>
    <w:rsid w:val="000232DB"/>
    <w:rsid w:val="000233E6"/>
    <w:rsid w:val="00023D69"/>
    <w:rsid w:val="00023DBE"/>
    <w:rsid w:val="00023F64"/>
    <w:rsid w:val="000240AF"/>
    <w:rsid w:val="00024668"/>
    <w:rsid w:val="00024A98"/>
    <w:rsid w:val="00025EF7"/>
    <w:rsid w:val="00026E02"/>
    <w:rsid w:val="000271F8"/>
    <w:rsid w:val="00027EAB"/>
    <w:rsid w:val="00027FE9"/>
    <w:rsid w:val="00031954"/>
    <w:rsid w:val="00031BFD"/>
    <w:rsid w:val="00031FB8"/>
    <w:rsid w:val="000322CF"/>
    <w:rsid w:val="00032624"/>
    <w:rsid w:val="00032E84"/>
    <w:rsid w:val="00032F8B"/>
    <w:rsid w:val="000330C6"/>
    <w:rsid w:val="0003349E"/>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703"/>
    <w:rsid w:val="0004074D"/>
    <w:rsid w:val="0004089F"/>
    <w:rsid w:val="000409AA"/>
    <w:rsid w:val="00040A76"/>
    <w:rsid w:val="00040D9A"/>
    <w:rsid w:val="0004154F"/>
    <w:rsid w:val="00041834"/>
    <w:rsid w:val="000418D2"/>
    <w:rsid w:val="00041AA2"/>
    <w:rsid w:val="00042405"/>
    <w:rsid w:val="000424B8"/>
    <w:rsid w:val="000428C0"/>
    <w:rsid w:val="0004296B"/>
    <w:rsid w:val="00042BBD"/>
    <w:rsid w:val="00042FE3"/>
    <w:rsid w:val="00042FE8"/>
    <w:rsid w:val="00043AEC"/>
    <w:rsid w:val="00043DDA"/>
    <w:rsid w:val="0004436D"/>
    <w:rsid w:val="0004501A"/>
    <w:rsid w:val="00045249"/>
    <w:rsid w:val="000452C3"/>
    <w:rsid w:val="0004546E"/>
    <w:rsid w:val="00045C18"/>
    <w:rsid w:val="00045F6B"/>
    <w:rsid w:val="0004678A"/>
    <w:rsid w:val="0004683A"/>
    <w:rsid w:val="00046C90"/>
    <w:rsid w:val="00046F68"/>
    <w:rsid w:val="00050CE7"/>
    <w:rsid w:val="000512BD"/>
    <w:rsid w:val="000516EE"/>
    <w:rsid w:val="00052088"/>
    <w:rsid w:val="000528D1"/>
    <w:rsid w:val="00052F50"/>
    <w:rsid w:val="000530DE"/>
    <w:rsid w:val="000538E6"/>
    <w:rsid w:val="00053D18"/>
    <w:rsid w:val="000542A9"/>
    <w:rsid w:val="0005496B"/>
    <w:rsid w:val="000550A0"/>
    <w:rsid w:val="00055667"/>
    <w:rsid w:val="00055899"/>
    <w:rsid w:val="00055968"/>
    <w:rsid w:val="00055AC7"/>
    <w:rsid w:val="00055CB5"/>
    <w:rsid w:val="00055F9A"/>
    <w:rsid w:val="00057298"/>
    <w:rsid w:val="000577A8"/>
    <w:rsid w:val="00057D88"/>
    <w:rsid w:val="00057FAE"/>
    <w:rsid w:val="0006037E"/>
    <w:rsid w:val="00060457"/>
    <w:rsid w:val="00060613"/>
    <w:rsid w:val="00060B34"/>
    <w:rsid w:val="00060C14"/>
    <w:rsid w:val="00060CCE"/>
    <w:rsid w:val="000611D2"/>
    <w:rsid w:val="000611D6"/>
    <w:rsid w:val="0006200D"/>
    <w:rsid w:val="0006226B"/>
    <w:rsid w:val="00062D64"/>
    <w:rsid w:val="000631B5"/>
    <w:rsid w:val="00063436"/>
    <w:rsid w:val="00063477"/>
    <w:rsid w:val="00063B87"/>
    <w:rsid w:val="000645FD"/>
    <w:rsid w:val="0006472E"/>
    <w:rsid w:val="00064E15"/>
    <w:rsid w:val="000659ED"/>
    <w:rsid w:val="00065F85"/>
    <w:rsid w:val="00066680"/>
    <w:rsid w:val="00066B0A"/>
    <w:rsid w:val="00066D99"/>
    <w:rsid w:val="00066E4C"/>
    <w:rsid w:val="000676FA"/>
    <w:rsid w:val="00067866"/>
    <w:rsid w:val="000678FD"/>
    <w:rsid w:val="00067BAB"/>
    <w:rsid w:val="00067DD9"/>
    <w:rsid w:val="000701EE"/>
    <w:rsid w:val="000703AC"/>
    <w:rsid w:val="00070929"/>
    <w:rsid w:val="0007095D"/>
    <w:rsid w:val="00070963"/>
    <w:rsid w:val="00070C70"/>
    <w:rsid w:val="00070DC1"/>
    <w:rsid w:val="0007111A"/>
    <w:rsid w:val="000715E6"/>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E2A"/>
    <w:rsid w:val="00076FDF"/>
    <w:rsid w:val="000778C3"/>
    <w:rsid w:val="000779E5"/>
    <w:rsid w:val="00077CE5"/>
    <w:rsid w:val="00077D95"/>
    <w:rsid w:val="00077E8E"/>
    <w:rsid w:val="000803B5"/>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E1D"/>
    <w:rsid w:val="00087E71"/>
    <w:rsid w:val="00090A7B"/>
    <w:rsid w:val="00090DC0"/>
    <w:rsid w:val="00090E5B"/>
    <w:rsid w:val="00090EB3"/>
    <w:rsid w:val="00091539"/>
    <w:rsid w:val="0009230C"/>
    <w:rsid w:val="000924CB"/>
    <w:rsid w:val="0009273F"/>
    <w:rsid w:val="000927EE"/>
    <w:rsid w:val="000933A4"/>
    <w:rsid w:val="00093431"/>
    <w:rsid w:val="0009378E"/>
    <w:rsid w:val="00093BB6"/>
    <w:rsid w:val="00093BC7"/>
    <w:rsid w:val="00095606"/>
    <w:rsid w:val="000956DA"/>
    <w:rsid w:val="00095835"/>
    <w:rsid w:val="000959EA"/>
    <w:rsid w:val="00095C07"/>
    <w:rsid w:val="000964CD"/>
    <w:rsid w:val="000967BF"/>
    <w:rsid w:val="00096895"/>
    <w:rsid w:val="00096C16"/>
    <w:rsid w:val="00096DD0"/>
    <w:rsid w:val="00097B03"/>
    <w:rsid w:val="000A0F4D"/>
    <w:rsid w:val="000A1156"/>
    <w:rsid w:val="000A1241"/>
    <w:rsid w:val="000A1553"/>
    <w:rsid w:val="000A1CA0"/>
    <w:rsid w:val="000A2B48"/>
    <w:rsid w:val="000A2D08"/>
    <w:rsid w:val="000A38BF"/>
    <w:rsid w:val="000A3EEB"/>
    <w:rsid w:val="000A3F8D"/>
    <w:rsid w:val="000A43F8"/>
    <w:rsid w:val="000A44B9"/>
    <w:rsid w:val="000A49C8"/>
    <w:rsid w:val="000A4B91"/>
    <w:rsid w:val="000A567A"/>
    <w:rsid w:val="000A5AF2"/>
    <w:rsid w:val="000A5ED0"/>
    <w:rsid w:val="000A6313"/>
    <w:rsid w:val="000A65C7"/>
    <w:rsid w:val="000A6B60"/>
    <w:rsid w:val="000A784A"/>
    <w:rsid w:val="000A7D7A"/>
    <w:rsid w:val="000B0551"/>
    <w:rsid w:val="000B0A81"/>
    <w:rsid w:val="000B14AB"/>
    <w:rsid w:val="000B1AFC"/>
    <w:rsid w:val="000B1C71"/>
    <w:rsid w:val="000B25CD"/>
    <w:rsid w:val="000B2916"/>
    <w:rsid w:val="000B2B4E"/>
    <w:rsid w:val="000B2F5D"/>
    <w:rsid w:val="000B345F"/>
    <w:rsid w:val="000B37D0"/>
    <w:rsid w:val="000B3922"/>
    <w:rsid w:val="000B3AE0"/>
    <w:rsid w:val="000B3B14"/>
    <w:rsid w:val="000B4091"/>
    <w:rsid w:val="000B40CA"/>
    <w:rsid w:val="000B4760"/>
    <w:rsid w:val="000B4C13"/>
    <w:rsid w:val="000B4C45"/>
    <w:rsid w:val="000B4F18"/>
    <w:rsid w:val="000B4F23"/>
    <w:rsid w:val="000B513D"/>
    <w:rsid w:val="000B59B2"/>
    <w:rsid w:val="000B5EE4"/>
    <w:rsid w:val="000B5F97"/>
    <w:rsid w:val="000B6868"/>
    <w:rsid w:val="000B7441"/>
    <w:rsid w:val="000B765C"/>
    <w:rsid w:val="000B7BC1"/>
    <w:rsid w:val="000B7BCB"/>
    <w:rsid w:val="000B7BDD"/>
    <w:rsid w:val="000B7CD8"/>
    <w:rsid w:val="000B7F3F"/>
    <w:rsid w:val="000C045E"/>
    <w:rsid w:val="000C05CA"/>
    <w:rsid w:val="000C107E"/>
    <w:rsid w:val="000C155B"/>
    <w:rsid w:val="000C15E8"/>
    <w:rsid w:val="000C1CA1"/>
    <w:rsid w:val="000C219F"/>
    <w:rsid w:val="000C242E"/>
    <w:rsid w:val="000C2A7A"/>
    <w:rsid w:val="000C2AAC"/>
    <w:rsid w:val="000C2D94"/>
    <w:rsid w:val="000C3811"/>
    <w:rsid w:val="000C3C5B"/>
    <w:rsid w:val="000C40E7"/>
    <w:rsid w:val="000C4521"/>
    <w:rsid w:val="000C5899"/>
    <w:rsid w:val="000C5D85"/>
    <w:rsid w:val="000C5DAD"/>
    <w:rsid w:val="000C65E2"/>
    <w:rsid w:val="000C676E"/>
    <w:rsid w:val="000C6A6F"/>
    <w:rsid w:val="000C6EB0"/>
    <w:rsid w:val="000C6FB1"/>
    <w:rsid w:val="000C7720"/>
    <w:rsid w:val="000C7759"/>
    <w:rsid w:val="000C7888"/>
    <w:rsid w:val="000C78F7"/>
    <w:rsid w:val="000C7BF4"/>
    <w:rsid w:val="000C7D39"/>
    <w:rsid w:val="000C7E51"/>
    <w:rsid w:val="000D006A"/>
    <w:rsid w:val="000D050F"/>
    <w:rsid w:val="000D0942"/>
    <w:rsid w:val="000D0BCE"/>
    <w:rsid w:val="000D0D8C"/>
    <w:rsid w:val="000D1390"/>
    <w:rsid w:val="000D22CD"/>
    <w:rsid w:val="000D299E"/>
    <w:rsid w:val="000D3516"/>
    <w:rsid w:val="000D3710"/>
    <w:rsid w:val="000D3A0D"/>
    <w:rsid w:val="000D3D79"/>
    <w:rsid w:val="000D41C8"/>
    <w:rsid w:val="000D4372"/>
    <w:rsid w:val="000D47F4"/>
    <w:rsid w:val="000D4821"/>
    <w:rsid w:val="000D4AA7"/>
    <w:rsid w:val="000D5137"/>
    <w:rsid w:val="000D5502"/>
    <w:rsid w:val="000D5CD9"/>
    <w:rsid w:val="000D6056"/>
    <w:rsid w:val="000D6D66"/>
    <w:rsid w:val="000D6EF8"/>
    <w:rsid w:val="000D6F64"/>
    <w:rsid w:val="000D6F86"/>
    <w:rsid w:val="000D6FF6"/>
    <w:rsid w:val="000D71B3"/>
    <w:rsid w:val="000D7888"/>
    <w:rsid w:val="000D7C7B"/>
    <w:rsid w:val="000D7C8D"/>
    <w:rsid w:val="000E0415"/>
    <w:rsid w:val="000E0452"/>
    <w:rsid w:val="000E0BA0"/>
    <w:rsid w:val="000E11F6"/>
    <w:rsid w:val="000E23A3"/>
    <w:rsid w:val="000E2553"/>
    <w:rsid w:val="000E276A"/>
    <w:rsid w:val="000E3324"/>
    <w:rsid w:val="000E3576"/>
    <w:rsid w:val="000E35CE"/>
    <w:rsid w:val="000E3920"/>
    <w:rsid w:val="000E3FD3"/>
    <w:rsid w:val="000E3FEF"/>
    <w:rsid w:val="000E4561"/>
    <w:rsid w:val="000E4BDA"/>
    <w:rsid w:val="000E5022"/>
    <w:rsid w:val="000E553B"/>
    <w:rsid w:val="000E5863"/>
    <w:rsid w:val="000E597B"/>
    <w:rsid w:val="000E5A7D"/>
    <w:rsid w:val="000E5CDA"/>
    <w:rsid w:val="000E5F7E"/>
    <w:rsid w:val="000E5F91"/>
    <w:rsid w:val="000E61A4"/>
    <w:rsid w:val="000E65FB"/>
    <w:rsid w:val="000E6829"/>
    <w:rsid w:val="000E6B79"/>
    <w:rsid w:val="000E6F66"/>
    <w:rsid w:val="000E74FC"/>
    <w:rsid w:val="000E7B8B"/>
    <w:rsid w:val="000F02DC"/>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510E"/>
    <w:rsid w:val="000F5DC0"/>
    <w:rsid w:val="000F6441"/>
    <w:rsid w:val="000F658B"/>
    <w:rsid w:val="000F6696"/>
    <w:rsid w:val="000F6877"/>
    <w:rsid w:val="000F6A76"/>
    <w:rsid w:val="000F723B"/>
    <w:rsid w:val="000F73B1"/>
    <w:rsid w:val="000F7B23"/>
    <w:rsid w:val="000F7E01"/>
    <w:rsid w:val="000F7F42"/>
    <w:rsid w:val="001001E2"/>
    <w:rsid w:val="0010097D"/>
    <w:rsid w:val="001013FE"/>
    <w:rsid w:val="0010140D"/>
    <w:rsid w:val="00101A2D"/>
    <w:rsid w:val="00101C3F"/>
    <w:rsid w:val="00102145"/>
    <w:rsid w:val="00102C4B"/>
    <w:rsid w:val="001030D0"/>
    <w:rsid w:val="00103B74"/>
    <w:rsid w:val="001040FB"/>
    <w:rsid w:val="001043A4"/>
    <w:rsid w:val="0010477A"/>
    <w:rsid w:val="00104E76"/>
    <w:rsid w:val="00105290"/>
    <w:rsid w:val="00106473"/>
    <w:rsid w:val="0010664E"/>
    <w:rsid w:val="001067FC"/>
    <w:rsid w:val="00107422"/>
    <w:rsid w:val="0010746F"/>
    <w:rsid w:val="0010764C"/>
    <w:rsid w:val="0010786F"/>
    <w:rsid w:val="00107D24"/>
    <w:rsid w:val="001102CF"/>
    <w:rsid w:val="00110868"/>
    <w:rsid w:val="0011089F"/>
    <w:rsid w:val="0011091A"/>
    <w:rsid w:val="00111429"/>
    <w:rsid w:val="001116CB"/>
    <w:rsid w:val="00111D7F"/>
    <w:rsid w:val="00111F80"/>
    <w:rsid w:val="00111FFF"/>
    <w:rsid w:val="00112B45"/>
    <w:rsid w:val="001138C1"/>
    <w:rsid w:val="001143F1"/>
    <w:rsid w:val="0011465C"/>
    <w:rsid w:val="00114C03"/>
    <w:rsid w:val="001157E1"/>
    <w:rsid w:val="00115A6E"/>
    <w:rsid w:val="001160E4"/>
    <w:rsid w:val="0011614B"/>
    <w:rsid w:val="001162F1"/>
    <w:rsid w:val="00116FAB"/>
    <w:rsid w:val="0011783D"/>
    <w:rsid w:val="001179A6"/>
    <w:rsid w:val="00117C6F"/>
    <w:rsid w:val="00120647"/>
    <w:rsid w:val="00120886"/>
    <w:rsid w:val="001208E3"/>
    <w:rsid w:val="00120959"/>
    <w:rsid w:val="001209FE"/>
    <w:rsid w:val="00120CF6"/>
    <w:rsid w:val="00120E5E"/>
    <w:rsid w:val="00121492"/>
    <w:rsid w:val="00121591"/>
    <w:rsid w:val="00121BC8"/>
    <w:rsid w:val="00122156"/>
    <w:rsid w:val="00122162"/>
    <w:rsid w:val="001224A5"/>
    <w:rsid w:val="00122A38"/>
    <w:rsid w:val="00122A97"/>
    <w:rsid w:val="00122E16"/>
    <w:rsid w:val="001234F9"/>
    <w:rsid w:val="00123B78"/>
    <w:rsid w:val="00123E3E"/>
    <w:rsid w:val="001242BB"/>
    <w:rsid w:val="00124D87"/>
    <w:rsid w:val="0012556F"/>
    <w:rsid w:val="00125FA3"/>
    <w:rsid w:val="00126A45"/>
    <w:rsid w:val="001272EA"/>
    <w:rsid w:val="0012786A"/>
    <w:rsid w:val="00130743"/>
    <w:rsid w:val="00130981"/>
    <w:rsid w:val="00130C6C"/>
    <w:rsid w:val="00130DF9"/>
    <w:rsid w:val="00131097"/>
    <w:rsid w:val="00131E87"/>
    <w:rsid w:val="00131F86"/>
    <w:rsid w:val="001323BB"/>
    <w:rsid w:val="001323F3"/>
    <w:rsid w:val="00132780"/>
    <w:rsid w:val="00132AB0"/>
    <w:rsid w:val="00132B93"/>
    <w:rsid w:val="001355A2"/>
    <w:rsid w:val="00135C3B"/>
    <w:rsid w:val="00135D0E"/>
    <w:rsid w:val="00136998"/>
    <w:rsid w:val="00136B21"/>
    <w:rsid w:val="00136F71"/>
    <w:rsid w:val="00137474"/>
    <w:rsid w:val="0013793C"/>
    <w:rsid w:val="00137979"/>
    <w:rsid w:val="00137C09"/>
    <w:rsid w:val="00137C14"/>
    <w:rsid w:val="00137DB1"/>
    <w:rsid w:val="001404D3"/>
    <w:rsid w:val="001407B2"/>
    <w:rsid w:val="001409FF"/>
    <w:rsid w:val="00140AD7"/>
    <w:rsid w:val="00141236"/>
    <w:rsid w:val="00141910"/>
    <w:rsid w:val="00141AE9"/>
    <w:rsid w:val="00141E81"/>
    <w:rsid w:val="001428C7"/>
    <w:rsid w:val="001441C9"/>
    <w:rsid w:val="001441D9"/>
    <w:rsid w:val="00144340"/>
    <w:rsid w:val="0014462E"/>
    <w:rsid w:val="00144ACC"/>
    <w:rsid w:val="00145211"/>
    <w:rsid w:val="001456DC"/>
    <w:rsid w:val="00145811"/>
    <w:rsid w:val="00145B6C"/>
    <w:rsid w:val="00145C0E"/>
    <w:rsid w:val="00145D2B"/>
    <w:rsid w:val="001464F0"/>
    <w:rsid w:val="001468F4"/>
    <w:rsid w:val="00146BA5"/>
    <w:rsid w:val="00146CC4"/>
    <w:rsid w:val="00146EC3"/>
    <w:rsid w:val="00150B41"/>
    <w:rsid w:val="00150E41"/>
    <w:rsid w:val="00150ED0"/>
    <w:rsid w:val="0015115B"/>
    <w:rsid w:val="00151812"/>
    <w:rsid w:val="00151A4B"/>
    <w:rsid w:val="0015293A"/>
    <w:rsid w:val="00152B55"/>
    <w:rsid w:val="00152D88"/>
    <w:rsid w:val="001532F5"/>
    <w:rsid w:val="00153442"/>
    <w:rsid w:val="00153724"/>
    <w:rsid w:val="001539A4"/>
    <w:rsid w:val="00153FFD"/>
    <w:rsid w:val="0015571D"/>
    <w:rsid w:val="00155E12"/>
    <w:rsid w:val="00156405"/>
    <w:rsid w:val="00156672"/>
    <w:rsid w:val="00156A6F"/>
    <w:rsid w:val="00156A71"/>
    <w:rsid w:val="00156A9F"/>
    <w:rsid w:val="00156C45"/>
    <w:rsid w:val="00156F80"/>
    <w:rsid w:val="00157477"/>
    <w:rsid w:val="001574DD"/>
    <w:rsid w:val="001574FC"/>
    <w:rsid w:val="001575B1"/>
    <w:rsid w:val="001579D6"/>
    <w:rsid w:val="00157BFD"/>
    <w:rsid w:val="00157C88"/>
    <w:rsid w:val="001603F9"/>
    <w:rsid w:val="00160754"/>
    <w:rsid w:val="00160DA4"/>
    <w:rsid w:val="0016106B"/>
    <w:rsid w:val="00161262"/>
    <w:rsid w:val="0016144D"/>
    <w:rsid w:val="00161ED0"/>
    <w:rsid w:val="00162211"/>
    <w:rsid w:val="00162D1E"/>
    <w:rsid w:val="00162DFE"/>
    <w:rsid w:val="0016552B"/>
    <w:rsid w:val="00166B8A"/>
    <w:rsid w:val="00166CC4"/>
    <w:rsid w:val="00166EBD"/>
    <w:rsid w:val="0016711C"/>
    <w:rsid w:val="0016766B"/>
    <w:rsid w:val="001714C5"/>
    <w:rsid w:val="00171BEB"/>
    <w:rsid w:val="00171E4B"/>
    <w:rsid w:val="001721D3"/>
    <w:rsid w:val="00172866"/>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7AAB"/>
    <w:rsid w:val="00177D9F"/>
    <w:rsid w:val="00180009"/>
    <w:rsid w:val="00180397"/>
    <w:rsid w:val="00180458"/>
    <w:rsid w:val="001804A2"/>
    <w:rsid w:val="00181317"/>
    <w:rsid w:val="00181413"/>
    <w:rsid w:val="001819C2"/>
    <w:rsid w:val="00182039"/>
    <w:rsid w:val="00182177"/>
    <w:rsid w:val="00182D59"/>
    <w:rsid w:val="0018386D"/>
    <w:rsid w:val="001839BE"/>
    <w:rsid w:val="00183DAB"/>
    <w:rsid w:val="00183EDC"/>
    <w:rsid w:val="0018414F"/>
    <w:rsid w:val="001846B8"/>
    <w:rsid w:val="00184711"/>
    <w:rsid w:val="0018494D"/>
    <w:rsid w:val="00184B6E"/>
    <w:rsid w:val="00184DA7"/>
    <w:rsid w:val="00184F93"/>
    <w:rsid w:val="00185686"/>
    <w:rsid w:val="0018596B"/>
    <w:rsid w:val="00185AED"/>
    <w:rsid w:val="00185B68"/>
    <w:rsid w:val="0018681C"/>
    <w:rsid w:val="00186880"/>
    <w:rsid w:val="00186896"/>
    <w:rsid w:val="001872B0"/>
    <w:rsid w:val="00187920"/>
    <w:rsid w:val="00187B80"/>
    <w:rsid w:val="00190144"/>
    <w:rsid w:val="00190470"/>
    <w:rsid w:val="001908C9"/>
    <w:rsid w:val="00190E84"/>
    <w:rsid w:val="00190EC0"/>
    <w:rsid w:val="001910B5"/>
    <w:rsid w:val="00191971"/>
    <w:rsid w:val="00191A56"/>
    <w:rsid w:val="00191D17"/>
    <w:rsid w:val="001925C4"/>
    <w:rsid w:val="00192881"/>
    <w:rsid w:val="00192B83"/>
    <w:rsid w:val="00193107"/>
    <w:rsid w:val="001931D7"/>
    <w:rsid w:val="00193D00"/>
    <w:rsid w:val="00194140"/>
    <w:rsid w:val="001943C7"/>
    <w:rsid w:val="0019441B"/>
    <w:rsid w:val="001947DF"/>
    <w:rsid w:val="00196031"/>
    <w:rsid w:val="00196392"/>
    <w:rsid w:val="00196AF7"/>
    <w:rsid w:val="00196ED7"/>
    <w:rsid w:val="001974C3"/>
    <w:rsid w:val="001977D8"/>
    <w:rsid w:val="00197EFC"/>
    <w:rsid w:val="001A0008"/>
    <w:rsid w:val="001A00AC"/>
    <w:rsid w:val="001A033D"/>
    <w:rsid w:val="001A0954"/>
    <w:rsid w:val="001A0C02"/>
    <w:rsid w:val="001A1399"/>
    <w:rsid w:val="001A205E"/>
    <w:rsid w:val="001A2204"/>
    <w:rsid w:val="001A2B29"/>
    <w:rsid w:val="001A34FB"/>
    <w:rsid w:val="001A385B"/>
    <w:rsid w:val="001A4478"/>
    <w:rsid w:val="001A4C4D"/>
    <w:rsid w:val="001A537A"/>
    <w:rsid w:val="001A59B7"/>
    <w:rsid w:val="001A5AF2"/>
    <w:rsid w:val="001A6AF2"/>
    <w:rsid w:val="001A6EE9"/>
    <w:rsid w:val="001A727D"/>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9DF"/>
    <w:rsid w:val="001B4CAC"/>
    <w:rsid w:val="001B4D77"/>
    <w:rsid w:val="001B51B0"/>
    <w:rsid w:val="001B53C2"/>
    <w:rsid w:val="001B5ED4"/>
    <w:rsid w:val="001B61E8"/>
    <w:rsid w:val="001B620C"/>
    <w:rsid w:val="001B6543"/>
    <w:rsid w:val="001B66FF"/>
    <w:rsid w:val="001B6DF1"/>
    <w:rsid w:val="001B6F23"/>
    <w:rsid w:val="001B7385"/>
    <w:rsid w:val="001C025E"/>
    <w:rsid w:val="001C0856"/>
    <w:rsid w:val="001C1898"/>
    <w:rsid w:val="001C1B63"/>
    <w:rsid w:val="001C1E78"/>
    <w:rsid w:val="001C21FD"/>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207"/>
    <w:rsid w:val="001D6695"/>
    <w:rsid w:val="001D75F9"/>
    <w:rsid w:val="001D7DFC"/>
    <w:rsid w:val="001E005C"/>
    <w:rsid w:val="001E0748"/>
    <w:rsid w:val="001E0956"/>
    <w:rsid w:val="001E0BAC"/>
    <w:rsid w:val="001E1E38"/>
    <w:rsid w:val="001E20D4"/>
    <w:rsid w:val="001E2353"/>
    <w:rsid w:val="001E2471"/>
    <w:rsid w:val="001E2AC4"/>
    <w:rsid w:val="001E2BBF"/>
    <w:rsid w:val="001E3445"/>
    <w:rsid w:val="001E407A"/>
    <w:rsid w:val="001E432A"/>
    <w:rsid w:val="001E4813"/>
    <w:rsid w:val="001E4C2A"/>
    <w:rsid w:val="001E4E04"/>
    <w:rsid w:val="001E528B"/>
    <w:rsid w:val="001E55E4"/>
    <w:rsid w:val="001E56F3"/>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4118"/>
    <w:rsid w:val="001F427D"/>
    <w:rsid w:val="001F4BC7"/>
    <w:rsid w:val="001F500B"/>
    <w:rsid w:val="001F50CD"/>
    <w:rsid w:val="001F53F0"/>
    <w:rsid w:val="001F54A3"/>
    <w:rsid w:val="001F581C"/>
    <w:rsid w:val="001F5970"/>
    <w:rsid w:val="001F5E43"/>
    <w:rsid w:val="001F5EDD"/>
    <w:rsid w:val="001F6C7A"/>
    <w:rsid w:val="001F712B"/>
    <w:rsid w:val="001F71BD"/>
    <w:rsid w:val="001F76AD"/>
    <w:rsid w:val="001F7A0A"/>
    <w:rsid w:val="00200115"/>
    <w:rsid w:val="00200152"/>
    <w:rsid w:val="00200288"/>
    <w:rsid w:val="00200577"/>
    <w:rsid w:val="00200745"/>
    <w:rsid w:val="00200846"/>
    <w:rsid w:val="00200E92"/>
    <w:rsid w:val="00200EDE"/>
    <w:rsid w:val="00200F05"/>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693"/>
    <w:rsid w:val="0020475C"/>
    <w:rsid w:val="002049ED"/>
    <w:rsid w:val="00204B3C"/>
    <w:rsid w:val="00204B54"/>
    <w:rsid w:val="00204B60"/>
    <w:rsid w:val="00204F2A"/>
    <w:rsid w:val="00205443"/>
    <w:rsid w:val="00206014"/>
    <w:rsid w:val="00206454"/>
    <w:rsid w:val="00206B48"/>
    <w:rsid w:val="00206D11"/>
    <w:rsid w:val="00207135"/>
    <w:rsid w:val="00207656"/>
    <w:rsid w:val="00210302"/>
    <w:rsid w:val="002108A5"/>
    <w:rsid w:val="0021095A"/>
    <w:rsid w:val="00210B8F"/>
    <w:rsid w:val="00210BF2"/>
    <w:rsid w:val="00210E71"/>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9F4"/>
    <w:rsid w:val="00216B13"/>
    <w:rsid w:val="00216BAF"/>
    <w:rsid w:val="00216CFE"/>
    <w:rsid w:val="0021751B"/>
    <w:rsid w:val="00217BBD"/>
    <w:rsid w:val="00217C86"/>
    <w:rsid w:val="00217F4B"/>
    <w:rsid w:val="002209B8"/>
    <w:rsid w:val="00220D00"/>
    <w:rsid w:val="00221504"/>
    <w:rsid w:val="002215E8"/>
    <w:rsid w:val="00221D6B"/>
    <w:rsid w:val="00221EB8"/>
    <w:rsid w:val="00222586"/>
    <w:rsid w:val="00222A28"/>
    <w:rsid w:val="00222EF8"/>
    <w:rsid w:val="002231BE"/>
    <w:rsid w:val="00223576"/>
    <w:rsid w:val="00224445"/>
    <w:rsid w:val="00224720"/>
    <w:rsid w:val="002250AF"/>
    <w:rsid w:val="00225331"/>
    <w:rsid w:val="00225F1C"/>
    <w:rsid w:val="0022616F"/>
    <w:rsid w:val="00226422"/>
    <w:rsid w:val="0022665F"/>
    <w:rsid w:val="00226FB5"/>
    <w:rsid w:val="002272AA"/>
    <w:rsid w:val="002275CB"/>
    <w:rsid w:val="002278D0"/>
    <w:rsid w:val="00227A78"/>
    <w:rsid w:val="00227C0E"/>
    <w:rsid w:val="00230241"/>
    <w:rsid w:val="002302CA"/>
    <w:rsid w:val="00230453"/>
    <w:rsid w:val="00230801"/>
    <w:rsid w:val="00230D3E"/>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34"/>
    <w:rsid w:val="00237A2E"/>
    <w:rsid w:val="00240670"/>
    <w:rsid w:val="00240F0F"/>
    <w:rsid w:val="00240FEE"/>
    <w:rsid w:val="002413FC"/>
    <w:rsid w:val="002422E8"/>
    <w:rsid w:val="002422F4"/>
    <w:rsid w:val="00242557"/>
    <w:rsid w:val="0024257E"/>
    <w:rsid w:val="002428B8"/>
    <w:rsid w:val="00243BDF"/>
    <w:rsid w:val="00243BE4"/>
    <w:rsid w:val="00243EBC"/>
    <w:rsid w:val="0024436B"/>
    <w:rsid w:val="002448AD"/>
    <w:rsid w:val="002448ED"/>
    <w:rsid w:val="0024553F"/>
    <w:rsid w:val="00245614"/>
    <w:rsid w:val="00245904"/>
    <w:rsid w:val="002460F1"/>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F20"/>
    <w:rsid w:val="00253F9B"/>
    <w:rsid w:val="00254001"/>
    <w:rsid w:val="00254214"/>
    <w:rsid w:val="00254639"/>
    <w:rsid w:val="00254640"/>
    <w:rsid w:val="00254641"/>
    <w:rsid w:val="00254A3B"/>
    <w:rsid w:val="00255888"/>
    <w:rsid w:val="00255ADC"/>
    <w:rsid w:val="00256BF6"/>
    <w:rsid w:val="002600BC"/>
    <w:rsid w:val="00260369"/>
    <w:rsid w:val="002604BC"/>
    <w:rsid w:val="0026051D"/>
    <w:rsid w:val="002610C3"/>
    <w:rsid w:val="002616D3"/>
    <w:rsid w:val="00261E30"/>
    <w:rsid w:val="00262BDD"/>
    <w:rsid w:val="00262D42"/>
    <w:rsid w:val="0026358F"/>
    <w:rsid w:val="0026375F"/>
    <w:rsid w:val="00263C6C"/>
    <w:rsid w:val="00263E96"/>
    <w:rsid w:val="00264537"/>
    <w:rsid w:val="00264538"/>
    <w:rsid w:val="00264AEA"/>
    <w:rsid w:val="00265534"/>
    <w:rsid w:val="00265D85"/>
    <w:rsid w:val="00265DC0"/>
    <w:rsid w:val="00265EBD"/>
    <w:rsid w:val="00266276"/>
    <w:rsid w:val="00266622"/>
    <w:rsid w:val="002666DE"/>
    <w:rsid w:val="00266BDA"/>
    <w:rsid w:val="00267441"/>
    <w:rsid w:val="00267553"/>
    <w:rsid w:val="002675E0"/>
    <w:rsid w:val="00267E74"/>
    <w:rsid w:val="00270279"/>
    <w:rsid w:val="00271D40"/>
    <w:rsid w:val="00272027"/>
    <w:rsid w:val="002723D4"/>
    <w:rsid w:val="002724B1"/>
    <w:rsid w:val="002729E1"/>
    <w:rsid w:val="00272EEC"/>
    <w:rsid w:val="00273511"/>
    <w:rsid w:val="00273697"/>
    <w:rsid w:val="00273793"/>
    <w:rsid w:val="00273809"/>
    <w:rsid w:val="0027422B"/>
    <w:rsid w:val="00274519"/>
    <w:rsid w:val="00274605"/>
    <w:rsid w:val="00274818"/>
    <w:rsid w:val="00274A92"/>
    <w:rsid w:val="00274E14"/>
    <w:rsid w:val="0027565E"/>
    <w:rsid w:val="00275A06"/>
    <w:rsid w:val="00275A52"/>
    <w:rsid w:val="00275B7B"/>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55BA"/>
    <w:rsid w:val="002858C3"/>
    <w:rsid w:val="00285E39"/>
    <w:rsid w:val="00285E4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948"/>
    <w:rsid w:val="00291B89"/>
    <w:rsid w:val="002924E6"/>
    <w:rsid w:val="002926A4"/>
    <w:rsid w:val="00292975"/>
    <w:rsid w:val="00292A35"/>
    <w:rsid w:val="00292C60"/>
    <w:rsid w:val="0029342A"/>
    <w:rsid w:val="002939E2"/>
    <w:rsid w:val="002946A1"/>
    <w:rsid w:val="00294B05"/>
    <w:rsid w:val="002953B6"/>
    <w:rsid w:val="00295EB4"/>
    <w:rsid w:val="00296032"/>
    <w:rsid w:val="002969D2"/>
    <w:rsid w:val="002969D9"/>
    <w:rsid w:val="00296ADA"/>
    <w:rsid w:val="00296EAC"/>
    <w:rsid w:val="002971DF"/>
    <w:rsid w:val="002973FB"/>
    <w:rsid w:val="0029751C"/>
    <w:rsid w:val="002975D2"/>
    <w:rsid w:val="00297F4C"/>
    <w:rsid w:val="002A072C"/>
    <w:rsid w:val="002A0BEF"/>
    <w:rsid w:val="002A10DF"/>
    <w:rsid w:val="002A153B"/>
    <w:rsid w:val="002A2072"/>
    <w:rsid w:val="002A21E3"/>
    <w:rsid w:val="002A23EC"/>
    <w:rsid w:val="002A29ED"/>
    <w:rsid w:val="002A2F1A"/>
    <w:rsid w:val="002A363E"/>
    <w:rsid w:val="002A3645"/>
    <w:rsid w:val="002A4272"/>
    <w:rsid w:val="002A43E7"/>
    <w:rsid w:val="002A4D59"/>
    <w:rsid w:val="002A4F83"/>
    <w:rsid w:val="002A5BDD"/>
    <w:rsid w:val="002A5C20"/>
    <w:rsid w:val="002A5C81"/>
    <w:rsid w:val="002A5FFB"/>
    <w:rsid w:val="002A6880"/>
    <w:rsid w:val="002A68C7"/>
    <w:rsid w:val="002A69D0"/>
    <w:rsid w:val="002A7628"/>
    <w:rsid w:val="002A77A1"/>
    <w:rsid w:val="002A77B4"/>
    <w:rsid w:val="002A78EC"/>
    <w:rsid w:val="002A78F2"/>
    <w:rsid w:val="002A7A2B"/>
    <w:rsid w:val="002B0EC1"/>
    <w:rsid w:val="002B0FE2"/>
    <w:rsid w:val="002B1264"/>
    <w:rsid w:val="002B1982"/>
    <w:rsid w:val="002B1F2B"/>
    <w:rsid w:val="002B1F69"/>
    <w:rsid w:val="002B3630"/>
    <w:rsid w:val="002B3E90"/>
    <w:rsid w:val="002B403C"/>
    <w:rsid w:val="002B4E76"/>
    <w:rsid w:val="002B5A8A"/>
    <w:rsid w:val="002B6B86"/>
    <w:rsid w:val="002B705C"/>
    <w:rsid w:val="002B7679"/>
    <w:rsid w:val="002B7A66"/>
    <w:rsid w:val="002B7EC8"/>
    <w:rsid w:val="002C0359"/>
    <w:rsid w:val="002C05E2"/>
    <w:rsid w:val="002C0643"/>
    <w:rsid w:val="002C10EC"/>
    <w:rsid w:val="002C135B"/>
    <w:rsid w:val="002C1840"/>
    <w:rsid w:val="002C1AA8"/>
    <w:rsid w:val="002C1F6C"/>
    <w:rsid w:val="002C2423"/>
    <w:rsid w:val="002C2F41"/>
    <w:rsid w:val="002C3D85"/>
    <w:rsid w:val="002C3EFF"/>
    <w:rsid w:val="002C4450"/>
    <w:rsid w:val="002C4757"/>
    <w:rsid w:val="002C4E14"/>
    <w:rsid w:val="002C54A0"/>
    <w:rsid w:val="002C5A1A"/>
    <w:rsid w:val="002C5B23"/>
    <w:rsid w:val="002C5EC0"/>
    <w:rsid w:val="002C5EE7"/>
    <w:rsid w:val="002C6294"/>
    <w:rsid w:val="002C6C06"/>
    <w:rsid w:val="002C7170"/>
    <w:rsid w:val="002C7530"/>
    <w:rsid w:val="002C764D"/>
    <w:rsid w:val="002C7C18"/>
    <w:rsid w:val="002C7E83"/>
    <w:rsid w:val="002D0274"/>
    <w:rsid w:val="002D032A"/>
    <w:rsid w:val="002D0541"/>
    <w:rsid w:val="002D0C50"/>
    <w:rsid w:val="002D0D58"/>
    <w:rsid w:val="002D0F80"/>
    <w:rsid w:val="002D19E8"/>
    <w:rsid w:val="002D1D80"/>
    <w:rsid w:val="002D1E2C"/>
    <w:rsid w:val="002D2AC5"/>
    <w:rsid w:val="002D2BAF"/>
    <w:rsid w:val="002D3212"/>
    <w:rsid w:val="002D322E"/>
    <w:rsid w:val="002D3799"/>
    <w:rsid w:val="002D3F83"/>
    <w:rsid w:val="002D45D1"/>
    <w:rsid w:val="002D49C0"/>
    <w:rsid w:val="002D4A3B"/>
    <w:rsid w:val="002D4E0E"/>
    <w:rsid w:val="002D4F69"/>
    <w:rsid w:val="002D54A0"/>
    <w:rsid w:val="002D590E"/>
    <w:rsid w:val="002D5D80"/>
    <w:rsid w:val="002D6DAE"/>
    <w:rsid w:val="002E04B1"/>
    <w:rsid w:val="002E1BE4"/>
    <w:rsid w:val="002E1E04"/>
    <w:rsid w:val="002E30DF"/>
    <w:rsid w:val="002E30F7"/>
    <w:rsid w:val="002E352D"/>
    <w:rsid w:val="002E38F5"/>
    <w:rsid w:val="002E3A98"/>
    <w:rsid w:val="002E3B12"/>
    <w:rsid w:val="002E3C53"/>
    <w:rsid w:val="002E3C82"/>
    <w:rsid w:val="002E3CD0"/>
    <w:rsid w:val="002E3FB6"/>
    <w:rsid w:val="002E416A"/>
    <w:rsid w:val="002E44E7"/>
    <w:rsid w:val="002E4F6F"/>
    <w:rsid w:val="002E5128"/>
    <w:rsid w:val="002E540D"/>
    <w:rsid w:val="002E566E"/>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35C1"/>
    <w:rsid w:val="00303C44"/>
    <w:rsid w:val="00303C9B"/>
    <w:rsid w:val="00304251"/>
    <w:rsid w:val="00304B2F"/>
    <w:rsid w:val="00304DEC"/>
    <w:rsid w:val="00304F45"/>
    <w:rsid w:val="003058AD"/>
    <w:rsid w:val="003058E7"/>
    <w:rsid w:val="00305A52"/>
    <w:rsid w:val="00305E8B"/>
    <w:rsid w:val="00306223"/>
    <w:rsid w:val="00306E25"/>
    <w:rsid w:val="00307829"/>
    <w:rsid w:val="0031003A"/>
    <w:rsid w:val="003102F2"/>
    <w:rsid w:val="0031076F"/>
    <w:rsid w:val="00310ABF"/>
    <w:rsid w:val="00310E04"/>
    <w:rsid w:val="003112A1"/>
    <w:rsid w:val="00311344"/>
    <w:rsid w:val="00311B01"/>
    <w:rsid w:val="00311CE7"/>
    <w:rsid w:val="00311F59"/>
    <w:rsid w:val="003123AF"/>
    <w:rsid w:val="003124CE"/>
    <w:rsid w:val="00312865"/>
    <w:rsid w:val="00312AE6"/>
    <w:rsid w:val="00313167"/>
    <w:rsid w:val="0031320A"/>
    <w:rsid w:val="00313647"/>
    <w:rsid w:val="00314381"/>
    <w:rsid w:val="0031456B"/>
    <w:rsid w:val="0031487E"/>
    <w:rsid w:val="0031493A"/>
    <w:rsid w:val="00314D81"/>
    <w:rsid w:val="00314E28"/>
    <w:rsid w:val="00314F12"/>
    <w:rsid w:val="00314F6E"/>
    <w:rsid w:val="003152D9"/>
    <w:rsid w:val="003153E5"/>
    <w:rsid w:val="00315642"/>
    <w:rsid w:val="00315E05"/>
    <w:rsid w:val="003164C5"/>
    <w:rsid w:val="003164EF"/>
    <w:rsid w:val="0031656D"/>
    <w:rsid w:val="003167C9"/>
    <w:rsid w:val="00316BEF"/>
    <w:rsid w:val="00316DF7"/>
    <w:rsid w:val="00317717"/>
    <w:rsid w:val="003178B9"/>
    <w:rsid w:val="00317C15"/>
    <w:rsid w:val="00317C7F"/>
    <w:rsid w:val="003206D3"/>
    <w:rsid w:val="00320F50"/>
    <w:rsid w:val="0032179C"/>
    <w:rsid w:val="00321C5D"/>
    <w:rsid w:val="00322710"/>
    <w:rsid w:val="00322C16"/>
    <w:rsid w:val="0032322F"/>
    <w:rsid w:val="00323AE3"/>
    <w:rsid w:val="00323DF7"/>
    <w:rsid w:val="0032565B"/>
    <w:rsid w:val="003257ED"/>
    <w:rsid w:val="00325AA3"/>
    <w:rsid w:val="00326CA5"/>
    <w:rsid w:val="003273D6"/>
    <w:rsid w:val="00327581"/>
    <w:rsid w:val="003301AD"/>
    <w:rsid w:val="00330318"/>
    <w:rsid w:val="00330B2A"/>
    <w:rsid w:val="00331066"/>
    <w:rsid w:val="003312E8"/>
    <w:rsid w:val="00331383"/>
    <w:rsid w:val="00331A3C"/>
    <w:rsid w:val="003321BD"/>
    <w:rsid w:val="00332779"/>
    <w:rsid w:val="00332B7C"/>
    <w:rsid w:val="00332B81"/>
    <w:rsid w:val="0033315C"/>
    <w:rsid w:val="00333165"/>
    <w:rsid w:val="003333F2"/>
    <w:rsid w:val="003342A2"/>
    <w:rsid w:val="00334B9D"/>
    <w:rsid w:val="00334CC7"/>
    <w:rsid w:val="00334E76"/>
    <w:rsid w:val="003356BB"/>
    <w:rsid w:val="00335929"/>
    <w:rsid w:val="0033620D"/>
    <w:rsid w:val="00336365"/>
    <w:rsid w:val="003365BD"/>
    <w:rsid w:val="00336F47"/>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419E"/>
    <w:rsid w:val="003446B0"/>
    <w:rsid w:val="00345071"/>
    <w:rsid w:val="00345398"/>
    <w:rsid w:val="00345676"/>
    <w:rsid w:val="00345899"/>
    <w:rsid w:val="00345961"/>
    <w:rsid w:val="0034615D"/>
    <w:rsid w:val="00346484"/>
    <w:rsid w:val="00346531"/>
    <w:rsid w:val="0034689C"/>
    <w:rsid w:val="00346C2E"/>
    <w:rsid w:val="00346D50"/>
    <w:rsid w:val="00347203"/>
    <w:rsid w:val="00347CAE"/>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321"/>
    <w:rsid w:val="0036059A"/>
    <w:rsid w:val="003605E4"/>
    <w:rsid w:val="0036074A"/>
    <w:rsid w:val="0036096E"/>
    <w:rsid w:val="00360AF8"/>
    <w:rsid w:val="0036265F"/>
    <w:rsid w:val="003628A1"/>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292"/>
    <w:rsid w:val="003665FD"/>
    <w:rsid w:val="00366F52"/>
    <w:rsid w:val="003703B2"/>
    <w:rsid w:val="0037041D"/>
    <w:rsid w:val="003707A0"/>
    <w:rsid w:val="00370959"/>
    <w:rsid w:val="003716E9"/>
    <w:rsid w:val="00371B8C"/>
    <w:rsid w:val="00371EE6"/>
    <w:rsid w:val="003726F3"/>
    <w:rsid w:val="00373738"/>
    <w:rsid w:val="003737C2"/>
    <w:rsid w:val="00373AB5"/>
    <w:rsid w:val="003745E4"/>
    <w:rsid w:val="00374F10"/>
    <w:rsid w:val="0037573A"/>
    <w:rsid w:val="0037581A"/>
    <w:rsid w:val="00375F81"/>
    <w:rsid w:val="003761FE"/>
    <w:rsid w:val="0037648C"/>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CC3"/>
    <w:rsid w:val="00385E05"/>
    <w:rsid w:val="00385F46"/>
    <w:rsid w:val="0038671A"/>
    <w:rsid w:val="00386915"/>
    <w:rsid w:val="00386E50"/>
    <w:rsid w:val="0038724B"/>
    <w:rsid w:val="003876BE"/>
    <w:rsid w:val="0039046C"/>
    <w:rsid w:val="00390A68"/>
    <w:rsid w:val="003915C1"/>
    <w:rsid w:val="003916E7"/>
    <w:rsid w:val="003917E9"/>
    <w:rsid w:val="003917EC"/>
    <w:rsid w:val="00391C66"/>
    <w:rsid w:val="00391D35"/>
    <w:rsid w:val="003921B4"/>
    <w:rsid w:val="0039282A"/>
    <w:rsid w:val="00392D39"/>
    <w:rsid w:val="00392D48"/>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26BC"/>
    <w:rsid w:val="003B3EAF"/>
    <w:rsid w:val="003B43E9"/>
    <w:rsid w:val="003B4CFF"/>
    <w:rsid w:val="003B566A"/>
    <w:rsid w:val="003B5CD8"/>
    <w:rsid w:val="003B5D1E"/>
    <w:rsid w:val="003B5FB2"/>
    <w:rsid w:val="003B62EA"/>
    <w:rsid w:val="003B731D"/>
    <w:rsid w:val="003B73E6"/>
    <w:rsid w:val="003C0097"/>
    <w:rsid w:val="003C0363"/>
    <w:rsid w:val="003C0954"/>
    <w:rsid w:val="003C0AB4"/>
    <w:rsid w:val="003C1226"/>
    <w:rsid w:val="003C1353"/>
    <w:rsid w:val="003C1822"/>
    <w:rsid w:val="003C1924"/>
    <w:rsid w:val="003C1D31"/>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D3"/>
    <w:rsid w:val="003D1390"/>
    <w:rsid w:val="003D1A0B"/>
    <w:rsid w:val="003D1B56"/>
    <w:rsid w:val="003D268D"/>
    <w:rsid w:val="003D2781"/>
    <w:rsid w:val="003D28B7"/>
    <w:rsid w:val="003D2CB3"/>
    <w:rsid w:val="003D2F45"/>
    <w:rsid w:val="003D36EC"/>
    <w:rsid w:val="003D383F"/>
    <w:rsid w:val="003D3841"/>
    <w:rsid w:val="003D45E5"/>
    <w:rsid w:val="003D4661"/>
    <w:rsid w:val="003D47F9"/>
    <w:rsid w:val="003D4FDE"/>
    <w:rsid w:val="003D5B29"/>
    <w:rsid w:val="003D600C"/>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8D9"/>
    <w:rsid w:val="003E2940"/>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121A"/>
    <w:rsid w:val="003F12AC"/>
    <w:rsid w:val="003F150D"/>
    <w:rsid w:val="003F1E66"/>
    <w:rsid w:val="003F1F5B"/>
    <w:rsid w:val="003F28A4"/>
    <w:rsid w:val="003F2C16"/>
    <w:rsid w:val="003F2C2A"/>
    <w:rsid w:val="003F2F71"/>
    <w:rsid w:val="003F35F7"/>
    <w:rsid w:val="003F40BA"/>
    <w:rsid w:val="003F4C21"/>
    <w:rsid w:val="003F500B"/>
    <w:rsid w:val="003F579C"/>
    <w:rsid w:val="003F5EED"/>
    <w:rsid w:val="003F6126"/>
    <w:rsid w:val="003F6BA0"/>
    <w:rsid w:val="003F6F2E"/>
    <w:rsid w:val="003F71B7"/>
    <w:rsid w:val="003F72A8"/>
    <w:rsid w:val="003F733B"/>
    <w:rsid w:val="003F73C5"/>
    <w:rsid w:val="003F7684"/>
    <w:rsid w:val="003F768F"/>
    <w:rsid w:val="003F7807"/>
    <w:rsid w:val="003F7B41"/>
    <w:rsid w:val="0040042C"/>
    <w:rsid w:val="00400746"/>
    <w:rsid w:val="0040088D"/>
    <w:rsid w:val="00400A56"/>
    <w:rsid w:val="0040120D"/>
    <w:rsid w:val="004012ED"/>
    <w:rsid w:val="004013D6"/>
    <w:rsid w:val="00401C85"/>
    <w:rsid w:val="00401CD9"/>
    <w:rsid w:val="00402135"/>
    <w:rsid w:val="004022E2"/>
    <w:rsid w:val="00402500"/>
    <w:rsid w:val="0040297C"/>
    <w:rsid w:val="00403CFD"/>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2AC2"/>
    <w:rsid w:val="00412CC6"/>
    <w:rsid w:val="004139B6"/>
    <w:rsid w:val="00414016"/>
    <w:rsid w:val="004140D9"/>
    <w:rsid w:val="00414935"/>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33A"/>
    <w:rsid w:val="004225D5"/>
    <w:rsid w:val="00422605"/>
    <w:rsid w:val="00422A33"/>
    <w:rsid w:val="00422B64"/>
    <w:rsid w:val="00423205"/>
    <w:rsid w:val="004232E2"/>
    <w:rsid w:val="004236C1"/>
    <w:rsid w:val="00423858"/>
    <w:rsid w:val="00423CAC"/>
    <w:rsid w:val="00423E56"/>
    <w:rsid w:val="00423E9F"/>
    <w:rsid w:val="00424150"/>
    <w:rsid w:val="00424315"/>
    <w:rsid w:val="00424345"/>
    <w:rsid w:val="004243E7"/>
    <w:rsid w:val="004243EF"/>
    <w:rsid w:val="004247CF"/>
    <w:rsid w:val="00424F86"/>
    <w:rsid w:val="004251F5"/>
    <w:rsid w:val="0042595E"/>
    <w:rsid w:val="0042597C"/>
    <w:rsid w:val="004260B5"/>
    <w:rsid w:val="004260BC"/>
    <w:rsid w:val="00426123"/>
    <w:rsid w:val="00426842"/>
    <w:rsid w:val="0042693E"/>
    <w:rsid w:val="00427147"/>
    <w:rsid w:val="00427324"/>
    <w:rsid w:val="00430280"/>
    <w:rsid w:val="004307BE"/>
    <w:rsid w:val="004307EC"/>
    <w:rsid w:val="00430B5B"/>
    <w:rsid w:val="0043132D"/>
    <w:rsid w:val="00431364"/>
    <w:rsid w:val="0043174D"/>
    <w:rsid w:val="00431895"/>
    <w:rsid w:val="00431BBB"/>
    <w:rsid w:val="00432654"/>
    <w:rsid w:val="00432C8C"/>
    <w:rsid w:val="00432E45"/>
    <w:rsid w:val="00432F2E"/>
    <w:rsid w:val="00432F5E"/>
    <w:rsid w:val="00433170"/>
    <w:rsid w:val="004332FD"/>
    <w:rsid w:val="0043439E"/>
    <w:rsid w:val="00434A4B"/>
    <w:rsid w:val="00434D8A"/>
    <w:rsid w:val="0043550A"/>
    <w:rsid w:val="00436210"/>
    <w:rsid w:val="00436247"/>
    <w:rsid w:val="004365A4"/>
    <w:rsid w:val="004366CD"/>
    <w:rsid w:val="00437950"/>
    <w:rsid w:val="00437CA0"/>
    <w:rsid w:val="00437F53"/>
    <w:rsid w:val="004400F2"/>
    <w:rsid w:val="00440299"/>
    <w:rsid w:val="00440CB4"/>
    <w:rsid w:val="00441AE1"/>
    <w:rsid w:val="00441B28"/>
    <w:rsid w:val="00442067"/>
    <w:rsid w:val="0044207E"/>
    <w:rsid w:val="004420C2"/>
    <w:rsid w:val="0044241B"/>
    <w:rsid w:val="00442695"/>
    <w:rsid w:val="00442BD4"/>
    <w:rsid w:val="00442EA1"/>
    <w:rsid w:val="00442EB4"/>
    <w:rsid w:val="00443318"/>
    <w:rsid w:val="00443370"/>
    <w:rsid w:val="004434E7"/>
    <w:rsid w:val="00443D2E"/>
    <w:rsid w:val="00443F4E"/>
    <w:rsid w:val="00444385"/>
    <w:rsid w:val="00444B5B"/>
    <w:rsid w:val="00444C0B"/>
    <w:rsid w:val="0044525A"/>
    <w:rsid w:val="0044558C"/>
    <w:rsid w:val="004455C9"/>
    <w:rsid w:val="00445618"/>
    <w:rsid w:val="00445F5A"/>
    <w:rsid w:val="0044614D"/>
    <w:rsid w:val="00446C83"/>
    <w:rsid w:val="00447304"/>
    <w:rsid w:val="00447BB7"/>
    <w:rsid w:val="00447F14"/>
    <w:rsid w:val="00450251"/>
    <w:rsid w:val="00450502"/>
    <w:rsid w:val="004506EA"/>
    <w:rsid w:val="00450E29"/>
    <w:rsid w:val="00450F22"/>
    <w:rsid w:val="004516E2"/>
    <w:rsid w:val="00451C22"/>
    <w:rsid w:val="00451D16"/>
    <w:rsid w:val="00452446"/>
    <w:rsid w:val="004527E4"/>
    <w:rsid w:val="00452FA7"/>
    <w:rsid w:val="0045315D"/>
    <w:rsid w:val="004531A4"/>
    <w:rsid w:val="00453A4A"/>
    <w:rsid w:val="00453CDD"/>
    <w:rsid w:val="00454283"/>
    <w:rsid w:val="00454305"/>
    <w:rsid w:val="00454574"/>
    <w:rsid w:val="00454D1F"/>
    <w:rsid w:val="0045593A"/>
    <w:rsid w:val="00455DCC"/>
    <w:rsid w:val="00455E16"/>
    <w:rsid w:val="00455FB2"/>
    <w:rsid w:val="00456029"/>
    <w:rsid w:val="0045657A"/>
    <w:rsid w:val="00456A41"/>
    <w:rsid w:val="00456BA6"/>
    <w:rsid w:val="00456EB6"/>
    <w:rsid w:val="004579C5"/>
    <w:rsid w:val="00457FA2"/>
    <w:rsid w:val="00460002"/>
    <w:rsid w:val="00460089"/>
    <w:rsid w:val="0046085D"/>
    <w:rsid w:val="004608A2"/>
    <w:rsid w:val="00461816"/>
    <w:rsid w:val="00461A00"/>
    <w:rsid w:val="004620D0"/>
    <w:rsid w:val="0046226B"/>
    <w:rsid w:val="00462319"/>
    <w:rsid w:val="00462F9A"/>
    <w:rsid w:val="004638F5"/>
    <w:rsid w:val="00463AB2"/>
    <w:rsid w:val="00463C08"/>
    <w:rsid w:val="00463CB1"/>
    <w:rsid w:val="00464AEF"/>
    <w:rsid w:val="00464CA5"/>
    <w:rsid w:val="00465572"/>
    <w:rsid w:val="00465C11"/>
    <w:rsid w:val="004668AB"/>
    <w:rsid w:val="00466E38"/>
    <w:rsid w:val="004674DD"/>
    <w:rsid w:val="004676E6"/>
    <w:rsid w:val="00467B92"/>
    <w:rsid w:val="00467D0F"/>
    <w:rsid w:val="00470C66"/>
    <w:rsid w:val="00470DD1"/>
    <w:rsid w:val="00470FAC"/>
    <w:rsid w:val="00471280"/>
    <w:rsid w:val="0047178B"/>
    <w:rsid w:val="0047325C"/>
    <w:rsid w:val="00473A9F"/>
    <w:rsid w:val="00473E10"/>
    <w:rsid w:val="00474648"/>
    <w:rsid w:val="00474B79"/>
    <w:rsid w:val="00475039"/>
    <w:rsid w:val="00475105"/>
    <w:rsid w:val="0047536E"/>
    <w:rsid w:val="004756DB"/>
    <w:rsid w:val="0047580A"/>
    <w:rsid w:val="00475CF8"/>
    <w:rsid w:val="00475DEE"/>
    <w:rsid w:val="00475ECF"/>
    <w:rsid w:val="00476254"/>
    <w:rsid w:val="00476F72"/>
    <w:rsid w:val="004777BA"/>
    <w:rsid w:val="00477F1A"/>
    <w:rsid w:val="00477FAD"/>
    <w:rsid w:val="004803FC"/>
    <w:rsid w:val="004806DB"/>
    <w:rsid w:val="00481375"/>
    <w:rsid w:val="00481AB2"/>
    <w:rsid w:val="00481BEE"/>
    <w:rsid w:val="004821DA"/>
    <w:rsid w:val="004824CE"/>
    <w:rsid w:val="00482516"/>
    <w:rsid w:val="00482B0F"/>
    <w:rsid w:val="0048310D"/>
    <w:rsid w:val="00483451"/>
    <w:rsid w:val="00483C83"/>
    <w:rsid w:val="004841E2"/>
    <w:rsid w:val="00484B77"/>
    <w:rsid w:val="004851A3"/>
    <w:rsid w:val="00486685"/>
    <w:rsid w:val="004868AC"/>
    <w:rsid w:val="00486B0B"/>
    <w:rsid w:val="00486ED6"/>
    <w:rsid w:val="00486F00"/>
    <w:rsid w:val="00486F38"/>
    <w:rsid w:val="0048757C"/>
    <w:rsid w:val="0048763F"/>
    <w:rsid w:val="004878F6"/>
    <w:rsid w:val="00487A78"/>
    <w:rsid w:val="00490E40"/>
    <w:rsid w:val="00490EBF"/>
    <w:rsid w:val="00491514"/>
    <w:rsid w:val="004916EC"/>
    <w:rsid w:val="00491786"/>
    <w:rsid w:val="0049281A"/>
    <w:rsid w:val="00492D5C"/>
    <w:rsid w:val="004938F6"/>
    <w:rsid w:val="00493B33"/>
    <w:rsid w:val="00493CD0"/>
    <w:rsid w:val="004941A6"/>
    <w:rsid w:val="004946A0"/>
    <w:rsid w:val="0049498D"/>
    <w:rsid w:val="00495092"/>
    <w:rsid w:val="00495C63"/>
    <w:rsid w:val="00495E6D"/>
    <w:rsid w:val="00496642"/>
    <w:rsid w:val="00496C9A"/>
    <w:rsid w:val="00496CEA"/>
    <w:rsid w:val="004970C1"/>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36"/>
    <w:rsid w:val="004A449A"/>
    <w:rsid w:val="004A4545"/>
    <w:rsid w:val="004A4932"/>
    <w:rsid w:val="004A4B55"/>
    <w:rsid w:val="004A5730"/>
    <w:rsid w:val="004A5D11"/>
    <w:rsid w:val="004A66C6"/>
    <w:rsid w:val="004A6880"/>
    <w:rsid w:val="004A694B"/>
    <w:rsid w:val="004A6C45"/>
    <w:rsid w:val="004A720B"/>
    <w:rsid w:val="004A7EB6"/>
    <w:rsid w:val="004A7FD4"/>
    <w:rsid w:val="004B025E"/>
    <w:rsid w:val="004B1577"/>
    <w:rsid w:val="004B1AD1"/>
    <w:rsid w:val="004B1C78"/>
    <w:rsid w:val="004B1E14"/>
    <w:rsid w:val="004B2A5F"/>
    <w:rsid w:val="004B2B17"/>
    <w:rsid w:val="004B2EEA"/>
    <w:rsid w:val="004B2EF8"/>
    <w:rsid w:val="004B3094"/>
    <w:rsid w:val="004B31DF"/>
    <w:rsid w:val="004B3357"/>
    <w:rsid w:val="004B3954"/>
    <w:rsid w:val="004B3E96"/>
    <w:rsid w:val="004B3F3F"/>
    <w:rsid w:val="004B4128"/>
    <w:rsid w:val="004B4596"/>
    <w:rsid w:val="004B4F0C"/>
    <w:rsid w:val="004B5E08"/>
    <w:rsid w:val="004B5EDC"/>
    <w:rsid w:val="004B5EEB"/>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F9A"/>
    <w:rsid w:val="004C6038"/>
    <w:rsid w:val="004C694C"/>
    <w:rsid w:val="004C70C7"/>
    <w:rsid w:val="004C72EA"/>
    <w:rsid w:val="004D0CA0"/>
    <w:rsid w:val="004D111F"/>
    <w:rsid w:val="004D1BE5"/>
    <w:rsid w:val="004D2609"/>
    <w:rsid w:val="004D2BE2"/>
    <w:rsid w:val="004D3492"/>
    <w:rsid w:val="004D385E"/>
    <w:rsid w:val="004D436D"/>
    <w:rsid w:val="004D44DC"/>
    <w:rsid w:val="004D46B2"/>
    <w:rsid w:val="004D47EC"/>
    <w:rsid w:val="004D530A"/>
    <w:rsid w:val="004D5FCA"/>
    <w:rsid w:val="004D62DB"/>
    <w:rsid w:val="004D6650"/>
    <w:rsid w:val="004D67B3"/>
    <w:rsid w:val="004D67B5"/>
    <w:rsid w:val="004D6D80"/>
    <w:rsid w:val="004D6F8A"/>
    <w:rsid w:val="004D7322"/>
    <w:rsid w:val="004D7969"/>
    <w:rsid w:val="004D7F1B"/>
    <w:rsid w:val="004D7F4F"/>
    <w:rsid w:val="004E01F6"/>
    <w:rsid w:val="004E0556"/>
    <w:rsid w:val="004E15BB"/>
    <w:rsid w:val="004E165A"/>
    <w:rsid w:val="004E1ADD"/>
    <w:rsid w:val="004E1C37"/>
    <w:rsid w:val="004E1D6C"/>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C21"/>
    <w:rsid w:val="004F3EFB"/>
    <w:rsid w:val="004F4C6C"/>
    <w:rsid w:val="004F4D1D"/>
    <w:rsid w:val="004F4D21"/>
    <w:rsid w:val="004F4E9D"/>
    <w:rsid w:val="004F55E5"/>
    <w:rsid w:val="004F5B48"/>
    <w:rsid w:val="004F5D11"/>
    <w:rsid w:val="004F60E6"/>
    <w:rsid w:val="004F623A"/>
    <w:rsid w:val="004F6247"/>
    <w:rsid w:val="004F670E"/>
    <w:rsid w:val="004F67A5"/>
    <w:rsid w:val="004F682C"/>
    <w:rsid w:val="004F6D05"/>
    <w:rsid w:val="004F6ED9"/>
    <w:rsid w:val="004F7837"/>
    <w:rsid w:val="004F7BAD"/>
    <w:rsid w:val="004F7FBA"/>
    <w:rsid w:val="004F7FEE"/>
    <w:rsid w:val="005001B1"/>
    <w:rsid w:val="00500568"/>
    <w:rsid w:val="00500697"/>
    <w:rsid w:val="00500A8F"/>
    <w:rsid w:val="00501E4B"/>
    <w:rsid w:val="0050248F"/>
    <w:rsid w:val="0050264F"/>
    <w:rsid w:val="00502882"/>
    <w:rsid w:val="00502E93"/>
    <w:rsid w:val="005031D2"/>
    <w:rsid w:val="005031FA"/>
    <w:rsid w:val="00503921"/>
    <w:rsid w:val="00503D69"/>
    <w:rsid w:val="005048D9"/>
    <w:rsid w:val="00504B0E"/>
    <w:rsid w:val="00504BA4"/>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99D"/>
    <w:rsid w:val="00511A7A"/>
    <w:rsid w:val="00511D3C"/>
    <w:rsid w:val="00511D8A"/>
    <w:rsid w:val="00511F99"/>
    <w:rsid w:val="005126C1"/>
    <w:rsid w:val="00513FAC"/>
    <w:rsid w:val="00515503"/>
    <w:rsid w:val="005156E8"/>
    <w:rsid w:val="00516ECD"/>
    <w:rsid w:val="00516FD4"/>
    <w:rsid w:val="005172B0"/>
    <w:rsid w:val="005172C3"/>
    <w:rsid w:val="005175C2"/>
    <w:rsid w:val="00517864"/>
    <w:rsid w:val="00517D1A"/>
    <w:rsid w:val="005201D9"/>
    <w:rsid w:val="00520451"/>
    <w:rsid w:val="005207E7"/>
    <w:rsid w:val="005213AE"/>
    <w:rsid w:val="005216C2"/>
    <w:rsid w:val="005222BE"/>
    <w:rsid w:val="00522A2A"/>
    <w:rsid w:val="00522AE6"/>
    <w:rsid w:val="00522DEC"/>
    <w:rsid w:val="00523357"/>
    <w:rsid w:val="005233CB"/>
    <w:rsid w:val="005237D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5A"/>
    <w:rsid w:val="00530EFC"/>
    <w:rsid w:val="00530FA1"/>
    <w:rsid w:val="0053130D"/>
    <w:rsid w:val="0053145D"/>
    <w:rsid w:val="005317B5"/>
    <w:rsid w:val="005318C7"/>
    <w:rsid w:val="00531CF9"/>
    <w:rsid w:val="0053227C"/>
    <w:rsid w:val="0053228A"/>
    <w:rsid w:val="005324FA"/>
    <w:rsid w:val="00532549"/>
    <w:rsid w:val="00532628"/>
    <w:rsid w:val="0053279C"/>
    <w:rsid w:val="00532B10"/>
    <w:rsid w:val="00532D25"/>
    <w:rsid w:val="00533196"/>
    <w:rsid w:val="00534088"/>
    <w:rsid w:val="005349C5"/>
    <w:rsid w:val="0053536E"/>
    <w:rsid w:val="00535B29"/>
    <w:rsid w:val="00535C3A"/>
    <w:rsid w:val="0053621B"/>
    <w:rsid w:val="00536BCE"/>
    <w:rsid w:val="00536EE8"/>
    <w:rsid w:val="005370E9"/>
    <w:rsid w:val="0053792E"/>
    <w:rsid w:val="005379A9"/>
    <w:rsid w:val="00537E22"/>
    <w:rsid w:val="0054086A"/>
    <w:rsid w:val="00540AC3"/>
    <w:rsid w:val="00541462"/>
    <w:rsid w:val="005414CB"/>
    <w:rsid w:val="00542F1E"/>
    <w:rsid w:val="005438E0"/>
    <w:rsid w:val="00543918"/>
    <w:rsid w:val="00543AE7"/>
    <w:rsid w:val="005442E6"/>
    <w:rsid w:val="005448C8"/>
    <w:rsid w:val="00544A03"/>
    <w:rsid w:val="00545375"/>
    <w:rsid w:val="005453A9"/>
    <w:rsid w:val="005454D9"/>
    <w:rsid w:val="0054618D"/>
    <w:rsid w:val="005462DC"/>
    <w:rsid w:val="0054646E"/>
    <w:rsid w:val="00547190"/>
    <w:rsid w:val="005478CA"/>
    <w:rsid w:val="00547BC2"/>
    <w:rsid w:val="00547BC4"/>
    <w:rsid w:val="00551261"/>
    <w:rsid w:val="00551488"/>
    <w:rsid w:val="005516FF"/>
    <w:rsid w:val="00551BC0"/>
    <w:rsid w:val="00551D5C"/>
    <w:rsid w:val="005522A1"/>
    <w:rsid w:val="005522E2"/>
    <w:rsid w:val="005523E2"/>
    <w:rsid w:val="005528E6"/>
    <w:rsid w:val="0055313B"/>
    <w:rsid w:val="0055324A"/>
    <w:rsid w:val="0055350A"/>
    <w:rsid w:val="00553695"/>
    <w:rsid w:val="00555231"/>
    <w:rsid w:val="00555471"/>
    <w:rsid w:val="00555EF3"/>
    <w:rsid w:val="00556257"/>
    <w:rsid w:val="00556600"/>
    <w:rsid w:val="0055690B"/>
    <w:rsid w:val="00556C0B"/>
    <w:rsid w:val="00556D0E"/>
    <w:rsid w:val="00557098"/>
    <w:rsid w:val="00557104"/>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9F5"/>
    <w:rsid w:val="00571BE7"/>
    <w:rsid w:val="00571CCF"/>
    <w:rsid w:val="00571F49"/>
    <w:rsid w:val="005723AF"/>
    <w:rsid w:val="0057295F"/>
    <w:rsid w:val="00572A08"/>
    <w:rsid w:val="00573264"/>
    <w:rsid w:val="00573ED5"/>
    <w:rsid w:val="00574115"/>
    <w:rsid w:val="0057419B"/>
    <w:rsid w:val="00574754"/>
    <w:rsid w:val="00574F98"/>
    <w:rsid w:val="00575188"/>
    <w:rsid w:val="00575198"/>
    <w:rsid w:val="00575D35"/>
    <w:rsid w:val="005764BC"/>
    <w:rsid w:val="005772FC"/>
    <w:rsid w:val="00577835"/>
    <w:rsid w:val="00577D9B"/>
    <w:rsid w:val="00580255"/>
    <w:rsid w:val="00580A4E"/>
    <w:rsid w:val="00581229"/>
    <w:rsid w:val="00581550"/>
    <w:rsid w:val="00581725"/>
    <w:rsid w:val="005817A4"/>
    <w:rsid w:val="00581A65"/>
    <w:rsid w:val="00581D95"/>
    <w:rsid w:val="005822EF"/>
    <w:rsid w:val="005830DE"/>
    <w:rsid w:val="00583848"/>
    <w:rsid w:val="00583C63"/>
    <w:rsid w:val="00583CC7"/>
    <w:rsid w:val="00584008"/>
    <w:rsid w:val="00584165"/>
    <w:rsid w:val="00584B02"/>
    <w:rsid w:val="00584D2B"/>
    <w:rsid w:val="00585780"/>
    <w:rsid w:val="00585970"/>
    <w:rsid w:val="00585AE4"/>
    <w:rsid w:val="00585D14"/>
    <w:rsid w:val="00585EDC"/>
    <w:rsid w:val="005864CE"/>
    <w:rsid w:val="00586A4A"/>
    <w:rsid w:val="00586F7C"/>
    <w:rsid w:val="00586FAA"/>
    <w:rsid w:val="0058717C"/>
    <w:rsid w:val="005874F7"/>
    <w:rsid w:val="005875F5"/>
    <w:rsid w:val="00587A90"/>
    <w:rsid w:val="00587BA5"/>
    <w:rsid w:val="00587CF4"/>
    <w:rsid w:val="00590511"/>
    <w:rsid w:val="00590778"/>
    <w:rsid w:val="00590D96"/>
    <w:rsid w:val="005910AF"/>
    <w:rsid w:val="0059111A"/>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D3B"/>
    <w:rsid w:val="005A1639"/>
    <w:rsid w:val="005A1AE1"/>
    <w:rsid w:val="005A2F83"/>
    <w:rsid w:val="005A3161"/>
    <w:rsid w:val="005A341E"/>
    <w:rsid w:val="005A3537"/>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9B0"/>
    <w:rsid w:val="005A711E"/>
    <w:rsid w:val="005A7386"/>
    <w:rsid w:val="005A74FA"/>
    <w:rsid w:val="005A7980"/>
    <w:rsid w:val="005B0993"/>
    <w:rsid w:val="005B0FB7"/>
    <w:rsid w:val="005B1396"/>
    <w:rsid w:val="005B14D5"/>
    <w:rsid w:val="005B19D3"/>
    <w:rsid w:val="005B1F59"/>
    <w:rsid w:val="005B2259"/>
    <w:rsid w:val="005B2372"/>
    <w:rsid w:val="005B268F"/>
    <w:rsid w:val="005B2CBD"/>
    <w:rsid w:val="005B35E6"/>
    <w:rsid w:val="005B3A3B"/>
    <w:rsid w:val="005B4932"/>
    <w:rsid w:val="005B4BE0"/>
    <w:rsid w:val="005B5AD2"/>
    <w:rsid w:val="005B5D85"/>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AE0"/>
    <w:rsid w:val="005C2B1C"/>
    <w:rsid w:val="005C2CE4"/>
    <w:rsid w:val="005C2D7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B4E"/>
    <w:rsid w:val="005C6D17"/>
    <w:rsid w:val="005C6FF6"/>
    <w:rsid w:val="005C755C"/>
    <w:rsid w:val="005C7639"/>
    <w:rsid w:val="005D076B"/>
    <w:rsid w:val="005D07A7"/>
    <w:rsid w:val="005D0B75"/>
    <w:rsid w:val="005D0D03"/>
    <w:rsid w:val="005D14F0"/>
    <w:rsid w:val="005D1708"/>
    <w:rsid w:val="005D1E71"/>
    <w:rsid w:val="005D2227"/>
    <w:rsid w:val="005D228B"/>
    <w:rsid w:val="005D2D6E"/>
    <w:rsid w:val="005D2ED8"/>
    <w:rsid w:val="005D377A"/>
    <w:rsid w:val="005D3BA2"/>
    <w:rsid w:val="005D45A2"/>
    <w:rsid w:val="005D4836"/>
    <w:rsid w:val="005D4FB0"/>
    <w:rsid w:val="005D529A"/>
    <w:rsid w:val="005D5509"/>
    <w:rsid w:val="005D6395"/>
    <w:rsid w:val="005D63A7"/>
    <w:rsid w:val="005D65E2"/>
    <w:rsid w:val="005D7422"/>
    <w:rsid w:val="005D77CE"/>
    <w:rsid w:val="005D7926"/>
    <w:rsid w:val="005D7A01"/>
    <w:rsid w:val="005E050E"/>
    <w:rsid w:val="005E071D"/>
    <w:rsid w:val="005E0D1C"/>
    <w:rsid w:val="005E1CC9"/>
    <w:rsid w:val="005E22CA"/>
    <w:rsid w:val="005E25CD"/>
    <w:rsid w:val="005E3127"/>
    <w:rsid w:val="005E31CD"/>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890"/>
    <w:rsid w:val="005F0D91"/>
    <w:rsid w:val="005F0EBF"/>
    <w:rsid w:val="005F14CB"/>
    <w:rsid w:val="005F157D"/>
    <w:rsid w:val="005F1C1C"/>
    <w:rsid w:val="005F1D60"/>
    <w:rsid w:val="005F262E"/>
    <w:rsid w:val="005F326B"/>
    <w:rsid w:val="005F3518"/>
    <w:rsid w:val="005F3B09"/>
    <w:rsid w:val="005F3D27"/>
    <w:rsid w:val="005F4848"/>
    <w:rsid w:val="005F4D9B"/>
    <w:rsid w:val="005F5376"/>
    <w:rsid w:val="005F5F06"/>
    <w:rsid w:val="005F5F0D"/>
    <w:rsid w:val="005F6EA0"/>
    <w:rsid w:val="005F710A"/>
    <w:rsid w:val="005F710C"/>
    <w:rsid w:val="005F7435"/>
    <w:rsid w:val="00600C7A"/>
    <w:rsid w:val="00601707"/>
    <w:rsid w:val="00601865"/>
    <w:rsid w:val="00601B0B"/>
    <w:rsid w:val="00601B17"/>
    <w:rsid w:val="00601E00"/>
    <w:rsid w:val="00601E05"/>
    <w:rsid w:val="00601FAB"/>
    <w:rsid w:val="00602549"/>
    <w:rsid w:val="006025A3"/>
    <w:rsid w:val="006038AE"/>
    <w:rsid w:val="00603A64"/>
    <w:rsid w:val="00603C47"/>
    <w:rsid w:val="00603C7B"/>
    <w:rsid w:val="00603EF6"/>
    <w:rsid w:val="0060410C"/>
    <w:rsid w:val="0060471E"/>
    <w:rsid w:val="00604EEB"/>
    <w:rsid w:val="006056AC"/>
    <w:rsid w:val="006059E1"/>
    <w:rsid w:val="00605D21"/>
    <w:rsid w:val="00605DFA"/>
    <w:rsid w:val="0060623B"/>
    <w:rsid w:val="006064DE"/>
    <w:rsid w:val="006065A8"/>
    <w:rsid w:val="00606D80"/>
    <w:rsid w:val="006073B6"/>
    <w:rsid w:val="006077F8"/>
    <w:rsid w:val="00607FC3"/>
    <w:rsid w:val="00610396"/>
    <w:rsid w:val="0061069B"/>
    <w:rsid w:val="00610B09"/>
    <w:rsid w:val="00611926"/>
    <w:rsid w:val="00611A2D"/>
    <w:rsid w:val="0061286B"/>
    <w:rsid w:val="006128C2"/>
    <w:rsid w:val="00612C88"/>
    <w:rsid w:val="006132BE"/>
    <w:rsid w:val="00613333"/>
    <w:rsid w:val="006134C9"/>
    <w:rsid w:val="00613A5E"/>
    <w:rsid w:val="00613DE1"/>
    <w:rsid w:val="0061407F"/>
    <w:rsid w:val="0061444D"/>
    <w:rsid w:val="00614675"/>
    <w:rsid w:val="00614903"/>
    <w:rsid w:val="00614E37"/>
    <w:rsid w:val="0061523C"/>
    <w:rsid w:val="00615916"/>
    <w:rsid w:val="00615A4B"/>
    <w:rsid w:val="00616080"/>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122D"/>
    <w:rsid w:val="006215D0"/>
    <w:rsid w:val="00621D79"/>
    <w:rsid w:val="00621DB5"/>
    <w:rsid w:val="00622037"/>
    <w:rsid w:val="00622823"/>
    <w:rsid w:val="00622C97"/>
    <w:rsid w:val="00623300"/>
    <w:rsid w:val="00623658"/>
    <w:rsid w:val="006236D7"/>
    <w:rsid w:val="00623864"/>
    <w:rsid w:val="00623868"/>
    <w:rsid w:val="006239C2"/>
    <w:rsid w:val="006239C9"/>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16"/>
    <w:rsid w:val="00627E58"/>
    <w:rsid w:val="00630FEB"/>
    <w:rsid w:val="006311F0"/>
    <w:rsid w:val="00631416"/>
    <w:rsid w:val="00631742"/>
    <w:rsid w:val="00632D46"/>
    <w:rsid w:val="00632E2B"/>
    <w:rsid w:val="00632E52"/>
    <w:rsid w:val="006346EC"/>
    <w:rsid w:val="00634923"/>
    <w:rsid w:val="00634CE2"/>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2038"/>
    <w:rsid w:val="00642276"/>
    <w:rsid w:val="0064260D"/>
    <w:rsid w:val="006426EA"/>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2322"/>
    <w:rsid w:val="006524A9"/>
    <w:rsid w:val="006524DE"/>
    <w:rsid w:val="006528D6"/>
    <w:rsid w:val="006529BE"/>
    <w:rsid w:val="00652BA8"/>
    <w:rsid w:val="00652C6B"/>
    <w:rsid w:val="00652CC3"/>
    <w:rsid w:val="00652FF7"/>
    <w:rsid w:val="006532B2"/>
    <w:rsid w:val="0065349B"/>
    <w:rsid w:val="00653894"/>
    <w:rsid w:val="006540AA"/>
    <w:rsid w:val="00654250"/>
    <w:rsid w:val="00654893"/>
    <w:rsid w:val="00654AE5"/>
    <w:rsid w:val="006553C9"/>
    <w:rsid w:val="006554B9"/>
    <w:rsid w:val="0065558D"/>
    <w:rsid w:val="00655A04"/>
    <w:rsid w:val="00656481"/>
    <w:rsid w:val="0065727A"/>
    <w:rsid w:val="00657667"/>
    <w:rsid w:val="0066170A"/>
    <w:rsid w:val="00661EC5"/>
    <w:rsid w:val="0066226F"/>
    <w:rsid w:val="006622E2"/>
    <w:rsid w:val="00662C79"/>
    <w:rsid w:val="00663985"/>
    <w:rsid w:val="00663CFD"/>
    <w:rsid w:val="00663F5B"/>
    <w:rsid w:val="006642A0"/>
    <w:rsid w:val="006643C2"/>
    <w:rsid w:val="006651E1"/>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7ED"/>
    <w:rsid w:val="006719D0"/>
    <w:rsid w:val="0067224C"/>
    <w:rsid w:val="0067245A"/>
    <w:rsid w:val="00672485"/>
    <w:rsid w:val="006726A4"/>
    <w:rsid w:val="00672A23"/>
    <w:rsid w:val="00672CBC"/>
    <w:rsid w:val="00673822"/>
    <w:rsid w:val="00673A85"/>
    <w:rsid w:val="00673ECF"/>
    <w:rsid w:val="00674173"/>
    <w:rsid w:val="006745D9"/>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1A2"/>
    <w:rsid w:val="00684E60"/>
    <w:rsid w:val="00685250"/>
    <w:rsid w:val="00685594"/>
    <w:rsid w:val="006856DC"/>
    <w:rsid w:val="00685960"/>
    <w:rsid w:val="00686006"/>
    <w:rsid w:val="00686F0C"/>
    <w:rsid w:val="006870EA"/>
    <w:rsid w:val="006871CC"/>
    <w:rsid w:val="006879FC"/>
    <w:rsid w:val="00687A99"/>
    <w:rsid w:val="00690152"/>
    <w:rsid w:val="00690254"/>
    <w:rsid w:val="00690809"/>
    <w:rsid w:val="00690F42"/>
    <w:rsid w:val="00692497"/>
    <w:rsid w:val="00692866"/>
    <w:rsid w:val="00692C51"/>
    <w:rsid w:val="00692D46"/>
    <w:rsid w:val="0069340A"/>
    <w:rsid w:val="006937AB"/>
    <w:rsid w:val="0069437F"/>
    <w:rsid w:val="006944DC"/>
    <w:rsid w:val="0069490C"/>
    <w:rsid w:val="00694CC3"/>
    <w:rsid w:val="0069565B"/>
    <w:rsid w:val="0069593E"/>
    <w:rsid w:val="0069648D"/>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BCC"/>
    <w:rsid w:val="006A2F8B"/>
    <w:rsid w:val="006A309E"/>
    <w:rsid w:val="006A369D"/>
    <w:rsid w:val="006A36BA"/>
    <w:rsid w:val="006A3970"/>
    <w:rsid w:val="006A3D71"/>
    <w:rsid w:val="006A446C"/>
    <w:rsid w:val="006A50F4"/>
    <w:rsid w:val="006A519B"/>
    <w:rsid w:val="006A52CD"/>
    <w:rsid w:val="006A5405"/>
    <w:rsid w:val="006A54F6"/>
    <w:rsid w:val="006A5892"/>
    <w:rsid w:val="006A598D"/>
    <w:rsid w:val="006A5FB3"/>
    <w:rsid w:val="006A60A0"/>
    <w:rsid w:val="006A6581"/>
    <w:rsid w:val="006A70BE"/>
    <w:rsid w:val="006A710D"/>
    <w:rsid w:val="006A79D2"/>
    <w:rsid w:val="006A7A55"/>
    <w:rsid w:val="006B024B"/>
    <w:rsid w:val="006B09A7"/>
    <w:rsid w:val="006B0E36"/>
    <w:rsid w:val="006B1937"/>
    <w:rsid w:val="006B1A17"/>
    <w:rsid w:val="006B21A9"/>
    <w:rsid w:val="006B22F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1AB3"/>
    <w:rsid w:val="006C239F"/>
    <w:rsid w:val="006C246A"/>
    <w:rsid w:val="006C2936"/>
    <w:rsid w:val="006C2BF8"/>
    <w:rsid w:val="006C2EDD"/>
    <w:rsid w:val="006C2F7A"/>
    <w:rsid w:val="006C2FCA"/>
    <w:rsid w:val="006C380E"/>
    <w:rsid w:val="006C3C7D"/>
    <w:rsid w:val="006C3D16"/>
    <w:rsid w:val="006C3F56"/>
    <w:rsid w:val="006C40F2"/>
    <w:rsid w:val="006C4447"/>
    <w:rsid w:val="006C49F4"/>
    <w:rsid w:val="006C4ED8"/>
    <w:rsid w:val="006C5C8A"/>
    <w:rsid w:val="006C6631"/>
    <w:rsid w:val="006C69C0"/>
    <w:rsid w:val="006C732C"/>
    <w:rsid w:val="006C7480"/>
    <w:rsid w:val="006C76E3"/>
    <w:rsid w:val="006C7784"/>
    <w:rsid w:val="006C7832"/>
    <w:rsid w:val="006C789C"/>
    <w:rsid w:val="006C7BA8"/>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BC"/>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B0"/>
    <w:rsid w:val="006D7CFF"/>
    <w:rsid w:val="006E1216"/>
    <w:rsid w:val="006E153F"/>
    <w:rsid w:val="006E2786"/>
    <w:rsid w:val="006E28E6"/>
    <w:rsid w:val="006E2B81"/>
    <w:rsid w:val="006E38D6"/>
    <w:rsid w:val="006E38FF"/>
    <w:rsid w:val="006E3F1A"/>
    <w:rsid w:val="006E476C"/>
    <w:rsid w:val="006E4B0C"/>
    <w:rsid w:val="006E5044"/>
    <w:rsid w:val="006E5B91"/>
    <w:rsid w:val="006E6169"/>
    <w:rsid w:val="006E7253"/>
    <w:rsid w:val="006E7461"/>
    <w:rsid w:val="006E7635"/>
    <w:rsid w:val="006E7D6C"/>
    <w:rsid w:val="006F02C2"/>
    <w:rsid w:val="006F0504"/>
    <w:rsid w:val="006F0D82"/>
    <w:rsid w:val="006F1029"/>
    <w:rsid w:val="006F1050"/>
    <w:rsid w:val="006F11DB"/>
    <w:rsid w:val="006F14F0"/>
    <w:rsid w:val="006F170A"/>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527"/>
    <w:rsid w:val="00705930"/>
    <w:rsid w:val="00705E40"/>
    <w:rsid w:val="00706745"/>
    <w:rsid w:val="00706D71"/>
    <w:rsid w:val="00706FB4"/>
    <w:rsid w:val="0070710A"/>
    <w:rsid w:val="00707C18"/>
    <w:rsid w:val="00707FB8"/>
    <w:rsid w:val="0071060D"/>
    <w:rsid w:val="00710714"/>
    <w:rsid w:val="00710C6A"/>
    <w:rsid w:val="00710EEF"/>
    <w:rsid w:val="00711270"/>
    <w:rsid w:val="007112B9"/>
    <w:rsid w:val="00711AF7"/>
    <w:rsid w:val="007120C0"/>
    <w:rsid w:val="00712299"/>
    <w:rsid w:val="00712759"/>
    <w:rsid w:val="00712CB6"/>
    <w:rsid w:val="00712DB7"/>
    <w:rsid w:val="00713687"/>
    <w:rsid w:val="00713916"/>
    <w:rsid w:val="00714482"/>
    <w:rsid w:val="007145C2"/>
    <w:rsid w:val="007145EE"/>
    <w:rsid w:val="00714798"/>
    <w:rsid w:val="007149E7"/>
    <w:rsid w:val="00714D66"/>
    <w:rsid w:val="00716389"/>
    <w:rsid w:val="00716973"/>
    <w:rsid w:val="00716BE0"/>
    <w:rsid w:val="0071721E"/>
    <w:rsid w:val="007173F1"/>
    <w:rsid w:val="0071746F"/>
    <w:rsid w:val="0071757B"/>
    <w:rsid w:val="00717E81"/>
    <w:rsid w:val="00720FF7"/>
    <w:rsid w:val="00721AAA"/>
    <w:rsid w:val="0072217C"/>
    <w:rsid w:val="00722305"/>
    <w:rsid w:val="00722ADB"/>
    <w:rsid w:val="00722EC8"/>
    <w:rsid w:val="0072306B"/>
    <w:rsid w:val="0072321A"/>
    <w:rsid w:val="00723545"/>
    <w:rsid w:val="00723AB6"/>
    <w:rsid w:val="00724025"/>
    <w:rsid w:val="007247D6"/>
    <w:rsid w:val="00724B52"/>
    <w:rsid w:val="00724BA2"/>
    <w:rsid w:val="007251A8"/>
    <w:rsid w:val="00725484"/>
    <w:rsid w:val="0072624A"/>
    <w:rsid w:val="00726282"/>
    <w:rsid w:val="007263AF"/>
    <w:rsid w:val="00726405"/>
    <w:rsid w:val="007266E4"/>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C6D"/>
    <w:rsid w:val="007331F7"/>
    <w:rsid w:val="00733207"/>
    <w:rsid w:val="00733279"/>
    <w:rsid w:val="00733F1C"/>
    <w:rsid w:val="007341B8"/>
    <w:rsid w:val="00734CDD"/>
    <w:rsid w:val="00734E4C"/>
    <w:rsid w:val="00734FBE"/>
    <w:rsid w:val="00735302"/>
    <w:rsid w:val="00735530"/>
    <w:rsid w:val="00735574"/>
    <w:rsid w:val="00735F21"/>
    <w:rsid w:val="0073640E"/>
    <w:rsid w:val="0073670B"/>
    <w:rsid w:val="00737030"/>
    <w:rsid w:val="0073714E"/>
    <w:rsid w:val="007372D7"/>
    <w:rsid w:val="0073770F"/>
    <w:rsid w:val="00737E5F"/>
    <w:rsid w:val="00740CD0"/>
    <w:rsid w:val="0074141A"/>
    <w:rsid w:val="00741981"/>
    <w:rsid w:val="00741CF1"/>
    <w:rsid w:val="00742699"/>
    <w:rsid w:val="00742D15"/>
    <w:rsid w:val="0074334D"/>
    <w:rsid w:val="00743F48"/>
    <w:rsid w:val="00743FD8"/>
    <w:rsid w:val="00743FE3"/>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3105"/>
    <w:rsid w:val="00753304"/>
    <w:rsid w:val="00753334"/>
    <w:rsid w:val="0075345A"/>
    <w:rsid w:val="007534E0"/>
    <w:rsid w:val="0075350F"/>
    <w:rsid w:val="00753B4D"/>
    <w:rsid w:val="00753F5E"/>
    <w:rsid w:val="0075430D"/>
    <w:rsid w:val="007552DC"/>
    <w:rsid w:val="007556D0"/>
    <w:rsid w:val="007557B8"/>
    <w:rsid w:val="00755AE3"/>
    <w:rsid w:val="00755B19"/>
    <w:rsid w:val="00755B86"/>
    <w:rsid w:val="00756D1B"/>
    <w:rsid w:val="0075711E"/>
    <w:rsid w:val="00757C6F"/>
    <w:rsid w:val="00757E5C"/>
    <w:rsid w:val="00757ECE"/>
    <w:rsid w:val="00760A28"/>
    <w:rsid w:val="00760D44"/>
    <w:rsid w:val="007610E5"/>
    <w:rsid w:val="007616E5"/>
    <w:rsid w:val="007624C0"/>
    <w:rsid w:val="00762E20"/>
    <w:rsid w:val="00763704"/>
    <w:rsid w:val="00763C14"/>
    <w:rsid w:val="00764423"/>
    <w:rsid w:val="0076462D"/>
    <w:rsid w:val="00764A6C"/>
    <w:rsid w:val="0076502B"/>
    <w:rsid w:val="007651E1"/>
    <w:rsid w:val="007652A2"/>
    <w:rsid w:val="00765795"/>
    <w:rsid w:val="00765C80"/>
    <w:rsid w:val="00766305"/>
    <w:rsid w:val="0076699D"/>
    <w:rsid w:val="00766BFD"/>
    <w:rsid w:val="00766CC5"/>
    <w:rsid w:val="0076733F"/>
    <w:rsid w:val="00767B6F"/>
    <w:rsid w:val="00767E0B"/>
    <w:rsid w:val="007704A5"/>
    <w:rsid w:val="0077070A"/>
    <w:rsid w:val="007707DC"/>
    <w:rsid w:val="00771148"/>
    <w:rsid w:val="0077138B"/>
    <w:rsid w:val="00771BA1"/>
    <w:rsid w:val="00771C3D"/>
    <w:rsid w:val="00772287"/>
    <w:rsid w:val="007726D1"/>
    <w:rsid w:val="007728C8"/>
    <w:rsid w:val="0077302E"/>
    <w:rsid w:val="007733DD"/>
    <w:rsid w:val="00773910"/>
    <w:rsid w:val="007739FD"/>
    <w:rsid w:val="00773CE1"/>
    <w:rsid w:val="00774041"/>
    <w:rsid w:val="0077553B"/>
    <w:rsid w:val="0077579C"/>
    <w:rsid w:val="00775C63"/>
    <w:rsid w:val="00775EE6"/>
    <w:rsid w:val="0077676E"/>
    <w:rsid w:val="00776C56"/>
    <w:rsid w:val="00777C4A"/>
    <w:rsid w:val="00780261"/>
    <w:rsid w:val="00780A62"/>
    <w:rsid w:val="00780FA6"/>
    <w:rsid w:val="00781311"/>
    <w:rsid w:val="007819C2"/>
    <w:rsid w:val="0078204E"/>
    <w:rsid w:val="00782275"/>
    <w:rsid w:val="007823F0"/>
    <w:rsid w:val="00782756"/>
    <w:rsid w:val="007829C0"/>
    <w:rsid w:val="0078368A"/>
    <w:rsid w:val="00783B0E"/>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CD"/>
    <w:rsid w:val="0078783D"/>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FA6"/>
    <w:rsid w:val="007A27F6"/>
    <w:rsid w:val="007A2C28"/>
    <w:rsid w:val="007A2D84"/>
    <w:rsid w:val="007A31C5"/>
    <w:rsid w:val="007A31FF"/>
    <w:rsid w:val="007A381D"/>
    <w:rsid w:val="007A4492"/>
    <w:rsid w:val="007A4853"/>
    <w:rsid w:val="007A4D0F"/>
    <w:rsid w:val="007A4DAE"/>
    <w:rsid w:val="007A4FAB"/>
    <w:rsid w:val="007A5FCD"/>
    <w:rsid w:val="007A6062"/>
    <w:rsid w:val="007A60F9"/>
    <w:rsid w:val="007A62CF"/>
    <w:rsid w:val="007A670B"/>
    <w:rsid w:val="007A6C26"/>
    <w:rsid w:val="007A6D36"/>
    <w:rsid w:val="007A7146"/>
    <w:rsid w:val="007A74B7"/>
    <w:rsid w:val="007A7AD0"/>
    <w:rsid w:val="007B1412"/>
    <w:rsid w:val="007B145F"/>
    <w:rsid w:val="007B1B49"/>
    <w:rsid w:val="007B1FD3"/>
    <w:rsid w:val="007B20AC"/>
    <w:rsid w:val="007B3557"/>
    <w:rsid w:val="007B3A3C"/>
    <w:rsid w:val="007B3D11"/>
    <w:rsid w:val="007B44B2"/>
    <w:rsid w:val="007B465D"/>
    <w:rsid w:val="007B482C"/>
    <w:rsid w:val="007B5128"/>
    <w:rsid w:val="007B52B7"/>
    <w:rsid w:val="007B56CC"/>
    <w:rsid w:val="007B57B4"/>
    <w:rsid w:val="007B594E"/>
    <w:rsid w:val="007B5BF6"/>
    <w:rsid w:val="007B6297"/>
    <w:rsid w:val="007B7118"/>
    <w:rsid w:val="007B74B1"/>
    <w:rsid w:val="007B7829"/>
    <w:rsid w:val="007B7A6D"/>
    <w:rsid w:val="007B7F20"/>
    <w:rsid w:val="007C03D4"/>
    <w:rsid w:val="007C0574"/>
    <w:rsid w:val="007C0932"/>
    <w:rsid w:val="007C12F7"/>
    <w:rsid w:val="007C1857"/>
    <w:rsid w:val="007C19AF"/>
    <w:rsid w:val="007C1DA0"/>
    <w:rsid w:val="007C23B6"/>
    <w:rsid w:val="007C2DD4"/>
    <w:rsid w:val="007C2EC2"/>
    <w:rsid w:val="007C2FA5"/>
    <w:rsid w:val="007C30B3"/>
    <w:rsid w:val="007C3477"/>
    <w:rsid w:val="007C347B"/>
    <w:rsid w:val="007C3B75"/>
    <w:rsid w:val="007C3F5B"/>
    <w:rsid w:val="007C40E3"/>
    <w:rsid w:val="007C4102"/>
    <w:rsid w:val="007C4654"/>
    <w:rsid w:val="007C4C54"/>
    <w:rsid w:val="007C5083"/>
    <w:rsid w:val="007C54C6"/>
    <w:rsid w:val="007C5619"/>
    <w:rsid w:val="007C587D"/>
    <w:rsid w:val="007C588E"/>
    <w:rsid w:val="007C5A9B"/>
    <w:rsid w:val="007C5AA8"/>
    <w:rsid w:val="007C5D2B"/>
    <w:rsid w:val="007C5F58"/>
    <w:rsid w:val="007C65FB"/>
    <w:rsid w:val="007C661F"/>
    <w:rsid w:val="007C6620"/>
    <w:rsid w:val="007C675D"/>
    <w:rsid w:val="007C6764"/>
    <w:rsid w:val="007C70D1"/>
    <w:rsid w:val="007C75F5"/>
    <w:rsid w:val="007C7DAB"/>
    <w:rsid w:val="007D050E"/>
    <w:rsid w:val="007D057C"/>
    <w:rsid w:val="007D07BA"/>
    <w:rsid w:val="007D0C21"/>
    <w:rsid w:val="007D19B5"/>
    <w:rsid w:val="007D1C34"/>
    <w:rsid w:val="007D2010"/>
    <w:rsid w:val="007D2DA4"/>
    <w:rsid w:val="007D31A7"/>
    <w:rsid w:val="007D3642"/>
    <w:rsid w:val="007D3EEA"/>
    <w:rsid w:val="007D3FC8"/>
    <w:rsid w:val="007D48A3"/>
    <w:rsid w:val="007D4A94"/>
    <w:rsid w:val="007D515E"/>
    <w:rsid w:val="007D59AB"/>
    <w:rsid w:val="007D6C45"/>
    <w:rsid w:val="007D7947"/>
    <w:rsid w:val="007D7977"/>
    <w:rsid w:val="007D7C4B"/>
    <w:rsid w:val="007E060D"/>
    <w:rsid w:val="007E06FE"/>
    <w:rsid w:val="007E07A0"/>
    <w:rsid w:val="007E08F9"/>
    <w:rsid w:val="007E0E25"/>
    <w:rsid w:val="007E120F"/>
    <w:rsid w:val="007E158A"/>
    <w:rsid w:val="007E1DD7"/>
    <w:rsid w:val="007E273E"/>
    <w:rsid w:val="007E2779"/>
    <w:rsid w:val="007E29B1"/>
    <w:rsid w:val="007E2AC5"/>
    <w:rsid w:val="007E2D8F"/>
    <w:rsid w:val="007E3159"/>
    <w:rsid w:val="007E3289"/>
    <w:rsid w:val="007E364E"/>
    <w:rsid w:val="007E3851"/>
    <w:rsid w:val="007E3C2C"/>
    <w:rsid w:val="007E3D73"/>
    <w:rsid w:val="007E3EA7"/>
    <w:rsid w:val="007E49E8"/>
    <w:rsid w:val="007E4CC8"/>
    <w:rsid w:val="007E50B3"/>
    <w:rsid w:val="007E5606"/>
    <w:rsid w:val="007E5D3A"/>
    <w:rsid w:val="007E5F6D"/>
    <w:rsid w:val="007E62E9"/>
    <w:rsid w:val="007E6448"/>
    <w:rsid w:val="007E6549"/>
    <w:rsid w:val="007E6A85"/>
    <w:rsid w:val="007E7D44"/>
    <w:rsid w:val="007F1115"/>
    <w:rsid w:val="007F1449"/>
    <w:rsid w:val="007F1600"/>
    <w:rsid w:val="007F1E0F"/>
    <w:rsid w:val="007F2082"/>
    <w:rsid w:val="007F233D"/>
    <w:rsid w:val="007F31C6"/>
    <w:rsid w:val="007F35CF"/>
    <w:rsid w:val="007F35DE"/>
    <w:rsid w:val="007F3D8E"/>
    <w:rsid w:val="007F459B"/>
    <w:rsid w:val="007F4BB8"/>
    <w:rsid w:val="007F5470"/>
    <w:rsid w:val="007F5689"/>
    <w:rsid w:val="007F5ABA"/>
    <w:rsid w:val="007F60DF"/>
    <w:rsid w:val="007F6217"/>
    <w:rsid w:val="007F636B"/>
    <w:rsid w:val="007F6413"/>
    <w:rsid w:val="007F75BB"/>
    <w:rsid w:val="007F7C63"/>
    <w:rsid w:val="008009A4"/>
    <w:rsid w:val="00800C4D"/>
    <w:rsid w:val="00801C0E"/>
    <w:rsid w:val="00802162"/>
    <w:rsid w:val="00802829"/>
    <w:rsid w:val="00802A35"/>
    <w:rsid w:val="00802AD3"/>
    <w:rsid w:val="00802C44"/>
    <w:rsid w:val="00802C60"/>
    <w:rsid w:val="00802F39"/>
    <w:rsid w:val="0080329C"/>
    <w:rsid w:val="00803480"/>
    <w:rsid w:val="008037C8"/>
    <w:rsid w:val="008039CD"/>
    <w:rsid w:val="00803CC0"/>
    <w:rsid w:val="00804070"/>
    <w:rsid w:val="008042A5"/>
    <w:rsid w:val="00804A87"/>
    <w:rsid w:val="00805C60"/>
    <w:rsid w:val="00806173"/>
    <w:rsid w:val="00806541"/>
    <w:rsid w:val="008065A7"/>
    <w:rsid w:val="00806BB0"/>
    <w:rsid w:val="00807680"/>
    <w:rsid w:val="008076B6"/>
    <w:rsid w:val="008076E8"/>
    <w:rsid w:val="0080770F"/>
    <w:rsid w:val="00807A04"/>
    <w:rsid w:val="00807C96"/>
    <w:rsid w:val="00810244"/>
    <w:rsid w:val="008108D3"/>
    <w:rsid w:val="00811071"/>
    <w:rsid w:val="00811217"/>
    <w:rsid w:val="0081127A"/>
    <w:rsid w:val="00811425"/>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8E"/>
    <w:rsid w:val="00816062"/>
    <w:rsid w:val="0081670F"/>
    <w:rsid w:val="008167FA"/>
    <w:rsid w:val="008177F8"/>
    <w:rsid w:val="00817A47"/>
    <w:rsid w:val="00817C73"/>
    <w:rsid w:val="00817FD6"/>
    <w:rsid w:val="00820FB8"/>
    <w:rsid w:val="00821558"/>
    <w:rsid w:val="00821853"/>
    <w:rsid w:val="0082190C"/>
    <w:rsid w:val="00821DB1"/>
    <w:rsid w:val="00822C51"/>
    <w:rsid w:val="008233F7"/>
    <w:rsid w:val="00823D5C"/>
    <w:rsid w:val="008241AA"/>
    <w:rsid w:val="00824275"/>
    <w:rsid w:val="00824B5B"/>
    <w:rsid w:val="00824BB9"/>
    <w:rsid w:val="0082558A"/>
    <w:rsid w:val="0082569A"/>
    <w:rsid w:val="008264D0"/>
    <w:rsid w:val="008267AF"/>
    <w:rsid w:val="008268DF"/>
    <w:rsid w:val="00826EAB"/>
    <w:rsid w:val="00827562"/>
    <w:rsid w:val="008308F2"/>
    <w:rsid w:val="00831083"/>
    <w:rsid w:val="008313F6"/>
    <w:rsid w:val="00831F59"/>
    <w:rsid w:val="00832653"/>
    <w:rsid w:val="00833586"/>
    <w:rsid w:val="00834B41"/>
    <w:rsid w:val="008357D5"/>
    <w:rsid w:val="00835B60"/>
    <w:rsid w:val="00836CE3"/>
    <w:rsid w:val="00836E69"/>
    <w:rsid w:val="00837121"/>
    <w:rsid w:val="008371CE"/>
    <w:rsid w:val="008375FA"/>
    <w:rsid w:val="008405DE"/>
    <w:rsid w:val="00840799"/>
    <w:rsid w:val="00840852"/>
    <w:rsid w:val="00841302"/>
    <w:rsid w:val="00841834"/>
    <w:rsid w:val="00841EA7"/>
    <w:rsid w:val="00842358"/>
    <w:rsid w:val="00842A24"/>
    <w:rsid w:val="00842C6B"/>
    <w:rsid w:val="00843076"/>
    <w:rsid w:val="00843478"/>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7E3F"/>
    <w:rsid w:val="00850AEA"/>
    <w:rsid w:val="00850B4C"/>
    <w:rsid w:val="00850F72"/>
    <w:rsid w:val="00851391"/>
    <w:rsid w:val="00851679"/>
    <w:rsid w:val="00851BFE"/>
    <w:rsid w:val="008522A0"/>
    <w:rsid w:val="008526A1"/>
    <w:rsid w:val="008539C4"/>
    <w:rsid w:val="00853A6F"/>
    <w:rsid w:val="00853E7F"/>
    <w:rsid w:val="00854097"/>
    <w:rsid w:val="00854491"/>
    <w:rsid w:val="00854C8E"/>
    <w:rsid w:val="0085584E"/>
    <w:rsid w:val="00855D6B"/>
    <w:rsid w:val="008567C8"/>
    <w:rsid w:val="00856A13"/>
    <w:rsid w:val="00857694"/>
    <w:rsid w:val="00857A7D"/>
    <w:rsid w:val="00857B10"/>
    <w:rsid w:val="00857CA9"/>
    <w:rsid w:val="00857ECB"/>
    <w:rsid w:val="0086024E"/>
    <w:rsid w:val="00860E08"/>
    <w:rsid w:val="008610E4"/>
    <w:rsid w:val="0086275F"/>
    <w:rsid w:val="008630FD"/>
    <w:rsid w:val="008638BC"/>
    <w:rsid w:val="00863DDF"/>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90"/>
    <w:rsid w:val="00873DA3"/>
    <w:rsid w:val="00874067"/>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B3A"/>
    <w:rsid w:val="008802C5"/>
    <w:rsid w:val="00880ED3"/>
    <w:rsid w:val="0088104E"/>
    <w:rsid w:val="00881259"/>
    <w:rsid w:val="00881837"/>
    <w:rsid w:val="008818A9"/>
    <w:rsid w:val="00881D5D"/>
    <w:rsid w:val="00881D95"/>
    <w:rsid w:val="00882053"/>
    <w:rsid w:val="0088238F"/>
    <w:rsid w:val="0088312D"/>
    <w:rsid w:val="008834F4"/>
    <w:rsid w:val="008837BB"/>
    <w:rsid w:val="008841FD"/>
    <w:rsid w:val="00884337"/>
    <w:rsid w:val="00884372"/>
    <w:rsid w:val="008843CC"/>
    <w:rsid w:val="008843F0"/>
    <w:rsid w:val="00884858"/>
    <w:rsid w:val="0088584C"/>
    <w:rsid w:val="00885945"/>
    <w:rsid w:val="00885CB5"/>
    <w:rsid w:val="008869EA"/>
    <w:rsid w:val="008870C2"/>
    <w:rsid w:val="00887DAD"/>
    <w:rsid w:val="00890069"/>
    <w:rsid w:val="008902F7"/>
    <w:rsid w:val="0089083A"/>
    <w:rsid w:val="008908D1"/>
    <w:rsid w:val="00890EDB"/>
    <w:rsid w:val="008911CD"/>
    <w:rsid w:val="0089159B"/>
    <w:rsid w:val="00891703"/>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F8"/>
    <w:rsid w:val="008A058F"/>
    <w:rsid w:val="008A0D64"/>
    <w:rsid w:val="008A0D85"/>
    <w:rsid w:val="008A12C4"/>
    <w:rsid w:val="008A12EB"/>
    <w:rsid w:val="008A1ECF"/>
    <w:rsid w:val="008A21C1"/>
    <w:rsid w:val="008A21DA"/>
    <w:rsid w:val="008A40AB"/>
    <w:rsid w:val="008A43A1"/>
    <w:rsid w:val="008A440C"/>
    <w:rsid w:val="008A4415"/>
    <w:rsid w:val="008A468E"/>
    <w:rsid w:val="008A4A8C"/>
    <w:rsid w:val="008A4AE1"/>
    <w:rsid w:val="008A5FE1"/>
    <w:rsid w:val="008A65FF"/>
    <w:rsid w:val="008A67F1"/>
    <w:rsid w:val="008A6A27"/>
    <w:rsid w:val="008A6FBF"/>
    <w:rsid w:val="008A70D3"/>
    <w:rsid w:val="008A740A"/>
    <w:rsid w:val="008A777A"/>
    <w:rsid w:val="008A7CB1"/>
    <w:rsid w:val="008B0104"/>
    <w:rsid w:val="008B12E1"/>
    <w:rsid w:val="008B1EF8"/>
    <w:rsid w:val="008B24A5"/>
    <w:rsid w:val="008B2A34"/>
    <w:rsid w:val="008B316B"/>
    <w:rsid w:val="008B34BE"/>
    <w:rsid w:val="008B37AC"/>
    <w:rsid w:val="008B3B8B"/>
    <w:rsid w:val="008B3D8D"/>
    <w:rsid w:val="008B4218"/>
    <w:rsid w:val="008B43C5"/>
    <w:rsid w:val="008B48AB"/>
    <w:rsid w:val="008B5230"/>
    <w:rsid w:val="008B67A9"/>
    <w:rsid w:val="008B6B55"/>
    <w:rsid w:val="008B75F8"/>
    <w:rsid w:val="008B7DD5"/>
    <w:rsid w:val="008C0118"/>
    <w:rsid w:val="008C01D1"/>
    <w:rsid w:val="008C0AAE"/>
    <w:rsid w:val="008C1317"/>
    <w:rsid w:val="008C1672"/>
    <w:rsid w:val="008C188E"/>
    <w:rsid w:val="008C27ED"/>
    <w:rsid w:val="008C28AD"/>
    <w:rsid w:val="008C291A"/>
    <w:rsid w:val="008C2A22"/>
    <w:rsid w:val="008C2F7E"/>
    <w:rsid w:val="008C30F8"/>
    <w:rsid w:val="008C30FF"/>
    <w:rsid w:val="008C39AB"/>
    <w:rsid w:val="008C47F0"/>
    <w:rsid w:val="008C4C37"/>
    <w:rsid w:val="008C5128"/>
    <w:rsid w:val="008C61C5"/>
    <w:rsid w:val="008C64A2"/>
    <w:rsid w:val="008C6671"/>
    <w:rsid w:val="008C6F5D"/>
    <w:rsid w:val="008C74C8"/>
    <w:rsid w:val="008C7A0E"/>
    <w:rsid w:val="008C7AEA"/>
    <w:rsid w:val="008C7DBB"/>
    <w:rsid w:val="008C7EBB"/>
    <w:rsid w:val="008C7FEB"/>
    <w:rsid w:val="008D0383"/>
    <w:rsid w:val="008D0426"/>
    <w:rsid w:val="008D04F1"/>
    <w:rsid w:val="008D07A5"/>
    <w:rsid w:val="008D0884"/>
    <w:rsid w:val="008D09F3"/>
    <w:rsid w:val="008D0E14"/>
    <w:rsid w:val="008D1692"/>
    <w:rsid w:val="008D1A8F"/>
    <w:rsid w:val="008D20CA"/>
    <w:rsid w:val="008D2614"/>
    <w:rsid w:val="008D2E1A"/>
    <w:rsid w:val="008D2E8D"/>
    <w:rsid w:val="008D32E3"/>
    <w:rsid w:val="008D33BD"/>
    <w:rsid w:val="008D42D8"/>
    <w:rsid w:val="008D42F9"/>
    <w:rsid w:val="008D44D4"/>
    <w:rsid w:val="008D48D0"/>
    <w:rsid w:val="008D4BA4"/>
    <w:rsid w:val="008D4D7C"/>
    <w:rsid w:val="008D4E75"/>
    <w:rsid w:val="008D534C"/>
    <w:rsid w:val="008D5ABC"/>
    <w:rsid w:val="008D5E0A"/>
    <w:rsid w:val="008D5EB5"/>
    <w:rsid w:val="008D6106"/>
    <w:rsid w:val="008D6F5D"/>
    <w:rsid w:val="008D7036"/>
    <w:rsid w:val="008D76BC"/>
    <w:rsid w:val="008D790E"/>
    <w:rsid w:val="008D7B4C"/>
    <w:rsid w:val="008D7C92"/>
    <w:rsid w:val="008D7CFC"/>
    <w:rsid w:val="008D7E2A"/>
    <w:rsid w:val="008D7ED7"/>
    <w:rsid w:val="008E0033"/>
    <w:rsid w:val="008E0C71"/>
    <w:rsid w:val="008E120A"/>
    <w:rsid w:val="008E158C"/>
    <w:rsid w:val="008E16C3"/>
    <w:rsid w:val="008E1EBE"/>
    <w:rsid w:val="008E2182"/>
    <w:rsid w:val="008E284E"/>
    <w:rsid w:val="008E2A95"/>
    <w:rsid w:val="008E2E26"/>
    <w:rsid w:val="008E351E"/>
    <w:rsid w:val="008E3975"/>
    <w:rsid w:val="008E3AB2"/>
    <w:rsid w:val="008E43C3"/>
    <w:rsid w:val="008E4BE4"/>
    <w:rsid w:val="008E4DAE"/>
    <w:rsid w:val="008E4ECF"/>
    <w:rsid w:val="008E589C"/>
    <w:rsid w:val="008E5DFE"/>
    <w:rsid w:val="008E6025"/>
    <w:rsid w:val="008E66FD"/>
    <w:rsid w:val="008E6D23"/>
    <w:rsid w:val="008E71B6"/>
    <w:rsid w:val="008E747D"/>
    <w:rsid w:val="008E772A"/>
    <w:rsid w:val="008F033F"/>
    <w:rsid w:val="008F03E4"/>
    <w:rsid w:val="008F04FB"/>
    <w:rsid w:val="008F069D"/>
    <w:rsid w:val="008F07C8"/>
    <w:rsid w:val="008F1589"/>
    <w:rsid w:val="008F161C"/>
    <w:rsid w:val="008F1747"/>
    <w:rsid w:val="008F1CF6"/>
    <w:rsid w:val="008F1FDB"/>
    <w:rsid w:val="008F21C7"/>
    <w:rsid w:val="008F25C5"/>
    <w:rsid w:val="008F263A"/>
    <w:rsid w:val="008F2E7C"/>
    <w:rsid w:val="008F31A4"/>
    <w:rsid w:val="008F3BD7"/>
    <w:rsid w:val="008F45E0"/>
    <w:rsid w:val="008F4894"/>
    <w:rsid w:val="008F4ED6"/>
    <w:rsid w:val="008F52F5"/>
    <w:rsid w:val="008F535D"/>
    <w:rsid w:val="008F6A3B"/>
    <w:rsid w:val="008F702B"/>
    <w:rsid w:val="008F704C"/>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36C"/>
    <w:rsid w:val="00904937"/>
    <w:rsid w:val="009050C6"/>
    <w:rsid w:val="00905172"/>
    <w:rsid w:val="00905405"/>
    <w:rsid w:val="009059B2"/>
    <w:rsid w:val="00906188"/>
    <w:rsid w:val="00906803"/>
    <w:rsid w:val="00906AAF"/>
    <w:rsid w:val="00906D3E"/>
    <w:rsid w:val="00907411"/>
    <w:rsid w:val="0090741E"/>
    <w:rsid w:val="0090767E"/>
    <w:rsid w:val="009079E4"/>
    <w:rsid w:val="00907C5F"/>
    <w:rsid w:val="009106AF"/>
    <w:rsid w:val="00911159"/>
    <w:rsid w:val="009116FB"/>
    <w:rsid w:val="009117B4"/>
    <w:rsid w:val="009118B8"/>
    <w:rsid w:val="009121CF"/>
    <w:rsid w:val="009121D6"/>
    <w:rsid w:val="00912C58"/>
    <w:rsid w:val="00912E03"/>
    <w:rsid w:val="00912E48"/>
    <w:rsid w:val="00913068"/>
    <w:rsid w:val="009131BC"/>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837"/>
    <w:rsid w:val="00921965"/>
    <w:rsid w:val="00921B63"/>
    <w:rsid w:val="00921BD5"/>
    <w:rsid w:val="00921E31"/>
    <w:rsid w:val="00921E8A"/>
    <w:rsid w:val="009220BA"/>
    <w:rsid w:val="00922118"/>
    <w:rsid w:val="00922A10"/>
    <w:rsid w:val="00922B7A"/>
    <w:rsid w:val="00922DEB"/>
    <w:rsid w:val="00922FE9"/>
    <w:rsid w:val="00923C58"/>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7B"/>
    <w:rsid w:val="0093051A"/>
    <w:rsid w:val="0093067B"/>
    <w:rsid w:val="00930B33"/>
    <w:rsid w:val="00930BC5"/>
    <w:rsid w:val="00930D85"/>
    <w:rsid w:val="00930F72"/>
    <w:rsid w:val="009320DB"/>
    <w:rsid w:val="00932453"/>
    <w:rsid w:val="009324D1"/>
    <w:rsid w:val="0093280E"/>
    <w:rsid w:val="0093298C"/>
    <w:rsid w:val="009329EB"/>
    <w:rsid w:val="00932D3E"/>
    <w:rsid w:val="00932E9B"/>
    <w:rsid w:val="00932F01"/>
    <w:rsid w:val="00933240"/>
    <w:rsid w:val="0093410C"/>
    <w:rsid w:val="0093444E"/>
    <w:rsid w:val="00934CF2"/>
    <w:rsid w:val="009352BB"/>
    <w:rsid w:val="00935862"/>
    <w:rsid w:val="009358B5"/>
    <w:rsid w:val="00935C23"/>
    <w:rsid w:val="00935D2A"/>
    <w:rsid w:val="00936099"/>
    <w:rsid w:val="0093617F"/>
    <w:rsid w:val="00936216"/>
    <w:rsid w:val="009365C2"/>
    <w:rsid w:val="00936ACD"/>
    <w:rsid w:val="00936B03"/>
    <w:rsid w:val="00936F8F"/>
    <w:rsid w:val="00937184"/>
    <w:rsid w:val="0093766C"/>
    <w:rsid w:val="009376F8"/>
    <w:rsid w:val="00937A61"/>
    <w:rsid w:val="00940422"/>
    <w:rsid w:val="0094071B"/>
    <w:rsid w:val="00940C4A"/>
    <w:rsid w:val="009410AC"/>
    <w:rsid w:val="0094141F"/>
    <w:rsid w:val="0094149B"/>
    <w:rsid w:val="00942136"/>
    <w:rsid w:val="00942146"/>
    <w:rsid w:val="00942739"/>
    <w:rsid w:val="00942A57"/>
    <w:rsid w:val="00942B5E"/>
    <w:rsid w:val="00942D4C"/>
    <w:rsid w:val="00943262"/>
    <w:rsid w:val="00943282"/>
    <w:rsid w:val="00943478"/>
    <w:rsid w:val="009439B3"/>
    <w:rsid w:val="00943E48"/>
    <w:rsid w:val="00944192"/>
    <w:rsid w:val="009446C5"/>
    <w:rsid w:val="0094583D"/>
    <w:rsid w:val="00945A2F"/>
    <w:rsid w:val="00945BC5"/>
    <w:rsid w:val="0094600B"/>
    <w:rsid w:val="00946A2F"/>
    <w:rsid w:val="00947823"/>
    <w:rsid w:val="00950802"/>
    <w:rsid w:val="009515AB"/>
    <w:rsid w:val="009517E9"/>
    <w:rsid w:val="00952175"/>
    <w:rsid w:val="0095257F"/>
    <w:rsid w:val="00952890"/>
    <w:rsid w:val="00952E56"/>
    <w:rsid w:val="00952F89"/>
    <w:rsid w:val="00953772"/>
    <w:rsid w:val="00953AF9"/>
    <w:rsid w:val="00953C2D"/>
    <w:rsid w:val="009545B9"/>
    <w:rsid w:val="00955480"/>
    <w:rsid w:val="00955A20"/>
    <w:rsid w:val="00955A52"/>
    <w:rsid w:val="00955FD1"/>
    <w:rsid w:val="00956226"/>
    <w:rsid w:val="009562DC"/>
    <w:rsid w:val="00956E09"/>
    <w:rsid w:val="0095712A"/>
    <w:rsid w:val="00960192"/>
    <w:rsid w:val="0096052F"/>
    <w:rsid w:val="009609A6"/>
    <w:rsid w:val="00960E49"/>
    <w:rsid w:val="009624D8"/>
    <w:rsid w:val="0096268F"/>
    <w:rsid w:val="009628C2"/>
    <w:rsid w:val="00962BDC"/>
    <w:rsid w:val="00962C1A"/>
    <w:rsid w:val="00962E72"/>
    <w:rsid w:val="00963054"/>
    <w:rsid w:val="009631B4"/>
    <w:rsid w:val="00963272"/>
    <w:rsid w:val="00963518"/>
    <w:rsid w:val="00963AA3"/>
    <w:rsid w:val="00963DE2"/>
    <w:rsid w:val="0096476F"/>
    <w:rsid w:val="00964BF8"/>
    <w:rsid w:val="00964F9D"/>
    <w:rsid w:val="009652B7"/>
    <w:rsid w:val="009652BE"/>
    <w:rsid w:val="00965312"/>
    <w:rsid w:val="00965546"/>
    <w:rsid w:val="009658C7"/>
    <w:rsid w:val="00965F88"/>
    <w:rsid w:val="00966217"/>
    <w:rsid w:val="009668F3"/>
    <w:rsid w:val="00966C32"/>
    <w:rsid w:val="00967715"/>
    <w:rsid w:val="0096772E"/>
    <w:rsid w:val="009701C8"/>
    <w:rsid w:val="00970482"/>
    <w:rsid w:val="009705D8"/>
    <w:rsid w:val="00970BAA"/>
    <w:rsid w:val="00970C33"/>
    <w:rsid w:val="00971179"/>
    <w:rsid w:val="00971421"/>
    <w:rsid w:val="00971BAD"/>
    <w:rsid w:val="009731C6"/>
    <w:rsid w:val="00973438"/>
    <w:rsid w:val="0097363A"/>
    <w:rsid w:val="0097411B"/>
    <w:rsid w:val="0097445B"/>
    <w:rsid w:val="00974A76"/>
    <w:rsid w:val="00974EC2"/>
    <w:rsid w:val="0097601C"/>
    <w:rsid w:val="0097642C"/>
    <w:rsid w:val="00976890"/>
    <w:rsid w:val="00976A5F"/>
    <w:rsid w:val="00977585"/>
    <w:rsid w:val="009777BD"/>
    <w:rsid w:val="00977B3B"/>
    <w:rsid w:val="00980DA9"/>
    <w:rsid w:val="00980F9C"/>
    <w:rsid w:val="00981182"/>
    <w:rsid w:val="009817AE"/>
    <w:rsid w:val="0098188B"/>
    <w:rsid w:val="00982078"/>
    <w:rsid w:val="009820AC"/>
    <w:rsid w:val="00982226"/>
    <w:rsid w:val="00982491"/>
    <w:rsid w:val="00982727"/>
    <w:rsid w:val="009828E1"/>
    <w:rsid w:val="00982E72"/>
    <w:rsid w:val="009833CB"/>
    <w:rsid w:val="00983540"/>
    <w:rsid w:val="009837C9"/>
    <w:rsid w:val="00983FDA"/>
    <w:rsid w:val="0098424B"/>
    <w:rsid w:val="009844C6"/>
    <w:rsid w:val="00984C06"/>
    <w:rsid w:val="009854A8"/>
    <w:rsid w:val="00985688"/>
    <w:rsid w:val="009856C2"/>
    <w:rsid w:val="00985FFA"/>
    <w:rsid w:val="009860D8"/>
    <w:rsid w:val="00986422"/>
    <w:rsid w:val="00986453"/>
    <w:rsid w:val="00986A3A"/>
    <w:rsid w:val="00986A4F"/>
    <w:rsid w:val="00986EF9"/>
    <w:rsid w:val="00990591"/>
    <w:rsid w:val="00990854"/>
    <w:rsid w:val="00990C07"/>
    <w:rsid w:val="00990E3C"/>
    <w:rsid w:val="0099101E"/>
    <w:rsid w:val="009915BD"/>
    <w:rsid w:val="00991715"/>
    <w:rsid w:val="00991769"/>
    <w:rsid w:val="009919A4"/>
    <w:rsid w:val="009920E0"/>
    <w:rsid w:val="009922D8"/>
    <w:rsid w:val="009924B8"/>
    <w:rsid w:val="00992AC2"/>
    <w:rsid w:val="00992F3E"/>
    <w:rsid w:val="00993609"/>
    <w:rsid w:val="00993A73"/>
    <w:rsid w:val="00993E8E"/>
    <w:rsid w:val="00994137"/>
    <w:rsid w:val="0099424F"/>
    <w:rsid w:val="00994929"/>
    <w:rsid w:val="00994DE8"/>
    <w:rsid w:val="00994F7F"/>
    <w:rsid w:val="009951F1"/>
    <w:rsid w:val="0099548B"/>
    <w:rsid w:val="00995891"/>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55C"/>
    <w:rsid w:val="009A3A2C"/>
    <w:rsid w:val="009A3AEA"/>
    <w:rsid w:val="009A4181"/>
    <w:rsid w:val="009A4193"/>
    <w:rsid w:val="009A419B"/>
    <w:rsid w:val="009A49D8"/>
    <w:rsid w:val="009A4D6F"/>
    <w:rsid w:val="009A4F2A"/>
    <w:rsid w:val="009A57F6"/>
    <w:rsid w:val="009A65CC"/>
    <w:rsid w:val="009A6DB1"/>
    <w:rsid w:val="009A70B1"/>
    <w:rsid w:val="009A718E"/>
    <w:rsid w:val="009A7B1F"/>
    <w:rsid w:val="009B03FC"/>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5173"/>
    <w:rsid w:val="009B5717"/>
    <w:rsid w:val="009B5953"/>
    <w:rsid w:val="009B5ECA"/>
    <w:rsid w:val="009B685B"/>
    <w:rsid w:val="009B6DD8"/>
    <w:rsid w:val="009B6DFF"/>
    <w:rsid w:val="009B6EAD"/>
    <w:rsid w:val="009C00E7"/>
    <w:rsid w:val="009C0200"/>
    <w:rsid w:val="009C05D7"/>
    <w:rsid w:val="009C069D"/>
    <w:rsid w:val="009C0AB7"/>
    <w:rsid w:val="009C0CCE"/>
    <w:rsid w:val="009C0F4D"/>
    <w:rsid w:val="009C1239"/>
    <w:rsid w:val="009C1776"/>
    <w:rsid w:val="009C1AC0"/>
    <w:rsid w:val="009C1FF3"/>
    <w:rsid w:val="009C2302"/>
    <w:rsid w:val="009C2595"/>
    <w:rsid w:val="009C28C7"/>
    <w:rsid w:val="009C2EB5"/>
    <w:rsid w:val="009C31D7"/>
    <w:rsid w:val="009C3954"/>
    <w:rsid w:val="009C3CFB"/>
    <w:rsid w:val="009C3EE1"/>
    <w:rsid w:val="009C417C"/>
    <w:rsid w:val="009C44A3"/>
    <w:rsid w:val="009C4C35"/>
    <w:rsid w:val="009C4C5D"/>
    <w:rsid w:val="009C4D43"/>
    <w:rsid w:val="009C4DA1"/>
    <w:rsid w:val="009C5C47"/>
    <w:rsid w:val="009C5E9B"/>
    <w:rsid w:val="009C5F12"/>
    <w:rsid w:val="009C6684"/>
    <w:rsid w:val="009C6A12"/>
    <w:rsid w:val="009C6E3F"/>
    <w:rsid w:val="009C6FA8"/>
    <w:rsid w:val="009C7053"/>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56"/>
    <w:rsid w:val="009D47E2"/>
    <w:rsid w:val="009D4A29"/>
    <w:rsid w:val="009D4D87"/>
    <w:rsid w:val="009D4F4F"/>
    <w:rsid w:val="009D4F59"/>
    <w:rsid w:val="009D5E7E"/>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45B"/>
    <w:rsid w:val="009E292C"/>
    <w:rsid w:val="009E2C2B"/>
    <w:rsid w:val="009E2DC9"/>
    <w:rsid w:val="009E3314"/>
    <w:rsid w:val="009E3644"/>
    <w:rsid w:val="009E3869"/>
    <w:rsid w:val="009E3B6B"/>
    <w:rsid w:val="009E4380"/>
    <w:rsid w:val="009E4912"/>
    <w:rsid w:val="009E4CBD"/>
    <w:rsid w:val="009E6106"/>
    <w:rsid w:val="009E6CCC"/>
    <w:rsid w:val="009E6D94"/>
    <w:rsid w:val="009E74ED"/>
    <w:rsid w:val="009E7E38"/>
    <w:rsid w:val="009F0325"/>
    <w:rsid w:val="009F06FB"/>
    <w:rsid w:val="009F0891"/>
    <w:rsid w:val="009F0945"/>
    <w:rsid w:val="009F0CB4"/>
    <w:rsid w:val="009F0ED4"/>
    <w:rsid w:val="009F10A6"/>
    <w:rsid w:val="009F118C"/>
    <w:rsid w:val="009F131E"/>
    <w:rsid w:val="009F1C35"/>
    <w:rsid w:val="009F2C7C"/>
    <w:rsid w:val="009F327A"/>
    <w:rsid w:val="009F3EBE"/>
    <w:rsid w:val="009F4662"/>
    <w:rsid w:val="009F4918"/>
    <w:rsid w:val="009F49CE"/>
    <w:rsid w:val="009F4EC8"/>
    <w:rsid w:val="009F5717"/>
    <w:rsid w:val="009F6394"/>
    <w:rsid w:val="009F63BB"/>
    <w:rsid w:val="009F66AA"/>
    <w:rsid w:val="009F6E53"/>
    <w:rsid w:val="009F765A"/>
    <w:rsid w:val="009F7CD9"/>
    <w:rsid w:val="00A0004A"/>
    <w:rsid w:val="00A00078"/>
    <w:rsid w:val="00A001A9"/>
    <w:rsid w:val="00A00850"/>
    <w:rsid w:val="00A010F2"/>
    <w:rsid w:val="00A0135C"/>
    <w:rsid w:val="00A01419"/>
    <w:rsid w:val="00A01E79"/>
    <w:rsid w:val="00A02C1A"/>
    <w:rsid w:val="00A03097"/>
    <w:rsid w:val="00A034DD"/>
    <w:rsid w:val="00A03E5F"/>
    <w:rsid w:val="00A04484"/>
    <w:rsid w:val="00A0496A"/>
    <w:rsid w:val="00A04C11"/>
    <w:rsid w:val="00A05BD3"/>
    <w:rsid w:val="00A067ED"/>
    <w:rsid w:val="00A068B1"/>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69C"/>
    <w:rsid w:val="00A14455"/>
    <w:rsid w:val="00A148EB"/>
    <w:rsid w:val="00A14A09"/>
    <w:rsid w:val="00A14B2F"/>
    <w:rsid w:val="00A14E3D"/>
    <w:rsid w:val="00A1515F"/>
    <w:rsid w:val="00A152E3"/>
    <w:rsid w:val="00A153FD"/>
    <w:rsid w:val="00A15580"/>
    <w:rsid w:val="00A15931"/>
    <w:rsid w:val="00A15D04"/>
    <w:rsid w:val="00A15F83"/>
    <w:rsid w:val="00A16531"/>
    <w:rsid w:val="00A16C28"/>
    <w:rsid w:val="00A17365"/>
    <w:rsid w:val="00A17854"/>
    <w:rsid w:val="00A17B1B"/>
    <w:rsid w:val="00A17F75"/>
    <w:rsid w:val="00A20561"/>
    <w:rsid w:val="00A20E75"/>
    <w:rsid w:val="00A20FD3"/>
    <w:rsid w:val="00A211AD"/>
    <w:rsid w:val="00A21B51"/>
    <w:rsid w:val="00A21FA3"/>
    <w:rsid w:val="00A21FDA"/>
    <w:rsid w:val="00A220DE"/>
    <w:rsid w:val="00A2224F"/>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8AE"/>
    <w:rsid w:val="00A27CF5"/>
    <w:rsid w:val="00A27E62"/>
    <w:rsid w:val="00A30030"/>
    <w:rsid w:val="00A3126B"/>
    <w:rsid w:val="00A312FA"/>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602"/>
    <w:rsid w:val="00A41399"/>
    <w:rsid w:val="00A41979"/>
    <w:rsid w:val="00A41ACA"/>
    <w:rsid w:val="00A41BED"/>
    <w:rsid w:val="00A41D22"/>
    <w:rsid w:val="00A41EE0"/>
    <w:rsid w:val="00A42233"/>
    <w:rsid w:val="00A430F8"/>
    <w:rsid w:val="00A4350C"/>
    <w:rsid w:val="00A43528"/>
    <w:rsid w:val="00A43A83"/>
    <w:rsid w:val="00A43C45"/>
    <w:rsid w:val="00A44F22"/>
    <w:rsid w:val="00A4529D"/>
    <w:rsid w:val="00A45A96"/>
    <w:rsid w:val="00A45C57"/>
    <w:rsid w:val="00A45D29"/>
    <w:rsid w:val="00A45D7B"/>
    <w:rsid w:val="00A463C8"/>
    <w:rsid w:val="00A464DF"/>
    <w:rsid w:val="00A46B9E"/>
    <w:rsid w:val="00A47362"/>
    <w:rsid w:val="00A47A38"/>
    <w:rsid w:val="00A509E5"/>
    <w:rsid w:val="00A50E24"/>
    <w:rsid w:val="00A51826"/>
    <w:rsid w:val="00A51A52"/>
    <w:rsid w:val="00A51BCA"/>
    <w:rsid w:val="00A522B6"/>
    <w:rsid w:val="00A5280C"/>
    <w:rsid w:val="00A52B1E"/>
    <w:rsid w:val="00A52ED7"/>
    <w:rsid w:val="00A5313D"/>
    <w:rsid w:val="00A53166"/>
    <w:rsid w:val="00A5343B"/>
    <w:rsid w:val="00A53761"/>
    <w:rsid w:val="00A539E4"/>
    <w:rsid w:val="00A53F8E"/>
    <w:rsid w:val="00A54708"/>
    <w:rsid w:val="00A55166"/>
    <w:rsid w:val="00A551DB"/>
    <w:rsid w:val="00A55E82"/>
    <w:rsid w:val="00A561EE"/>
    <w:rsid w:val="00A565A5"/>
    <w:rsid w:val="00A56D34"/>
    <w:rsid w:val="00A574EC"/>
    <w:rsid w:val="00A57830"/>
    <w:rsid w:val="00A6004A"/>
    <w:rsid w:val="00A60F61"/>
    <w:rsid w:val="00A614FB"/>
    <w:rsid w:val="00A61676"/>
    <w:rsid w:val="00A61F7B"/>
    <w:rsid w:val="00A621C2"/>
    <w:rsid w:val="00A628A9"/>
    <w:rsid w:val="00A628ED"/>
    <w:rsid w:val="00A6299D"/>
    <w:rsid w:val="00A62C87"/>
    <w:rsid w:val="00A62E52"/>
    <w:rsid w:val="00A62EFF"/>
    <w:rsid w:val="00A63A9F"/>
    <w:rsid w:val="00A63B95"/>
    <w:rsid w:val="00A64106"/>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8EF"/>
    <w:rsid w:val="00A749F5"/>
    <w:rsid w:val="00A74B8D"/>
    <w:rsid w:val="00A74BEE"/>
    <w:rsid w:val="00A74F33"/>
    <w:rsid w:val="00A74F7B"/>
    <w:rsid w:val="00A75940"/>
    <w:rsid w:val="00A75B4F"/>
    <w:rsid w:val="00A75BCF"/>
    <w:rsid w:val="00A75CD5"/>
    <w:rsid w:val="00A75D26"/>
    <w:rsid w:val="00A76154"/>
    <w:rsid w:val="00A76559"/>
    <w:rsid w:val="00A76A5B"/>
    <w:rsid w:val="00A7789D"/>
    <w:rsid w:val="00A8089F"/>
    <w:rsid w:val="00A80C39"/>
    <w:rsid w:val="00A80FD7"/>
    <w:rsid w:val="00A81101"/>
    <w:rsid w:val="00A8157C"/>
    <w:rsid w:val="00A815A5"/>
    <w:rsid w:val="00A81B67"/>
    <w:rsid w:val="00A826EA"/>
    <w:rsid w:val="00A828B2"/>
    <w:rsid w:val="00A829A9"/>
    <w:rsid w:val="00A82C5B"/>
    <w:rsid w:val="00A830AD"/>
    <w:rsid w:val="00A834A2"/>
    <w:rsid w:val="00A84460"/>
    <w:rsid w:val="00A84700"/>
    <w:rsid w:val="00A84B7A"/>
    <w:rsid w:val="00A84F47"/>
    <w:rsid w:val="00A851B0"/>
    <w:rsid w:val="00A85617"/>
    <w:rsid w:val="00A856E1"/>
    <w:rsid w:val="00A8592E"/>
    <w:rsid w:val="00A8626D"/>
    <w:rsid w:val="00A86BB6"/>
    <w:rsid w:val="00A87367"/>
    <w:rsid w:val="00A873DC"/>
    <w:rsid w:val="00A87507"/>
    <w:rsid w:val="00A876BB"/>
    <w:rsid w:val="00A879C3"/>
    <w:rsid w:val="00A879FA"/>
    <w:rsid w:val="00A90989"/>
    <w:rsid w:val="00A909AF"/>
    <w:rsid w:val="00A91021"/>
    <w:rsid w:val="00A913B0"/>
    <w:rsid w:val="00A91969"/>
    <w:rsid w:val="00A9200B"/>
    <w:rsid w:val="00A9290F"/>
    <w:rsid w:val="00A92AAE"/>
    <w:rsid w:val="00A92AFF"/>
    <w:rsid w:val="00A9345F"/>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9A0"/>
    <w:rsid w:val="00AA1E77"/>
    <w:rsid w:val="00AA2268"/>
    <w:rsid w:val="00AA2428"/>
    <w:rsid w:val="00AA2589"/>
    <w:rsid w:val="00AA26C6"/>
    <w:rsid w:val="00AA295A"/>
    <w:rsid w:val="00AA2BC6"/>
    <w:rsid w:val="00AA37E3"/>
    <w:rsid w:val="00AA41F0"/>
    <w:rsid w:val="00AA42EA"/>
    <w:rsid w:val="00AA4716"/>
    <w:rsid w:val="00AA4732"/>
    <w:rsid w:val="00AA4A0C"/>
    <w:rsid w:val="00AA4B94"/>
    <w:rsid w:val="00AA4ECA"/>
    <w:rsid w:val="00AA5212"/>
    <w:rsid w:val="00AA626D"/>
    <w:rsid w:val="00AA6FBC"/>
    <w:rsid w:val="00AA7A26"/>
    <w:rsid w:val="00AA7B0F"/>
    <w:rsid w:val="00AB1242"/>
    <w:rsid w:val="00AB1C0D"/>
    <w:rsid w:val="00AB20EA"/>
    <w:rsid w:val="00AB2292"/>
    <w:rsid w:val="00AB2664"/>
    <w:rsid w:val="00AB26C7"/>
    <w:rsid w:val="00AB2E1E"/>
    <w:rsid w:val="00AB31EA"/>
    <w:rsid w:val="00AB34F8"/>
    <w:rsid w:val="00AB38D6"/>
    <w:rsid w:val="00AB4420"/>
    <w:rsid w:val="00AB4A0D"/>
    <w:rsid w:val="00AB4BE8"/>
    <w:rsid w:val="00AB4C50"/>
    <w:rsid w:val="00AB4CBB"/>
    <w:rsid w:val="00AB4EC1"/>
    <w:rsid w:val="00AB624C"/>
    <w:rsid w:val="00AB67F0"/>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DB"/>
    <w:rsid w:val="00AC1E97"/>
    <w:rsid w:val="00AC2461"/>
    <w:rsid w:val="00AC2841"/>
    <w:rsid w:val="00AC286F"/>
    <w:rsid w:val="00AC2BCA"/>
    <w:rsid w:val="00AC3178"/>
    <w:rsid w:val="00AC369F"/>
    <w:rsid w:val="00AC4110"/>
    <w:rsid w:val="00AC4445"/>
    <w:rsid w:val="00AC48BA"/>
    <w:rsid w:val="00AC4C56"/>
    <w:rsid w:val="00AC54F9"/>
    <w:rsid w:val="00AC564F"/>
    <w:rsid w:val="00AC5AAB"/>
    <w:rsid w:val="00AC5B46"/>
    <w:rsid w:val="00AC6706"/>
    <w:rsid w:val="00AC79AC"/>
    <w:rsid w:val="00AC79C8"/>
    <w:rsid w:val="00AC7EDD"/>
    <w:rsid w:val="00AD0BDD"/>
    <w:rsid w:val="00AD2376"/>
    <w:rsid w:val="00AD262F"/>
    <w:rsid w:val="00AD296C"/>
    <w:rsid w:val="00AD29DA"/>
    <w:rsid w:val="00AD3F06"/>
    <w:rsid w:val="00AD445B"/>
    <w:rsid w:val="00AD44A3"/>
    <w:rsid w:val="00AD4B8F"/>
    <w:rsid w:val="00AD4DAB"/>
    <w:rsid w:val="00AD63A0"/>
    <w:rsid w:val="00AD6417"/>
    <w:rsid w:val="00AD67E3"/>
    <w:rsid w:val="00AD6809"/>
    <w:rsid w:val="00AD74B3"/>
    <w:rsid w:val="00AD7901"/>
    <w:rsid w:val="00AD7A47"/>
    <w:rsid w:val="00AD7C11"/>
    <w:rsid w:val="00AE0A9C"/>
    <w:rsid w:val="00AE0F1D"/>
    <w:rsid w:val="00AE100C"/>
    <w:rsid w:val="00AE1143"/>
    <w:rsid w:val="00AE1911"/>
    <w:rsid w:val="00AE2395"/>
    <w:rsid w:val="00AE2A49"/>
    <w:rsid w:val="00AE2B06"/>
    <w:rsid w:val="00AE3DD9"/>
    <w:rsid w:val="00AE3FFB"/>
    <w:rsid w:val="00AE43F2"/>
    <w:rsid w:val="00AE488B"/>
    <w:rsid w:val="00AE48B4"/>
    <w:rsid w:val="00AE4CE2"/>
    <w:rsid w:val="00AE4EEA"/>
    <w:rsid w:val="00AE527B"/>
    <w:rsid w:val="00AE5713"/>
    <w:rsid w:val="00AE5D81"/>
    <w:rsid w:val="00AE5FAE"/>
    <w:rsid w:val="00AE61CE"/>
    <w:rsid w:val="00AE66BF"/>
    <w:rsid w:val="00AE6C40"/>
    <w:rsid w:val="00AE6E1B"/>
    <w:rsid w:val="00AE7503"/>
    <w:rsid w:val="00AE7FF7"/>
    <w:rsid w:val="00AF0173"/>
    <w:rsid w:val="00AF0F73"/>
    <w:rsid w:val="00AF10A8"/>
    <w:rsid w:val="00AF1663"/>
    <w:rsid w:val="00AF1CC2"/>
    <w:rsid w:val="00AF1CCB"/>
    <w:rsid w:val="00AF20C7"/>
    <w:rsid w:val="00AF23ED"/>
    <w:rsid w:val="00AF2988"/>
    <w:rsid w:val="00AF39E1"/>
    <w:rsid w:val="00AF3AED"/>
    <w:rsid w:val="00AF4831"/>
    <w:rsid w:val="00AF4982"/>
    <w:rsid w:val="00AF4DF9"/>
    <w:rsid w:val="00AF53B4"/>
    <w:rsid w:val="00AF5F98"/>
    <w:rsid w:val="00AF606B"/>
    <w:rsid w:val="00AF61AA"/>
    <w:rsid w:val="00AF650E"/>
    <w:rsid w:val="00AF6780"/>
    <w:rsid w:val="00AF6833"/>
    <w:rsid w:val="00AF6E34"/>
    <w:rsid w:val="00AF74E8"/>
    <w:rsid w:val="00AF787B"/>
    <w:rsid w:val="00AF7D69"/>
    <w:rsid w:val="00AF7D8A"/>
    <w:rsid w:val="00AF7E0E"/>
    <w:rsid w:val="00B00698"/>
    <w:rsid w:val="00B00D4B"/>
    <w:rsid w:val="00B00F9A"/>
    <w:rsid w:val="00B01104"/>
    <w:rsid w:val="00B0110A"/>
    <w:rsid w:val="00B015E5"/>
    <w:rsid w:val="00B026F3"/>
    <w:rsid w:val="00B02831"/>
    <w:rsid w:val="00B029F6"/>
    <w:rsid w:val="00B03A82"/>
    <w:rsid w:val="00B03C7F"/>
    <w:rsid w:val="00B03DD4"/>
    <w:rsid w:val="00B04210"/>
    <w:rsid w:val="00B04372"/>
    <w:rsid w:val="00B04B59"/>
    <w:rsid w:val="00B04E0F"/>
    <w:rsid w:val="00B05103"/>
    <w:rsid w:val="00B054B2"/>
    <w:rsid w:val="00B05C70"/>
    <w:rsid w:val="00B06007"/>
    <w:rsid w:val="00B061BB"/>
    <w:rsid w:val="00B06332"/>
    <w:rsid w:val="00B067C8"/>
    <w:rsid w:val="00B06871"/>
    <w:rsid w:val="00B069F7"/>
    <w:rsid w:val="00B07758"/>
    <w:rsid w:val="00B101AD"/>
    <w:rsid w:val="00B10D7E"/>
    <w:rsid w:val="00B10E73"/>
    <w:rsid w:val="00B10FD4"/>
    <w:rsid w:val="00B118B7"/>
    <w:rsid w:val="00B11B39"/>
    <w:rsid w:val="00B12125"/>
    <w:rsid w:val="00B12300"/>
    <w:rsid w:val="00B1244C"/>
    <w:rsid w:val="00B12EAB"/>
    <w:rsid w:val="00B135FF"/>
    <w:rsid w:val="00B1375D"/>
    <w:rsid w:val="00B13E57"/>
    <w:rsid w:val="00B14509"/>
    <w:rsid w:val="00B148A1"/>
    <w:rsid w:val="00B15277"/>
    <w:rsid w:val="00B153D2"/>
    <w:rsid w:val="00B15430"/>
    <w:rsid w:val="00B15459"/>
    <w:rsid w:val="00B15551"/>
    <w:rsid w:val="00B15D65"/>
    <w:rsid w:val="00B16546"/>
    <w:rsid w:val="00B16839"/>
    <w:rsid w:val="00B1687B"/>
    <w:rsid w:val="00B16AC6"/>
    <w:rsid w:val="00B16D67"/>
    <w:rsid w:val="00B17195"/>
    <w:rsid w:val="00B17449"/>
    <w:rsid w:val="00B205AE"/>
    <w:rsid w:val="00B20975"/>
    <w:rsid w:val="00B209A6"/>
    <w:rsid w:val="00B20AA8"/>
    <w:rsid w:val="00B21304"/>
    <w:rsid w:val="00B21E14"/>
    <w:rsid w:val="00B21E39"/>
    <w:rsid w:val="00B2241B"/>
    <w:rsid w:val="00B22745"/>
    <w:rsid w:val="00B227A2"/>
    <w:rsid w:val="00B22B7F"/>
    <w:rsid w:val="00B22DCA"/>
    <w:rsid w:val="00B230C1"/>
    <w:rsid w:val="00B23BC2"/>
    <w:rsid w:val="00B23CD1"/>
    <w:rsid w:val="00B2464D"/>
    <w:rsid w:val="00B24C89"/>
    <w:rsid w:val="00B251E1"/>
    <w:rsid w:val="00B25460"/>
    <w:rsid w:val="00B25D17"/>
    <w:rsid w:val="00B25D3E"/>
    <w:rsid w:val="00B25F2C"/>
    <w:rsid w:val="00B25F34"/>
    <w:rsid w:val="00B26473"/>
    <w:rsid w:val="00B26691"/>
    <w:rsid w:val="00B26E67"/>
    <w:rsid w:val="00B270D6"/>
    <w:rsid w:val="00B2777B"/>
    <w:rsid w:val="00B30AEE"/>
    <w:rsid w:val="00B30B30"/>
    <w:rsid w:val="00B30D24"/>
    <w:rsid w:val="00B31559"/>
    <w:rsid w:val="00B31587"/>
    <w:rsid w:val="00B31D35"/>
    <w:rsid w:val="00B31F03"/>
    <w:rsid w:val="00B3273E"/>
    <w:rsid w:val="00B337AB"/>
    <w:rsid w:val="00B340E0"/>
    <w:rsid w:val="00B34970"/>
    <w:rsid w:val="00B34F88"/>
    <w:rsid w:val="00B3563A"/>
    <w:rsid w:val="00B36A13"/>
    <w:rsid w:val="00B36B1B"/>
    <w:rsid w:val="00B37075"/>
    <w:rsid w:val="00B3764C"/>
    <w:rsid w:val="00B40280"/>
    <w:rsid w:val="00B40358"/>
    <w:rsid w:val="00B40431"/>
    <w:rsid w:val="00B40E1E"/>
    <w:rsid w:val="00B40FE3"/>
    <w:rsid w:val="00B41664"/>
    <w:rsid w:val="00B4218F"/>
    <w:rsid w:val="00B42225"/>
    <w:rsid w:val="00B42582"/>
    <w:rsid w:val="00B428F2"/>
    <w:rsid w:val="00B42AFD"/>
    <w:rsid w:val="00B42BA5"/>
    <w:rsid w:val="00B42D5F"/>
    <w:rsid w:val="00B42E3B"/>
    <w:rsid w:val="00B4304C"/>
    <w:rsid w:val="00B4318D"/>
    <w:rsid w:val="00B43764"/>
    <w:rsid w:val="00B439BB"/>
    <w:rsid w:val="00B43B5C"/>
    <w:rsid w:val="00B43DF3"/>
    <w:rsid w:val="00B43FD0"/>
    <w:rsid w:val="00B442C7"/>
    <w:rsid w:val="00B443C4"/>
    <w:rsid w:val="00B44C52"/>
    <w:rsid w:val="00B45B63"/>
    <w:rsid w:val="00B45CCA"/>
    <w:rsid w:val="00B45E4A"/>
    <w:rsid w:val="00B4609B"/>
    <w:rsid w:val="00B46296"/>
    <w:rsid w:val="00B465AB"/>
    <w:rsid w:val="00B4677F"/>
    <w:rsid w:val="00B46F2B"/>
    <w:rsid w:val="00B47060"/>
    <w:rsid w:val="00B47577"/>
    <w:rsid w:val="00B479E9"/>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AA0"/>
    <w:rsid w:val="00B56D4F"/>
    <w:rsid w:val="00B56F6A"/>
    <w:rsid w:val="00B57450"/>
    <w:rsid w:val="00B57674"/>
    <w:rsid w:val="00B5769F"/>
    <w:rsid w:val="00B576EA"/>
    <w:rsid w:val="00B603D7"/>
    <w:rsid w:val="00B606C2"/>
    <w:rsid w:val="00B607D6"/>
    <w:rsid w:val="00B60D6E"/>
    <w:rsid w:val="00B61DD5"/>
    <w:rsid w:val="00B62080"/>
    <w:rsid w:val="00B621D6"/>
    <w:rsid w:val="00B6225B"/>
    <w:rsid w:val="00B622EF"/>
    <w:rsid w:val="00B62618"/>
    <w:rsid w:val="00B626DD"/>
    <w:rsid w:val="00B62C74"/>
    <w:rsid w:val="00B62CF0"/>
    <w:rsid w:val="00B6361A"/>
    <w:rsid w:val="00B63854"/>
    <w:rsid w:val="00B64B34"/>
    <w:rsid w:val="00B64F65"/>
    <w:rsid w:val="00B6516D"/>
    <w:rsid w:val="00B65197"/>
    <w:rsid w:val="00B65805"/>
    <w:rsid w:val="00B65A54"/>
    <w:rsid w:val="00B65DAB"/>
    <w:rsid w:val="00B663D3"/>
    <w:rsid w:val="00B666C1"/>
    <w:rsid w:val="00B666CE"/>
    <w:rsid w:val="00B66A72"/>
    <w:rsid w:val="00B66C1B"/>
    <w:rsid w:val="00B67461"/>
    <w:rsid w:val="00B675A8"/>
    <w:rsid w:val="00B67948"/>
    <w:rsid w:val="00B67C1B"/>
    <w:rsid w:val="00B67E02"/>
    <w:rsid w:val="00B703E9"/>
    <w:rsid w:val="00B708AE"/>
    <w:rsid w:val="00B709D6"/>
    <w:rsid w:val="00B713C4"/>
    <w:rsid w:val="00B719F3"/>
    <w:rsid w:val="00B71C9E"/>
    <w:rsid w:val="00B72505"/>
    <w:rsid w:val="00B72C0C"/>
    <w:rsid w:val="00B72E03"/>
    <w:rsid w:val="00B73E36"/>
    <w:rsid w:val="00B740C1"/>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C7C"/>
    <w:rsid w:val="00B802AD"/>
    <w:rsid w:val="00B803E6"/>
    <w:rsid w:val="00B8061B"/>
    <w:rsid w:val="00B80676"/>
    <w:rsid w:val="00B810DC"/>
    <w:rsid w:val="00B81226"/>
    <w:rsid w:val="00B81A53"/>
    <w:rsid w:val="00B81CCB"/>
    <w:rsid w:val="00B81E55"/>
    <w:rsid w:val="00B8207F"/>
    <w:rsid w:val="00B827C2"/>
    <w:rsid w:val="00B8281F"/>
    <w:rsid w:val="00B82B4F"/>
    <w:rsid w:val="00B82B92"/>
    <w:rsid w:val="00B83A47"/>
    <w:rsid w:val="00B83B5F"/>
    <w:rsid w:val="00B8507F"/>
    <w:rsid w:val="00B850B1"/>
    <w:rsid w:val="00B85237"/>
    <w:rsid w:val="00B8536E"/>
    <w:rsid w:val="00B85888"/>
    <w:rsid w:val="00B8595C"/>
    <w:rsid w:val="00B85B45"/>
    <w:rsid w:val="00B85D91"/>
    <w:rsid w:val="00B86362"/>
    <w:rsid w:val="00B86CEF"/>
    <w:rsid w:val="00B86DBE"/>
    <w:rsid w:val="00B8725C"/>
    <w:rsid w:val="00B875F6"/>
    <w:rsid w:val="00B87703"/>
    <w:rsid w:val="00B87CC6"/>
    <w:rsid w:val="00B9043E"/>
    <w:rsid w:val="00B90982"/>
    <w:rsid w:val="00B90E05"/>
    <w:rsid w:val="00B90E9E"/>
    <w:rsid w:val="00B91064"/>
    <w:rsid w:val="00B91731"/>
    <w:rsid w:val="00B91A47"/>
    <w:rsid w:val="00B926ED"/>
    <w:rsid w:val="00B927B6"/>
    <w:rsid w:val="00B92D4B"/>
    <w:rsid w:val="00B930C2"/>
    <w:rsid w:val="00B93254"/>
    <w:rsid w:val="00B93597"/>
    <w:rsid w:val="00B936AB"/>
    <w:rsid w:val="00B93B24"/>
    <w:rsid w:val="00B9605E"/>
    <w:rsid w:val="00B964F9"/>
    <w:rsid w:val="00B96D36"/>
    <w:rsid w:val="00B97016"/>
    <w:rsid w:val="00B97148"/>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556"/>
    <w:rsid w:val="00BA4A8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BF3"/>
    <w:rsid w:val="00BB0F1C"/>
    <w:rsid w:val="00BB0FD8"/>
    <w:rsid w:val="00BB1685"/>
    <w:rsid w:val="00BB1F60"/>
    <w:rsid w:val="00BB240B"/>
    <w:rsid w:val="00BB2A8B"/>
    <w:rsid w:val="00BB2CB9"/>
    <w:rsid w:val="00BB3D66"/>
    <w:rsid w:val="00BB46F4"/>
    <w:rsid w:val="00BB4F58"/>
    <w:rsid w:val="00BB5314"/>
    <w:rsid w:val="00BB5CB8"/>
    <w:rsid w:val="00BB5DCB"/>
    <w:rsid w:val="00BB61AA"/>
    <w:rsid w:val="00BB62E1"/>
    <w:rsid w:val="00BB6804"/>
    <w:rsid w:val="00BB7949"/>
    <w:rsid w:val="00BC005E"/>
    <w:rsid w:val="00BC09B1"/>
    <w:rsid w:val="00BC0BDA"/>
    <w:rsid w:val="00BC0C5F"/>
    <w:rsid w:val="00BC0CA6"/>
    <w:rsid w:val="00BC0F98"/>
    <w:rsid w:val="00BC0FBC"/>
    <w:rsid w:val="00BC1BB3"/>
    <w:rsid w:val="00BC219E"/>
    <w:rsid w:val="00BC3D6B"/>
    <w:rsid w:val="00BC3EF3"/>
    <w:rsid w:val="00BC4976"/>
    <w:rsid w:val="00BC4B55"/>
    <w:rsid w:val="00BC4C7F"/>
    <w:rsid w:val="00BC50B0"/>
    <w:rsid w:val="00BC51EA"/>
    <w:rsid w:val="00BC5EA0"/>
    <w:rsid w:val="00BC6088"/>
    <w:rsid w:val="00BC677E"/>
    <w:rsid w:val="00BC6F10"/>
    <w:rsid w:val="00BC7D1C"/>
    <w:rsid w:val="00BD0052"/>
    <w:rsid w:val="00BD0195"/>
    <w:rsid w:val="00BD07E6"/>
    <w:rsid w:val="00BD0A95"/>
    <w:rsid w:val="00BD0B9A"/>
    <w:rsid w:val="00BD0D43"/>
    <w:rsid w:val="00BD0E41"/>
    <w:rsid w:val="00BD11FB"/>
    <w:rsid w:val="00BD131B"/>
    <w:rsid w:val="00BD161E"/>
    <w:rsid w:val="00BD19E8"/>
    <w:rsid w:val="00BD2205"/>
    <w:rsid w:val="00BD247E"/>
    <w:rsid w:val="00BD2A84"/>
    <w:rsid w:val="00BD2AFB"/>
    <w:rsid w:val="00BD33DC"/>
    <w:rsid w:val="00BD3482"/>
    <w:rsid w:val="00BD358A"/>
    <w:rsid w:val="00BD359E"/>
    <w:rsid w:val="00BD3606"/>
    <w:rsid w:val="00BD3ABF"/>
    <w:rsid w:val="00BD3FE5"/>
    <w:rsid w:val="00BD49FB"/>
    <w:rsid w:val="00BD4D15"/>
    <w:rsid w:val="00BD5984"/>
    <w:rsid w:val="00BD6ADE"/>
    <w:rsid w:val="00BD6BBC"/>
    <w:rsid w:val="00BD6C2D"/>
    <w:rsid w:val="00BD6F39"/>
    <w:rsid w:val="00BD7278"/>
    <w:rsid w:val="00BD7280"/>
    <w:rsid w:val="00BD740E"/>
    <w:rsid w:val="00BD7812"/>
    <w:rsid w:val="00BD7C63"/>
    <w:rsid w:val="00BD7D55"/>
    <w:rsid w:val="00BE00F5"/>
    <w:rsid w:val="00BE02D5"/>
    <w:rsid w:val="00BE0A8F"/>
    <w:rsid w:val="00BE108D"/>
    <w:rsid w:val="00BE1807"/>
    <w:rsid w:val="00BE1A0A"/>
    <w:rsid w:val="00BE1C87"/>
    <w:rsid w:val="00BE1EDD"/>
    <w:rsid w:val="00BE2AC6"/>
    <w:rsid w:val="00BE3596"/>
    <w:rsid w:val="00BE483A"/>
    <w:rsid w:val="00BE48B6"/>
    <w:rsid w:val="00BE498E"/>
    <w:rsid w:val="00BE506B"/>
    <w:rsid w:val="00BE5084"/>
    <w:rsid w:val="00BE51A0"/>
    <w:rsid w:val="00BE5380"/>
    <w:rsid w:val="00BE5EEE"/>
    <w:rsid w:val="00BE5FAD"/>
    <w:rsid w:val="00BE60B0"/>
    <w:rsid w:val="00BE610B"/>
    <w:rsid w:val="00BE62A5"/>
    <w:rsid w:val="00BE77EF"/>
    <w:rsid w:val="00BF02C1"/>
    <w:rsid w:val="00BF05C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F5F"/>
    <w:rsid w:val="00BF3A5B"/>
    <w:rsid w:val="00BF3B65"/>
    <w:rsid w:val="00BF3F62"/>
    <w:rsid w:val="00BF407A"/>
    <w:rsid w:val="00BF4A1F"/>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65D"/>
    <w:rsid w:val="00C0082A"/>
    <w:rsid w:val="00C0116C"/>
    <w:rsid w:val="00C01191"/>
    <w:rsid w:val="00C01777"/>
    <w:rsid w:val="00C01832"/>
    <w:rsid w:val="00C018CC"/>
    <w:rsid w:val="00C01FC3"/>
    <w:rsid w:val="00C01FE0"/>
    <w:rsid w:val="00C0241E"/>
    <w:rsid w:val="00C02A47"/>
    <w:rsid w:val="00C02DE2"/>
    <w:rsid w:val="00C02F7F"/>
    <w:rsid w:val="00C038C8"/>
    <w:rsid w:val="00C03D60"/>
    <w:rsid w:val="00C040DA"/>
    <w:rsid w:val="00C04406"/>
    <w:rsid w:val="00C0497C"/>
    <w:rsid w:val="00C04DE9"/>
    <w:rsid w:val="00C050FE"/>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3A5"/>
    <w:rsid w:val="00C133D2"/>
    <w:rsid w:val="00C13EFF"/>
    <w:rsid w:val="00C147EB"/>
    <w:rsid w:val="00C14A0B"/>
    <w:rsid w:val="00C14FD6"/>
    <w:rsid w:val="00C15540"/>
    <w:rsid w:val="00C1558C"/>
    <w:rsid w:val="00C158F5"/>
    <w:rsid w:val="00C15D93"/>
    <w:rsid w:val="00C15E5F"/>
    <w:rsid w:val="00C16FA3"/>
    <w:rsid w:val="00C17A40"/>
    <w:rsid w:val="00C17B85"/>
    <w:rsid w:val="00C20CE8"/>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8A"/>
    <w:rsid w:val="00C316AB"/>
    <w:rsid w:val="00C31885"/>
    <w:rsid w:val="00C31BDA"/>
    <w:rsid w:val="00C31C68"/>
    <w:rsid w:val="00C31D00"/>
    <w:rsid w:val="00C31E26"/>
    <w:rsid w:val="00C327FC"/>
    <w:rsid w:val="00C33012"/>
    <w:rsid w:val="00C33373"/>
    <w:rsid w:val="00C3390C"/>
    <w:rsid w:val="00C33B17"/>
    <w:rsid w:val="00C33BAD"/>
    <w:rsid w:val="00C340FD"/>
    <w:rsid w:val="00C3480F"/>
    <w:rsid w:val="00C34838"/>
    <w:rsid w:val="00C34F54"/>
    <w:rsid w:val="00C3558F"/>
    <w:rsid w:val="00C35C57"/>
    <w:rsid w:val="00C3607F"/>
    <w:rsid w:val="00C360D4"/>
    <w:rsid w:val="00C364F6"/>
    <w:rsid w:val="00C36842"/>
    <w:rsid w:val="00C36D88"/>
    <w:rsid w:val="00C373DF"/>
    <w:rsid w:val="00C373FA"/>
    <w:rsid w:val="00C37610"/>
    <w:rsid w:val="00C376A2"/>
    <w:rsid w:val="00C4014C"/>
    <w:rsid w:val="00C41DB2"/>
    <w:rsid w:val="00C42194"/>
    <w:rsid w:val="00C427E1"/>
    <w:rsid w:val="00C42B30"/>
    <w:rsid w:val="00C42EA5"/>
    <w:rsid w:val="00C430D0"/>
    <w:rsid w:val="00C4344C"/>
    <w:rsid w:val="00C43745"/>
    <w:rsid w:val="00C438D3"/>
    <w:rsid w:val="00C43A0D"/>
    <w:rsid w:val="00C443AD"/>
    <w:rsid w:val="00C448B1"/>
    <w:rsid w:val="00C4749D"/>
    <w:rsid w:val="00C47B01"/>
    <w:rsid w:val="00C47D3D"/>
    <w:rsid w:val="00C50920"/>
    <w:rsid w:val="00C50FAA"/>
    <w:rsid w:val="00C513F8"/>
    <w:rsid w:val="00C51683"/>
    <w:rsid w:val="00C517F5"/>
    <w:rsid w:val="00C51A62"/>
    <w:rsid w:val="00C51B9D"/>
    <w:rsid w:val="00C51E8E"/>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78F"/>
    <w:rsid w:val="00C56E5A"/>
    <w:rsid w:val="00C57282"/>
    <w:rsid w:val="00C57333"/>
    <w:rsid w:val="00C57694"/>
    <w:rsid w:val="00C57E50"/>
    <w:rsid w:val="00C57F3B"/>
    <w:rsid w:val="00C604BA"/>
    <w:rsid w:val="00C6098B"/>
    <w:rsid w:val="00C61A2B"/>
    <w:rsid w:val="00C61EFF"/>
    <w:rsid w:val="00C61F81"/>
    <w:rsid w:val="00C62889"/>
    <w:rsid w:val="00C62AA5"/>
    <w:rsid w:val="00C63004"/>
    <w:rsid w:val="00C639EA"/>
    <w:rsid w:val="00C63FA6"/>
    <w:rsid w:val="00C63FB6"/>
    <w:rsid w:val="00C6418E"/>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E7"/>
    <w:rsid w:val="00C7305A"/>
    <w:rsid w:val="00C73B2B"/>
    <w:rsid w:val="00C73DB9"/>
    <w:rsid w:val="00C73F85"/>
    <w:rsid w:val="00C740B1"/>
    <w:rsid w:val="00C7436D"/>
    <w:rsid w:val="00C74577"/>
    <w:rsid w:val="00C7472F"/>
    <w:rsid w:val="00C75C0B"/>
    <w:rsid w:val="00C75F2A"/>
    <w:rsid w:val="00C763C6"/>
    <w:rsid w:val="00C764C8"/>
    <w:rsid w:val="00C769D9"/>
    <w:rsid w:val="00C76DE8"/>
    <w:rsid w:val="00C774D9"/>
    <w:rsid w:val="00C8001E"/>
    <w:rsid w:val="00C803E6"/>
    <w:rsid w:val="00C8076E"/>
    <w:rsid w:val="00C80A2F"/>
    <w:rsid w:val="00C80CD2"/>
    <w:rsid w:val="00C80D34"/>
    <w:rsid w:val="00C80DC8"/>
    <w:rsid w:val="00C81720"/>
    <w:rsid w:val="00C818D3"/>
    <w:rsid w:val="00C818FA"/>
    <w:rsid w:val="00C81B9F"/>
    <w:rsid w:val="00C81BE5"/>
    <w:rsid w:val="00C824F9"/>
    <w:rsid w:val="00C82816"/>
    <w:rsid w:val="00C8292D"/>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73A4"/>
    <w:rsid w:val="00C8748E"/>
    <w:rsid w:val="00C87BB4"/>
    <w:rsid w:val="00C900A5"/>
    <w:rsid w:val="00C90ED2"/>
    <w:rsid w:val="00C911D9"/>
    <w:rsid w:val="00C9125C"/>
    <w:rsid w:val="00C91B23"/>
    <w:rsid w:val="00C91C12"/>
    <w:rsid w:val="00C91C9B"/>
    <w:rsid w:val="00C91DBF"/>
    <w:rsid w:val="00C921C1"/>
    <w:rsid w:val="00C92C30"/>
    <w:rsid w:val="00C92E57"/>
    <w:rsid w:val="00C930E5"/>
    <w:rsid w:val="00C9371F"/>
    <w:rsid w:val="00C93B07"/>
    <w:rsid w:val="00C93DFC"/>
    <w:rsid w:val="00C93EA3"/>
    <w:rsid w:val="00C9433F"/>
    <w:rsid w:val="00C94E1F"/>
    <w:rsid w:val="00C9554B"/>
    <w:rsid w:val="00C95CC3"/>
    <w:rsid w:val="00C962D8"/>
    <w:rsid w:val="00C969F2"/>
    <w:rsid w:val="00C96BE9"/>
    <w:rsid w:val="00C96D26"/>
    <w:rsid w:val="00C96DA4"/>
    <w:rsid w:val="00C97033"/>
    <w:rsid w:val="00C971D3"/>
    <w:rsid w:val="00C97455"/>
    <w:rsid w:val="00C97B44"/>
    <w:rsid w:val="00C97E74"/>
    <w:rsid w:val="00CA00AA"/>
    <w:rsid w:val="00CA022E"/>
    <w:rsid w:val="00CA036D"/>
    <w:rsid w:val="00CA03AD"/>
    <w:rsid w:val="00CA0439"/>
    <w:rsid w:val="00CA0ADA"/>
    <w:rsid w:val="00CA0C63"/>
    <w:rsid w:val="00CA0D90"/>
    <w:rsid w:val="00CA0DD5"/>
    <w:rsid w:val="00CA0E42"/>
    <w:rsid w:val="00CA1101"/>
    <w:rsid w:val="00CA1176"/>
    <w:rsid w:val="00CA1579"/>
    <w:rsid w:val="00CA173C"/>
    <w:rsid w:val="00CA1756"/>
    <w:rsid w:val="00CA19B2"/>
    <w:rsid w:val="00CA19D6"/>
    <w:rsid w:val="00CA20F9"/>
    <w:rsid w:val="00CA2212"/>
    <w:rsid w:val="00CA247F"/>
    <w:rsid w:val="00CA26DD"/>
    <w:rsid w:val="00CA27FC"/>
    <w:rsid w:val="00CA2B55"/>
    <w:rsid w:val="00CA2EB1"/>
    <w:rsid w:val="00CA30D7"/>
    <w:rsid w:val="00CA3634"/>
    <w:rsid w:val="00CA39D8"/>
    <w:rsid w:val="00CA56C2"/>
    <w:rsid w:val="00CA59B6"/>
    <w:rsid w:val="00CA5F46"/>
    <w:rsid w:val="00CA6A98"/>
    <w:rsid w:val="00CA6DE6"/>
    <w:rsid w:val="00CA6FB4"/>
    <w:rsid w:val="00CA7438"/>
    <w:rsid w:val="00CA7756"/>
    <w:rsid w:val="00CA7A04"/>
    <w:rsid w:val="00CA7B19"/>
    <w:rsid w:val="00CA7D7E"/>
    <w:rsid w:val="00CA7FA6"/>
    <w:rsid w:val="00CB010C"/>
    <w:rsid w:val="00CB0BC8"/>
    <w:rsid w:val="00CB0CD6"/>
    <w:rsid w:val="00CB1391"/>
    <w:rsid w:val="00CB14A5"/>
    <w:rsid w:val="00CB14B7"/>
    <w:rsid w:val="00CB161A"/>
    <w:rsid w:val="00CB1C39"/>
    <w:rsid w:val="00CB21D4"/>
    <w:rsid w:val="00CB271F"/>
    <w:rsid w:val="00CB3022"/>
    <w:rsid w:val="00CB3833"/>
    <w:rsid w:val="00CB3EB9"/>
    <w:rsid w:val="00CB4D74"/>
    <w:rsid w:val="00CB55C8"/>
    <w:rsid w:val="00CB5BD3"/>
    <w:rsid w:val="00CB602A"/>
    <w:rsid w:val="00CB65BE"/>
    <w:rsid w:val="00CB6731"/>
    <w:rsid w:val="00CB6ADA"/>
    <w:rsid w:val="00CB6E73"/>
    <w:rsid w:val="00CB732B"/>
    <w:rsid w:val="00CB7E06"/>
    <w:rsid w:val="00CC0B3F"/>
    <w:rsid w:val="00CC0DD1"/>
    <w:rsid w:val="00CC1028"/>
    <w:rsid w:val="00CC1372"/>
    <w:rsid w:val="00CC1996"/>
    <w:rsid w:val="00CC2386"/>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4335"/>
    <w:rsid w:val="00CD447E"/>
    <w:rsid w:val="00CD44C6"/>
    <w:rsid w:val="00CD47D7"/>
    <w:rsid w:val="00CD4DB8"/>
    <w:rsid w:val="00CD592F"/>
    <w:rsid w:val="00CD5F82"/>
    <w:rsid w:val="00CD666D"/>
    <w:rsid w:val="00CD6B09"/>
    <w:rsid w:val="00CD6F79"/>
    <w:rsid w:val="00CD6FE2"/>
    <w:rsid w:val="00CD7BD7"/>
    <w:rsid w:val="00CE082E"/>
    <w:rsid w:val="00CE142C"/>
    <w:rsid w:val="00CE15F9"/>
    <w:rsid w:val="00CE17B6"/>
    <w:rsid w:val="00CE1994"/>
    <w:rsid w:val="00CE1CE5"/>
    <w:rsid w:val="00CE2EDF"/>
    <w:rsid w:val="00CE3F29"/>
    <w:rsid w:val="00CE4FAF"/>
    <w:rsid w:val="00CE507E"/>
    <w:rsid w:val="00CE50A4"/>
    <w:rsid w:val="00CE541E"/>
    <w:rsid w:val="00CE562E"/>
    <w:rsid w:val="00CE5965"/>
    <w:rsid w:val="00CE5B3E"/>
    <w:rsid w:val="00CE630D"/>
    <w:rsid w:val="00CE6C89"/>
    <w:rsid w:val="00CE6E95"/>
    <w:rsid w:val="00CE70BC"/>
    <w:rsid w:val="00CE7320"/>
    <w:rsid w:val="00CE7731"/>
    <w:rsid w:val="00CE7A47"/>
    <w:rsid w:val="00CF010E"/>
    <w:rsid w:val="00CF1212"/>
    <w:rsid w:val="00CF127C"/>
    <w:rsid w:val="00CF13D3"/>
    <w:rsid w:val="00CF15FA"/>
    <w:rsid w:val="00CF18D0"/>
    <w:rsid w:val="00CF1F85"/>
    <w:rsid w:val="00CF2448"/>
    <w:rsid w:val="00CF465F"/>
    <w:rsid w:val="00CF4944"/>
    <w:rsid w:val="00CF4D65"/>
    <w:rsid w:val="00CF5407"/>
    <w:rsid w:val="00CF562A"/>
    <w:rsid w:val="00CF5C3F"/>
    <w:rsid w:val="00CF5DA8"/>
    <w:rsid w:val="00CF670C"/>
    <w:rsid w:val="00CF6786"/>
    <w:rsid w:val="00CF6846"/>
    <w:rsid w:val="00CF69AC"/>
    <w:rsid w:val="00CF6F49"/>
    <w:rsid w:val="00CF739C"/>
    <w:rsid w:val="00D00358"/>
    <w:rsid w:val="00D004E0"/>
    <w:rsid w:val="00D00FE2"/>
    <w:rsid w:val="00D01065"/>
    <w:rsid w:val="00D01381"/>
    <w:rsid w:val="00D02061"/>
    <w:rsid w:val="00D020A0"/>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642D"/>
    <w:rsid w:val="00D079C2"/>
    <w:rsid w:val="00D07D93"/>
    <w:rsid w:val="00D07E02"/>
    <w:rsid w:val="00D10220"/>
    <w:rsid w:val="00D10B69"/>
    <w:rsid w:val="00D10E30"/>
    <w:rsid w:val="00D10F70"/>
    <w:rsid w:val="00D1123C"/>
    <w:rsid w:val="00D11270"/>
    <w:rsid w:val="00D12117"/>
    <w:rsid w:val="00D1211D"/>
    <w:rsid w:val="00D1268E"/>
    <w:rsid w:val="00D12E54"/>
    <w:rsid w:val="00D13D40"/>
    <w:rsid w:val="00D13DCD"/>
    <w:rsid w:val="00D13E39"/>
    <w:rsid w:val="00D14827"/>
    <w:rsid w:val="00D149AE"/>
    <w:rsid w:val="00D15032"/>
    <w:rsid w:val="00D1608B"/>
    <w:rsid w:val="00D16163"/>
    <w:rsid w:val="00D16865"/>
    <w:rsid w:val="00D178C2"/>
    <w:rsid w:val="00D17D2C"/>
    <w:rsid w:val="00D20230"/>
    <w:rsid w:val="00D204AE"/>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CE5"/>
    <w:rsid w:val="00D25D68"/>
    <w:rsid w:val="00D25E06"/>
    <w:rsid w:val="00D26229"/>
    <w:rsid w:val="00D263FE"/>
    <w:rsid w:val="00D26623"/>
    <w:rsid w:val="00D26F9F"/>
    <w:rsid w:val="00D2786C"/>
    <w:rsid w:val="00D31121"/>
    <w:rsid w:val="00D3178B"/>
    <w:rsid w:val="00D31ABA"/>
    <w:rsid w:val="00D333C9"/>
    <w:rsid w:val="00D33B2E"/>
    <w:rsid w:val="00D3400B"/>
    <w:rsid w:val="00D344A3"/>
    <w:rsid w:val="00D34A26"/>
    <w:rsid w:val="00D34AAD"/>
    <w:rsid w:val="00D3505D"/>
    <w:rsid w:val="00D35408"/>
    <w:rsid w:val="00D3565D"/>
    <w:rsid w:val="00D3569D"/>
    <w:rsid w:val="00D3570D"/>
    <w:rsid w:val="00D35909"/>
    <w:rsid w:val="00D35C30"/>
    <w:rsid w:val="00D35E04"/>
    <w:rsid w:val="00D36CA6"/>
    <w:rsid w:val="00D3703C"/>
    <w:rsid w:val="00D3770B"/>
    <w:rsid w:val="00D37A90"/>
    <w:rsid w:val="00D37DDB"/>
    <w:rsid w:val="00D40314"/>
    <w:rsid w:val="00D40B0A"/>
    <w:rsid w:val="00D40C2C"/>
    <w:rsid w:val="00D412F5"/>
    <w:rsid w:val="00D4140F"/>
    <w:rsid w:val="00D41783"/>
    <w:rsid w:val="00D422EF"/>
    <w:rsid w:val="00D426AB"/>
    <w:rsid w:val="00D42B3A"/>
    <w:rsid w:val="00D42B4A"/>
    <w:rsid w:val="00D437B1"/>
    <w:rsid w:val="00D43F30"/>
    <w:rsid w:val="00D44491"/>
    <w:rsid w:val="00D446C6"/>
    <w:rsid w:val="00D44FDD"/>
    <w:rsid w:val="00D45854"/>
    <w:rsid w:val="00D45AAB"/>
    <w:rsid w:val="00D45AC8"/>
    <w:rsid w:val="00D4601C"/>
    <w:rsid w:val="00D467A9"/>
    <w:rsid w:val="00D4688A"/>
    <w:rsid w:val="00D46FCA"/>
    <w:rsid w:val="00D47253"/>
    <w:rsid w:val="00D47CBE"/>
    <w:rsid w:val="00D47EE6"/>
    <w:rsid w:val="00D5016F"/>
    <w:rsid w:val="00D5070D"/>
    <w:rsid w:val="00D50964"/>
    <w:rsid w:val="00D509CC"/>
    <w:rsid w:val="00D50FB5"/>
    <w:rsid w:val="00D5171C"/>
    <w:rsid w:val="00D51AAB"/>
    <w:rsid w:val="00D51E4E"/>
    <w:rsid w:val="00D520FE"/>
    <w:rsid w:val="00D527BD"/>
    <w:rsid w:val="00D52E31"/>
    <w:rsid w:val="00D52F42"/>
    <w:rsid w:val="00D53BC6"/>
    <w:rsid w:val="00D53F8F"/>
    <w:rsid w:val="00D542C7"/>
    <w:rsid w:val="00D543CC"/>
    <w:rsid w:val="00D549FA"/>
    <w:rsid w:val="00D551E9"/>
    <w:rsid w:val="00D553F7"/>
    <w:rsid w:val="00D55C75"/>
    <w:rsid w:val="00D55DBD"/>
    <w:rsid w:val="00D5635C"/>
    <w:rsid w:val="00D56363"/>
    <w:rsid w:val="00D56663"/>
    <w:rsid w:val="00D5699D"/>
    <w:rsid w:val="00D56BBC"/>
    <w:rsid w:val="00D57209"/>
    <w:rsid w:val="00D5775A"/>
    <w:rsid w:val="00D578F2"/>
    <w:rsid w:val="00D609D6"/>
    <w:rsid w:val="00D60E88"/>
    <w:rsid w:val="00D61A05"/>
    <w:rsid w:val="00D61DFE"/>
    <w:rsid w:val="00D61E62"/>
    <w:rsid w:val="00D62205"/>
    <w:rsid w:val="00D6238D"/>
    <w:rsid w:val="00D62531"/>
    <w:rsid w:val="00D6271D"/>
    <w:rsid w:val="00D627C1"/>
    <w:rsid w:val="00D62C80"/>
    <w:rsid w:val="00D62E52"/>
    <w:rsid w:val="00D63AF9"/>
    <w:rsid w:val="00D63B0F"/>
    <w:rsid w:val="00D646C2"/>
    <w:rsid w:val="00D6486E"/>
    <w:rsid w:val="00D6497F"/>
    <w:rsid w:val="00D65437"/>
    <w:rsid w:val="00D6560A"/>
    <w:rsid w:val="00D657FE"/>
    <w:rsid w:val="00D65905"/>
    <w:rsid w:val="00D65D99"/>
    <w:rsid w:val="00D66885"/>
    <w:rsid w:val="00D66B8A"/>
    <w:rsid w:val="00D66E22"/>
    <w:rsid w:val="00D67241"/>
    <w:rsid w:val="00D674DF"/>
    <w:rsid w:val="00D67D53"/>
    <w:rsid w:val="00D67E28"/>
    <w:rsid w:val="00D67F57"/>
    <w:rsid w:val="00D70923"/>
    <w:rsid w:val="00D70E3B"/>
    <w:rsid w:val="00D70EC8"/>
    <w:rsid w:val="00D70FC5"/>
    <w:rsid w:val="00D7155B"/>
    <w:rsid w:val="00D71A7E"/>
    <w:rsid w:val="00D71B79"/>
    <w:rsid w:val="00D71DAA"/>
    <w:rsid w:val="00D71ED3"/>
    <w:rsid w:val="00D7219F"/>
    <w:rsid w:val="00D72282"/>
    <w:rsid w:val="00D726F0"/>
    <w:rsid w:val="00D728E9"/>
    <w:rsid w:val="00D72946"/>
    <w:rsid w:val="00D72B8A"/>
    <w:rsid w:val="00D74FC6"/>
    <w:rsid w:val="00D7583B"/>
    <w:rsid w:val="00D75B3E"/>
    <w:rsid w:val="00D75E05"/>
    <w:rsid w:val="00D75F87"/>
    <w:rsid w:val="00D762DF"/>
    <w:rsid w:val="00D7630D"/>
    <w:rsid w:val="00D76E9F"/>
    <w:rsid w:val="00D76F8E"/>
    <w:rsid w:val="00D7709A"/>
    <w:rsid w:val="00D778D3"/>
    <w:rsid w:val="00D77B2D"/>
    <w:rsid w:val="00D77F59"/>
    <w:rsid w:val="00D8148D"/>
    <w:rsid w:val="00D81509"/>
    <w:rsid w:val="00D81A0A"/>
    <w:rsid w:val="00D82083"/>
    <w:rsid w:val="00D822D1"/>
    <w:rsid w:val="00D8261B"/>
    <w:rsid w:val="00D82C50"/>
    <w:rsid w:val="00D832FE"/>
    <w:rsid w:val="00D83A20"/>
    <w:rsid w:val="00D83CB7"/>
    <w:rsid w:val="00D83FD2"/>
    <w:rsid w:val="00D843B6"/>
    <w:rsid w:val="00D84534"/>
    <w:rsid w:val="00D84BBE"/>
    <w:rsid w:val="00D84D19"/>
    <w:rsid w:val="00D84EED"/>
    <w:rsid w:val="00D852B4"/>
    <w:rsid w:val="00D856E6"/>
    <w:rsid w:val="00D857FC"/>
    <w:rsid w:val="00D85A2A"/>
    <w:rsid w:val="00D85AD3"/>
    <w:rsid w:val="00D8630E"/>
    <w:rsid w:val="00D86A98"/>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4042"/>
    <w:rsid w:val="00D947EA"/>
    <w:rsid w:val="00D9494C"/>
    <w:rsid w:val="00D94A57"/>
    <w:rsid w:val="00D94BF1"/>
    <w:rsid w:val="00D954D7"/>
    <w:rsid w:val="00D95CB4"/>
    <w:rsid w:val="00D96396"/>
    <w:rsid w:val="00D96970"/>
    <w:rsid w:val="00D972E4"/>
    <w:rsid w:val="00D973BF"/>
    <w:rsid w:val="00D97485"/>
    <w:rsid w:val="00D9756C"/>
    <w:rsid w:val="00D97628"/>
    <w:rsid w:val="00D978DF"/>
    <w:rsid w:val="00D97D04"/>
    <w:rsid w:val="00DA009E"/>
    <w:rsid w:val="00DA0225"/>
    <w:rsid w:val="00DA02A3"/>
    <w:rsid w:val="00DA15DA"/>
    <w:rsid w:val="00DA16BA"/>
    <w:rsid w:val="00DA1A7F"/>
    <w:rsid w:val="00DA1F27"/>
    <w:rsid w:val="00DA20ED"/>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76B"/>
    <w:rsid w:val="00DB0C18"/>
    <w:rsid w:val="00DB0FF0"/>
    <w:rsid w:val="00DB1269"/>
    <w:rsid w:val="00DB15B8"/>
    <w:rsid w:val="00DB1A88"/>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49B"/>
    <w:rsid w:val="00DC0E59"/>
    <w:rsid w:val="00DC0F1C"/>
    <w:rsid w:val="00DC0FE0"/>
    <w:rsid w:val="00DC1DC6"/>
    <w:rsid w:val="00DC236E"/>
    <w:rsid w:val="00DC2EA5"/>
    <w:rsid w:val="00DC2FFC"/>
    <w:rsid w:val="00DC37E3"/>
    <w:rsid w:val="00DC39B4"/>
    <w:rsid w:val="00DC40B5"/>
    <w:rsid w:val="00DC48E4"/>
    <w:rsid w:val="00DC51A7"/>
    <w:rsid w:val="00DC55ED"/>
    <w:rsid w:val="00DC688A"/>
    <w:rsid w:val="00DC7CA0"/>
    <w:rsid w:val="00DC7D6F"/>
    <w:rsid w:val="00DD0464"/>
    <w:rsid w:val="00DD12D5"/>
    <w:rsid w:val="00DD1417"/>
    <w:rsid w:val="00DD15B2"/>
    <w:rsid w:val="00DD1635"/>
    <w:rsid w:val="00DD18AB"/>
    <w:rsid w:val="00DD2231"/>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B8"/>
    <w:rsid w:val="00DE125D"/>
    <w:rsid w:val="00DE1927"/>
    <w:rsid w:val="00DE1985"/>
    <w:rsid w:val="00DE2821"/>
    <w:rsid w:val="00DE2B85"/>
    <w:rsid w:val="00DE2EAB"/>
    <w:rsid w:val="00DE2F9F"/>
    <w:rsid w:val="00DE3319"/>
    <w:rsid w:val="00DE3ACB"/>
    <w:rsid w:val="00DE3ADF"/>
    <w:rsid w:val="00DE42D0"/>
    <w:rsid w:val="00DE43AB"/>
    <w:rsid w:val="00DE4E8E"/>
    <w:rsid w:val="00DE52DE"/>
    <w:rsid w:val="00DE5AC0"/>
    <w:rsid w:val="00DE5E3C"/>
    <w:rsid w:val="00DE62D1"/>
    <w:rsid w:val="00DE65F8"/>
    <w:rsid w:val="00DE69E3"/>
    <w:rsid w:val="00DE72C3"/>
    <w:rsid w:val="00DE740F"/>
    <w:rsid w:val="00DF0040"/>
    <w:rsid w:val="00DF05F2"/>
    <w:rsid w:val="00DF0AAD"/>
    <w:rsid w:val="00DF0B5F"/>
    <w:rsid w:val="00DF103A"/>
    <w:rsid w:val="00DF1271"/>
    <w:rsid w:val="00DF1CF5"/>
    <w:rsid w:val="00DF2013"/>
    <w:rsid w:val="00DF2432"/>
    <w:rsid w:val="00DF2A00"/>
    <w:rsid w:val="00DF2B3E"/>
    <w:rsid w:val="00DF323B"/>
    <w:rsid w:val="00DF3A44"/>
    <w:rsid w:val="00DF3B08"/>
    <w:rsid w:val="00DF3EF7"/>
    <w:rsid w:val="00DF3F06"/>
    <w:rsid w:val="00DF46B7"/>
    <w:rsid w:val="00DF559E"/>
    <w:rsid w:val="00DF57D7"/>
    <w:rsid w:val="00DF58D6"/>
    <w:rsid w:val="00DF5AC1"/>
    <w:rsid w:val="00DF5D8F"/>
    <w:rsid w:val="00DF6925"/>
    <w:rsid w:val="00DF69D4"/>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E0A"/>
    <w:rsid w:val="00E021E4"/>
    <w:rsid w:val="00E02ACF"/>
    <w:rsid w:val="00E02DCA"/>
    <w:rsid w:val="00E0308A"/>
    <w:rsid w:val="00E03093"/>
    <w:rsid w:val="00E0333C"/>
    <w:rsid w:val="00E03D6A"/>
    <w:rsid w:val="00E03E78"/>
    <w:rsid w:val="00E03F5A"/>
    <w:rsid w:val="00E045EF"/>
    <w:rsid w:val="00E04E1B"/>
    <w:rsid w:val="00E05191"/>
    <w:rsid w:val="00E057FE"/>
    <w:rsid w:val="00E062ED"/>
    <w:rsid w:val="00E06DDF"/>
    <w:rsid w:val="00E06DEB"/>
    <w:rsid w:val="00E07377"/>
    <w:rsid w:val="00E073DD"/>
    <w:rsid w:val="00E075D9"/>
    <w:rsid w:val="00E077D0"/>
    <w:rsid w:val="00E07AC1"/>
    <w:rsid w:val="00E07D72"/>
    <w:rsid w:val="00E07DC2"/>
    <w:rsid w:val="00E07E1C"/>
    <w:rsid w:val="00E07EC6"/>
    <w:rsid w:val="00E1099B"/>
    <w:rsid w:val="00E10B7D"/>
    <w:rsid w:val="00E10C74"/>
    <w:rsid w:val="00E11977"/>
    <w:rsid w:val="00E11AFB"/>
    <w:rsid w:val="00E11D92"/>
    <w:rsid w:val="00E1288A"/>
    <w:rsid w:val="00E12A77"/>
    <w:rsid w:val="00E12CD6"/>
    <w:rsid w:val="00E12CF3"/>
    <w:rsid w:val="00E1385B"/>
    <w:rsid w:val="00E1386F"/>
    <w:rsid w:val="00E13AB7"/>
    <w:rsid w:val="00E141CA"/>
    <w:rsid w:val="00E14E6B"/>
    <w:rsid w:val="00E14FDD"/>
    <w:rsid w:val="00E15387"/>
    <w:rsid w:val="00E15988"/>
    <w:rsid w:val="00E15A81"/>
    <w:rsid w:val="00E162B2"/>
    <w:rsid w:val="00E16DF5"/>
    <w:rsid w:val="00E17106"/>
    <w:rsid w:val="00E17275"/>
    <w:rsid w:val="00E17EE6"/>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710"/>
    <w:rsid w:val="00E24EAC"/>
    <w:rsid w:val="00E251BB"/>
    <w:rsid w:val="00E259BA"/>
    <w:rsid w:val="00E25C7D"/>
    <w:rsid w:val="00E260CB"/>
    <w:rsid w:val="00E262AD"/>
    <w:rsid w:val="00E26852"/>
    <w:rsid w:val="00E269D1"/>
    <w:rsid w:val="00E26A50"/>
    <w:rsid w:val="00E278E1"/>
    <w:rsid w:val="00E27A13"/>
    <w:rsid w:val="00E27B0B"/>
    <w:rsid w:val="00E30030"/>
    <w:rsid w:val="00E30533"/>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D2F"/>
    <w:rsid w:val="00E35E90"/>
    <w:rsid w:val="00E3642F"/>
    <w:rsid w:val="00E3647E"/>
    <w:rsid w:val="00E36FBF"/>
    <w:rsid w:val="00E3725D"/>
    <w:rsid w:val="00E375CA"/>
    <w:rsid w:val="00E379D2"/>
    <w:rsid w:val="00E37D94"/>
    <w:rsid w:val="00E401AF"/>
    <w:rsid w:val="00E408D8"/>
    <w:rsid w:val="00E40B36"/>
    <w:rsid w:val="00E412C5"/>
    <w:rsid w:val="00E4131B"/>
    <w:rsid w:val="00E414CC"/>
    <w:rsid w:val="00E41957"/>
    <w:rsid w:val="00E424C6"/>
    <w:rsid w:val="00E42F7E"/>
    <w:rsid w:val="00E43024"/>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C5F"/>
    <w:rsid w:val="00E56FCA"/>
    <w:rsid w:val="00E56FE3"/>
    <w:rsid w:val="00E5786B"/>
    <w:rsid w:val="00E57EA9"/>
    <w:rsid w:val="00E604F6"/>
    <w:rsid w:val="00E60C55"/>
    <w:rsid w:val="00E61699"/>
    <w:rsid w:val="00E618BD"/>
    <w:rsid w:val="00E61B64"/>
    <w:rsid w:val="00E62244"/>
    <w:rsid w:val="00E6249D"/>
    <w:rsid w:val="00E62800"/>
    <w:rsid w:val="00E6341E"/>
    <w:rsid w:val="00E6372D"/>
    <w:rsid w:val="00E64AA9"/>
    <w:rsid w:val="00E64C38"/>
    <w:rsid w:val="00E64DEC"/>
    <w:rsid w:val="00E64F51"/>
    <w:rsid w:val="00E654E2"/>
    <w:rsid w:val="00E65ABD"/>
    <w:rsid w:val="00E660D2"/>
    <w:rsid w:val="00E66465"/>
    <w:rsid w:val="00E66CAE"/>
    <w:rsid w:val="00E6757B"/>
    <w:rsid w:val="00E67C97"/>
    <w:rsid w:val="00E67CA6"/>
    <w:rsid w:val="00E67E99"/>
    <w:rsid w:val="00E70A02"/>
    <w:rsid w:val="00E711DF"/>
    <w:rsid w:val="00E7151E"/>
    <w:rsid w:val="00E722B7"/>
    <w:rsid w:val="00E7236D"/>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A3B"/>
    <w:rsid w:val="00E76F10"/>
    <w:rsid w:val="00E771C2"/>
    <w:rsid w:val="00E773D6"/>
    <w:rsid w:val="00E77B36"/>
    <w:rsid w:val="00E800C2"/>
    <w:rsid w:val="00E801D9"/>
    <w:rsid w:val="00E805A2"/>
    <w:rsid w:val="00E81995"/>
    <w:rsid w:val="00E819FD"/>
    <w:rsid w:val="00E819FE"/>
    <w:rsid w:val="00E81E9D"/>
    <w:rsid w:val="00E820CA"/>
    <w:rsid w:val="00E82A0D"/>
    <w:rsid w:val="00E82FC2"/>
    <w:rsid w:val="00E82FD4"/>
    <w:rsid w:val="00E83086"/>
    <w:rsid w:val="00E8350F"/>
    <w:rsid w:val="00E83916"/>
    <w:rsid w:val="00E8394B"/>
    <w:rsid w:val="00E840AB"/>
    <w:rsid w:val="00E84178"/>
    <w:rsid w:val="00E84DAB"/>
    <w:rsid w:val="00E8527E"/>
    <w:rsid w:val="00E852E0"/>
    <w:rsid w:val="00E85522"/>
    <w:rsid w:val="00E8599F"/>
    <w:rsid w:val="00E85C9F"/>
    <w:rsid w:val="00E86168"/>
    <w:rsid w:val="00E86218"/>
    <w:rsid w:val="00E871A3"/>
    <w:rsid w:val="00E871B4"/>
    <w:rsid w:val="00E8742D"/>
    <w:rsid w:val="00E87F35"/>
    <w:rsid w:val="00E90069"/>
    <w:rsid w:val="00E90C00"/>
    <w:rsid w:val="00E90F08"/>
    <w:rsid w:val="00E91817"/>
    <w:rsid w:val="00E923EA"/>
    <w:rsid w:val="00E92646"/>
    <w:rsid w:val="00E9295E"/>
    <w:rsid w:val="00E92AE1"/>
    <w:rsid w:val="00E92BE7"/>
    <w:rsid w:val="00E92C4B"/>
    <w:rsid w:val="00E930A6"/>
    <w:rsid w:val="00E932BA"/>
    <w:rsid w:val="00E93779"/>
    <w:rsid w:val="00E93C80"/>
    <w:rsid w:val="00E93CBA"/>
    <w:rsid w:val="00E93ECE"/>
    <w:rsid w:val="00E94220"/>
    <w:rsid w:val="00E94B5D"/>
    <w:rsid w:val="00E9505F"/>
    <w:rsid w:val="00E951EC"/>
    <w:rsid w:val="00E95A11"/>
    <w:rsid w:val="00E960AC"/>
    <w:rsid w:val="00E961E0"/>
    <w:rsid w:val="00E9630A"/>
    <w:rsid w:val="00E963FB"/>
    <w:rsid w:val="00E964A0"/>
    <w:rsid w:val="00E96827"/>
    <w:rsid w:val="00E96D6D"/>
    <w:rsid w:val="00E96E52"/>
    <w:rsid w:val="00EA050E"/>
    <w:rsid w:val="00EA06AA"/>
    <w:rsid w:val="00EA113E"/>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6599"/>
    <w:rsid w:val="00EA65C6"/>
    <w:rsid w:val="00EA6E86"/>
    <w:rsid w:val="00EA6F43"/>
    <w:rsid w:val="00EA768D"/>
    <w:rsid w:val="00EA789A"/>
    <w:rsid w:val="00EA7C62"/>
    <w:rsid w:val="00EB0707"/>
    <w:rsid w:val="00EB2B7D"/>
    <w:rsid w:val="00EB3860"/>
    <w:rsid w:val="00EB3ED7"/>
    <w:rsid w:val="00EB3FA1"/>
    <w:rsid w:val="00EB403C"/>
    <w:rsid w:val="00EB40AF"/>
    <w:rsid w:val="00EB4664"/>
    <w:rsid w:val="00EB585A"/>
    <w:rsid w:val="00EB5D9A"/>
    <w:rsid w:val="00EB741A"/>
    <w:rsid w:val="00EB775D"/>
    <w:rsid w:val="00EB7CD8"/>
    <w:rsid w:val="00EC0E29"/>
    <w:rsid w:val="00EC119E"/>
    <w:rsid w:val="00EC1216"/>
    <w:rsid w:val="00EC1330"/>
    <w:rsid w:val="00EC1462"/>
    <w:rsid w:val="00EC164B"/>
    <w:rsid w:val="00EC264E"/>
    <w:rsid w:val="00EC27C4"/>
    <w:rsid w:val="00EC3650"/>
    <w:rsid w:val="00EC3E0C"/>
    <w:rsid w:val="00EC3F2A"/>
    <w:rsid w:val="00EC40EA"/>
    <w:rsid w:val="00EC4794"/>
    <w:rsid w:val="00EC4A8C"/>
    <w:rsid w:val="00EC4BC5"/>
    <w:rsid w:val="00EC4EA0"/>
    <w:rsid w:val="00EC594B"/>
    <w:rsid w:val="00EC59BC"/>
    <w:rsid w:val="00EC5AED"/>
    <w:rsid w:val="00EC5EBD"/>
    <w:rsid w:val="00EC62E3"/>
    <w:rsid w:val="00EC649A"/>
    <w:rsid w:val="00EC672F"/>
    <w:rsid w:val="00EC67B6"/>
    <w:rsid w:val="00EC6B8A"/>
    <w:rsid w:val="00EC7585"/>
    <w:rsid w:val="00EC76EC"/>
    <w:rsid w:val="00EC7B59"/>
    <w:rsid w:val="00EC7F38"/>
    <w:rsid w:val="00ED0336"/>
    <w:rsid w:val="00ED097E"/>
    <w:rsid w:val="00ED0CEC"/>
    <w:rsid w:val="00ED0E99"/>
    <w:rsid w:val="00ED166E"/>
    <w:rsid w:val="00ED181F"/>
    <w:rsid w:val="00ED1CEC"/>
    <w:rsid w:val="00ED2861"/>
    <w:rsid w:val="00ED2C96"/>
    <w:rsid w:val="00ED2EB5"/>
    <w:rsid w:val="00ED3AC6"/>
    <w:rsid w:val="00ED3B9A"/>
    <w:rsid w:val="00ED48BC"/>
    <w:rsid w:val="00ED490E"/>
    <w:rsid w:val="00ED496A"/>
    <w:rsid w:val="00ED4B74"/>
    <w:rsid w:val="00ED4DD0"/>
    <w:rsid w:val="00ED506B"/>
    <w:rsid w:val="00ED55F8"/>
    <w:rsid w:val="00ED5701"/>
    <w:rsid w:val="00ED57AB"/>
    <w:rsid w:val="00ED5F7B"/>
    <w:rsid w:val="00ED65FB"/>
    <w:rsid w:val="00ED676C"/>
    <w:rsid w:val="00ED67E9"/>
    <w:rsid w:val="00ED6A9D"/>
    <w:rsid w:val="00ED6D89"/>
    <w:rsid w:val="00ED7742"/>
    <w:rsid w:val="00ED7CAD"/>
    <w:rsid w:val="00ED7E71"/>
    <w:rsid w:val="00EE0353"/>
    <w:rsid w:val="00EE0399"/>
    <w:rsid w:val="00EE0E45"/>
    <w:rsid w:val="00EE145E"/>
    <w:rsid w:val="00EE1473"/>
    <w:rsid w:val="00EE1588"/>
    <w:rsid w:val="00EE1704"/>
    <w:rsid w:val="00EE2465"/>
    <w:rsid w:val="00EE2696"/>
    <w:rsid w:val="00EE34AD"/>
    <w:rsid w:val="00EE3A71"/>
    <w:rsid w:val="00EE3E17"/>
    <w:rsid w:val="00EE4644"/>
    <w:rsid w:val="00EE46B7"/>
    <w:rsid w:val="00EE476C"/>
    <w:rsid w:val="00EE47D9"/>
    <w:rsid w:val="00EE4A98"/>
    <w:rsid w:val="00EE4D70"/>
    <w:rsid w:val="00EE588F"/>
    <w:rsid w:val="00EE5C17"/>
    <w:rsid w:val="00EE5F74"/>
    <w:rsid w:val="00EE5FF7"/>
    <w:rsid w:val="00EE6084"/>
    <w:rsid w:val="00EE6087"/>
    <w:rsid w:val="00EE661A"/>
    <w:rsid w:val="00EE679B"/>
    <w:rsid w:val="00EE69EA"/>
    <w:rsid w:val="00EE709A"/>
    <w:rsid w:val="00EE7726"/>
    <w:rsid w:val="00EE7AE1"/>
    <w:rsid w:val="00EE7D42"/>
    <w:rsid w:val="00EF01A9"/>
    <w:rsid w:val="00EF1A95"/>
    <w:rsid w:val="00EF1BFB"/>
    <w:rsid w:val="00EF1DB0"/>
    <w:rsid w:val="00EF20E8"/>
    <w:rsid w:val="00EF21F0"/>
    <w:rsid w:val="00EF2299"/>
    <w:rsid w:val="00EF2575"/>
    <w:rsid w:val="00EF27C1"/>
    <w:rsid w:val="00EF2F15"/>
    <w:rsid w:val="00EF3693"/>
    <w:rsid w:val="00EF409F"/>
    <w:rsid w:val="00EF4149"/>
    <w:rsid w:val="00EF4A32"/>
    <w:rsid w:val="00EF4A6E"/>
    <w:rsid w:val="00EF4D6D"/>
    <w:rsid w:val="00EF5137"/>
    <w:rsid w:val="00EF51C6"/>
    <w:rsid w:val="00EF5734"/>
    <w:rsid w:val="00EF64A2"/>
    <w:rsid w:val="00EF6B6F"/>
    <w:rsid w:val="00EF792A"/>
    <w:rsid w:val="00F00829"/>
    <w:rsid w:val="00F00B83"/>
    <w:rsid w:val="00F01EB6"/>
    <w:rsid w:val="00F02514"/>
    <w:rsid w:val="00F02884"/>
    <w:rsid w:val="00F02A46"/>
    <w:rsid w:val="00F02AE6"/>
    <w:rsid w:val="00F034A7"/>
    <w:rsid w:val="00F034B5"/>
    <w:rsid w:val="00F03815"/>
    <w:rsid w:val="00F039CB"/>
    <w:rsid w:val="00F03A5C"/>
    <w:rsid w:val="00F03EFD"/>
    <w:rsid w:val="00F04190"/>
    <w:rsid w:val="00F044D0"/>
    <w:rsid w:val="00F047C6"/>
    <w:rsid w:val="00F04953"/>
    <w:rsid w:val="00F04A64"/>
    <w:rsid w:val="00F053CA"/>
    <w:rsid w:val="00F0562A"/>
    <w:rsid w:val="00F059DA"/>
    <w:rsid w:val="00F05B64"/>
    <w:rsid w:val="00F05D78"/>
    <w:rsid w:val="00F05EF1"/>
    <w:rsid w:val="00F06692"/>
    <w:rsid w:val="00F077CF"/>
    <w:rsid w:val="00F078A8"/>
    <w:rsid w:val="00F07E31"/>
    <w:rsid w:val="00F104FD"/>
    <w:rsid w:val="00F10A3C"/>
    <w:rsid w:val="00F10BF0"/>
    <w:rsid w:val="00F110BB"/>
    <w:rsid w:val="00F11F73"/>
    <w:rsid w:val="00F12054"/>
    <w:rsid w:val="00F1209D"/>
    <w:rsid w:val="00F126B0"/>
    <w:rsid w:val="00F12AAF"/>
    <w:rsid w:val="00F12E09"/>
    <w:rsid w:val="00F13114"/>
    <w:rsid w:val="00F13556"/>
    <w:rsid w:val="00F1383F"/>
    <w:rsid w:val="00F13866"/>
    <w:rsid w:val="00F138FA"/>
    <w:rsid w:val="00F13AFD"/>
    <w:rsid w:val="00F14711"/>
    <w:rsid w:val="00F14957"/>
    <w:rsid w:val="00F14A27"/>
    <w:rsid w:val="00F1539B"/>
    <w:rsid w:val="00F16AE1"/>
    <w:rsid w:val="00F17528"/>
    <w:rsid w:val="00F175A4"/>
    <w:rsid w:val="00F176E7"/>
    <w:rsid w:val="00F17C26"/>
    <w:rsid w:val="00F17EBE"/>
    <w:rsid w:val="00F2034E"/>
    <w:rsid w:val="00F20655"/>
    <w:rsid w:val="00F20774"/>
    <w:rsid w:val="00F20E32"/>
    <w:rsid w:val="00F20F7F"/>
    <w:rsid w:val="00F21A1B"/>
    <w:rsid w:val="00F21F62"/>
    <w:rsid w:val="00F22106"/>
    <w:rsid w:val="00F22313"/>
    <w:rsid w:val="00F22B44"/>
    <w:rsid w:val="00F2301C"/>
    <w:rsid w:val="00F23066"/>
    <w:rsid w:val="00F237FA"/>
    <w:rsid w:val="00F23E66"/>
    <w:rsid w:val="00F2415B"/>
    <w:rsid w:val="00F24ADA"/>
    <w:rsid w:val="00F25255"/>
    <w:rsid w:val="00F2550F"/>
    <w:rsid w:val="00F25603"/>
    <w:rsid w:val="00F256A6"/>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71D"/>
    <w:rsid w:val="00F33FF4"/>
    <w:rsid w:val="00F342EC"/>
    <w:rsid w:val="00F352B2"/>
    <w:rsid w:val="00F35456"/>
    <w:rsid w:val="00F355F0"/>
    <w:rsid w:val="00F35682"/>
    <w:rsid w:val="00F35B6A"/>
    <w:rsid w:val="00F35C33"/>
    <w:rsid w:val="00F366E5"/>
    <w:rsid w:val="00F369E1"/>
    <w:rsid w:val="00F36E8F"/>
    <w:rsid w:val="00F37641"/>
    <w:rsid w:val="00F4033A"/>
    <w:rsid w:val="00F40438"/>
    <w:rsid w:val="00F406BB"/>
    <w:rsid w:val="00F407AA"/>
    <w:rsid w:val="00F40DD1"/>
    <w:rsid w:val="00F40E9D"/>
    <w:rsid w:val="00F40F96"/>
    <w:rsid w:val="00F414B9"/>
    <w:rsid w:val="00F41A65"/>
    <w:rsid w:val="00F42A32"/>
    <w:rsid w:val="00F42BED"/>
    <w:rsid w:val="00F42EC1"/>
    <w:rsid w:val="00F43519"/>
    <w:rsid w:val="00F435B1"/>
    <w:rsid w:val="00F43F97"/>
    <w:rsid w:val="00F44838"/>
    <w:rsid w:val="00F44AAF"/>
    <w:rsid w:val="00F44E59"/>
    <w:rsid w:val="00F44F7E"/>
    <w:rsid w:val="00F45674"/>
    <w:rsid w:val="00F460BF"/>
    <w:rsid w:val="00F4654F"/>
    <w:rsid w:val="00F4738D"/>
    <w:rsid w:val="00F47C21"/>
    <w:rsid w:val="00F50741"/>
    <w:rsid w:val="00F50A2B"/>
    <w:rsid w:val="00F50E19"/>
    <w:rsid w:val="00F51184"/>
    <w:rsid w:val="00F516B2"/>
    <w:rsid w:val="00F516E6"/>
    <w:rsid w:val="00F518AE"/>
    <w:rsid w:val="00F52127"/>
    <w:rsid w:val="00F524D9"/>
    <w:rsid w:val="00F52E6A"/>
    <w:rsid w:val="00F52FF0"/>
    <w:rsid w:val="00F53393"/>
    <w:rsid w:val="00F5353F"/>
    <w:rsid w:val="00F53715"/>
    <w:rsid w:val="00F53A90"/>
    <w:rsid w:val="00F53B23"/>
    <w:rsid w:val="00F53F8B"/>
    <w:rsid w:val="00F54493"/>
    <w:rsid w:val="00F5453A"/>
    <w:rsid w:val="00F545F1"/>
    <w:rsid w:val="00F54B4B"/>
    <w:rsid w:val="00F55396"/>
    <w:rsid w:val="00F55780"/>
    <w:rsid w:val="00F55991"/>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1739"/>
    <w:rsid w:val="00F619C8"/>
    <w:rsid w:val="00F630FD"/>
    <w:rsid w:val="00F6333E"/>
    <w:rsid w:val="00F648FE"/>
    <w:rsid w:val="00F649C3"/>
    <w:rsid w:val="00F64CA9"/>
    <w:rsid w:val="00F64CCC"/>
    <w:rsid w:val="00F65698"/>
    <w:rsid w:val="00F65B7C"/>
    <w:rsid w:val="00F65D35"/>
    <w:rsid w:val="00F66BB5"/>
    <w:rsid w:val="00F67165"/>
    <w:rsid w:val="00F67BD1"/>
    <w:rsid w:val="00F7034C"/>
    <w:rsid w:val="00F7042F"/>
    <w:rsid w:val="00F70435"/>
    <w:rsid w:val="00F70C70"/>
    <w:rsid w:val="00F71B32"/>
    <w:rsid w:val="00F71BEA"/>
    <w:rsid w:val="00F71CB9"/>
    <w:rsid w:val="00F7234C"/>
    <w:rsid w:val="00F72469"/>
    <w:rsid w:val="00F731F2"/>
    <w:rsid w:val="00F73681"/>
    <w:rsid w:val="00F73BF9"/>
    <w:rsid w:val="00F73C17"/>
    <w:rsid w:val="00F73C49"/>
    <w:rsid w:val="00F73C99"/>
    <w:rsid w:val="00F73EDC"/>
    <w:rsid w:val="00F744EB"/>
    <w:rsid w:val="00F746F8"/>
    <w:rsid w:val="00F74736"/>
    <w:rsid w:val="00F7492E"/>
    <w:rsid w:val="00F74CAE"/>
    <w:rsid w:val="00F75148"/>
    <w:rsid w:val="00F753F8"/>
    <w:rsid w:val="00F755FE"/>
    <w:rsid w:val="00F75928"/>
    <w:rsid w:val="00F75B1A"/>
    <w:rsid w:val="00F75E83"/>
    <w:rsid w:val="00F75FA5"/>
    <w:rsid w:val="00F76550"/>
    <w:rsid w:val="00F76B70"/>
    <w:rsid w:val="00F76E09"/>
    <w:rsid w:val="00F77043"/>
    <w:rsid w:val="00F771FF"/>
    <w:rsid w:val="00F7742F"/>
    <w:rsid w:val="00F776E2"/>
    <w:rsid w:val="00F779B8"/>
    <w:rsid w:val="00F77C2B"/>
    <w:rsid w:val="00F805EA"/>
    <w:rsid w:val="00F80E28"/>
    <w:rsid w:val="00F812A4"/>
    <w:rsid w:val="00F816C4"/>
    <w:rsid w:val="00F817C4"/>
    <w:rsid w:val="00F81909"/>
    <w:rsid w:val="00F82436"/>
    <w:rsid w:val="00F825CC"/>
    <w:rsid w:val="00F8289E"/>
    <w:rsid w:val="00F82D52"/>
    <w:rsid w:val="00F82E22"/>
    <w:rsid w:val="00F83184"/>
    <w:rsid w:val="00F83CEA"/>
    <w:rsid w:val="00F83FE6"/>
    <w:rsid w:val="00F84332"/>
    <w:rsid w:val="00F8441B"/>
    <w:rsid w:val="00F84C8E"/>
    <w:rsid w:val="00F8525A"/>
    <w:rsid w:val="00F85491"/>
    <w:rsid w:val="00F85630"/>
    <w:rsid w:val="00F85683"/>
    <w:rsid w:val="00F857A1"/>
    <w:rsid w:val="00F85B3B"/>
    <w:rsid w:val="00F85F2D"/>
    <w:rsid w:val="00F86220"/>
    <w:rsid w:val="00F864D7"/>
    <w:rsid w:val="00F86A89"/>
    <w:rsid w:val="00F86F50"/>
    <w:rsid w:val="00F86F7B"/>
    <w:rsid w:val="00F87496"/>
    <w:rsid w:val="00F87543"/>
    <w:rsid w:val="00F876B2"/>
    <w:rsid w:val="00F87C76"/>
    <w:rsid w:val="00F87DCF"/>
    <w:rsid w:val="00F87E81"/>
    <w:rsid w:val="00F900A1"/>
    <w:rsid w:val="00F901E0"/>
    <w:rsid w:val="00F90252"/>
    <w:rsid w:val="00F91319"/>
    <w:rsid w:val="00F91420"/>
    <w:rsid w:val="00F9199D"/>
    <w:rsid w:val="00F919FF"/>
    <w:rsid w:val="00F92093"/>
    <w:rsid w:val="00F924D3"/>
    <w:rsid w:val="00F94154"/>
    <w:rsid w:val="00F94395"/>
    <w:rsid w:val="00F944C8"/>
    <w:rsid w:val="00F951E7"/>
    <w:rsid w:val="00F952C1"/>
    <w:rsid w:val="00F95346"/>
    <w:rsid w:val="00F95838"/>
    <w:rsid w:val="00F95D72"/>
    <w:rsid w:val="00F95F56"/>
    <w:rsid w:val="00F963BB"/>
    <w:rsid w:val="00F967DA"/>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3CC"/>
    <w:rsid w:val="00FA3978"/>
    <w:rsid w:val="00FA3E02"/>
    <w:rsid w:val="00FA419C"/>
    <w:rsid w:val="00FA4FDF"/>
    <w:rsid w:val="00FA59D0"/>
    <w:rsid w:val="00FA5CDD"/>
    <w:rsid w:val="00FA6DAB"/>
    <w:rsid w:val="00FA72D0"/>
    <w:rsid w:val="00FA76E4"/>
    <w:rsid w:val="00FA7EAA"/>
    <w:rsid w:val="00FB0653"/>
    <w:rsid w:val="00FB065E"/>
    <w:rsid w:val="00FB0D2F"/>
    <w:rsid w:val="00FB169D"/>
    <w:rsid w:val="00FB1A26"/>
    <w:rsid w:val="00FB2375"/>
    <w:rsid w:val="00FB2B02"/>
    <w:rsid w:val="00FB2C43"/>
    <w:rsid w:val="00FB358C"/>
    <w:rsid w:val="00FB3920"/>
    <w:rsid w:val="00FB4028"/>
    <w:rsid w:val="00FB53D4"/>
    <w:rsid w:val="00FB5A4F"/>
    <w:rsid w:val="00FB5C98"/>
    <w:rsid w:val="00FB5CC0"/>
    <w:rsid w:val="00FB5D76"/>
    <w:rsid w:val="00FB6425"/>
    <w:rsid w:val="00FB69F7"/>
    <w:rsid w:val="00FB6B03"/>
    <w:rsid w:val="00FB6E00"/>
    <w:rsid w:val="00FB6E22"/>
    <w:rsid w:val="00FB75A8"/>
    <w:rsid w:val="00FB75C0"/>
    <w:rsid w:val="00FB7677"/>
    <w:rsid w:val="00FB77B9"/>
    <w:rsid w:val="00FB78B8"/>
    <w:rsid w:val="00FB7CF7"/>
    <w:rsid w:val="00FB7EBC"/>
    <w:rsid w:val="00FC045D"/>
    <w:rsid w:val="00FC05B4"/>
    <w:rsid w:val="00FC068B"/>
    <w:rsid w:val="00FC07BD"/>
    <w:rsid w:val="00FC1003"/>
    <w:rsid w:val="00FC105D"/>
    <w:rsid w:val="00FC105E"/>
    <w:rsid w:val="00FC10E5"/>
    <w:rsid w:val="00FC233C"/>
    <w:rsid w:val="00FC2B46"/>
    <w:rsid w:val="00FC3CA2"/>
    <w:rsid w:val="00FC4144"/>
    <w:rsid w:val="00FC4145"/>
    <w:rsid w:val="00FC4626"/>
    <w:rsid w:val="00FC4A9A"/>
    <w:rsid w:val="00FC4BC5"/>
    <w:rsid w:val="00FC52EE"/>
    <w:rsid w:val="00FC55EB"/>
    <w:rsid w:val="00FC5703"/>
    <w:rsid w:val="00FC6151"/>
    <w:rsid w:val="00FC6A16"/>
    <w:rsid w:val="00FC7143"/>
    <w:rsid w:val="00FC7C24"/>
    <w:rsid w:val="00FD032F"/>
    <w:rsid w:val="00FD057D"/>
    <w:rsid w:val="00FD0B5E"/>
    <w:rsid w:val="00FD0B85"/>
    <w:rsid w:val="00FD114B"/>
    <w:rsid w:val="00FD141C"/>
    <w:rsid w:val="00FD1A55"/>
    <w:rsid w:val="00FD23E0"/>
    <w:rsid w:val="00FD269B"/>
    <w:rsid w:val="00FD281C"/>
    <w:rsid w:val="00FD28E2"/>
    <w:rsid w:val="00FD3205"/>
    <w:rsid w:val="00FD3C6D"/>
    <w:rsid w:val="00FD3F70"/>
    <w:rsid w:val="00FD417B"/>
    <w:rsid w:val="00FD4321"/>
    <w:rsid w:val="00FD43C3"/>
    <w:rsid w:val="00FD4458"/>
    <w:rsid w:val="00FD46CE"/>
    <w:rsid w:val="00FD46D2"/>
    <w:rsid w:val="00FD4F74"/>
    <w:rsid w:val="00FD4FB1"/>
    <w:rsid w:val="00FD5613"/>
    <w:rsid w:val="00FD6C58"/>
    <w:rsid w:val="00FD7078"/>
    <w:rsid w:val="00FD7108"/>
    <w:rsid w:val="00FD736A"/>
    <w:rsid w:val="00FD7423"/>
    <w:rsid w:val="00FD7A34"/>
    <w:rsid w:val="00FE0060"/>
    <w:rsid w:val="00FE01E0"/>
    <w:rsid w:val="00FE049C"/>
    <w:rsid w:val="00FE053C"/>
    <w:rsid w:val="00FE0789"/>
    <w:rsid w:val="00FE0921"/>
    <w:rsid w:val="00FE0DC0"/>
    <w:rsid w:val="00FE1B15"/>
    <w:rsid w:val="00FE1C83"/>
    <w:rsid w:val="00FE21A4"/>
    <w:rsid w:val="00FE2D0D"/>
    <w:rsid w:val="00FE325D"/>
    <w:rsid w:val="00FE369B"/>
    <w:rsid w:val="00FE4688"/>
    <w:rsid w:val="00FE4D0B"/>
    <w:rsid w:val="00FE4D23"/>
    <w:rsid w:val="00FE54A9"/>
    <w:rsid w:val="00FE5DE8"/>
    <w:rsid w:val="00FE5F49"/>
    <w:rsid w:val="00FE5FDF"/>
    <w:rsid w:val="00FE6142"/>
    <w:rsid w:val="00FE6DC1"/>
    <w:rsid w:val="00FE6DCA"/>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4DD"/>
    <w:rsid w:val="00FF25B2"/>
    <w:rsid w:val="00FF27BC"/>
    <w:rsid w:val="00FF2BBD"/>
    <w:rsid w:val="00FF32D1"/>
    <w:rsid w:val="00FF33C3"/>
    <w:rsid w:val="00FF34BF"/>
    <w:rsid w:val="00FF3C93"/>
    <w:rsid w:val="00FF3C9C"/>
    <w:rsid w:val="00FF4202"/>
    <w:rsid w:val="00FF4E4F"/>
    <w:rsid w:val="00FF532E"/>
    <w:rsid w:val="00FF6091"/>
    <w:rsid w:val="00FF61BC"/>
    <w:rsid w:val="00FF651A"/>
    <w:rsid w:val="00FF6713"/>
    <w:rsid w:val="00FF6B4D"/>
    <w:rsid w:val="00FF6D7B"/>
    <w:rsid w:val="00FF6E00"/>
    <w:rsid w:val="00FF70C6"/>
    <w:rsid w:val="00FF733D"/>
    <w:rsid w:val="00FF7B7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E88"/>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styleId="UnresolvedMention">
    <w:name w:val="Unresolved Mention"/>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creativecommons.org/licenses/by/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4189D6D3944F89B81E6DCBD53636A8"/>
        <w:category>
          <w:name w:val="General"/>
          <w:gallery w:val="placeholder"/>
        </w:category>
        <w:types>
          <w:type w:val="bbPlcHdr"/>
        </w:types>
        <w:behaviors>
          <w:behavior w:val="content"/>
        </w:behaviors>
        <w:guid w:val="{68137156-06D3-454F-BDEA-5E49EA00E3E0}"/>
      </w:docPartPr>
      <w:docPartBody>
        <w:p w:rsidR="00A17830" w:rsidRDefault="001A53CD" w:rsidP="001A53CD">
          <w:pPr>
            <w:pStyle w:val="5A4189D6D3944F89B81E6DCBD53636A8"/>
          </w:pPr>
          <w:r w:rsidRPr="00ED56C7">
            <w:rPr>
              <w:rStyle w:val="PlaceholderText"/>
            </w:rPr>
            <w:t>Click or tap here to enter text.</w:t>
          </w:r>
        </w:p>
      </w:docPartBody>
    </w:docPart>
    <w:docPart>
      <w:docPartPr>
        <w:name w:val="DD4A89A237144DF0A52F4DA15173B8B3"/>
        <w:category>
          <w:name w:val="General"/>
          <w:gallery w:val="placeholder"/>
        </w:category>
        <w:types>
          <w:type w:val="bbPlcHdr"/>
        </w:types>
        <w:behaviors>
          <w:behavior w:val="content"/>
        </w:behaviors>
        <w:guid w:val="{C062537D-6902-40C3-B929-7883026707F1}"/>
      </w:docPartPr>
      <w:docPartBody>
        <w:p w:rsidR="00A17830" w:rsidRDefault="001A53CD" w:rsidP="001A53CD">
          <w:pPr>
            <w:pStyle w:val="DD4A89A237144DF0A52F4DA15173B8B3"/>
          </w:pPr>
          <w:r w:rsidRPr="00ED56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3CD"/>
    <w:rsid w:val="001A53CD"/>
    <w:rsid w:val="00385B81"/>
    <w:rsid w:val="003B1241"/>
    <w:rsid w:val="005324FA"/>
    <w:rsid w:val="009D709E"/>
    <w:rsid w:val="00A17830"/>
    <w:rsid w:val="00B12125"/>
    <w:rsid w:val="00D722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53CD"/>
    <w:rPr>
      <w:color w:val="666666"/>
    </w:rPr>
  </w:style>
  <w:style w:type="paragraph" w:customStyle="1" w:styleId="5A4189D6D3944F89B81E6DCBD53636A8">
    <w:name w:val="5A4189D6D3944F89B81E6DCBD53636A8"/>
    <w:rsid w:val="001A53CD"/>
  </w:style>
  <w:style w:type="paragraph" w:customStyle="1" w:styleId="DD4A89A237144DF0A52F4DA15173B8B3">
    <w:name w:val="DD4A89A237144DF0A52F4DA15173B8B3"/>
    <w:rsid w:val="001A53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4A4-2EBA-4BB5-AEEF-499943B6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5582</Words>
  <Characters>31824</Characters>
  <Application>Microsoft Office Word</Application>
  <DocSecurity>0</DocSecurity>
  <Lines>265</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37332</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a24066</cp:lastModifiedBy>
  <cp:revision>8</cp:revision>
  <cp:lastPrinted>2023-05-30T11:26:00Z</cp:lastPrinted>
  <dcterms:created xsi:type="dcterms:W3CDTF">2026-05-13T07:06:00Z</dcterms:created>
  <dcterms:modified xsi:type="dcterms:W3CDTF">2026-06-11T10:03:00Z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c77f03fb-fb88-4ab9-954e-51e59e85b3e5</vt:lpwstr>
  </property>
</Properties>
</file>