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BF182" w14:textId="2EAF6ED4" w:rsidR="00587332" w:rsidRPr="005E7FC0" w:rsidRDefault="002D3A4E" w:rsidP="005E7FC0">
      <w:pPr>
        <w:shd w:val="pct5" w:color="auto" w:fill="538135" w:themeFill="accent6" w:themeFillShade="BF"/>
        <w:tabs>
          <w:tab w:val="left" w:pos="3870"/>
        </w:tabs>
        <w:spacing w:after="0" w:line="360" w:lineRule="auto"/>
        <w:ind w:left="-425" w:right="-425"/>
        <w:rPr>
          <w:rStyle w:val="Hyperlink"/>
          <w:rFonts w:ascii="Times New Roman" w:hAnsi="Times New Roman" w:cs="Times New Roman"/>
          <w:b/>
          <w:color w:val="FFFFFF" w:themeColor="background1"/>
          <w:sz w:val="28"/>
          <w:szCs w:val="46"/>
          <w:u w:val="none"/>
        </w:rPr>
      </w:pPr>
      <w:r w:rsidRPr="00DE6D3F">
        <w:rPr>
          <w:rFonts w:ascii="Times New Roman" w:hAnsi="Times New Roman" w:cs="Times New Roman"/>
          <w:noProof/>
          <w:sz w:val="24"/>
          <w:lang w:val="en-IN" w:eastAsia="en-IN"/>
        </w:rPr>
        <w:drawing>
          <wp:anchor distT="0" distB="0" distL="114300" distR="114300" simplePos="0" relativeHeight="251657728" behindDoc="0" locked="0" layoutInCell="1" allowOverlap="1" wp14:anchorId="5F6A6688" wp14:editId="0FEC498C">
            <wp:simplePos x="0" y="0"/>
            <wp:positionH relativeFrom="column">
              <wp:posOffset>5586961</wp:posOffset>
            </wp:positionH>
            <wp:positionV relativeFrom="paragraph">
              <wp:posOffset>-91844</wp:posOffset>
            </wp:positionV>
            <wp:extent cx="781050" cy="266700"/>
            <wp:effectExtent l="19050" t="95250" r="19050" b="19050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ortu\OneDrive\Desktop\about-open-acces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00AB64D2" w:rsidRPr="00DE6D3F">
        <w:rPr>
          <w:rFonts w:ascii="Times New Roman" w:hAnsi="Times New Roman" w:cs="Times New Roman"/>
          <w:noProof/>
          <w:sz w:val="24"/>
          <w:lang w:val="en-IN" w:eastAsia="en-IN"/>
        </w:rPr>
        <w:drawing>
          <wp:anchor distT="0" distB="0" distL="114300" distR="114300" simplePos="0" relativeHeight="251655680" behindDoc="0" locked="0" layoutInCell="1" allowOverlap="1" wp14:anchorId="76CE470A" wp14:editId="628839E6">
            <wp:simplePos x="0" y="0"/>
            <wp:positionH relativeFrom="column">
              <wp:posOffset>4666095</wp:posOffset>
            </wp:positionH>
            <wp:positionV relativeFrom="paragraph">
              <wp:posOffset>-23668</wp:posOffset>
            </wp:positionV>
            <wp:extent cx="866775" cy="280670"/>
            <wp:effectExtent l="0" t="19050" r="47625" b="13843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ortunejournals.com/img/logo-defaul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bookmarkStart w:id="0" w:name="_top"/>
      <w:bookmarkEnd w:id="0"/>
      <w:r w:rsidR="002C3D6C">
        <w:rPr>
          <w:rFonts w:ascii="Times New Roman" w:hAnsi="Times New Roman" w:cs="Times New Roman"/>
          <w:b/>
          <w:color w:val="FFFFFF"/>
          <w:sz w:val="24"/>
          <w:shd w:val="clear" w:color="auto" w:fill="4F7A31"/>
        </w:rPr>
        <w:t>Re</w:t>
      </w:r>
      <w:r w:rsidR="00CE4261">
        <w:rPr>
          <w:rFonts w:ascii="Times New Roman" w:hAnsi="Times New Roman" w:cs="Times New Roman"/>
          <w:b/>
          <w:color w:val="FFFFFF"/>
          <w:sz w:val="24"/>
          <w:shd w:val="clear" w:color="auto" w:fill="4F7A31"/>
        </w:rPr>
        <w:t>search</w:t>
      </w:r>
      <w:r w:rsidR="004D64B0">
        <w:rPr>
          <w:rFonts w:ascii="Times New Roman" w:hAnsi="Times New Roman" w:cs="Times New Roman"/>
          <w:b/>
          <w:color w:val="FFFFFF"/>
          <w:sz w:val="24"/>
          <w:shd w:val="clear" w:color="auto" w:fill="4F7A31"/>
        </w:rPr>
        <w:t xml:space="preserve"> </w:t>
      </w:r>
      <w:r w:rsidR="00DE6D3F" w:rsidRPr="00DE6D3F">
        <w:rPr>
          <w:rFonts w:ascii="Times New Roman" w:hAnsi="Times New Roman" w:cs="Times New Roman"/>
          <w:b/>
          <w:color w:val="FFFFFF"/>
          <w:sz w:val="24"/>
          <w:shd w:val="clear" w:color="auto" w:fill="4F7A31"/>
        </w:rPr>
        <w:t>Article</w:t>
      </w:r>
    </w:p>
    <w:p w14:paraId="7EE3E0D9" w14:textId="77777777" w:rsidR="00E62B4E" w:rsidRDefault="00E62B4E" w:rsidP="00E62B4E">
      <w:pPr>
        <w:spacing w:after="0" w:line="360" w:lineRule="auto"/>
        <w:jc w:val="center"/>
        <w:rPr>
          <w:rFonts w:ascii="Times New Roman" w:hAnsi="Times New Roman" w:cs="Times New Roman"/>
          <w:b/>
          <w:sz w:val="32"/>
          <w:szCs w:val="34"/>
        </w:rPr>
      </w:pPr>
    </w:p>
    <w:p w14:paraId="7B5624AF" w14:textId="77777777" w:rsidR="00C44656" w:rsidRPr="007F6A2A" w:rsidRDefault="00C44656" w:rsidP="00C44656">
      <w:pPr>
        <w:spacing w:after="0" w:line="360" w:lineRule="auto"/>
        <w:jc w:val="center"/>
        <w:rPr>
          <w:rFonts w:ascii="Times New Roman" w:hAnsi="Times New Roman" w:cs="Times New Roman"/>
          <w:b/>
          <w:spacing w:val="-2"/>
          <w:sz w:val="32"/>
          <w:szCs w:val="32"/>
        </w:rPr>
      </w:pPr>
      <w:r w:rsidRPr="007F6A2A">
        <w:rPr>
          <w:rFonts w:ascii="Times New Roman" w:hAnsi="Times New Roman" w:cs="Times New Roman"/>
          <w:b/>
          <w:bCs/>
          <w:spacing w:val="-2"/>
          <w:sz w:val="32"/>
          <w:szCs w:val="32"/>
        </w:rPr>
        <w:t>Epidemiologic Trends in Urinary Tract Infection-Related Mortality Among Older Adults in the United States: a CDC Wonder Metanalysis Study</w:t>
      </w:r>
    </w:p>
    <w:p w14:paraId="32CA42C3" w14:textId="428BEFE7" w:rsidR="00C44656" w:rsidRPr="004553A2" w:rsidRDefault="004553A2" w:rsidP="004553A2">
      <w:pPr>
        <w:tabs>
          <w:tab w:val="left" w:pos="5850"/>
        </w:tabs>
        <w:spacing w:after="0" w:line="360" w:lineRule="auto"/>
        <w:jc w:val="both"/>
        <w:rPr>
          <w:rFonts w:ascii="Times New Roman" w:hAnsi="Times New Roman" w:cs="Times New Roman"/>
          <w:b/>
          <w:sz w:val="24"/>
          <w:szCs w:val="24"/>
        </w:rPr>
      </w:pPr>
      <w:r w:rsidRPr="004553A2">
        <w:rPr>
          <w:rFonts w:ascii="Times New Roman" w:hAnsi="Times New Roman" w:cs="Times New Roman"/>
          <w:b/>
          <w:sz w:val="24"/>
          <w:szCs w:val="24"/>
        </w:rPr>
        <w:t>Short title: Mortality due to Urinary Tract Infections</w:t>
      </w:r>
      <w:r w:rsidR="00C44656" w:rsidRPr="004553A2">
        <w:rPr>
          <w:rFonts w:ascii="Times New Roman" w:hAnsi="Times New Roman" w:cs="Times New Roman"/>
          <w:b/>
          <w:sz w:val="24"/>
          <w:szCs w:val="24"/>
        </w:rPr>
        <w:tab/>
      </w:r>
    </w:p>
    <w:p w14:paraId="5F97184B" w14:textId="77777777" w:rsidR="004553A2" w:rsidRPr="004553A2" w:rsidRDefault="004553A2" w:rsidP="00C44656">
      <w:pPr>
        <w:tabs>
          <w:tab w:val="left" w:pos="5850"/>
        </w:tabs>
        <w:spacing w:after="0" w:line="360" w:lineRule="auto"/>
        <w:rPr>
          <w:rFonts w:ascii="Times New Roman" w:hAnsi="Times New Roman" w:cs="Times New Roman"/>
          <w:b/>
          <w:sz w:val="20"/>
          <w:szCs w:val="20"/>
        </w:rPr>
      </w:pPr>
    </w:p>
    <w:p w14:paraId="6584129F" w14:textId="4E298617" w:rsidR="004273CA" w:rsidRPr="004273CA" w:rsidRDefault="004273CA" w:rsidP="004273CA">
      <w:pPr>
        <w:spacing w:after="0" w:line="360" w:lineRule="auto"/>
        <w:jc w:val="both"/>
        <w:rPr>
          <w:rFonts w:ascii="Times New Roman" w:hAnsi="Times New Roman" w:cs="Times New Roman"/>
          <w:b/>
          <w:bCs/>
          <w:spacing w:val="-2"/>
          <w:vertAlign w:val="superscript"/>
          <w:lang w:val="en"/>
        </w:rPr>
      </w:pPr>
      <w:r w:rsidRPr="004273CA">
        <w:rPr>
          <w:rFonts w:ascii="Times New Roman" w:hAnsi="Times New Roman" w:cs="Times New Roman"/>
          <w:b/>
          <w:bCs/>
          <w:spacing w:val="-2"/>
          <w:lang w:val="en"/>
        </w:rPr>
        <w:t>FNU Raveena</w:t>
      </w:r>
      <w:r w:rsidRPr="004273CA">
        <w:rPr>
          <w:rFonts w:ascii="Times New Roman" w:hAnsi="Times New Roman" w:cs="Times New Roman"/>
          <w:b/>
          <w:bCs/>
          <w:spacing w:val="-2"/>
          <w:vertAlign w:val="superscript"/>
          <w:lang w:val="en"/>
        </w:rPr>
        <w:t>1</w:t>
      </w:r>
      <w:r w:rsidRPr="004273CA">
        <w:rPr>
          <w:rFonts w:ascii="Times New Roman" w:hAnsi="Times New Roman" w:cs="Times New Roman"/>
          <w:b/>
          <w:bCs/>
          <w:spacing w:val="-2"/>
          <w:lang w:val="en"/>
        </w:rPr>
        <w:t>, Sadia Siddiqui</w:t>
      </w:r>
      <w:r>
        <w:rPr>
          <w:rFonts w:ascii="Times New Roman" w:hAnsi="Times New Roman" w:cs="Times New Roman"/>
          <w:b/>
          <w:bCs/>
          <w:spacing w:val="-2"/>
          <w:vertAlign w:val="superscript"/>
          <w:lang w:val="en"/>
        </w:rPr>
        <w:t>2</w:t>
      </w:r>
      <w:r w:rsidRPr="004273CA">
        <w:rPr>
          <w:rFonts w:ascii="Times New Roman" w:hAnsi="Times New Roman" w:cs="Times New Roman"/>
          <w:b/>
          <w:bCs/>
          <w:spacing w:val="-2"/>
          <w:lang w:val="en"/>
        </w:rPr>
        <w:t>, FNU Sandesh</w:t>
      </w:r>
      <w:r>
        <w:rPr>
          <w:rFonts w:ascii="Times New Roman" w:hAnsi="Times New Roman" w:cs="Times New Roman"/>
          <w:b/>
          <w:bCs/>
          <w:spacing w:val="-2"/>
          <w:vertAlign w:val="superscript"/>
          <w:lang w:val="en"/>
        </w:rPr>
        <w:t>2</w:t>
      </w:r>
      <w:r w:rsidRPr="004273CA">
        <w:rPr>
          <w:rFonts w:ascii="Times New Roman" w:hAnsi="Times New Roman" w:cs="Times New Roman"/>
          <w:b/>
          <w:bCs/>
          <w:spacing w:val="-2"/>
          <w:lang w:val="en"/>
        </w:rPr>
        <w:t>, FNU Monishka</w:t>
      </w:r>
      <w:r>
        <w:rPr>
          <w:rFonts w:ascii="Times New Roman" w:hAnsi="Times New Roman" w:cs="Times New Roman"/>
          <w:b/>
          <w:bCs/>
          <w:spacing w:val="-2"/>
          <w:vertAlign w:val="superscript"/>
          <w:lang w:val="en"/>
        </w:rPr>
        <w:t>3</w:t>
      </w:r>
      <w:r w:rsidRPr="004273CA">
        <w:rPr>
          <w:rFonts w:ascii="Times New Roman" w:hAnsi="Times New Roman" w:cs="Times New Roman"/>
          <w:b/>
          <w:bCs/>
          <w:spacing w:val="-2"/>
          <w:lang w:val="en"/>
        </w:rPr>
        <w:t>, FNU Manesha</w:t>
      </w:r>
      <w:r>
        <w:rPr>
          <w:rFonts w:ascii="Times New Roman" w:hAnsi="Times New Roman" w:cs="Times New Roman"/>
          <w:b/>
          <w:bCs/>
          <w:spacing w:val="-2"/>
          <w:vertAlign w:val="superscript"/>
          <w:lang w:val="en"/>
        </w:rPr>
        <w:t>3</w:t>
      </w:r>
      <w:r w:rsidRPr="004273CA">
        <w:rPr>
          <w:rFonts w:ascii="Times New Roman" w:hAnsi="Times New Roman" w:cs="Times New Roman"/>
          <w:b/>
          <w:bCs/>
          <w:spacing w:val="-2"/>
          <w:lang w:val="en"/>
        </w:rPr>
        <w:t>, Jai Kumar</w:t>
      </w:r>
      <w:r>
        <w:rPr>
          <w:rFonts w:ascii="Times New Roman" w:hAnsi="Times New Roman" w:cs="Times New Roman"/>
          <w:b/>
          <w:bCs/>
          <w:spacing w:val="-2"/>
          <w:vertAlign w:val="superscript"/>
          <w:lang w:val="en"/>
        </w:rPr>
        <w:t>4</w:t>
      </w:r>
      <w:r w:rsidRPr="004273CA">
        <w:rPr>
          <w:rFonts w:ascii="Times New Roman" w:hAnsi="Times New Roman" w:cs="Times New Roman"/>
          <w:b/>
          <w:bCs/>
          <w:spacing w:val="-2"/>
          <w:lang w:val="en"/>
        </w:rPr>
        <w:t>, Izza Ali Rai</w:t>
      </w:r>
      <w:r>
        <w:rPr>
          <w:rFonts w:ascii="Times New Roman" w:hAnsi="Times New Roman" w:cs="Times New Roman"/>
          <w:b/>
          <w:bCs/>
          <w:spacing w:val="-2"/>
          <w:vertAlign w:val="superscript"/>
          <w:lang w:val="en"/>
        </w:rPr>
        <w:t>5</w:t>
      </w:r>
      <w:r w:rsidRPr="004273CA">
        <w:rPr>
          <w:rFonts w:ascii="Times New Roman" w:hAnsi="Times New Roman" w:cs="Times New Roman"/>
          <w:b/>
          <w:bCs/>
          <w:spacing w:val="-2"/>
          <w:lang w:val="en"/>
        </w:rPr>
        <w:t>, Rahul Rai</w:t>
      </w:r>
      <w:r w:rsidRPr="004273CA">
        <w:rPr>
          <w:rFonts w:ascii="Times New Roman" w:hAnsi="Times New Roman" w:cs="Times New Roman"/>
          <w:b/>
          <w:bCs/>
          <w:spacing w:val="-2"/>
          <w:vertAlign w:val="superscript"/>
          <w:lang w:val="en"/>
        </w:rPr>
        <w:t>4</w:t>
      </w:r>
      <w:r w:rsidRPr="004273CA">
        <w:rPr>
          <w:rFonts w:ascii="Times New Roman" w:hAnsi="Times New Roman" w:cs="Times New Roman"/>
          <w:b/>
          <w:bCs/>
          <w:spacing w:val="-2"/>
          <w:lang w:val="en"/>
        </w:rPr>
        <w:t>, Anjlee Parkash</w:t>
      </w:r>
      <w:r>
        <w:rPr>
          <w:rFonts w:ascii="Times New Roman" w:hAnsi="Times New Roman" w:cs="Times New Roman"/>
          <w:b/>
          <w:bCs/>
          <w:spacing w:val="-2"/>
          <w:vertAlign w:val="superscript"/>
          <w:lang w:val="en"/>
        </w:rPr>
        <w:t>3</w:t>
      </w:r>
      <w:r w:rsidRPr="004273CA">
        <w:rPr>
          <w:rFonts w:ascii="Times New Roman" w:hAnsi="Times New Roman" w:cs="Times New Roman"/>
          <w:b/>
          <w:bCs/>
          <w:spacing w:val="-2"/>
          <w:lang w:val="en"/>
        </w:rPr>
        <w:t>, Beesham Kumar</w:t>
      </w:r>
      <w:r>
        <w:rPr>
          <w:rFonts w:ascii="Times New Roman" w:hAnsi="Times New Roman" w:cs="Times New Roman"/>
          <w:b/>
          <w:bCs/>
          <w:spacing w:val="-2"/>
          <w:vertAlign w:val="superscript"/>
          <w:lang w:val="en"/>
        </w:rPr>
        <w:t>6</w:t>
      </w:r>
      <w:r w:rsidRPr="004273CA">
        <w:rPr>
          <w:rFonts w:ascii="Times New Roman" w:hAnsi="Times New Roman" w:cs="Times New Roman"/>
          <w:b/>
          <w:bCs/>
          <w:spacing w:val="-2"/>
          <w:lang w:val="en"/>
        </w:rPr>
        <w:t>, Bushra Ghafar</w:t>
      </w:r>
      <w:r>
        <w:rPr>
          <w:rFonts w:ascii="Times New Roman" w:hAnsi="Times New Roman" w:cs="Times New Roman"/>
          <w:b/>
          <w:bCs/>
          <w:spacing w:val="-2"/>
          <w:vertAlign w:val="superscript"/>
          <w:lang w:val="en"/>
        </w:rPr>
        <w:t>7</w:t>
      </w:r>
      <w:r w:rsidRPr="004273CA">
        <w:rPr>
          <w:rFonts w:ascii="Times New Roman" w:hAnsi="Times New Roman" w:cs="Times New Roman"/>
          <w:b/>
          <w:bCs/>
          <w:spacing w:val="-2"/>
          <w:lang w:val="en"/>
        </w:rPr>
        <w:t>, Hira Riaz</w:t>
      </w:r>
      <w:r>
        <w:rPr>
          <w:rFonts w:ascii="Times New Roman" w:hAnsi="Times New Roman" w:cs="Times New Roman"/>
          <w:b/>
          <w:bCs/>
          <w:spacing w:val="-2"/>
          <w:vertAlign w:val="superscript"/>
          <w:lang w:val="en"/>
        </w:rPr>
        <w:t>8*</w:t>
      </w:r>
    </w:p>
    <w:p w14:paraId="5652E77D" w14:textId="77777777" w:rsidR="004273CA" w:rsidRPr="004273CA" w:rsidRDefault="004273CA" w:rsidP="004273CA">
      <w:pPr>
        <w:spacing w:after="0" w:line="360" w:lineRule="auto"/>
        <w:jc w:val="both"/>
        <w:rPr>
          <w:rFonts w:ascii="Times New Roman" w:hAnsi="Times New Roman" w:cs="Times New Roman"/>
          <w:b/>
          <w:bCs/>
          <w:spacing w:val="-2"/>
          <w:lang w:val="en"/>
        </w:rPr>
      </w:pPr>
    </w:p>
    <w:p w14:paraId="12792310" w14:textId="77312232" w:rsidR="004273CA" w:rsidRPr="004273CA" w:rsidRDefault="00C124CC" w:rsidP="004273CA">
      <w:pPr>
        <w:spacing w:after="0" w:line="360" w:lineRule="auto"/>
        <w:jc w:val="both"/>
        <w:rPr>
          <w:rFonts w:ascii="Times New Roman" w:hAnsi="Times New Roman" w:cs="Times New Roman"/>
          <w:spacing w:val="-2"/>
          <w:sz w:val="20"/>
          <w:szCs w:val="20"/>
          <w:lang w:val="en"/>
        </w:rPr>
      </w:pPr>
      <w:bookmarkStart w:id="1" w:name="_vkcv6x9x76d5"/>
      <w:bookmarkEnd w:id="1"/>
      <w:r>
        <w:rPr>
          <w:rFonts w:ascii="Times New Roman" w:hAnsi="Times New Roman" w:cs="Times New Roman"/>
          <w:spacing w:val="-2"/>
          <w:sz w:val="20"/>
          <w:szCs w:val="20"/>
          <w:vertAlign w:val="superscript"/>
          <w:lang w:val="en"/>
        </w:rPr>
        <w:t>1</w:t>
      </w:r>
      <w:r w:rsidR="004273CA" w:rsidRPr="004273CA">
        <w:rPr>
          <w:rFonts w:ascii="Times New Roman" w:hAnsi="Times New Roman" w:cs="Times New Roman"/>
          <w:spacing w:val="-2"/>
          <w:sz w:val="20"/>
          <w:szCs w:val="20"/>
          <w:lang w:val="en"/>
        </w:rPr>
        <w:t>Liaquat National Medical College, Karachi, Pakistan</w:t>
      </w:r>
    </w:p>
    <w:p w14:paraId="4C42CABE" w14:textId="542C7CBB" w:rsidR="004273CA" w:rsidRPr="004273CA" w:rsidRDefault="00C124CC" w:rsidP="004273CA">
      <w:pPr>
        <w:spacing w:after="0" w:line="360" w:lineRule="auto"/>
        <w:jc w:val="both"/>
        <w:rPr>
          <w:rFonts w:ascii="Times New Roman" w:hAnsi="Times New Roman" w:cs="Times New Roman"/>
          <w:spacing w:val="-2"/>
          <w:sz w:val="20"/>
          <w:szCs w:val="20"/>
          <w:lang w:val="en"/>
        </w:rPr>
      </w:pPr>
      <w:r>
        <w:rPr>
          <w:rFonts w:ascii="Times New Roman" w:hAnsi="Times New Roman" w:cs="Times New Roman"/>
          <w:spacing w:val="-2"/>
          <w:sz w:val="20"/>
          <w:szCs w:val="20"/>
          <w:vertAlign w:val="superscript"/>
          <w:lang w:val="en"/>
        </w:rPr>
        <w:t>2</w:t>
      </w:r>
      <w:r w:rsidR="004273CA" w:rsidRPr="004273CA">
        <w:rPr>
          <w:rFonts w:ascii="Times New Roman" w:hAnsi="Times New Roman" w:cs="Times New Roman"/>
          <w:spacing w:val="-2"/>
          <w:sz w:val="20"/>
          <w:szCs w:val="20"/>
          <w:lang w:val="en"/>
        </w:rPr>
        <w:t>Jinnah Sindh Medical University, Karachi, Pakistan</w:t>
      </w:r>
    </w:p>
    <w:p w14:paraId="3968C220" w14:textId="22F4753F" w:rsidR="004273CA" w:rsidRPr="004273CA" w:rsidRDefault="00C124CC" w:rsidP="004273CA">
      <w:pPr>
        <w:spacing w:after="0" w:line="360" w:lineRule="auto"/>
        <w:jc w:val="both"/>
        <w:rPr>
          <w:rFonts w:ascii="Times New Roman" w:hAnsi="Times New Roman" w:cs="Times New Roman"/>
          <w:spacing w:val="-2"/>
          <w:sz w:val="20"/>
          <w:szCs w:val="20"/>
          <w:lang w:val="en"/>
        </w:rPr>
      </w:pPr>
      <w:r>
        <w:rPr>
          <w:rFonts w:ascii="Times New Roman" w:hAnsi="Times New Roman" w:cs="Times New Roman"/>
          <w:spacing w:val="-2"/>
          <w:sz w:val="20"/>
          <w:szCs w:val="20"/>
          <w:vertAlign w:val="superscript"/>
          <w:lang w:val="en"/>
        </w:rPr>
        <w:t>3</w:t>
      </w:r>
      <w:r w:rsidR="004273CA" w:rsidRPr="004273CA">
        <w:rPr>
          <w:rFonts w:ascii="Times New Roman" w:hAnsi="Times New Roman" w:cs="Times New Roman"/>
          <w:spacing w:val="-2"/>
          <w:sz w:val="20"/>
          <w:szCs w:val="20"/>
          <w:lang w:val="en"/>
        </w:rPr>
        <w:t>Peoples University of Medical and Health Sciences, Nawabshah, Pakistan</w:t>
      </w:r>
    </w:p>
    <w:p w14:paraId="02EC1D12" w14:textId="0A0A6448" w:rsidR="004273CA" w:rsidRPr="004273CA" w:rsidRDefault="00C124CC" w:rsidP="004273CA">
      <w:pPr>
        <w:spacing w:after="0" w:line="360" w:lineRule="auto"/>
        <w:jc w:val="both"/>
        <w:rPr>
          <w:rFonts w:ascii="Times New Roman" w:hAnsi="Times New Roman" w:cs="Times New Roman"/>
          <w:spacing w:val="-2"/>
          <w:sz w:val="20"/>
          <w:szCs w:val="20"/>
          <w:lang w:val="en"/>
        </w:rPr>
      </w:pPr>
      <w:r>
        <w:rPr>
          <w:rFonts w:ascii="Times New Roman" w:hAnsi="Times New Roman" w:cs="Times New Roman"/>
          <w:spacing w:val="-2"/>
          <w:sz w:val="20"/>
          <w:szCs w:val="20"/>
          <w:vertAlign w:val="superscript"/>
          <w:lang w:val="en"/>
        </w:rPr>
        <w:t>4</w:t>
      </w:r>
      <w:r w:rsidR="004273CA" w:rsidRPr="004273CA">
        <w:rPr>
          <w:rFonts w:ascii="Times New Roman" w:hAnsi="Times New Roman" w:cs="Times New Roman"/>
          <w:spacing w:val="-2"/>
          <w:sz w:val="20"/>
          <w:szCs w:val="20"/>
          <w:lang w:val="en"/>
        </w:rPr>
        <w:t>Liaquat University of Medical and Health Sciences, Jamshoro, Pakistan</w:t>
      </w:r>
    </w:p>
    <w:p w14:paraId="3723EE0B" w14:textId="5E4435C8" w:rsidR="004273CA" w:rsidRPr="004273CA" w:rsidRDefault="00C124CC" w:rsidP="004273CA">
      <w:pPr>
        <w:spacing w:after="0" w:line="360" w:lineRule="auto"/>
        <w:jc w:val="both"/>
        <w:rPr>
          <w:rFonts w:ascii="Times New Roman" w:hAnsi="Times New Roman" w:cs="Times New Roman"/>
          <w:spacing w:val="-2"/>
          <w:sz w:val="20"/>
          <w:szCs w:val="20"/>
          <w:lang w:val="en"/>
        </w:rPr>
      </w:pPr>
      <w:r>
        <w:rPr>
          <w:rFonts w:ascii="Times New Roman" w:hAnsi="Times New Roman" w:cs="Times New Roman"/>
          <w:spacing w:val="-2"/>
          <w:sz w:val="20"/>
          <w:szCs w:val="20"/>
          <w:vertAlign w:val="superscript"/>
          <w:lang w:val="en"/>
        </w:rPr>
        <w:t>5</w:t>
      </w:r>
      <w:r w:rsidR="004273CA" w:rsidRPr="004273CA">
        <w:rPr>
          <w:rFonts w:ascii="Times New Roman" w:hAnsi="Times New Roman" w:cs="Times New Roman"/>
          <w:spacing w:val="-2"/>
          <w:sz w:val="20"/>
          <w:szCs w:val="20"/>
          <w:lang w:val="en"/>
        </w:rPr>
        <w:t>CMH Lahore Medical College and Institute of Dentistry, Lahore, Pakistan</w:t>
      </w:r>
    </w:p>
    <w:p w14:paraId="786FDFCE" w14:textId="61986339" w:rsidR="004273CA" w:rsidRPr="004273CA" w:rsidRDefault="00C124CC" w:rsidP="004273CA">
      <w:pPr>
        <w:spacing w:after="0" w:line="360" w:lineRule="auto"/>
        <w:jc w:val="both"/>
        <w:rPr>
          <w:rFonts w:ascii="Times New Roman" w:hAnsi="Times New Roman" w:cs="Times New Roman"/>
          <w:spacing w:val="-2"/>
          <w:sz w:val="20"/>
          <w:szCs w:val="20"/>
          <w:lang w:val="en"/>
        </w:rPr>
      </w:pPr>
      <w:r>
        <w:rPr>
          <w:rFonts w:ascii="Times New Roman" w:hAnsi="Times New Roman" w:cs="Times New Roman"/>
          <w:spacing w:val="-2"/>
          <w:sz w:val="20"/>
          <w:szCs w:val="20"/>
          <w:vertAlign w:val="superscript"/>
          <w:lang w:val="en"/>
        </w:rPr>
        <w:t>6</w:t>
      </w:r>
      <w:r w:rsidR="004273CA" w:rsidRPr="004273CA">
        <w:rPr>
          <w:rFonts w:ascii="Times New Roman" w:hAnsi="Times New Roman" w:cs="Times New Roman"/>
          <w:spacing w:val="-2"/>
          <w:sz w:val="20"/>
          <w:szCs w:val="20"/>
          <w:lang w:val="en"/>
        </w:rPr>
        <w:t>Jinnah Medical and Dental College (JMDC), Karachi, Pakistan</w:t>
      </w:r>
    </w:p>
    <w:p w14:paraId="76E9E170" w14:textId="2352A353" w:rsidR="004273CA" w:rsidRPr="004273CA" w:rsidRDefault="00C124CC" w:rsidP="004273CA">
      <w:pPr>
        <w:spacing w:after="0" w:line="360" w:lineRule="auto"/>
        <w:jc w:val="both"/>
        <w:rPr>
          <w:rFonts w:ascii="Times New Roman" w:hAnsi="Times New Roman" w:cs="Times New Roman"/>
          <w:spacing w:val="-2"/>
          <w:sz w:val="20"/>
          <w:szCs w:val="20"/>
          <w:lang w:val="en"/>
        </w:rPr>
      </w:pPr>
      <w:r>
        <w:rPr>
          <w:rFonts w:ascii="Times New Roman" w:hAnsi="Times New Roman" w:cs="Times New Roman"/>
          <w:spacing w:val="-2"/>
          <w:sz w:val="20"/>
          <w:szCs w:val="20"/>
          <w:vertAlign w:val="superscript"/>
          <w:lang w:val="en"/>
        </w:rPr>
        <w:t>7</w:t>
      </w:r>
      <w:r w:rsidR="004273CA" w:rsidRPr="004273CA">
        <w:rPr>
          <w:rFonts w:ascii="Times New Roman" w:hAnsi="Times New Roman" w:cs="Times New Roman"/>
          <w:spacing w:val="-2"/>
          <w:sz w:val="20"/>
          <w:szCs w:val="20"/>
          <w:lang w:val="en"/>
        </w:rPr>
        <w:t>Quaid-e-Azam Medical College, Bahawalpur, Pakistan</w:t>
      </w:r>
    </w:p>
    <w:p w14:paraId="057A6C6B" w14:textId="5346820D" w:rsidR="004273CA" w:rsidRPr="004273CA" w:rsidRDefault="00C124CC" w:rsidP="004273CA">
      <w:pPr>
        <w:spacing w:after="0" w:line="360" w:lineRule="auto"/>
        <w:jc w:val="both"/>
        <w:rPr>
          <w:rFonts w:ascii="Times New Roman" w:hAnsi="Times New Roman" w:cs="Times New Roman"/>
          <w:spacing w:val="-2"/>
          <w:sz w:val="20"/>
          <w:szCs w:val="20"/>
          <w:lang w:val="en"/>
        </w:rPr>
      </w:pPr>
      <w:r>
        <w:rPr>
          <w:rFonts w:ascii="Times New Roman" w:hAnsi="Times New Roman" w:cs="Times New Roman"/>
          <w:spacing w:val="-2"/>
          <w:sz w:val="20"/>
          <w:szCs w:val="20"/>
          <w:vertAlign w:val="superscript"/>
          <w:lang w:val="en"/>
        </w:rPr>
        <w:t>8</w:t>
      </w:r>
      <w:r w:rsidR="004273CA" w:rsidRPr="004273CA">
        <w:rPr>
          <w:rFonts w:ascii="Times New Roman" w:hAnsi="Times New Roman" w:cs="Times New Roman"/>
          <w:spacing w:val="-2"/>
          <w:sz w:val="20"/>
          <w:szCs w:val="20"/>
          <w:lang w:val="en"/>
        </w:rPr>
        <w:t>Kabul Medical University, Kabul, Afghanistan</w:t>
      </w:r>
    </w:p>
    <w:p w14:paraId="72CD33EB" w14:textId="77777777" w:rsidR="00C44656" w:rsidRPr="00C95DED" w:rsidRDefault="00C44656" w:rsidP="00C44656">
      <w:pPr>
        <w:spacing w:after="0" w:line="360" w:lineRule="auto"/>
        <w:jc w:val="both"/>
        <w:rPr>
          <w:rFonts w:ascii="Times New Roman" w:hAnsi="Times New Roman" w:cs="Times New Roman"/>
          <w:sz w:val="20"/>
          <w:szCs w:val="20"/>
        </w:rPr>
      </w:pPr>
    </w:p>
    <w:p w14:paraId="454DAEFD" w14:textId="79AE352B" w:rsidR="00C44656" w:rsidRDefault="00C44656" w:rsidP="00C44656">
      <w:pPr>
        <w:spacing w:after="0" w:line="360" w:lineRule="auto"/>
        <w:rPr>
          <w:rFonts w:ascii="Times New Roman" w:hAnsi="Times New Roman" w:cs="Times New Roman"/>
          <w:bCs/>
          <w:spacing w:val="-2"/>
          <w:sz w:val="20"/>
          <w:szCs w:val="20"/>
        </w:rPr>
      </w:pPr>
      <w:r w:rsidRPr="003D1B35">
        <w:rPr>
          <w:rFonts w:ascii="Times New Roman" w:eastAsia="Times New Roman" w:hAnsi="Times New Roman" w:cs="Times New Roman"/>
          <w:b/>
          <w:color w:val="0070C0"/>
          <w:vertAlign w:val="superscript"/>
        </w:rPr>
        <w:t>*</w:t>
      </w:r>
      <w:r w:rsidRPr="003D1B35">
        <w:rPr>
          <w:rFonts w:ascii="Times New Roman" w:eastAsia="Times New Roman" w:hAnsi="Times New Roman" w:cs="Times New Roman"/>
          <w:b/>
          <w:color w:val="0070C0"/>
        </w:rPr>
        <w:t>Corresponding Author</w:t>
      </w:r>
      <w:r w:rsidRPr="003D1B35">
        <w:rPr>
          <w:rFonts w:ascii="Times New Roman" w:hAnsi="Times New Roman" w:cs="Times New Roman"/>
          <w:b/>
          <w:color w:val="0070C0"/>
        </w:rPr>
        <w:t>:</w:t>
      </w:r>
      <w:r>
        <w:rPr>
          <w:rFonts w:ascii="Times New Roman" w:hAnsi="Times New Roman" w:cs="Times New Roman"/>
          <w:b/>
          <w:color w:val="0070C0"/>
        </w:rPr>
        <w:t xml:space="preserve"> </w:t>
      </w:r>
      <w:r>
        <w:rPr>
          <w:rFonts w:ascii="Times New Roman" w:hAnsi="Times New Roman" w:cs="Times New Roman"/>
          <w:bCs/>
          <w:spacing w:val="-2"/>
          <w:sz w:val="20"/>
          <w:szCs w:val="20"/>
        </w:rPr>
        <w:t>Hira Riaz</w:t>
      </w:r>
      <w:r w:rsidR="008A481A">
        <w:rPr>
          <w:rFonts w:ascii="Times New Roman" w:hAnsi="Times New Roman" w:cs="Times New Roman"/>
          <w:bCs/>
          <w:spacing w:val="-2"/>
          <w:sz w:val="20"/>
          <w:szCs w:val="20"/>
        </w:rPr>
        <w:t xml:space="preserve">, </w:t>
      </w:r>
      <w:r w:rsidRPr="007F6A2A">
        <w:rPr>
          <w:rFonts w:ascii="Times New Roman" w:hAnsi="Times New Roman" w:cs="Times New Roman"/>
          <w:bCs/>
          <w:spacing w:val="-2"/>
          <w:sz w:val="20"/>
          <w:szCs w:val="20"/>
        </w:rPr>
        <w:t>Kabul Medical University, Kabul, Afghanistan</w:t>
      </w:r>
    </w:p>
    <w:p w14:paraId="503EFA0C" w14:textId="77777777" w:rsidR="00C44656" w:rsidRPr="007F6A2A" w:rsidRDefault="00C44656" w:rsidP="00C44656">
      <w:pPr>
        <w:spacing w:after="0" w:line="360" w:lineRule="auto"/>
        <w:rPr>
          <w:rFonts w:ascii="Times New Roman" w:hAnsi="Times New Roman" w:cs="Times New Roman"/>
          <w:bCs/>
          <w:spacing w:val="-2"/>
          <w:sz w:val="20"/>
          <w:szCs w:val="20"/>
        </w:rPr>
      </w:pPr>
    </w:p>
    <w:p w14:paraId="1B0B8BE8" w14:textId="658C7EB1" w:rsidR="00C44656" w:rsidRPr="0024257B" w:rsidRDefault="00C44656" w:rsidP="00C44656">
      <w:pPr>
        <w:spacing w:after="0" w:line="360" w:lineRule="auto"/>
        <w:jc w:val="both"/>
        <w:rPr>
          <w:rFonts w:ascii="Times New Roman" w:hAnsi="Times New Roman" w:cs="Times New Roman"/>
          <w:sz w:val="20"/>
          <w:szCs w:val="20"/>
        </w:rPr>
      </w:pPr>
      <w:r w:rsidRPr="0024257B">
        <w:rPr>
          <w:rFonts w:ascii="Times New Roman" w:hAnsi="Times New Roman" w:cs="Times New Roman"/>
          <w:b/>
          <w:color w:val="0070C0"/>
          <w:sz w:val="20"/>
          <w:szCs w:val="20"/>
        </w:rPr>
        <w:t xml:space="preserve">Received: </w:t>
      </w:r>
      <w:r>
        <w:rPr>
          <w:rFonts w:ascii="Times New Roman" w:hAnsi="Times New Roman" w:cs="Times New Roman"/>
          <w:sz w:val="20"/>
          <w:szCs w:val="20"/>
        </w:rPr>
        <w:t>15 June 2026</w:t>
      </w:r>
      <w:r w:rsidRPr="0024257B">
        <w:rPr>
          <w:rFonts w:ascii="Times New Roman" w:hAnsi="Times New Roman" w:cs="Times New Roman"/>
          <w:sz w:val="20"/>
          <w:szCs w:val="20"/>
        </w:rPr>
        <w:t>;</w:t>
      </w:r>
      <w:r>
        <w:rPr>
          <w:rFonts w:ascii="Times New Roman" w:hAnsi="Times New Roman" w:cs="Times New Roman"/>
          <w:sz w:val="20"/>
          <w:szCs w:val="20"/>
        </w:rPr>
        <w:t xml:space="preserve"> </w:t>
      </w:r>
      <w:r w:rsidRPr="0024257B">
        <w:rPr>
          <w:rFonts w:ascii="Times New Roman" w:hAnsi="Times New Roman" w:cs="Times New Roman"/>
          <w:b/>
          <w:color w:val="0070C0"/>
          <w:sz w:val="20"/>
          <w:szCs w:val="20"/>
        </w:rPr>
        <w:t xml:space="preserve">Accepted: </w:t>
      </w:r>
      <w:r>
        <w:rPr>
          <w:rFonts w:ascii="Times New Roman" w:hAnsi="Times New Roman" w:cs="Times New Roman"/>
          <w:sz w:val="20"/>
          <w:szCs w:val="20"/>
        </w:rPr>
        <w:t>22 June 2026</w:t>
      </w:r>
      <w:r w:rsidRPr="0024257B">
        <w:rPr>
          <w:rFonts w:ascii="Times New Roman" w:hAnsi="Times New Roman" w:cs="Times New Roman"/>
          <w:sz w:val="20"/>
          <w:szCs w:val="20"/>
        </w:rPr>
        <w:t>;</w:t>
      </w:r>
      <w:r>
        <w:rPr>
          <w:rFonts w:ascii="Times New Roman" w:hAnsi="Times New Roman" w:cs="Times New Roman"/>
          <w:sz w:val="20"/>
          <w:szCs w:val="20"/>
        </w:rPr>
        <w:t xml:space="preserve"> </w:t>
      </w:r>
      <w:r w:rsidRPr="0024257B">
        <w:rPr>
          <w:rFonts w:ascii="Times New Roman" w:hAnsi="Times New Roman" w:cs="Times New Roman"/>
          <w:b/>
          <w:color w:val="0070C0"/>
          <w:sz w:val="20"/>
          <w:szCs w:val="20"/>
        </w:rPr>
        <w:t xml:space="preserve">Published: </w:t>
      </w:r>
      <w:r w:rsidR="00A170D0">
        <w:rPr>
          <w:rFonts w:ascii="Times New Roman" w:hAnsi="Times New Roman" w:cs="Times New Roman"/>
          <w:sz w:val="20"/>
          <w:szCs w:val="20"/>
        </w:rPr>
        <w:t>14</w:t>
      </w:r>
      <w:r>
        <w:rPr>
          <w:rFonts w:ascii="Times New Roman" w:hAnsi="Times New Roman" w:cs="Times New Roman"/>
          <w:sz w:val="20"/>
          <w:szCs w:val="20"/>
        </w:rPr>
        <w:t xml:space="preserve"> </w:t>
      </w:r>
      <w:r w:rsidR="00A170D0">
        <w:rPr>
          <w:rFonts w:ascii="Times New Roman" w:hAnsi="Times New Roman" w:cs="Times New Roman"/>
          <w:sz w:val="20"/>
          <w:szCs w:val="20"/>
        </w:rPr>
        <w:t>July</w:t>
      </w:r>
      <w:r>
        <w:rPr>
          <w:rFonts w:ascii="Times New Roman" w:hAnsi="Times New Roman" w:cs="Times New Roman"/>
          <w:sz w:val="20"/>
          <w:szCs w:val="20"/>
        </w:rPr>
        <w:t xml:space="preserve"> 2026</w:t>
      </w:r>
    </w:p>
    <w:p w14:paraId="25030C30" w14:textId="77777777" w:rsidR="00C44656" w:rsidRPr="00DC143C" w:rsidRDefault="00C44656" w:rsidP="00C44656">
      <w:pPr>
        <w:spacing w:after="0" w:line="360" w:lineRule="auto"/>
        <w:jc w:val="both"/>
        <w:rPr>
          <w:rFonts w:ascii="Times New Roman" w:hAnsi="Times New Roman" w:cs="Times New Roman"/>
          <w:bCs/>
        </w:rPr>
      </w:pPr>
    </w:p>
    <w:p w14:paraId="00F75D2A" w14:textId="6A826B43" w:rsidR="00C44656" w:rsidRPr="001C2D89" w:rsidRDefault="00C44656" w:rsidP="00C44656">
      <w:pPr>
        <w:spacing w:after="0" w:line="360" w:lineRule="auto"/>
        <w:jc w:val="both"/>
        <w:rPr>
          <w:rFonts w:ascii="Times New Roman" w:hAnsi="Times New Roman" w:cs="Times New Roman"/>
          <w:spacing w:val="-2"/>
          <w:sz w:val="20"/>
          <w:szCs w:val="20"/>
        </w:rPr>
      </w:pPr>
      <w:r w:rsidRPr="00DC143C">
        <w:rPr>
          <w:rFonts w:ascii="Times New Roman" w:hAnsi="Times New Roman" w:cs="Times New Roman"/>
          <w:b/>
          <w:color w:val="0070C0"/>
        </w:rPr>
        <w:t xml:space="preserve">Citation: </w:t>
      </w:r>
      <w:r w:rsidRPr="001C2D89">
        <w:rPr>
          <w:rFonts w:ascii="Times New Roman" w:hAnsi="Times New Roman" w:cs="Times New Roman"/>
          <w:bCs/>
          <w:spacing w:val="-2"/>
          <w:sz w:val="20"/>
          <w:szCs w:val="20"/>
        </w:rPr>
        <w:t>FNU Raveena</w:t>
      </w:r>
      <w:r>
        <w:rPr>
          <w:rFonts w:ascii="Times New Roman" w:hAnsi="Times New Roman" w:cs="Times New Roman"/>
          <w:bCs/>
          <w:spacing w:val="-2"/>
          <w:sz w:val="20"/>
          <w:szCs w:val="20"/>
        </w:rPr>
        <w:t>, Sadia Siddiqui</w:t>
      </w:r>
      <w:r w:rsidRPr="001C2D89">
        <w:rPr>
          <w:rFonts w:ascii="Times New Roman" w:hAnsi="Times New Roman" w:cs="Times New Roman"/>
          <w:bCs/>
          <w:spacing w:val="-2"/>
          <w:sz w:val="20"/>
          <w:szCs w:val="20"/>
        </w:rPr>
        <w:t>,</w:t>
      </w:r>
      <w:r>
        <w:rPr>
          <w:rFonts w:ascii="Times New Roman" w:hAnsi="Times New Roman" w:cs="Times New Roman"/>
          <w:bCs/>
          <w:spacing w:val="-2"/>
          <w:sz w:val="20"/>
          <w:szCs w:val="20"/>
        </w:rPr>
        <w:t xml:space="preserve"> FNU Sandesh, FNU Monishka, FNU Manesha, Chandar Kanta Lohana, Nisha Kumari, </w:t>
      </w:r>
      <w:r w:rsidR="00197546" w:rsidRPr="00197546">
        <w:rPr>
          <w:rFonts w:ascii="Times New Roman" w:hAnsi="Times New Roman" w:cs="Times New Roman"/>
          <w:spacing w:val="-2"/>
          <w:sz w:val="20"/>
          <w:szCs w:val="20"/>
        </w:rPr>
        <w:t>Rahul rai</w:t>
      </w:r>
      <w:r w:rsidRPr="001C2D89">
        <w:rPr>
          <w:rFonts w:ascii="Times New Roman" w:hAnsi="Times New Roman" w:cs="Times New Roman"/>
          <w:bCs/>
          <w:spacing w:val="-2"/>
          <w:sz w:val="20"/>
          <w:szCs w:val="20"/>
        </w:rPr>
        <w:t>,</w:t>
      </w:r>
      <w:r>
        <w:rPr>
          <w:rFonts w:ascii="Times New Roman" w:hAnsi="Times New Roman" w:cs="Times New Roman"/>
          <w:bCs/>
          <w:spacing w:val="-2"/>
          <w:sz w:val="20"/>
          <w:szCs w:val="20"/>
        </w:rPr>
        <w:t xml:space="preserve"> Anjlee Parkash,</w:t>
      </w:r>
      <w:r w:rsidR="00E326BD">
        <w:rPr>
          <w:rFonts w:ascii="Times New Roman" w:hAnsi="Times New Roman" w:cs="Times New Roman"/>
          <w:bCs/>
          <w:spacing w:val="-2"/>
          <w:sz w:val="20"/>
          <w:szCs w:val="20"/>
        </w:rPr>
        <w:t xml:space="preserve"> </w:t>
      </w:r>
      <w:r>
        <w:rPr>
          <w:rFonts w:ascii="Times New Roman" w:hAnsi="Times New Roman" w:cs="Times New Roman"/>
          <w:bCs/>
          <w:spacing w:val="-2"/>
          <w:sz w:val="20"/>
          <w:szCs w:val="20"/>
        </w:rPr>
        <w:t>Beesham Kumar, Bushra Ghafar, Hira Riaz.</w:t>
      </w:r>
      <w:r w:rsidRPr="001C2D89">
        <w:rPr>
          <w:rFonts w:ascii="Times New Roman" w:hAnsi="Times New Roman" w:cs="Times New Roman"/>
          <w:bCs/>
          <w:spacing w:val="-2"/>
          <w:sz w:val="20"/>
          <w:szCs w:val="20"/>
        </w:rPr>
        <w:t xml:space="preserve">  Epidemiologic Trends in Urinary Tract Infection-Related Mortality Among Older Adults in the United States: a CDC Wonder Metanalysis Study</w:t>
      </w:r>
      <w:r>
        <w:rPr>
          <w:rFonts w:ascii="Times New Roman" w:hAnsi="Times New Roman" w:cs="Times New Roman"/>
          <w:bCs/>
          <w:spacing w:val="-2"/>
          <w:sz w:val="20"/>
          <w:szCs w:val="20"/>
        </w:rPr>
        <w:t>.</w:t>
      </w:r>
      <w:r>
        <w:rPr>
          <w:rFonts w:ascii="Times New Roman" w:hAnsi="Times New Roman" w:cs="Times New Roman"/>
          <w:spacing w:val="-2"/>
          <w:sz w:val="20"/>
          <w:szCs w:val="20"/>
        </w:rPr>
        <w:t xml:space="preserve"> </w:t>
      </w:r>
      <w:r w:rsidRPr="00D9057D">
        <w:rPr>
          <w:rFonts w:ascii="Times New Roman" w:eastAsia="Times New Roman" w:hAnsi="Times New Roman" w:cs="Times New Roman"/>
          <w:sz w:val="20"/>
          <w:szCs w:val="20"/>
        </w:rPr>
        <w:t xml:space="preserve">Archives of Nephrology and Urology 9 (2026): </w:t>
      </w:r>
      <w:r w:rsidR="00A170D0">
        <w:rPr>
          <w:rFonts w:ascii="Times New Roman" w:eastAsia="Times New Roman" w:hAnsi="Times New Roman" w:cs="Times New Roman"/>
          <w:sz w:val="20"/>
          <w:szCs w:val="20"/>
        </w:rPr>
        <w:t>40</w:t>
      </w:r>
      <w:r w:rsidRPr="00D9057D">
        <w:rPr>
          <w:rFonts w:ascii="Times New Roman" w:eastAsia="Times New Roman" w:hAnsi="Times New Roman" w:cs="Times New Roman"/>
          <w:sz w:val="20"/>
          <w:szCs w:val="20"/>
        </w:rPr>
        <w:t>-</w:t>
      </w:r>
      <w:r w:rsidR="00A170D0">
        <w:rPr>
          <w:rFonts w:ascii="Times New Roman" w:eastAsia="Times New Roman" w:hAnsi="Times New Roman" w:cs="Times New Roman"/>
          <w:sz w:val="20"/>
          <w:szCs w:val="20"/>
        </w:rPr>
        <w:t>47</w:t>
      </w:r>
      <w:r w:rsidRPr="00D9057D">
        <w:rPr>
          <w:rFonts w:ascii="Times New Roman" w:eastAsia="Times New Roman" w:hAnsi="Times New Roman" w:cs="Times New Roman"/>
          <w:sz w:val="20"/>
          <w:szCs w:val="20"/>
        </w:rPr>
        <w:t>.</w:t>
      </w:r>
    </w:p>
    <w:p w14:paraId="035351DE" w14:textId="77777777" w:rsidR="00C44656" w:rsidRDefault="00C44656" w:rsidP="00C44656">
      <w:pPr>
        <w:spacing w:after="0" w:line="360" w:lineRule="auto"/>
        <w:jc w:val="both"/>
        <w:rPr>
          <w:rFonts w:ascii="Times New Roman" w:hAnsi="Times New Roman" w:cs="Times New Roman"/>
          <w:b/>
          <w:color w:val="0070C0"/>
        </w:rPr>
      </w:pPr>
    </w:p>
    <w:p w14:paraId="1E80A22C" w14:textId="68EA65E1" w:rsidR="00C44656" w:rsidRDefault="00C44656" w:rsidP="006606AD">
      <w:pPr>
        <w:spacing w:after="0" w:line="360" w:lineRule="auto"/>
        <w:jc w:val="both"/>
        <w:rPr>
          <w:rFonts w:ascii="Times New Roman" w:hAnsi="Times New Roman" w:cs="Times New Roman"/>
          <w:b/>
          <w:color w:val="0070C0"/>
        </w:rPr>
      </w:pPr>
      <w:r w:rsidRPr="00A833A2">
        <w:rPr>
          <w:rFonts w:ascii="Times New Roman" w:hAnsi="Times New Roman" w:cs="Times New Roman"/>
          <w:b/>
          <w:color w:val="0070C0"/>
        </w:rPr>
        <w:t>Abstract</w:t>
      </w:r>
    </w:p>
    <w:p w14:paraId="47DA3BDD" w14:textId="77777777" w:rsidR="00C44656" w:rsidRPr="000F142A" w:rsidRDefault="00C44656" w:rsidP="006606AD">
      <w:pPr>
        <w:pStyle w:val="BodyText"/>
        <w:spacing w:line="360" w:lineRule="auto"/>
        <w:ind w:left="0"/>
        <w:jc w:val="both"/>
        <w:rPr>
          <w:rFonts w:cs="Times New Roman"/>
          <w:bCs/>
          <w:sz w:val="20"/>
          <w:szCs w:val="20"/>
        </w:rPr>
      </w:pPr>
      <w:r w:rsidRPr="000F142A">
        <w:rPr>
          <w:rFonts w:cs="Times New Roman"/>
          <w:b/>
          <w:bCs/>
          <w:color w:val="0070C0"/>
          <w:sz w:val="20"/>
          <w:szCs w:val="20"/>
        </w:rPr>
        <w:t>Introductio</w:t>
      </w:r>
      <w:r>
        <w:rPr>
          <w:rFonts w:cs="Times New Roman"/>
          <w:b/>
          <w:bCs/>
          <w:color w:val="0070C0"/>
          <w:sz w:val="20"/>
          <w:szCs w:val="20"/>
        </w:rPr>
        <w:t xml:space="preserve">n: </w:t>
      </w:r>
      <w:r w:rsidRPr="000F142A">
        <w:rPr>
          <w:rFonts w:cs="Times New Roman"/>
          <w:bCs/>
          <w:sz w:val="20"/>
          <w:szCs w:val="20"/>
        </w:rPr>
        <w:t xml:space="preserve">Urinary tract infections (UTIs) are a major cause of morbidity and mortality among older adults, </w:t>
      </w:r>
      <w:r w:rsidRPr="000F142A">
        <w:rPr>
          <w:rFonts w:cs="Times New Roman"/>
          <w:bCs/>
          <w:sz w:val="20"/>
          <w:szCs w:val="20"/>
        </w:rPr>
        <w:lastRenderedPageBreak/>
        <w:t>particularly in vulnerable populations. This study evaluated long-term trends and disparities in UTI-related mortality in the United States.</w:t>
      </w:r>
    </w:p>
    <w:p w14:paraId="2742D8F8" w14:textId="6A7C9DD0" w:rsidR="00C44656" w:rsidRDefault="00C44656" w:rsidP="006606AD">
      <w:pPr>
        <w:pStyle w:val="BodyText"/>
        <w:spacing w:line="360" w:lineRule="auto"/>
        <w:ind w:left="0"/>
        <w:jc w:val="both"/>
        <w:rPr>
          <w:rFonts w:cs="Times New Roman"/>
          <w:bCs/>
          <w:sz w:val="20"/>
          <w:szCs w:val="20"/>
        </w:rPr>
      </w:pPr>
      <w:r w:rsidRPr="000F142A">
        <w:rPr>
          <w:rFonts w:cs="Times New Roman"/>
          <w:b/>
          <w:bCs/>
          <w:color w:val="0070C0"/>
          <w:sz w:val="20"/>
          <w:szCs w:val="20"/>
        </w:rPr>
        <w:t>Methods:</w:t>
      </w:r>
      <w:r w:rsidRPr="000F142A">
        <w:rPr>
          <w:rFonts w:cs="Times New Roman"/>
          <w:bCs/>
          <w:color w:val="0070C0"/>
          <w:sz w:val="20"/>
          <w:szCs w:val="20"/>
        </w:rPr>
        <w:t xml:space="preserve"> </w:t>
      </w:r>
      <w:r w:rsidRPr="000F142A">
        <w:rPr>
          <w:rFonts w:cs="Times New Roman"/>
          <w:bCs/>
          <w:sz w:val="20"/>
          <w:szCs w:val="20"/>
        </w:rPr>
        <w:t>Data for adults aged ≥65 years from 1999 to 2020 were obtained from the CDC WONDER database. UTI-related deaths</w:t>
      </w:r>
      <w:r w:rsidR="002A7987">
        <w:rPr>
          <w:rFonts w:cs="Times New Roman"/>
          <w:bCs/>
          <w:sz w:val="20"/>
          <w:szCs w:val="20"/>
        </w:rPr>
        <w:t>-</w:t>
      </w:r>
      <w:r w:rsidRPr="000F142A">
        <w:rPr>
          <w:rFonts w:cs="Times New Roman"/>
          <w:bCs/>
          <w:sz w:val="20"/>
          <w:szCs w:val="20"/>
        </w:rPr>
        <w:t xml:space="preserve">including nephritis, cystitis, urethritis, and non-specific UTIs—were analyzed using </w:t>
      </w:r>
      <w:proofErr w:type="spellStart"/>
      <w:r w:rsidRPr="000F142A">
        <w:rPr>
          <w:rFonts w:cs="Times New Roman"/>
          <w:bCs/>
          <w:sz w:val="20"/>
          <w:szCs w:val="20"/>
        </w:rPr>
        <w:t>Joinpoint</w:t>
      </w:r>
      <w:proofErr w:type="spellEnd"/>
      <w:r w:rsidRPr="000F142A">
        <w:rPr>
          <w:rFonts w:cs="Times New Roman"/>
          <w:bCs/>
          <w:sz w:val="20"/>
          <w:szCs w:val="20"/>
        </w:rPr>
        <w:t xml:space="preserve"> regression to calculate annual percent change (APC). Age-adjusted mortality rates (AAMRs) were stratified by sex, race, region, and urbanicity.</w:t>
      </w:r>
    </w:p>
    <w:p w14:paraId="6DA02B9E" w14:textId="49BF2A93" w:rsidR="00C44656" w:rsidRDefault="00C44656" w:rsidP="006606AD">
      <w:pPr>
        <w:pStyle w:val="BodyText"/>
        <w:spacing w:line="360" w:lineRule="auto"/>
        <w:ind w:left="0"/>
        <w:jc w:val="both"/>
        <w:rPr>
          <w:rFonts w:cs="Times New Roman"/>
          <w:bCs/>
          <w:sz w:val="20"/>
          <w:szCs w:val="20"/>
        </w:rPr>
      </w:pPr>
      <w:r w:rsidRPr="00C44656">
        <w:rPr>
          <w:rFonts w:cs="Times New Roman"/>
          <w:b/>
          <w:color w:val="0070C0"/>
          <w:sz w:val="20"/>
          <w:szCs w:val="20"/>
        </w:rPr>
        <w:t>Results:</w:t>
      </w:r>
      <w:r w:rsidRPr="00C44656">
        <w:rPr>
          <w:rFonts w:cs="Times New Roman"/>
          <w:bCs/>
          <w:color w:val="0070C0"/>
          <w:sz w:val="20"/>
          <w:szCs w:val="20"/>
        </w:rPr>
        <w:t xml:space="preserve"> </w:t>
      </w:r>
      <w:r w:rsidRPr="00C44656">
        <w:rPr>
          <w:rFonts w:cs="Times New Roman"/>
          <w:bCs/>
          <w:sz w:val="20"/>
          <w:szCs w:val="20"/>
        </w:rPr>
        <w:t>A total of 820,913 UTI-related deaths were identified (supplementary table 1.1). The AAMR declined from 99.2 in 1999 to 79.8 in 2018 (APC: −1.04), followed by an increase to 89.0 in 2020 (APC: 3.1). Females had higher mortality than males (92.6 vs. 82.5). The highest AAMRs were observed among non-Hispanic Black individuals (107.8), followed by non-Hispanic American Indian/Alaska Native, White, Hispanic, and Asian/Pacific Islander populations. Regionally, the Southern United States had the highest mortality (AAMR: 97.3), with Mississippi, Kentucky, North Carolina, Arkansas, and Indiana ranking highest. Nonmetropolitan areas consistently exhibited higher mortality than metropolitan areas. Most deaths (94.6%) were attributed to non-specific UTIs. Both nephritis- and UTI-related mortality demonstrated significant geographic disparities, with higher rates in rural areas and notable regional variation.</w:t>
      </w:r>
    </w:p>
    <w:p w14:paraId="3C22452A" w14:textId="3DA492CA" w:rsidR="00C44656" w:rsidRPr="00C44656" w:rsidRDefault="00C44656" w:rsidP="006606AD">
      <w:pPr>
        <w:pStyle w:val="BodyText"/>
        <w:spacing w:line="360" w:lineRule="auto"/>
        <w:ind w:left="0"/>
        <w:jc w:val="both"/>
        <w:rPr>
          <w:rFonts w:cs="Times New Roman"/>
          <w:bCs/>
          <w:sz w:val="20"/>
          <w:szCs w:val="20"/>
        </w:rPr>
      </w:pPr>
      <w:r w:rsidRPr="00C44656">
        <w:rPr>
          <w:rFonts w:cs="Times New Roman"/>
          <w:b/>
          <w:color w:val="0070C0"/>
          <w:sz w:val="20"/>
          <w:szCs w:val="20"/>
        </w:rPr>
        <w:t>Conclusion:</w:t>
      </w:r>
      <w:r w:rsidRPr="00C44656">
        <w:rPr>
          <w:rFonts w:cs="Times New Roman"/>
          <w:bCs/>
          <w:color w:val="0070C0"/>
          <w:sz w:val="20"/>
          <w:szCs w:val="20"/>
        </w:rPr>
        <w:t xml:space="preserve"> </w:t>
      </w:r>
      <w:r w:rsidRPr="00C44656">
        <w:rPr>
          <w:rFonts w:cs="Times New Roman"/>
          <w:bCs/>
          <w:sz w:val="20"/>
          <w:szCs w:val="20"/>
        </w:rPr>
        <w:t>UTI-related mortality among older adults has increased since 2018, with persistent disparities across demographic and geographic groups. Targeted prevention, early diagnosis, and timely management are essential to reduce this burden.</w:t>
      </w:r>
    </w:p>
    <w:p w14:paraId="09C43AAC" w14:textId="77777777" w:rsidR="00C44656" w:rsidRPr="00C44656" w:rsidRDefault="00C44656" w:rsidP="006606AD">
      <w:pPr>
        <w:pStyle w:val="BodyText"/>
        <w:spacing w:line="360" w:lineRule="auto"/>
        <w:ind w:left="0"/>
        <w:jc w:val="both"/>
        <w:rPr>
          <w:rFonts w:cs="Times New Roman"/>
          <w:bCs/>
          <w:sz w:val="20"/>
          <w:szCs w:val="20"/>
        </w:rPr>
      </w:pPr>
    </w:p>
    <w:p w14:paraId="480B86DD" w14:textId="77777777" w:rsidR="00C44656" w:rsidRPr="00C44656" w:rsidRDefault="00C44656" w:rsidP="006606AD">
      <w:pPr>
        <w:pStyle w:val="BodyText"/>
        <w:spacing w:line="360" w:lineRule="auto"/>
        <w:ind w:left="0"/>
        <w:jc w:val="both"/>
        <w:rPr>
          <w:rFonts w:cs="Times New Roman"/>
          <w:bCs/>
          <w:sz w:val="20"/>
          <w:szCs w:val="20"/>
        </w:rPr>
      </w:pPr>
      <w:r w:rsidRPr="00C44656">
        <w:rPr>
          <w:rFonts w:cs="Times New Roman"/>
          <w:b/>
          <w:color w:val="0070C0"/>
          <w:sz w:val="22"/>
          <w:szCs w:val="22"/>
        </w:rPr>
        <w:t>Keywords:</w:t>
      </w:r>
      <w:r w:rsidRPr="00C44656">
        <w:rPr>
          <w:rFonts w:cs="Times New Roman"/>
          <w:bCs/>
          <w:sz w:val="20"/>
          <w:szCs w:val="20"/>
        </w:rPr>
        <w:t xml:space="preserve"> Cystitis; Mortality; Nephritis; Aged; Trends; Urinary tract infection</w:t>
      </w:r>
    </w:p>
    <w:p w14:paraId="7D41B6D4" w14:textId="77777777" w:rsidR="00C44656" w:rsidRPr="00C44656" w:rsidRDefault="00C44656" w:rsidP="006606AD">
      <w:pPr>
        <w:pStyle w:val="BodyText"/>
        <w:spacing w:line="360" w:lineRule="auto"/>
        <w:ind w:left="0"/>
        <w:jc w:val="both"/>
        <w:rPr>
          <w:rFonts w:cs="Times New Roman"/>
          <w:bCs/>
          <w:sz w:val="20"/>
          <w:szCs w:val="20"/>
        </w:rPr>
      </w:pPr>
    </w:p>
    <w:p w14:paraId="123B98C7" w14:textId="77777777" w:rsidR="00C44656" w:rsidRDefault="00C44656" w:rsidP="006606AD">
      <w:pPr>
        <w:pStyle w:val="BodyText"/>
        <w:spacing w:line="360" w:lineRule="auto"/>
        <w:ind w:left="0"/>
        <w:jc w:val="both"/>
        <w:rPr>
          <w:rFonts w:cs="Times New Roman"/>
          <w:b/>
          <w:color w:val="0070C0"/>
          <w:sz w:val="22"/>
          <w:szCs w:val="22"/>
        </w:rPr>
      </w:pPr>
      <w:r w:rsidRPr="00C44656">
        <w:rPr>
          <w:rFonts w:cs="Times New Roman"/>
          <w:b/>
          <w:color w:val="0070C0"/>
          <w:sz w:val="22"/>
          <w:szCs w:val="22"/>
        </w:rPr>
        <w:t>Introduction</w:t>
      </w:r>
    </w:p>
    <w:p w14:paraId="1EE563DF" w14:textId="1F581413" w:rsidR="00C44656" w:rsidRDefault="00C44656" w:rsidP="006606AD">
      <w:pPr>
        <w:pStyle w:val="BodyText"/>
        <w:spacing w:line="360" w:lineRule="auto"/>
        <w:ind w:left="0"/>
        <w:jc w:val="both"/>
        <w:rPr>
          <w:rFonts w:cs="Times New Roman"/>
          <w:b/>
          <w:color w:val="0070C0"/>
          <w:sz w:val="22"/>
          <w:szCs w:val="22"/>
        </w:rPr>
      </w:pPr>
      <w:r w:rsidRPr="00C44656">
        <w:rPr>
          <w:rFonts w:cs="Times New Roman"/>
          <w:bCs/>
          <w:sz w:val="20"/>
          <w:szCs w:val="20"/>
        </w:rPr>
        <w:t>A urinary tract infection (UTI) is an infection of any part of the urinary system which consists of the lower urinary tract (bladder and urethra) and upper urinary tract (kidneys and ureters)</w:t>
      </w:r>
      <w:r w:rsidR="002A7987">
        <w:rPr>
          <w:rFonts w:cs="Times New Roman"/>
          <w:bCs/>
          <w:sz w:val="20"/>
          <w:szCs w:val="20"/>
        </w:rPr>
        <w:t xml:space="preserve"> [1]</w:t>
      </w:r>
      <w:r w:rsidRPr="00C44656">
        <w:rPr>
          <w:rFonts w:cs="Times New Roman"/>
          <w:bCs/>
          <w:sz w:val="20"/>
          <w:szCs w:val="20"/>
        </w:rPr>
        <w:t>. UTI is the second most common infection in adults aged ≥ 65 in both hospitalized patients and community-dwelling adults</w:t>
      </w:r>
      <w:r w:rsidR="002A7987">
        <w:rPr>
          <w:rFonts w:cs="Times New Roman"/>
          <w:bCs/>
          <w:sz w:val="20"/>
          <w:szCs w:val="20"/>
        </w:rPr>
        <w:t xml:space="preserve"> [2,3]. </w:t>
      </w:r>
      <w:r w:rsidRPr="00C44656">
        <w:rPr>
          <w:rFonts w:cs="Times New Roman"/>
          <w:bCs/>
          <w:sz w:val="20"/>
          <w:szCs w:val="20"/>
        </w:rPr>
        <w:t>The incidence of UTI for men aged 65-74 years is estimated to increase by 0.05 per person-year</w:t>
      </w:r>
      <w:r w:rsidR="002A7987">
        <w:rPr>
          <w:rFonts w:cs="Times New Roman"/>
          <w:bCs/>
          <w:sz w:val="20"/>
          <w:szCs w:val="20"/>
        </w:rPr>
        <w:t xml:space="preserve"> [4]</w:t>
      </w:r>
      <w:r w:rsidRPr="00C44656">
        <w:rPr>
          <w:rFonts w:cs="Times New Roman"/>
          <w:bCs/>
          <w:sz w:val="20"/>
          <w:szCs w:val="20"/>
        </w:rPr>
        <w:t>. It mostly occurs due to Escherichia coli (E. coli) bacteria and is more prevalent in women than men</w:t>
      </w:r>
      <w:r w:rsidR="002A7987">
        <w:rPr>
          <w:rFonts w:cs="Times New Roman"/>
          <w:bCs/>
          <w:sz w:val="20"/>
          <w:szCs w:val="20"/>
        </w:rPr>
        <w:t xml:space="preserve"> [5,6].</w:t>
      </w:r>
      <w:r w:rsidRPr="00C44656">
        <w:rPr>
          <w:rFonts w:cs="Times New Roman"/>
          <w:bCs/>
          <w:sz w:val="20"/>
          <w:szCs w:val="20"/>
        </w:rPr>
        <w:t xml:space="preserve"> In 2019, more than 404.6 million individuals had UTIs globally, and nearly 236,786 people died of UTIs</w:t>
      </w:r>
      <w:r w:rsidR="002A7987">
        <w:rPr>
          <w:rFonts w:cs="Times New Roman"/>
          <w:bCs/>
          <w:sz w:val="20"/>
          <w:szCs w:val="20"/>
        </w:rPr>
        <w:t xml:space="preserve"> [7]</w:t>
      </w:r>
      <w:r w:rsidRPr="00C44656">
        <w:rPr>
          <w:rFonts w:cs="Times New Roman"/>
          <w:bCs/>
          <w:sz w:val="20"/>
          <w:szCs w:val="20"/>
        </w:rPr>
        <w:t xml:space="preserve">. Many reasons can lead to a UTI, such as hospitalization, catheters, or even antibiotic exposure when a person’s immune system is weakened and compromised. Urosepsis is a sepsis that occurs </w:t>
      </w:r>
      <w:proofErr w:type="gramStart"/>
      <w:r w:rsidRPr="00C44656">
        <w:rPr>
          <w:rFonts w:cs="Times New Roman"/>
          <w:bCs/>
          <w:sz w:val="20"/>
          <w:szCs w:val="20"/>
        </w:rPr>
        <w:t>as a result of</w:t>
      </w:r>
      <w:proofErr w:type="gramEnd"/>
      <w:r w:rsidRPr="00C44656">
        <w:rPr>
          <w:rFonts w:cs="Times New Roman"/>
          <w:bCs/>
          <w:sz w:val="20"/>
          <w:szCs w:val="20"/>
        </w:rPr>
        <w:t xml:space="preserve"> a UTI. Urosepsis is one of the most common causes of sepsis, and the urogenital tract accounts for around 25% of sepsis cases</w:t>
      </w:r>
      <w:r w:rsidR="002A7987">
        <w:rPr>
          <w:rFonts w:cs="Times New Roman"/>
          <w:bCs/>
          <w:sz w:val="20"/>
          <w:szCs w:val="20"/>
        </w:rPr>
        <w:t xml:space="preserve"> [8]</w:t>
      </w:r>
      <w:r w:rsidRPr="00C44656">
        <w:rPr>
          <w:rFonts w:cs="Times New Roman"/>
          <w:bCs/>
          <w:sz w:val="20"/>
          <w:szCs w:val="20"/>
        </w:rPr>
        <w:t>. Sepsis is our body's life-threatening response to an infection, with a mortality rate of 15% to 59%</w:t>
      </w:r>
      <w:r w:rsidR="002A7987">
        <w:rPr>
          <w:rFonts w:cs="Times New Roman"/>
          <w:bCs/>
          <w:sz w:val="20"/>
          <w:szCs w:val="20"/>
        </w:rPr>
        <w:t xml:space="preserve"> [9]</w:t>
      </w:r>
      <w:r w:rsidRPr="00C44656">
        <w:rPr>
          <w:rFonts w:cs="Times New Roman"/>
          <w:bCs/>
          <w:sz w:val="20"/>
          <w:szCs w:val="20"/>
        </w:rPr>
        <w:t>. If not treated in time, urosepsis can result in death. Urosepsis severity depends on the virulence of the pathogen and the state of the individual's immune system</w:t>
      </w:r>
      <w:r w:rsidR="002A7987">
        <w:rPr>
          <w:rFonts w:cs="Times New Roman"/>
          <w:bCs/>
          <w:sz w:val="20"/>
          <w:szCs w:val="20"/>
        </w:rPr>
        <w:t xml:space="preserve"> [10]</w:t>
      </w:r>
      <w:r w:rsidRPr="00C44656">
        <w:rPr>
          <w:rFonts w:cs="Times New Roman"/>
          <w:bCs/>
          <w:sz w:val="20"/>
          <w:szCs w:val="20"/>
        </w:rPr>
        <w:t>. It is of utmost importance that urinary tract-related disorders are treated timely and efficiently to avoid deaths due to urosepsis</w:t>
      </w:r>
      <w:r w:rsidR="002A7987">
        <w:rPr>
          <w:rFonts w:cs="Times New Roman"/>
          <w:bCs/>
          <w:sz w:val="20"/>
          <w:szCs w:val="20"/>
        </w:rPr>
        <w:t xml:space="preserve"> [11]</w:t>
      </w:r>
      <w:r w:rsidRPr="00C44656">
        <w:rPr>
          <w:rFonts w:cs="Times New Roman"/>
          <w:bCs/>
          <w:sz w:val="20"/>
          <w:szCs w:val="20"/>
        </w:rPr>
        <w:t xml:space="preserve">. Urosepsis cases in the ageing population are also increasing owing to the high life expectancy all </w:t>
      </w:r>
      <w:r w:rsidRPr="00C44656">
        <w:rPr>
          <w:rFonts w:cs="Times New Roman"/>
          <w:bCs/>
          <w:sz w:val="20"/>
          <w:szCs w:val="20"/>
        </w:rPr>
        <w:lastRenderedPageBreak/>
        <w:t>around the world. Hence, there is a need for research to investigate, prevent and decrease the mortality due to UTI as it leads to urosepsis. The aim of this research is to find out mortality trends due to UTIs in US elderly population by examining demographic characteristics and geographical areas of patients who died from UTIs. Our research will help identify high-risk elderly individuals that need medical attention.</w:t>
      </w:r>
    </w:p>
    <w:p w14:paraId="36687A7E" w14:textId="77777777" w:rsidR="00C44656" w:rsidRDefault="00C44656" w:rsidP="006606AD">
      <w:pPr>
        <w:pStyle w:val="BodyText"/>
        <w:spacing w:line="360" w:lineRule="auto"/>
        <w:ind w:left="0"/>
        <w:jc w:val="both"/>
        <w:rPr>
          <w:rFonts w:cs="Times New Roman"/>
          <w:b/>
          <w:color w:val="0070C0"/>
          <w:sz w:val="22"/>
          <w:szCs w:val="22"/>
        </w:rPr>
      </w:pPr>
    </w:p>
    <w:p w14:paraId="0CEB81AD" w14:textId="77777777" w:rsidR="00C44656" w:rsidRPr="00271A8A" w:rsidRDefault="00C44656" w:rsidP="006606AD">
      <w:pPr>
        <w:pStyle w:val="BodyText"/>
        <w:spacing w:line="360" w:lineRule="auto"/>
        <w:ind w:left="0"/>
        <w:jc w:val="both"/>
        <w:rPr>
          <w:rFonts w:cs="Times New Roman"/>
          <w:b/>
          <w:color w:val="0070C0"/>
          <w:sz w:val="20"/>
          <w:szCs w:val="20"/>
        </w:rPr>
      </w:pPr>
    </w:p>
    <w:p w14:paraId="0D84238B" w14:textId="613016E7" w:rsidR="00C44656" w:rsidRDefault="00C44656" w:rsidP="006606AD">
      <w:pPr>
        <w:pStyle w:val="BodyText"/>
        <w:spacing w:line="360" w:lineRule="auto"/>
        <w:ind w:left="0"/>
        <w:jc w:val="both"/>
        <w:rPr>
          <w:rFonts w:cs="Times New Roman"/>
          <w:b/>
          <w:color w:val="0070C0"/>
          <w:sz w:val="22"/>
          <w:szCs w:val="22"/>
        </w:rPr>
      </w:pPr>
      <w:r w:rsidRPr="00C44656">
        <w:rPr>
          <w:rFonts w:cs="Times New Roman"/>
          <w:b/>
          <w:color w:val="0070C0"/>
          <w:sz w:val="22"/>
          <w:szCs w:val="22"/>
        </w:rPr>
        <w:t>Methods</w:t>
      </w:r>
    </w:p>
    <w:p w14:paraId="3E11E8A1" w14:textId="77777777" w:rsidR="00C44656" w:rsidRDefault="00C44656" w:rsidP="006606AD">
      <w:pPr>
        <w:pStyle w:val="BodyText"/>
        <w:spacing w:line="360" w:lineRule="auto"/>
        <w:ind w:left="0"/>
        <w:jc w:val="both"/>
        <w:rPr>
          <w:rFonts w:cs="Times New Roman"/>
          <w:b/>
          <w:color w:val="0070C0"/>
          <w:sz w:val="22"/>
          <w:szCs w:val="22"/>
        </w:rPr>
      </w:pPr>
      <w:r w:rsidRPr="00C44656">
        <w:rPr>
          <w:rFonts w:cs="Times New Roman"/>
          <w:b/>
          <w:color w:val="0070C0"/>
          <w:sz w:val="20"/>
          <w:szCs w:val="20"/>
        </w:rPr>
        <w:t>Study Setting and Population</w:t>
      </w:r>
    </w:p>
    <w:p w14:paraId="6472EAA3" w14:textId="1668E9B1" w:rsidR="00C44656" w:rsidRDefault="00C44656" w:rsidP="006606AD">
      <w:pPr>
        <w:pStyle w:val="BodyText"/>
        <w:spacing w:line="360" w:lineRule="auto"/>
        <w:ind w:left="0"/>
        <w:jc w:val="both"/>
        <w:rPr>
          <w:rFonts w:cs="Times New Roman"/>
          <w:b/>
          <w:color w:val="0070C0"/>
          <w:sz w:val="22"/>
          <w:szCs w:val="22"/>
        </w:rPr>
      </w:pPr>
      <w:r w:rsidRPr="00C44656">
        <w:rPr>
          <w:rFonts w:cs="Times New Roman"/>
          <w:bCs/>
          <w:sz w:val="20"/>
          <w:szCs w:val="20"/>
        </w:rPr>
        <w:t>For this descriptive retrospective cohort study, we utilized data from death certificates obtained from the CDC WONDER (Centers for Disease Control and Prevention Wide-Ranging On-Line Data for Epidemiological Research) database. The data for UTI-related mortality rates among older adults across United States spanning from 1999 to 2020 were retrieved using codes from the International Statistical Classification of Diseases and Related Health Problems-10th Revision (ICD-10). The codes used were N10, N11, N12, N13.6, N15.1, N15.8 &amp; N15.9; N30.0, N30.1, N30.2, N30.3, N30.8 &amp; N30.9; N34; N39.0 for Nephritis, Cystitis, Urethritis &amp; non-specific UTIs respectively. Similar codes have been used in a previous study. ICD-10 codes were grouped into four categories: nephritis (N10, N11, N12, N13.6, N15.1, N15.8, N15.9), cystitis (N30.0, N30.1, N30.2, N30.3, N30.8, N30.9), urethritis (N34), and non-specific UTI (N39.0). Table 1 shows the details of these codes</w:t>
      </w:r>
      <w:r>
        <w:rPr>
          <w:rFonts w:cs="Times New Roman"/>
          <w:bCs/>
          <w:sz w:val="20"/>
          <w:szCs w:val="20"/>
        </w:rPr>
        <w:t xml:space="preserve"> </w:t>
      </w:r>
      <w:r w:rsidR="002A7987">
        <w:rPr>
          <w:rFonts w:cs="Times New Roman"/>
          <w:bCs/>
          <w:sz w:val="20"/>
          <w:szCs w:val="20"/>
        </w:rPr>
        <w:t>[</w:t>
      </w:r>
      <w:r w:rsidRPr="00C44656">
        <w:rPr>
          <w:rFonts w:cs="Times New Roman"/>
          <w:bCs/>
          <w:sz w:val="20"/>
          <w:szCs w:val="20"/>
        </w:rPr>
        <w:t>12</w:t>
      </w:r>
      <w:r w:rsidR="002A7987">
        <w:rPr>
          <w:rFonts w:cs="Times New Roman"/>
          <w:bCs/>
          <w:sz w:val="20"/>
          <w:szCs w:val="20"/>
        </w:rPr>
        <w:t>]</w:t>
      </w:r>
      <w:r>
        <w:rPr>
          <w:rFonts w:cs="Times New Roman"/>
          <w:bCs/>
          <w:sz w:val="20"/>
          <w:szCs w:val="20"/>
        </w:rPr>
        <w:t>.</w:t>
      </w:r>
      <w:r w:rsidRPr="00C44656">
        <w:rPr>
          <w:rFonts w:cs="Times New Roman"/>
          <w:bCs/>
          <w:sz w:val="20"/>
          <w:szCs w:val="20"/>
        </w:rPr>
        <w:t xml:space="preserve"> </w:t>
      </w:r>
      <w:proofErr w:type="gramStart"/>
      <w:r w:rsidRPr="00C44656">
        <w:rPr>
          <w:rFonts w:cs="Times New Roman"/>
          <w:bCs/>
          <w:sz w:val="20"/>
          <w:szCs w:val="20"/>
        </w:rPr>
        <w:t>Overall</w:t>
      </w:r>
      <w:proofErr w:type="gramEnd"/>
      <w:r w:rsidRPr="00C44656">
        <w:rPr>
          <w:rFonts w:cs="Times New Roman"/>
          <w:bCs/>
          <w:sz w:val="20"/>
          <w:szCs w:val="20"/>
        </w:rPr>
        <w:t xml:space="preserve"> UTI analysis was done by using all codes. Then subcategories nephritis, cystitis, urethritis and non-specific UTI were </w:t>
      </w:r>
      <w:proofErr w:type="spellStart"/>
      <w:r w:rsidRPr="00C44656">
        <w:rPr>
          <w:rFonts w:cs="Times New Roman"/>
          <w:bCs/>
          <w:sz w:val="20"/>
          <w:szCs w:val="20"/>
        </w:rPr>
        <w:t>analysed</w:t>
      </w:r>
      <w:proofErr w:type="spellEnd"/>
      <w:r w:rsidRPr="00C44656">
        <w:rPr>
          <w:rFonts w:cs="Times New Roman"/>
          <w:bCs/>
          <w:sz w:val="20"/>
          <w:szCs w:val="20"/>
        </w:rPr>
        <w:t xml:space="preserve"> separately. The Multiple Cause-of-Death Public Use records and death certificates were </w:t>
      </w:r>
      <w:proofErr w:type="spellStart"/>
      <w:r w:rsidRPr="00C44656">
        <w:rPr>
          <w:rFonts w:cs="Times New Roman"/>
          <w:bCs/>
          <w:sz w:val="20"/>
          <w:szCs w:val="20"/>
        </w:rPr>
        <w:t>analysed</w:t>
      </w:r>
      <w:proofErr w:type="spellEnd"/>
      <w:r w:rsidRPr="00C44656">
        <w:rPr>
          <w:rFonts w:cs="Times New Roman"/>
          <w:bCs/>
          <w:sz w:val="20"/>
          <w:szCs w:val="20"/>
        </w:rPr>
        <w:t xml:space="preserve"> to discern UTI-related deaths which were selected as those with Urinary Tract Infections (UTIs) reported anywhere on the death certification either as contributing or underlying cause of death. Older Adults were defined as those who were 65 years or older at the time of death</w:t>
      </w:r>
      <w:r w:rsidR="002A7987">
        <w:rPr>
          <w:rFonts w:cs="Times New Roman"/>
          <w:bCs/>
          <w:sz w:val="20"/>
          <w:szCs w:val="20"/>
        </w:rPr>
        <w:t xml:space="preserve"> [13,14]. </w:t>
      </w:r>
      <w:r w:rsidRPr="00C44656">
        <w:rPr>
          <w:rFonts w:cs="Times New Roman"/>
          <w:bCs/>
          <w:sz w:val="20"/>
          <w:szCs w:val="20"/>
        </w:rPr>
        <w:t>This study follows the STROBE (Strengthening the Reporting of Observational Studies in Epidemiology) guidelines for reporting</w:t>
      </w:r>
      <w:r w:rsidR="002A7987">
        <w:rPr>
          <w:rFonts w:cs="Times New Roman"/>
          <w:bCs/>
          <w:sz w:val="20"/>
          <w:szCs w:val="20"/>
        </w:rPr>
        <w:t xml:space="preserve"> [15].</w:t>
      </w:r>
    </w:p>
    <w:p w14:paraId="5041201F" w14:textId="77777777" w:rsidR="00C44656" w:rsidRDefault="00C44656" w:rsidP="006606AD">
      <w:pPr>
        <w:pStyle w:val="BodyText"/>
        <w:spacing w:line="360" w:lineRule="auto"/>
        <w:ind w:left="0"/>
        <w:jc w:val="both"/>
        <w:rPr>
          <w:rFonts w:cs="Times New Roman"/>
          <w:b/>
          <w:color w:val="0070C0"/>
          <w:sz w:val="22"/>
          <w:szCs w:val="22"/>
        </w:rPr>
      </w:pPr>
    </w:p>
    <w:p w14:paraId="3E10FBEF" w14:textId="77777777" w:rsidR="00C44656" w:rsidRDefault="00C44656" w:rsidP="006606AD">
      <w:pPr>
        <w:pStyle w:val="BodyText"/>
        <w:spacing w:line="360" w:lineRule="auto"/>
        <w:ind w:left="0"/>
        <w:jc w:val="both"/>
        <w:rPr>
          <w:rFonts w:cs="Times New Roman"/>
          <w:b/>
          <w:color w:val="0070C0"/>
          <w:sz w:val="22"/>
          <w:szCs w:val="22"/>
        </w:rPr>
      </w:pPr>
      <w:r w:rsidRPr="00C44656">
        <w:rPr>
          <w:rFonts w:cs="Times New Roman"/>
          <w:b/>
          <w:color w:val="0070C0"/>
          <w:sz w:val="20"/>
          <w:szCs w:val="20"/>
        </w:rPr>
        <w:t>Data Abstraction</w:t>
      </w:r>
    </w:p>
    <w:p w14:paraId="58E31157" w14:textId="4BFC6ADF" w:rsidR="00C44656" w:rsidRDefault="00C44656" w:rsidP="006606AD">
      <w:pPr>
        <w:pStyle w:val="BodyText"/>
        <w:spacing w:line="360" w:lineRule="auto"/>
        <w:ind w:left="0"/>
        <w:jc w:val="both"/>
        <w:rPr>
          <w:rFonts w:cs="Times New Roman"/>
          <w:b/>
          <w:color w:val="0070C0"/>
          <w:sz w:val="22"/>
          <w:szCs w:val="22"/>
        </w:rPr>
      </w:pPr>
      <w:r w:rsidRPr="00C44656">
        <w:rPr>
          <w:rFonts w:cs="Times New Roman"/>
          <w:bCs/>
          <w:sz w:val="20"/>
          <w:szCs w:val="20"/>
        </w:rPr>
        <w:t>The study analyzed population size, year, demographics, states, region, and urban-rural classification. Demographic data included sex and race/ethnicity, with male and female participants aged ≥65. Race/ethnicity was classified into non-Hispanic White, Black, African American, Hispanic, American Indian, Alaska Native, and Asian/Pacific Islander</w:t>
      </w:r>
      <w:r w:rsidR="002A7987">
        <w:rPr>
          <w:rFonts w:cs="Times New Roman"/>
          <w:bCs/>
          <w:sz w:val="20"/>
          <w:szCs w:val="20"/>
        </w:rPr>
        <w:t xml:space="preserve"> [16]</w:t>
      </w:r>
      <w:r w:rsidRPr="00C44656">
        <w:rPr>
          <w:rFonts w:cs="Times New Roman"/>
          <w:bCs/>
          <w:sz w:val="20"/>
          <w:szCs w:val="20"/>
        </w:rPr>
        <w:t>. Geographical data was stratified into six counties as per the National Center for Health Statistics (NCHS), with metropolitan counties being large central metro counties, nonmetropolitan counties micropolitan and noncore counties, and census regions into Northeast, Midwest, South &amp; West</w:t>
      </w:r>
      <w:r w:rsidR="002A7987">
        <w:rPr>
          <w:rFonts w:cs="Times New Roman"/>
          <w:bCs/>
          <w:sz w:val="20"/>
          <w:szCs w:val="20"/>
        </w:rPr>
        <w:t xml:space="preserve"> [17].</w:t>
      </w:r>
    </w:p>
    <w:p w14:paraId="692F0A06" w14:textId="77777777" w:rsidR="00C44656" w:rsidRDefault="00C44656" w:rsidP="006606AD">
      <w:pPr>
        <w:pStyle w:val="BodyText"/>
        <w:spacing w:line="360" w:lineRule="auto"/>
        <w:ind w:left="0"/>
        <w:jc w:val="both"/>
        <w:rPr>
          <w:rFonts w:cs="Times New Roman"/>
          <w:b/>
          <w:color w:val="0070C0"/>
          <w:sz w:val="22"/>
          <w:szCs w:val="22"/>
        </w:rPr>
      </w:pPr>
    </w:p>
    <w:p w14:paraId="6FE059DA" w14:textId="77777777" w:rsidR="00271A8A" w:rsidRDefault="00271A8A" w:rsidP="006606AD">
      <w:pPr>
        <w:pStyle w:val="BodyText"/>
        <w:spacing w:line="360" w:lineRule="auto"/>
        <w:ind w:left="0"/>
        <w:jc w:val="both"/>
        <w:rPr>
          <w:rFonts w:cs="Times New Roman"/>
          <w:b/>
          <w:color w:val="0070C0"/>
          <w:sz w:val="20"/>
          <w:szCs w:val="20"/>
        </w:rPr>
      </w:pPr>
    </w:p>
    <w:p w14:paraId="3861920A" w14:textId="7075BCFE" w:rsidR="00C44656" w:rsidRDefault="00C44656" w:rsidP="006606AD">
      <w:pPr>
        <w:pStyle w:val="BodyText"/>
        <w:spacing w:line="360" w:lineRule="auto"/>
        <w:ind w:left="0"/>
        <w:jc w:val="both"/>
        <w:rPr>
          <w:rFonts w:cs="Times New Roman"/>
          <w:b/>
          <w:color w:val="0070C0"/>
          <w:sz w:val="22"/>
          <w:szCs w:val="22"/>
        </w:rPr>
      </w:pPr>
      <w:r w:rsidRPr="00C44656">
        <w:rPr>
          <w:rFonts w:cs="Times New Roman"/>
          <w:b/>
          <w:color w:val="0070C0"/>
          <w:sz w:val="20"/>
          <w:szCs w:val="20"/>
        </w:rPr>
        <w:t>Statistical Analysis</w:t>
      </w:r>
    </w:p>
    <w:p w14:paraId="0E94EDFF" w14:textId="4AF042C2" w:rsidR="00C44656" w:rsidRDefault="00C44656" w:rsidP="006606AD">
      <w:pPr>
        <w:pStyle w:val="BodyText"/>
        <w:spacing w:line="360" w:lineRule="auto"/>
        <w:ind w:left="0"/>
        <w:jc w:val="both"/>
        <w:rPr>
          <w:rFonts w:cs="Times New Roman"/>
          <w:b/>
          <w:color w:val="0070C0"/>
          <w:sz w:val="22"/>
          <w:szCs w:val="22"/>
        </w:rPr>
      </w:pPr>
      <w:r w:rsidRPr="00C44656">
        <w:rPr>
          <w:rFonts w:cs="Times New Roman"/>
          <w:bCs/>
          <w:sz w:val="20"/>
          <w:szCs w:val="20"/>
        </w:rPr>
        <w:t xml:space="preserve">The crude and age-adjusted mortality rates (AAMRs) per 100,000 people with 95% CIs were used to examine the </w:t>
      </w:r>
      <w:r w:rsidRPr="00C44656">
        <w:rPr>
          <w:rFonts w:cs="Times New Roman"/>
          <w:bCs/>
          <w:sz w:val="20"/>
          <w:szCs w:val="20"/>
        </w:rPr>
        <w:lastRenderedPageBreak/>
        <w:t xml:space="preserve">nationwide trend in UTI-related mortality among the adult population of the United States from 1999-2020. Crude mortality rates were calculated by dividing the number of UTI-related deaths by the corresponding US population of that year. AAMRs were calculated by standardizing the deaths to 2000 standard US population. The Annual percentage change (APC) in AAMRs with 95% CI is analyzed using the </w:t>
      </w:r>
      <w:proofErr w:type="spellStart"/>
      <w:r w:rsidRPr="00C44656">
        <w:rPr>
          <w:rFonts w:cs="Times New Roman"/>
          <w:bCs/>
          <w:sz w:val="20"/>
          <w:szCs w:val="20"/>
        </w:rPr>
        <w:t>Joinpoint</w:t>
      </w:r>
      <w:proofErr w:type="spellEnd"/>
      <w:r w:rsidRPr="00C44656">
        <w:rPr>
          <w:rFonts w:cs="Times New Roman"/>
          <w:bCs/>
          <w:sz w:val="20"/>
          <w:szCs w:val="20"/>
        </w:rPr>
        <w:t xml:space="preserve"> Regression Program (</w:t>
      </w:r>
      <w:proofErr w:type="spellStart"/>
      <w:r w:rsidRPr="00C44656">
        <w:rPr>
          <w:rFonts w:cs="Times New Roman"/>
          <w:bCs/>
          <w:sz w:val="20"/>
          <w:szCs w:val="20"/>
        </w:rPr>
        <w:t>Joinpoint</w:t>
      </w:r>
      <w:proofErr w:type="spellEnd"/>
      <w:r w:rsidRPr="00C44656">
        <w:rPr>
          <w:rFonts w:cs="Times New Roman"/>
          <w:bCs/>
          <w:sz w:val="20"/>
          <w:szCs w:val="20"/>
        </w:rPr>
        <w:t xml:space="preserve"> v 5.2.0, National Cancer Institute) to ascertain the significant changes in annual mortality patterns</w:t>
      </w:r>
      <w:r w:rsidR="002A7987">
        <w:rPr>
          <w:rFonts w:cs="Times New Roman"/>
          <w:bCs/>
          <w:sz w:val="20"/>
          <w:szCs w:val="20"/>
        </w:rPr>
        <w:t xml:space="preserve"> [</w:t>
      </w:r>
      <w:r w:rsidRPr="00C44656">
        <w:rPr>
          <w:rFonts w:cs="Times New Roman"/>
          <w:bCs/>
          <w:sz w:val="20"/>
          <w:szCs w:val="20"/>
        </w:rPr>
        <w:t>18</w:t>
      </w:r>
      <w:r w:rsidR="00271A8A">
        <w:rPr>
          <w:rFonts w:cs="Times New Roman"/>
          <w:bCs/>
          <w:sz w:val="20"/>
          <w:szCs w:val="20"/>
        </w:rPr>
        <w:t>,</w:t>
      </w:r>
      <w:r w:rsidRPr="00C44656">
        <w:rPr>
          <w:rFonts w:cs="Times New Roman"/>
          <w:bCs/>
          <w:sz w:val="20"/>
          <w:szCs w:val="20"/>
        </w:rPr>
        <w:t>19</w:t>
      </w:r>
      <w:r w:rsidR="002A7987">
        <w:rPr>
          <w:rFonts w:cs="Times New Roman"/>
          <w:bCs/>
          <w:sz w:val="20"/>
          <w:szCs w:val="20"/>
        </w:rPr>
        <w:t>]</w:t>
      </w:r>
      <w:r w:rsidRPr="00C44656">
        <w:rPr>
          <w:rFonts w:cs="Times New Roman"/>
          <w:bCs/>
          <w:sz w:val="20"/>
          <w:szCs w:val="20"/>
        </w:rPr>
        <w:t>. This method finds out significant changes in AAMRs over time by fitting long linear regression models and identifying where temporal variations take place. The annual percentage change was said to be either increasing or decreasing if the slope showed a change in mortality differing significantly from zero. A p-value of &lt;0.05 was taken as statistically significant.</w:t>
      </w:r>
      <w:r w:rsidR="00271A8A">
        <w:rPr>
          <w:rFonts w:cs="Times New Roman"/>
          <w:bCs/>
          <w:sz w:val="20"/>
          <w:szCs w:val="20"/>
        </w:rPr>
        <w:t xml:space="preserve"> </w:t>
      </w:r>
      <w:r w:rsidRPr="00C44656">
        <w:rPr>
          <w:rFonts w:cs="Times New Roman"/>
          <w:bCs/>
          <w:sz w:val="20"/>
          <w:szCs w:val="20"/>
        </w:rPr>
        <w:t>Due to the relatively small number of urethritis-related deaths, age-adjusted mortality rates were not calculated for stratified analyses, as they may yield unstable estimates. Instead, proportions of total deaths were reported to describe subgroup distributions.</w:t>
      </w:r>
    </w:p>
    <w:p w14:paraId="4230B85B" w14:textId="77777777" w:rsidR="00C44656" w:rsidRDefault="00C44656" w:rsidP="006606AD">
      <w:pPr>
        <w:pStyle w:val="BodyText"/>
        <w:spacing w:line="360" w:lineRule="auto"/>
        <w:ind w:left="0"/>
        <w:jc w:val="both"/>
        <w:rPr>
          <w:rFonts w:cs="Times New Roman"/>
          <w:b/>
          <w:color w:val="0070C0"/>
          <w:sz w:val="22"/>
          <w:szCs w:val="22"/>
        </w:rPr>
      </w:pPr>
    </w:p>
    <w:p w14:paraId="301E659F" w14:textId="77777777" w:rsidR="00C44656" w:rsidRDefault="00C44656" w:rsidP="006606AD">
      <w:pPr>
        <w:pStyle w:val="BodyText"/>
        <w:spacing w:line="360" w:lineRule="auto"/>
        <w:ind w:left="0"/>
        <w:jc w:val="both"/>
        <w:rPr>
          <w:rFonts w:cs="Times New Roman"/>
          <w:b/>
          <w:color w:val="0070C0"/>
          <w:sz w:val="22"/>
          <w:szCs w:val="22"/>
        </w:rPr>
      </w:pPr>
      <w:r w:rsidRPr="00C44656">
        <w:rPr>
          <w:rFonts w:cs="Times New Roman"/>
          <w:b/>
          <w:color w:val="0070C0"/>
          <w:sz w:val="22"/>
          <w:szCs w:val="22"/>
        </w:rPr>
        <w:t>Results</w:t>
      </w:r>
    </w:p>
    <w:p w14:paraId="2E69BED5" w14:textId="77777777" w:rsidR="00C44656" w:rsidRDefault="00C44656" w:rsidP="006606AD">
      <w:pPr>
        <w:pStyle w:val="BodyText"/>
        <w:spacing w:line="360" w:lineRule="auto"/>
        <w:ind w:left="0"/>
        <w:jc w:val="both"/>
        <w:rPr>
          <w:rFonts w:cs="Times New Roman"/>
          <w:b/>
          <w:color w:val="0070C0"/>
          <w:sz w:val="22"/>
          <w:szCs w:val="22"/>
        </w:rPr>
      </w:pPr>
      <w:r w:rsidRPr="00C44656">
        <w:rPr>
          <w:rFonts w:cs="Times New Roman"/>
          <w:b/>
          <w:color w:val="0070C0"/>
          <w:sz w:val="20"/>
          <w:szCs w:val="20"/>
        </w:rPr>
        <w:t>Annual Trends for Overall UTI-related AAMR</w:t>
      </w:r>
    </w:p>
    <w:p w14:paraId="54293C06" w14:textId="77777777" w:rsidR="00C44656" w:rsidRDefault="00C44656" w:rsidP="006606AD">
      <w:pPr>
        <w:pStyle w:val="BodyText"/>
        <w:spacing w:line="360" w:lineRule="auto"/>
        <w:ind w:left="0"/>
        <w:jc w:val="both"/>
        <w:rPr>
          <w:rFonts w:cs="Times New Roman"/>
          <w:b/>
          <w:color w:val="0070C0"/>
          <w:sz w:val="22"/>
          <w:szCs w:val="22"/>
        </w:rPr>
      </w:pPr>
      <w:r w:rsidRPr="00C44656">
        <w:rPr>
          <w:rFonts w:cs="Times New Roman"/>
          <w:bCs/>
          <w:sz w:val="20"/>
          <w:szCs w:val="20"/>
        </w:rPr>
        <w:t>From the year 1999 to 2020, a total of 8,20,913 UTI-related deaths occurred among older adults (≥65 years) in the USA (Supplemental Table 1.1). The AAMR was 99.2 in 1999 and 89 in 2020. The overall AAMR declined from 99.2 to 79.8 in the years 1999 to 2018 (APC: -1.0; 95% CI: -2.7 to 2.8) followed by an increase in AAMR to 89 in the years 2018 to 2020(APC: 3.1; 95% CI: -1.1 to 5.6) (Supplementary Figure 1.1, Supplemental Tables 1.3 and 1.4). The highest number of deaths related to UTIs were in medical facilities, followed by nursing homes or long-term care facilities, homes and hospices (Supplemental Table 1.2).</w:t>
      </w:r>
    </w:p>
    <w:p w14:paraId="44AB3CCE" w14:textId="77777777" w:rsidR="00C44656" w:rsidRDefault="00C44656" w:rsidP="006606AD">
      <w:pPr>
        <w:pStyle w:val="BodyText"/>
        <w:spacing w:line="360" w:lineRule="auto"/>
        <w:ind w:left="0"/>
        <w:jc w:val="both"/>
        <w:rPr>
          <w:rFonts w:cs="Times New Roman"/>
          <w:b/>
          <w:color w:val="0070C0"/>
          <w:sz w:val="22"/>
          <w:szCs w:val="22"/>
        </w:rPr>
      </w:pPr>
    </w:p>
    <w:p w14:paraId="0B392875" w14:textId="77777777" w:rsidR="00C44656" w:rsidRDefault="00C44656" w:rsidP="006606AD">
      <w:pPr>
        <w:pStyle w:val="BodyText"/>
        <w:spacing w:line="360" w:lineRule="auto"/>
        <w:ind w:left="0"/>
        <w:jc w:val="both"/>
        <w:rPr>
          <w:rFonts w:cs="Times New Roman"/>
          <w:b/>
          <w:color w:val="0070C0"/>
          <w:sz w:val="22"/>
          <w:szCs w:val="22"/>
        </w:rPr>
      </w:pPr>
      <w:proofErr w:type="gramStart"/>
      <w:r w:rsidRPr="00C44656">
        <w:rPr>
          <w:rFonts w:cs="Times New Roman"/>
          <w:b/>
          <w:color w:val="0070C0"/>
          <w:sz w:val="20"/>
          <w:szCs w:val="20"/>
        </w:rPr>
        <w:t>Overall</w:t>
      </w:r>
      <w:proofErr w:type="gramEnd"/>
      <w:r w:rsidRPr="00C44656">
        <w:rPr>
          <w:rFonts w:cs="Times New Roman"/>
          <w:b/>
          <w:color w:val="0070C0"/>
          <w:sz w:val="20"/>
          <w:szCs w:val="20"/>
        </w:rPr>
        <w:t xml:space="preserve"> UTI-related AAMR Stratified by Sex</w:t>
      </w:r>
    </w:p>
    <w:p w14:paraId="217DD877" w14:textId="578FD0C4" w:rsidR="00C44656" w:rsidRPr="0016050A" w:rsidRDefault="00C44656" w:rsidP="006606AD">
      <w:pPr>
        <w:pStyle w:val="BodyText"/>
        <w:spacing w:line="360" w:lineRule="auto"/>
        <w:ind w:left="0"/>
        <w:jc w:val="both"/>
        <w:rPr>
          <w:rFonts w:cs="Times New Roman"/>
          <w:b/>
          <w:color w:val="0070C0"/>
          <w:sz w:val="22"/>
          <w:szCs w:val="22"/>
        </w:rPr>
      </w:pPr>
      <w:r w:rsidRPr="00C44656">
        <w:rPr>
          <w:rFonts w:cs="Times New Roman"/>
          <w:bCs/>
          <w:sz w:val="20"/>
          <w:szCs w:val="20"/>
        </w:rPr>
        <w:t xml:space="preserve">Throughout the study, older females had consistently higher AAMRs than older males (Overall UTI AAMR females: 92.6; 95% CI: 92.4 to 92.9; males: 82.5; 95% CI: 82.2 to 82.8). In 1999, the AAMR for older females was 101 (95% CI: 99.6 to 102.3) which decreased </w:t>
      </w:r>
      <w:proofErr w:type="spellStart"/>
      <w:r w:rsidRPr="00C44656">
        <w:rPr>
          <w:rFonts w:cs="Times New Roman"/>
          <w:bCs/>
          <w:sz w:val="20"/>
          <w:szCs w:val="20"/>
        </w:rPr>
        <w:t>steadilyto</w:t>
      </w:r>
      <w:proofErr w:type="spellEnd"/>
      <w:r w:rsidRPr="00C44656">
        <w:rPr>
          <w:rFonts w:cs="Times New Roman"/>
          <w:bCs/>
          <w:sz w:val="20"/>
          <w:szCs w:val="20"/>
        </w:rPr>
        <w:t xml:space="preserve"> 91.8 (95%CI: 90.8 to 92.9) until the year 2020 (APC: -0.8; 95% CI: -1.1 to -0.5). Similarly, the AAMR for older males in 1999 was 95.1(95% CI: 93.3 to 96.9) which decreased steadily to 75.2(95% CI: 74 to 76.4) until 2018 (APC: -1.1; 95% CI: -1.5 to -0.9), followed by a rapid rise to 85(95% CI: 83.8 to 86.2) in 2020 (APC: 5.2; 95% CI: 0.1 to 7.7) (Supplementary Figure 1.1,</w:t>
      </w:r>
      <w:r w:rsidR="0016050A">
        <w:rPr>
          <w:rFonts w:cs="Times New Roman"/>
          <w:b/>
          <w:color w:val="0070C0"/>
          <w:sz w:val="22"/>
          <w:szCs w:val="22"/>
        </w:rPr>
        <w:t xml:space="preserve"> </w:t>
      </w:r>
      <w:r w:rsidRPr="00C44656">
        <w:rPr>
          <w:rFonts w:cs="Times New Roman"/>
          <w:bCs/>
          <w:sz w:val="20"/>
          <w:szCs w:val="20"/>
        </w:rPr>
        <w:t>Supplemental Tables 1.1).</w:t>
      </w:r>
    </w:p>
    <w:p w14:paraId="5BE39856" w14:textId="77777777" w:rsidR="00C44656" w:rsidRDefault="00C44656" w:rsidP="006606AD">
      <w:pPr>
        <w:pStyle w:val="BodyText"/>
        <w:spacing w:line="360" w:lineRule="auto"/>
        <w:ind w:left="0"/>
        <w:jc w:val="both"/>
        <w:rPr>
          <w:rFonts w:cs="Times New Roman"/>
          <w:bCs/>
          <w:sz w:val="20"/>
          <w:szCs w:val="20"/>
        </w:rPr>
      </w:pPr>
    </w:p>
    <w:p w14:paraId="3866EB0E" w14:textId="77777777" w:rsidR="00C44656" w:rsidRDefault="00C44656" w:rsidP="006606AD">
      <w:pPr>
        <w:pStyle w:val="BodyText"/>
        <w:spacing w:line="360" w:lineRule="auto"/>
        <w:ind w:left="0"/>
        <w:jc w:val="both"/>
        <w:rPr>
          <w:rFonts w:cs="Times New Roman"/>
          <w:bCs/>
          <w:sz w:val="20"/>
          <w:szCs w:val="20"/>
        </w:rPr>
      </w:pPr>
      <w:proofErr w:type="gramStart"/>
      <w:r w:rsidRPr="00C44656">
        <w:rPr>
          <w:rFonts w:cs="Times New Roman"/>
          <w:b/>
          <w:color w:val="0070C0"/>
          <w:sz w:val="20"/>
          <w:szCs w:val="20"/>
        </w:rPr>
        <w:t>Overall</w:t>
      </w:r>
      <w:proofErr w:type="gramEnd"/>
      <w:r w:rsidRPr="00C44656">
        <w:rPr>
          <w:rFonts w:cs="Times New Roman"/>
          <w:b/>
          <w:color w:val="0070C0"/>
          <w:sz w:val="20"/>
          <w:szCs w:val="20"/>
        </w:rPr>
        <w:t xml:space="preserve"> UTI-related AAMR stratified by Race/Ethnicity</w:t>
      </w:r>
    </w:p>
    <w:p w14:paraId="2E64E96C" w14:textId="2AFB077E" w:rsidR="00D50157" w:rsidRDefault="00C44656" w:rsidP="006606AD">
      <w:pPr>
        <w:pStyle w:val="BodyText"/>
        <w:spacing w:line="360" w:lineRule="auto"/>
        <w:ind w:left="0"/>
        <w:jc w:val="both"/>
        <w:rPr>
          <w:rFonts w:cs="Times New Roman"/>
          <w:bCs/>
          <w:sz w:val="20"/>
          <w:szCs w:val="20"/>
        </w:rPr>
      </w:pPr>
      <w:r w:rsidRPr="00C44656">
        <w:rPr>
          <w:rFonts w:cs="Times New Roman"/>
          <w:bCs/>
          <w:sz w:val="20"/>
          <w:szCs w:val="20"/>
        </w:rPr>
        <w:t xml:space="preserve">When stratified by race/ethnicity, AAMRs were highest among NH Black or African American followed by NH American Indian or Alaskan Native, NH White, Hispanic or Latino and NH Asian or Pacific Islander populations (overall AAMR NH Black or African American:107.8; 95% CI: 107-108.5; NH American Indian or Alaskan Native: 96.3; 95% CI: 93.2-99.5; NH White: 89.6; 95% CI: 89.4-89.8; Hispanic or Latino: 68.2; 95% CI: 67.5-68.9; NH </w:t>
      </w:r>
      <w:r w:rsidRPr="00C44656">
        <w:rPr>
          <w:rFonts w:cs="Times New Roman"/>
          <w:bCs/>
          <w:sz w:val="20"/>
          <w:szCs w:val="20"/>
        </w:rPr>
        <w:lastRenderedPageBreak/>
        <w:t xml:space="preserve">Asian or Pacific Islander: 48.3; 95% CI: 47.5-49). The AAMR of NH Black or African American population declined drastically from 145.4 to 84.8 in the years 1999 to 2018 (APC: -2.9; 95% CI: -3.5 to -2.6) followed by an increase to 99.5 in 2020(APC: 6.6; 95% CI: -1.4 to 10.0). In the same way, the AAMR of the Hispanic or Latino population declined steadily from 81.1 to 59.4 in the years 1999 to 2018(APC: -1.6; 95% CI: -3.4 to 0.3) followed by an increase to 70.8 in 2020 (APC: 5.5; 95% CI: -1.4 to 9.3). The AAMR of NH </w:t>
      </w:r>
      <w:proofErr w:type="gramStart"/>
      <w:r w:rsidRPr="00C44656">
        <w:rPr>
          <w:rFonts w:cs="Times New Roman"/>
          <w:bCs/>
          <w:sz w:val="20"/>
          <w:szCs w:val="20"/>
        </w:rPr>
        <w:t>White population</w:t>
      </w:r>
      <w:proofErr w:type="gramEnd"/>
      <w:r w:rsidRPr="00C44656">
        <w:rPr>
          <w:rFonts w:cs="Times New Roman"/>
          <w:bCs/>
          <w:sz w:val="20"/>
          <w:szCs w:val="20"/>
        </w:rPr>
        <w:t xml:space="preserve"> also declined continuously from 96.6 to 91.9 in the years 1999 to 2020</w:t>
      </w:r>
      <w:r w:rsidR="0016050A">
        <w:rPr>
          <w:rFonts w:cs="Times New Roman"/>
          <w:bCs/>
          <w:sz w:val="20"/>
          <w:szCs w:val="20"/>
        </w:rPr>
        <w:t xml:space="preserve"> </w:t>
      </w:r>
      <w:r w:rsidRPr="00C44656">
        <w:rPr>
          <w:rFonts w:cs="Times New Roman"/>
          <w:bCs/>
          <w:sz w:val="20"/>
          <w:szCs w:val="20"/>
        </w:rPr>
        <w:t>(APC: -0.6; 95% CI: -0.8 to -0.3). However, the AAMR of NH American Indian or Alaskan Native population first increased from 82 to 102.6 in the years 1999 to 2011(APC: 1.8; 95% CI: -2.6 to 6.5) followed by a decrease to 83.7 in 2018 (APC: -4.4; 95% CI: -10.9 to 6.5) and again an increase to 95.8 in 2020 (APC: 6.5; 95% CI: -3.2 to 13.7). Moreover, the AAMR of NH Asian or Pacific Islander population remained steady from 56.9 to 57.2 in the years 1999 to 2009 (APC: 0.3; 95% CI: -0.6 to 1.8) followed by a decline to 37.1 in 2018 (APC: -4.5; 95% CI: -6.9 to -3.7) and again a rise to 45.4 in 2020 (APC: 8.1; 95% CI: 0.9 to 11.9). In short, the AAMRs of all five races/ethnicities were at their minimum recorded levels in 2018, regardless of the trends in the previous years. However, after 2018 until 2020, the AAMRs were recorded to rise again except for the AAMR of the NH White population</w:t>
      </w:r>
      <w:r w:rsidR="00D50157">
        <w:rPr>
          <w:rFonts w:cs="Times New Roman"/>
          <w:bCs/>
          <w:sz w:val="20"/>
          <w:szCs w:val="20"/>
        </w:rPr>
        <w:t xml:space="preserve"> </w:t>
      </w:r>
      <w:r w:rsidRPr="00C44656">
        <w:rPr>
          <w:rFonts w:cs="Times New Roman"/>
          <w:bCs/>
          <w:sz w:val="20"/>
          <w:szCs w:val="20"/>
        </w:rPr>
        <w:t>(Supplementary Figure 1.2, Supplemental Tables 1.5)</w:t>
      </w:r>
      <w:r w:rsidR="00D50157">
        <w:rPr>
          <w:rFonts w:cs="Times New Roman"/>
          <w:bCs/>
          <w:sz w:val="20"/>
          <w:szCs w:val="20"/>
        </w:rPr>
        <w:t>.</w:t>
      </w:r>
    </w:p>
    <w:p w14:paraId="0682B3FA" w14:textId="77777777" w:rsidR="00D50157" w:rsidRDefault="00D50157" w:rsidP="006606AD">
      <w:pPr>
        <w:pStyle w:val="BodyText"/>
        <w:spacing w:line="360" w:lineRule="auto"/>
        <w:ind w:left="0"/>
        <w:jc w:val="both"/>
        <w:rPr>
          <w:rFonts w:cs="Times New Roman"/>
          <w:bCs/>
          <w:sz w:val="20"/>
          <w:szCs w:val="20"/>
        </w:rPr>
      </w:pPr>
    </w:p>
    <w:p w14:paraId="73BE331E" w14:textId="705BA2D5" w:rsidR="00D50157" w:rsidRPr="00D50157" w:rsidRDefault="00D50157" w:rsidP="006606AD">
      <w:pPr>
        <w:pStyle w:val="BodyText"/>
        <w:spacing w:line="360" w:lineRule="auto"/>
        <w:ind w:left="0"/>
        <w:jc w:val="both"/>
        <w:rPr>
          <w:rFonts w:cs="Times New Roman"/>
          <w:b/>
          <w:sz w:val="20"/>
          <w:szCs w:val="20"/>
        </w:rPr>
      </w:pPr>
      <w:proofErr w:type="gramStart"/>
      <w:r w:rsidRPr="00D50157">
        <w:rPr>
          <w:rFonts w:cs="Times New Roman"/>
          <w:b/>
          <w:color w:val="0070C0"/>
          <w:sz w:val="20"/>
          <w:szCs w:val="20"/>
        </w:rPr>
        <w:t>Overall</w:t>
      </w:r>
      <w:proofErr w:type="gramEnd"/>
      <w:r w:rsidRPr="00D50157">
        <w:rPr>
          <w:rFonts w:cs="Times New Roman"/>
          <w:b/>
          <w:color w:val="0070C0"/>
          <w:sz w:val="20"/>
          <w:szCs w:val="20"/>
        </w:rPr>
        <w:t xml:space="preserve"> UTI-related AAMR Stratified by Geographic Region</w:t>
      </w:r>
    </w:p>
    <w:p w14:paraId="612931DD" w14:textId="007BBBB3"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When stratified according to the 2013 urbanization classification, UTI-related age-adjusted mortality rates (AAMRs) were consistently higher in nonmetropolitan areas throughout the study period. The AAMRs were 103.3 (95% CI: 102.6–104.0) in micropolitan areas and 102.1 (95% CI: 101.4–102.8) in noncore areas. In contrast, metropolitan areas demonstrated lower AAMRs, including 82.7 (95% CI: 82.4–83.1) in large central metro areas, 79.9 (95% CI: 79.5–80.3) in large fringe metro areas, 91.6 (95% CI: 91.2–92.1) in medium metro areas, and 94.2 (95% CI: 93.6–94.8) in small metro areas. AAMRs in both nonmetropolitan areas (micropolitan and noncore) and in two metropolitan categories (medium and small metro areas) demonstrated a steady decline from 1999 to 2020 (APC: −0.2; 95% CI: −0.5 to 0.1 for micropolitan areas, −0.3; 95% CI: −0.6 to −0.02 for noncore areas, −0.5; 95% CI: −0.8 to −0.3 for medium metro areas, and −0.5; 95% CI: −0.8 to −0.2 for small metro areas). In contrast, AAMRs in large central and large fringe metro areas initially declined from 1999 to 2018 (APC: −1.7; 95% CI: −3.4 to 0.1 and −1.4; 95% CI: −2.2 to −1.1, respectively), followed by an increase through 2020 (APC: 2.9; 95% CI: −1.7 to 5.7 and -4.7; 95% CI: −0.9 to −7.8, respectively) (Supplementary Figure 1.3; Supplemental Tables 1.3 and 1.8). Regionally, the highest UTI-related mortality during the study period was observed in the Southern United States, with an average AAMR of 97.3 (95% CI: 97.0–97.6), followed by the Western region (AAMR: 89.4; 95% CI: 89.0–89.8), the Midwestern region (AAMR: 84.5; 95% CI: 84.1–84.9), and the Northeastern region (AAMR: 77.6; 95% CI: 77.2–78.0).</w:t>
      </w:r>
      <w:r>
        <w:rPr>
          <w:rFonts w:cs="Times New Roman"/>
          <w:bCs/>
          <w:sz w:val="20"/>
          <w:szCs w:val="20"/>
        </w:rPr>
        <w:t xml:space="preserve"> </w:t>
      </w:r>
      <w:r w:rsidRPr="00D50157">
        <w:rPr>
          <w:rFonts w:cs="Times New Roman"/>
          <w:bCs/>
          <w:sz w:val="20"/>
          <w:szCs w:val="20"/>
        </w:rPr>
        <w:t xml:space="preserve">Temporal trends revealed a steady decline in the Northeastern region from 85.2 in 1999 to 74.9 in 2020 (APC: −1.0; 95% CI: −1.4 to −0.7). Similarly, the Midwestern region showed a consistent decline from 94.1 to 87.9 over the same period (APC: −0.7; 95% CI: −1.0 to −0.3). In the Southern region, AAMRs decreased from 112.9 in 1999 to 87.2 in 2018 (APC: −1.3; 95% CI: −1.8 to −1.0), followed by a sharp increase to 100.2 in 2020 (APC: 5.9; 95% CI: −0.3 to 8.9). In contrast, the Western region remained relatively stable between 1999 and 2007 (97.1 to 95.1; </w:t>
      </w:r>
      <w:r w:rsidRPr="00D50157">
        <w:rPr>
          <w:rFonts w:cs="Times New Roman"/>
          <w:bCs/>
          <w:sz w:val="20"/>
          <w:szCs w:val="20"/>
        </w:rPr>
        <w:lastRenderedPageBreak/>
        <w:t xml:space="preserve">APC: 0.2; 95% CI: −0.6 to 3.5), followed by a steady decline to 82.8 by 2020 (APC: −1.5; 95% CI: −2.4 to −1.1) </w:t>
      </w:r>
      <w:proofErr w:type="gramStart"/>
      <w:r w:rsidRPr="00D50157">
        <w:rPr>
          <w:rFonts w:cs="Times New Roman"/>
          <w:bCs/>
          <w:sz w:val="20"/>
          <w:szCs w:val="20"/>
        </w:rPr>
        <w:t>( Supplementary</w:t>
      </w:r>
      <w:proofErr w:type="gramEnd"/>
      <w:r>
        <w:rPr>
          <w:rFonts w:cs="Times New Roman"/>
          <w:bCs/>
          <w:sz w:val="20"/>
          <w:szCs w:val="20"/>
        </w:rPr>
        <w:t xml:space="preserve"> </w:t>
      </w:r>
      <w:r w:rsidRPr="00D50157">
        <w:rPr>
          <w:rFonts w:cs="Times New Roman"/>
          <w:bCs/>
          <w:sz w:val="20"/>
          <w:szCs w:val="20"/>
        </w:rPr>
        <w:t>Figure 1.4; Supplemental Table 1.7). At the state level, UTI-related AAMRs demonstrated substantial variation across the United States, ranging from 49.8 (95% CI: 47.8–51.8) in Hawaii to 128.0 (95% CI: 125.5–130.4) in Mississippi. States in the top 90th percentile</w:t>
      </w:r>
      <w:r>
        <w:rPr>
          <w:rFonts w:cs="Times New Roman"/>
          <w:bCs/>
          <w:sz w:val="20"/>
          <w:szCs w:val="20"/>
        </w:rPr>
        <w:t>-</w:t>
      </w:r>
      <w:r w:rsidRPr="00D50157">
        <w:rPr>
          <w:rFonts w:cs="Times New Roman"/>
          <w:bCs/>
          <w:sz w:val="20"/>
          <w:szCs w:val="20"/>
        </w:rPr>
        <w:t>including Mississippi, Kentucky, North Carolina, Arkansas, and Indiana—had nearly double the AAMRs compared to those in the lowest 10th percentile, including Hawaii, Florida, Arizona, and Nevada (Supplementary Figure 1.5; Supplemental Table 1.6).</w:t>
      </w:r>
    </w:p>
    <w:p w14:paraId="046ADFE1" w14:textId="77777777" w:rsidR="00D50157" w:rsidRPr="00D50157" w:rsidRDefault="00D50157" w:rsidP="006606AD">
      <w:pPr>
        <w:pStyle w:val="BodyText"/>
        <w:spacing w:line="360" w:lineRule="auto"/>
        <w:ind w:left="0"/>
        <w:jc w:val="both"/>
        <w:rPr>
          <w:rFonts w:cs="Times New Roman"/>
          <w:bCs/>
          <w:sz w:val="20"/>
          <w:szCs w:val="20"/>
        </w:rPr>
      </w:pPr>
    </w:p>
    <w:p w14:paraId="131B6021"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Nephritis</w:t>
      </w:r>
    </w:p>
    <w:p w14:paraId="1C439DF8"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Annual Trends for Nephritis-related AAMR</w:t>
      </w:r>
    </w:p>
    <w:p w14:paraId="690FED9C"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From the year 1999 to 2020, a total of 31448 nephritis-related deaths occurred among older adults (≥65 years) in the USA. The AAMR was 4.4 in 1999 and 4.3 in 2020. The overall AAMR for nephritis-related deaths first decreased from 4.4 to 2.9 in the years 1999 to 2010 (APC: - 3.7; 95% CI: -5.8 to -2.5) followed by an increase to 3.5 in 2018 (APC: 2.5; 95% CI: -4.9 to 4.4) and finally a steeper rise to 4.3 in 2020 (APC: 11.2; 95% CI: 3.6 to 15.5) (Supplemental Figure 2.1, Supplemental Tables 2.2, 2.3 and 2.4).</w:t>
      </w:r>
    </w:p>
    <w:p w14:paraId="231B748E" w14:textId="77777777" w:rsidR="00D50157" w:rsidRPr="00D50157" w:rsidRDefault="00D50157" w:rsidP="006606AD">
      <w:pPr>
        <w:pStyle w:val="BodyText"/>
        <w:spacing w:line="360" w:lineRule="auto"/>
        <w:ind w:left="0"/>
        <w:jc w:val="both"/>
        <w:rPr>
          <w:rFonts w:cs="Times New Roman"/>
          <w:bCs/>
          <w:sz w:val="20"/>
          <w:szCs w:val="20"/>
        </w:rPr>
      </w:pPr>
    </w:p>
    <w:p w14:paraId="6F53413A"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Overall Nephritis-related AAMR Stratified by Sex</w:t>
      </w:r>
    </w:p>
    <w:p w14:paraId="67FA3F82"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Throughout the study, older females had consistently higher AAMRs than older males (Overall AAMR females: 3.7; 95% CI: 3.6 to 3.7; males: 3.1; 95% CI: 3 to 3.2) (Supplemental Figure 2.1, Supplemental Tables 2.3 and 2.4).</w:t>
      </w:r>
    </w:p>
    <w:p w14:paraId="06635EBB" w14:textId="77777777" w:rsidR="00D50157" w:rsidRPr="00D50157" w:rsidRDefault="00D50157" w:rsidP="006606AD">
      <w:pPr>
        <w:pStyle w:val="BodyText"/>
        <w:spacing w:line="360" w:lineRule="auto"/>
        <w:ind w:left="0"/>
        <w:jc w:val="both"/>
        <w:rPr>
          <w:rFonts w:cs="Times New Roman"/>
          <w:bCs/>
          <w:sz w:val="20"/>
          <w:szCs w:val="20"/>
        </w:rPr>
      </w:pPr>
    </w:p>
    <w:p w14:paraId="2D35F31E"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Overall Nephritis-related AAMR stratified by Race/Ethnicity</w:t>
      </w:r>
    </w:p>
    <w:p w14:paraId="09BC8ECF" w14:textId="4348CAD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When stratified by race/ethnicity, AAMRs were highest among NH Black or African American population followed by NH White, Hispanic/Latino and NH Asian or Pacific Islander populations (overall AAMR NH Black or African American: 3.5; 95% CI: 3.3-3.6; NH White: 3.4; 95% CI: 3.4-3.5; Hispanic or Latino: 3.4; 95% CI: 3.3-3.6; NH Asian or Pacific Islander: 2.3; 95% CI: 2.1-2.5) (Supplemental Figure 2.2, Supplemental Tables 2.1, 2.3 and 2.5).</w:t>
      </w:r>
    </w:p>
    <w:p w14:paraId="1532EBF0" w14:textId="77777777" w:rsidR="00D50157" w:rsidRPr="002A7987" w:rsidRDefault="00D50157" w:rsidP="006606AD">
      <w:pPr>
        <w:pStyle w:val="BodyText"/>
        <w:spacing w:line="360" w:lineRule="auto"/>
        <w:ind w:left="0"/>
        <w:jc w:val="both"/>
        <w:rPr>
          <w:rFonts w:cs="Times New Roman"/>
          <w:bCs/>
          <w:color w:val="0070C0"/>
          <w:sz w:val="20"/>
          <w:szCs w:val="20"/>
        </w:rPr>
      </w:pPr>
    </w:p>
    <w:p w14:paraId="21BF4490" w14:textId="25DC72F5" w:rsidR="00D50157" w:rsidRPr="002A7987" w:rsidRDefault="00D50157" w:rsidP="006606AD">
      <w:pPr>
        <w:pStyle w:val="BodyText"/>
        <w:spacing w:line="360" w:lineRule="auto"/>
        <w:ind w:left="0"/>
        <w:jc w:val="both"/>
        <w:rPr>
          <w:rFonts w:cs="Times New Roman"/>
          <w:b/>
          <w:color w:val="0070C0"/>
          <w:sz w:val="20"/>
          <w:szCs w:val="20"/>
        </w:rPr>
      </w:pPr>
      <w:r w:rsidRPr="002A7987">
        <w:rPr>
          <w:rFonts w:cs="Times New Roman"/>
          <w:b/>
          <w:color w:val="0070C0"/>
          <w:sz w:val="20"/>
          <w:szCs w:val="20"/>
        </w:rPr>
        <w:t>Overall Nephritis-related AAMR Stratified by Geographic Region</w:t>
      </w:r>
    </w:p>
    <w:p w14:paraId="41B605FB"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 xml:space="preserve">When stratified according to the 2013 urbanization classification, nephritis-related age-adjusted mortality rates (AAMRs) were consistently higher in nonmetropolitan areas throughout the study period. The overall AAMRs were 4.1 (95% CI: 4.0–4.2) in micropolitan areas and 4.3 (95% CI: 4.2–4.5) in noncore areas. In contrast, metropolitan areas demonstrated lower AAMRs, with rates of 3.1 (95% CI: 3.1–3.2) in large central metro areas, 2.7 (95% CI: 2.6–2.7) in large fringe metro areas, 3.8 (95% CI: 3.7–3.9) in medium metro areas, and 3.7 (95% CI: 3.6–3.9) in small metro areas. Among these, large fringe metro areas consistently exhibited the lowest AAMRs over time, decreasing from 3.4 in 1999 to 2.0 in 2008 (APC: −5.0; 95% CI: −10.7 to −2.8), followed by a period of relative stability until 2014 (AAMR: 2.1; APC: 0.4; 95% CI: −4.8 to 5.9), and subsequently increasing to 3.6 by 2020 (APC: 7.8; 95% CI: 4.7 to 17.4). Conversely, noncore areas consistently had the highest AAMRs, declining from 5.4 in 1999 to 3.5 in 2011 (APC: −3.2; 95% CI: −5.1 to −1.9), followed by an upward trend reaching 4.9 in 2020 (APC: </w:t>
      </w:r>
      <w:r w:rsidRPr="00D50157">
        <w:rPr>
          <w:rFonts w:cs="Times New Roman"/>
          <w:bCs/>
          <w:sz w:val="20"/>
          <w:szCs w:val="20"/>
        </w:rPr>
        <w:lastRenderedPageBreak/>
        <w:t>3.2; 95% CI: 1.3 to 6.4) (Supplemental Figure 2.3; Supplemental Tables 2.3 and 2.8). Regionally, the Western United States demonstrated the highest nephritis-related mortality during the study period, with an average AAMR of 4.7 (95% CI: 4.6–4.8), followed by the Southern region (AAMR: 3.6; 95% CI: 3.5–3.6), the Midwestern region (AAMR: 3.1; 95% CI: 3.0–3.2), and the Northeastern region (AAMR: 2.1; 95% CI: 2.1–2.2) (Supplemental Figure 2.4; Supplemental Table 2.7). At the state level, substantial variation in nephritis-related AAMRs was observed across the United States, ranging from 1.7 (95% CI: 1.5–1.9) in New Jersey to 10.1 (95% CI: 8.1–12.1) in Alaska. States within the top 90th percentile—including Alaska, Utah, Washington, Tennessee, Idaho, and Wyoming—had approximately three- to five-fold higher AAMRs compared to those in the lowest 10th percentile, including New Jersey, Florida, the District of Columbia, Pennsylvania, and New York (Supplemental Figure 2.5; Supplemental Table 2.6).</w:t>
      </w:r>
    </w:p>
    <w:p w14:paraId="7F103476" w14:textId="77777777" w:rsidR="00D50157" w:rsidRPr="00D50157" w:rsidRDefault="00D50157" w:rsidP="006606AD">
      <w:pPr>
        <w:pStyle w:val="BodyText"/>
        <w:spacing w:line="360" w:lineRule="auto"/>
        <w:ind w:left="0"/>
        <w:jc w:val="both"/>
        <w:rPr>
          <w:rFonts w:cs="Times New Roman"/>
          <w:bCs/>
          <w:sz w:val="20"/>
          <w:szCs w:val="20"/>
        </w:rPr>
      </w:pPr>
    </w:p>
    <w:p w14:paraId="2BB9A19B"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Cystitis</w:t>
      </w:r>
    </w:p>
    <w:p w14:paraId="0B799233"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Annual Trends for Cystitis AAMR</w:t>
      </w:r>
    </w:p>
    <w:p w14:paraId="51EA6EAA" w14:textId="77777777" w:rsid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The AAMR for cystitis-related deaths first decreased from 1.4 to 1.1 in the years 1999-2011 (APC: -0.7; 95% CI: -2.5-13.0), followed by a further decrease to 1.0 in 2014 (APC: -6.5; 95% CI: -9.1-15.9) and then increased to 3.2 in 2020 (APC: 21.8; 95% CI: 18.4-3.4) (Supplementary Figure 3.1, Supplemental Tables 3.3 and 3.4).</w:t>
      </w:r>
    </w:p>
    <w:p w14:paraId="0C193DCE" w14:textId="77777777" w:rsidR="00D50157" w:rsidRDefault="00D50157" w:rsidP="006606AD">
      <w:pPr>
        <w:pStyle w:val="BodyText"/>
        <w:spacing w:line="360" w:lineRule="auto"/>
        <w:ind w:left="0"/>
        <w:jc w:val="both"/>
        <w:rPr>
          <w:rFonts w:cs="Times New Roman"/>
          <w:bCs/>
          <w:sz w:val="20"/>
          <w:szCs w:val="20"/>
        </w:rPr>
      </w:pPr>
    </w:p>
    <w:p w14:paraId="29A45C2E" w14:textId="031307A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Cystitis AAMR Stratified by Sex</w:t>
      </w:r>
    </w:p>
    <w:p w14:paraId="2171242F"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The AAMR in older females for 1999 was 1.4 (95% CI: 1.2 to 1.6) which steadily decreased to 0.9 (95% CI: 0.8 to 1.0) until 2014 (</w:t>
      </w:r>
      <w:proofErr w:type="gramStart"/>
      <w:r w:rsidRPr="00D50157">
        <w:rPr>
          <w:rFonts w:cs="Times New Roman"/>
          <w:bCs/>
          <w:sz w:val="20"/>
          <w:szCs w:val="20"/>
        </w:rPr>
        <w:t>APC:-</w:t>
      </w:r>
      <w:proofErr w:type="gramEnd"/>
      <w:r w:rsidRPr="00D50157">
        <w:rPr>
          <w:rFonts w:cs="Times New Roman"/>
          <w:bCs/>
          <w:sz w:val="20"/>
          <w:szCs w:val="20"/>
        </w:rPr>
        <w:t xml:space="preserve">1.8; 95% CI: -6.3-8.2). The trend then showed a steep rise to 2.0 (95% CI: 0.8-1.0) up </w:t>
      </w:r>
      <w:proofErr w:type="gramStart"/>
      <w:r w:rsidRPr="00D50157">
        <w:rPr>
          <w:rFonts w:cs="Times New Roman"/>
          <w:bCs/>
          <w:sz w:val="20"/>
          <w:szCs w:val="20"/>
        </w:rPr>
        <w:t>until</w:t>
      </w:r>
      <w:proofErr w:type="gramEnd"/>
      <w:r w:rsidRPr="00D50157">
        <w:rPr>
          <w:rFonts w:cs="Times New Roman"/>
          <w:bCs/>
          <w:sz w:val="20"/>
          <w:szCs w:val="20"/>
        </w:rPr>
        <w:t xml:space="preserve"> 2017 (APC: 26.7; 95% CI: -10.4-33.0) and then rose less steeply to 3.2 (95% CI: 3.0-3.4) up until 2020 (APC: 15.7; 95% CI: 9.7-21.7). Whereas, the AAMR for older males was 1.3 (95% CI: 1.1-1.5) in 1999 which declined to 1.0 (95% CI: 0.9- 1.2) up until 2014 (APC: -1.7; 95% CI: -3.3 to -0.3) and then sharply increased to 3.2 (95% CI: 3.0-3.4) in 2020 (APC: 19.9; 95% CI: 16.4-25.4) (Supplemental Figure 3.1, 3.4)</w:t>
      </w:r>
    </w:p>
    <w:p w14:paraId="165EB5A3" w14:textId="77777777" w:rsidR="00D50157" w:rsidRDefault="00D50157" w:rsidP="00D50157">
      <w:pPr>
        <w:pStyle w:val="BodyText"/>
        <w:spacing w:line="360" w:lineRule="auto"/>
        <w:ind w:left="0"/>
        <w:jc w:val="both"/>
        <w:rPr>
          <w:rFonts w:cs="Times New Roman"/>
          <w:bCs/>
          <w:sz w:val="20"/>
          <w:szCs w:val="20"/>
        </w:rPr>
      </w:pPr>
    </w:p>
    <w:p w14:paraId="0C85DFE4" w14:textId="3F64BACA"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Cystitis AAMR stratified by Race/Ethnicity</w:t>
      </w:r>
    </w:p>
    <w:p w14:paraId="7C81971E" w14:textId="4EF424A6" w:rsid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In Blacks or African Americans in the year 1999, the AAMR was 1.8 and decreased to 1.0 in 2013 (APC: -3.6; 95% CI: -7.4 to -0.7). The AAMR increased to 3.5 from 2013 to 2020 (APC: 21.9; 95% CI: 15.6-31.7).</w:t>
      </w:r>
      <w:r w:rsidR="002A7987">
        <w:rPr>
          <w:rFonts w:cs="Times New Roman"/>
          <w:bCs/>
          <w:sz w:val="20"/>
          <w:szCs w:val="20"/>
        </w:rPr>
        <w:t xml:space="preserve"> </w:t>
      </w:r>
      <w:r w:rsidRPr="00D50157">
        <w:rPr>
          <w:rFonts w:cs="Times New Roman"/>
          <w:bCs/>
          <w:sz w:val="20"/>
          <w:szCs w:val="20"/>
        </w:rPr>
        <w:t>A similar trend was seen in the White population. The AAMR in 1999 was 1.3 and decreased to 1.0 (APC: -1.7; 95% CI: -3.0 to -0.5) up until 2013 and increased to 3.4 (APC: 19.2; 95% CI: 16.7-22.7) in 2020 (Supplemental Tables 3.5).</w:t>
      </w:r>
    </w:p>
    <w:p w14:paraId="01FC4DFE" w14:textId="77777777" w:rsidR="00D50157" w:rsidRPr="00D50157" w:rsidRDefault="00D50157" w:rsidP="006606AD">
      <w:pPr>
        <w:pStyle w:val="BodyText"/>
        <w:spacing w:line="360" w:lineRule="auto"/>
        <w:ind w:left="0"/>
        <w:jc w:val="both"/>
        <w:rPr>
          <w:rFonts w:cs="Times New Roman"/>
          <w:bCs/>
          <w:sz w:val="20"/>
          <w:szCs w:val="20"/>
        </w:rPr>
      </w:pPr>
    </w:p>
    <w:p w14:paraId="128F4473"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Cystitis AAMR Stratified by Geographic Region</w:t>
      </w:r>
    </w:p>
    <w:p w14:paraId="1D41AEA5"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In large central metropolitan areas, cystitis-related AAMR decreased from 1.3 (95% CI: 1.1–1.5) in 1999 to 0.8 in 2014 (APC: −2.66; 95% CI: −4.3 to −1.4), followed by a marked increase through 2020 (APC: 17.8; 95% CI: 14.1–23.9). Trends for other urban and rural categories are shown in Supplemental Figure 3.2. Regionally, AAMRs declined initially and then rose across all census regions. In the Northeast, rates decreased from 1.0 (95% CI: 0.8–</w:t>
      </w:r>
      <w:r w:rsidRPr="00D50157">
        <w:rPr>
          <w:rFonts w:cs="Times New Roman"/>
          <w:bCs/>
          <w:sz w:val="20"/>
          <w:szCs w:val="20"/>
        </w:rPr>
        <w:lastRenderedPageBreak/>
        <w:t>1.3) to 0.6 (95% CI: 0.5–0.8) until 2013 (APC: −2.0; 95% CI: −4.6 to 0.0), then increased to 2.1 in 2020 (APC: 16.4; 95% CI: 12.7–22.7). Similar patterns were observed in the Midwest (1.4 to 1.1 until 2014, APC: −1.8; 95% CI: −3.7 to −0.4; rising to 3.2 in 2020, APC: 18.6; 95% CI: 12.6–26.3), South (1.4 to 1.0 until 2013, APC: −1.9; 95% CI: −3.8 to −0.4; rising to 4.0 in 2020, APC: 21.7; 95% CI: 18.8–26.1), and West (1.7 to 1.0 until 2014, APC: −0.8; 95% CI: −2.6 to 0.8; rising to 2.8 in 2020, APC: 14.2; 95% CI: 9.3–22.5) (Supplemental Figure 3.3; Supplemental Table 3.7). At the state level, AAMR ranged from 0.7 (95% CI: 0.7–0.8) in Florida to 3.5 (95% CI: 3.1–3.8) in Oklahoma (Supplemental Figure 3.4; Supplemental Table 3.6).</w:t>
      </w:r>
    </w:p>
    <w:p w14:paraId="7BD5B2A0" w14:textId="77777777" w:rsidR="00D50157" w:rsidRPr="00D50157" w:rsidRDefault="00D50157" w:rsidP="006606AD">
      <w:pPr>
        <w:pStyle w:val="BodyText"/>
        <w:spacing w:line="360" w:lineRule="auto"/>
        <w:ind w:left="0"/>
        <w:jc w:val="both"/>
        <w:rPr>
          <w:rFonts w:cs="Times New Roman"/>
          <w:bCs/>
          <w:sz w:val="20"/>
          <w:szCs w:val="20"/>
        </w:rPr>
      </w:pPr>
    </w:p>
    <w:p w14:paraId="5032974A"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Urethritis</w:t>
      </w:r>
    </w:p>
    <w:p w14:paraId="3FE2D2C4"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Urethritis Stratified by Sex</w:t>
      </w:r>
    </w:p>
    <w:p w14:paraId="7BBC7DB8"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The percentage of total deaths in females was 27.30% whereas in males it was 10.70% in 1999 rising to 72.70% in 2020.</w:t>
      </w:r>
    </w:p>
    <w:p w14:paraId="4D91D702" w14:textId="77777777" w:rsidR="00D50157" w:rsidRDefault="00D50157" w:rsidP="006606AD">
      <w:pPr>
        <w:pStyle w:val="BodyText"/>
        <w:spacing w:line="360" w:lineRule="auto"/>
        <w:ind w:left="0"/>
        <w:jc w:val="both"/>
        <w:rPr>
          <w:rFonts w:cs="Times New Roman"/>
          <w:bCs/>
          <w:sz w:val="20"/>
          <w:szCs w:val="20"/>
        </w:rPr>
      </w:pPr>
    </w:p>
    <w:p w14:paraId="092FF7DB" w14:textId="4748C3F1"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Urethritis stratified by Race/Ethnicity</w:t>
      </w:r>
    </w:p>
    <w:p w14:paraId="1044315A"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 xml:space="preserve">The percentage of total deaths in Blacks or African Americans due to urethritis was 12.40%. In the White population, the mortality percent was 11.60% in 1999 and 85.10% in 2020. In the non-Hispanic Blacks or African American population, the percent of total deaths was 13.00%. In non-Hispanic White </w:t>
      </w:r>
      <w:proofErr w:type="gramStart"/>
      <w:r w:rsidRPr="00D50157">
        <w:rPr>
          <w:rFonts w:cs="Times New Roman"/>
          <w:bCs/>
          <w:sz w:val="20"/>
          <w:szCs w:val="20"/>
        </w:rPr>
        <w:t>population</w:t>
      </w:r>
      <w:proofErr w:type="gramEnd"/>
      <w:r w:rsidRPr="00D50157">
        <w:rPr>
          <w:rFonts w:cs="Times New Roman"/>
          <w:bCs/>
          <w:sz w:val="20"/>
          <w:szCs w:val="20"/>
        </w:rPr>
        <w:t xml:space="preserve"> it was 12.20% in 1999 and 84.30% in 2020.</w:t>
      </w:r>
    </w:p>
    <w:p w14:paraId="605F771C" w14:textId="77777777" w:rsidR="00D50157" w:rsidRPr="00D50157" w:rsidRDefault="00D50157" w:rsidP="006606AD">
      <w:pPr>
        <w:pStyle w:val="BodyText"/>
        <w:spacing w:line="360" w:lineRule="auto"/>
        <w:ind w:left="0"/>
        <w:jc w:val="both"/>
        <w:rPr>
          <w:rFonts w:cs="Times New Roman"/>
          <w:b/>
          <w:color w:val="0070C0"/>
          <w:sz w:val="20"/>
          <w:szCs w:val="20"/>
        </w:rPr>
      </w:pPr>
    </w:p>
    <w:p w14:paraId="2326044B" w14:textId="6EF24C21"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Urethritis Stratified by Geographic Region</w:t>
      </w:r>
    </w:p>
    <w:p w14:paraId="047F6660"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 xml:space="preserve">The percent mortality rate in the Northeast was 10.70%, 24.80% in the Midwest, 34.70% in the South and 29.80% in the West. The percentage of total deaths in large central metro cities was 28.90%, 17.40% in large fringe metro cities, 22.30% in medium metro cities and 10.70% in small metro cities. In non- metro Micropolitan in non-core non-metro cities it was 9.10%. </w:t>
      </w:r>
    </w:p>
    <w:p w14:paraId="26871C09" w14:textId="77777777" w:rsidR="00D50157" w:rsidRPr="00D50157" w:rsidRDefault="00D50157" w:rsidP="006606AD">
      <w:pPr>
        <w:pStyle w:val="BodyText"/>
        <w:spacing w:line="360" w:lineRule="auto"/>
        <w:ind w:left="0"/>
        <w:jc w:val="both"/>
        <w:rPr>
          <w:rFonts w:cs="Times New Roman"/>
          <w:bCs/>
          <w:sz w:val="20"/>
          <w:szCs w:val="20"/>
        </w:rPr>
      </w:pPr>
    </w:p>
    <w:p w14:paraId="284B50B9"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Non-specific UTI</w:t>
      </w:r>
    </w:p>
    <w:p w14:paraId="6C649FAC" w14:textId="77777777" w:rsidR="00D50157" w:rsidRPr="008274D5" w:rsidRDefault="00D50157" w:rsidP="006606AD">
      <w:pPr>
        <w:pStyle w:val="BodyText"/>
        <w:spacing w:line="360" w:lineRule="auto"/>
        <w:ind w:left="0"/>
        <w:jc w:val="both"/>
        <w:rPr>
          <w:rFonts w:cs="Times New Roman"/>
          <w:b/>
          <w:color w:val="0070C0"/>
          <w:sz w:val="20"/>
          <w:szCs w:val="20"/>
        </w:rPr>
      </w:pPr>
      <w:r w:rsidRPr="008274D5">
        <w:rPr>
          <w:rFonts w:cs="Times New Roman"/>
          <w:b/>
          <w:color w:val="0070C0"/>
          <w:sz w:val="20"/>
          <w:szCs w:val="20"/>
        </w:rPr>
        <w:t>Annual Trends for non-specific UTI AAMR</w:t>
      </w:r>
    </w:p>
    <w:p w14:paraId="6B4E7AD9"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 xml:space="preserve">The overall age-adjusted mortality rate in 1999 was 93.8 and in 2020 was 81.6 showing a decreasing trend (APC: -1.0; 95% CI: -1.2 to -0.7) (Supplemental Figure 4.1, Supplemental Tables 4.3 and 4.4). </w:t>
      </w:r>
    </w:p>
    <w:p w14:paraId="3CCBD04B" w14:textId="77777777" w:rsidR="00D50157" w:rsidRPr="008274D5" w:rsidRDefault="00D50157" w:rsidP="006606AD">
      <w:pPr>
        <w:pStyle w:val="BodyText"/>
        <w:spacing w:line="360" w:lineRule="auto"/>
        <w:ind w:left="0"/>
        <w:jc w:val="both"/>
        <w:rPr>
          <w:rFonts w:cs="Times New Roman"/>
          <w:bCs/>
          <w:color w:val="0070C0"/>
          <w:sz w:val="20"/>
          <w:szCs w:val="20"/>
        </w:rPr>
      </w:pPr>
    </w:p>
    <w:p w14:paraId="720291A7" w14:textId="77777777" w:rsidR="00D50157" w:rsidRPr="008274D5" w:rsidRDefault="00D50157" w:rsidP="006606AD">
      <w:pPr>
        <w:pStyle w:val="BodyText"/>
        <w:spacing w:line="360" w:lineRule="auto"/>
        <w:ind w:left="0"/>
        <w:jc w:val="both"/>
        <w:rPr>
          <w:rFonts w:cs="Times New Roman"/>
          <w:b/>
          <w:color w:val="0070C0"/>
          <w:sz w:val="20"/>
          <w:szCs w:val="20"/>
        </w:rPr>
      </w:pPr>
      <w:r w:rsidRPr="008274D5">
        <w:rPr>
          <w:rFonts w:cs="Times New Roman"/>
          <w:b/>
          <w:color w:val="0070C0"/>
          <w:sz w:val="20"/>
          <w:szCs w:val="20"/>
        </w:rPr>
        <w:t>Non-specific UTI AAMR Stratified by Sex</w:t>
      </w:r>
    </w:p>
    <w:p w14:paraId="679AADA6"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In females, the AAMR in 1999 was 95.4 which decreased to 84.4 in 2020 (APC: -0.9; 95% CI: - 1.2 to -0.6). In males in 1999, the AAMR was 89.9 which decreased to 69.8 in 2018 (APC: - 1.2; 95% CI: 2.0 to -0.9) and became 77.7 in 2020 (APC: 3.5; 95% CI: -0.9-5.8). The percentage of total deaths increased from 1.40% to 2.10% from 1999-2020 (Supplemental Figure 4.1, Supplemental Tables 4.3 and 4.4).</w:t>
      </w:r>
    </w:p>
    <w:p w14:paraId="2D6B041C" w14:textId="77777777" w:rsidR="00D412A1" w:rsidRDefault="00D412A1" w:rsidP="006606AD">
      <w:pPr>
        <w:pStyle w:val="BodyText"/>
        <w:spacing w:line="360" w:lineRule="auto"/>
        <w:ind w:left="0"/>
        <w:jc w:val="both"/>
        <w:rPr>
          <w:rFonts w:cs="Times New Roman"/>
          <w:b/>
          <w:color w:val="0070C0"/>
          <w:sz w:val="20"/>
          <w:szCs w:val="20"/>
        </w:rPr>
      </w:pPr>
    </w:p>
    <w:p w14:paraId="32A4150A" w14:textId="64586015" w:rsidR="00D50157" w:rsidRPr="008274D5" w:rsidRDefault="00D50157" w:rsidP="006606AD">
      <w:pPr>
        <w:pStyle w:val="BodyText"/>
        <w:spacing w:line="360" w:lineRule="auto"/>
        <w:ind w:left="0"/>
        <w:jc w:val="both"/>
        <w:rPr>
          <w:rFonts w:cs="Times New Roman"/>
          <w:b/>
          <w:color w:val="0070C0"/>
          <w:sz w:val="20"/>
          <w:szCs w:val="20"/>
        </w:rPr>
      </w:pPr>
      <w:r w:rsidRPr="008274D5">
        <w:rPr>
          <w:rFonts w:cs="Times New Roman"/>
          <w:b/>
          <w:color w:val="0070C0"/>
          <w:sz w:val="20"/>
          <w:szCs w:val="20"/>
        </w:rPr>
        <w:lastRenderedPageBreak/>
        <w:t>Non-specific UTI AAMR stratified by Race/Ethnicity</w:t>
      </w:r>
    </w:p>
    <w:p w14:paraId="678DAF14" w14:textId="26EB4677" w:rsid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In non-Hispanic American Indians or Alaskan natives, the AAMR in 1999 was 72.4 increased to 100.4 in 2010 (APC: 2.0; 95% CI: 0.2-10.0) and decreased to 85.5 from 2010 to 2020 (APC: -3.2; 95% CI: -7.0 to -1.4). In non-Hispanic Asian or Pacific Islanders, the AAMR was 53.9 in 1999 with a slight increase to 54.1 in 2009 (APC: 0.6; 95% CI: -0.5-2.3</w:t>
      </w:r>
      <w:proofErr w:type="gramStart"/>
      <w:r w:rsidRPr="00D50157">
        <w:rPr>
          <w:rFonts w:cs="Times New Roman"/>
          <w:bCs/>
          <w:sz w:val="20"/>
          <w:szCs w:val="20"/>
        </w:rPr>
        <w:t>),and</w:t>
      </w:r>
      <w:proofErr w:type="gramEnd"/>
      <w:r w:rsidRPr="00D50157">
        <w:rPr>
          <w:rFonts w:cs="Times New Roman"/>
          <w:bCs/>
          <w:sz w:val="20"/>
          <w:szCs w:val="20"/>
        </w:rPr>
        <w:t xml:space="preserve"> thereby declined to 33.7 up until 2018 (APC: -4.8; 95% CI: -8.0 to -3.9). The AAMR increased to 42 up until 2020 (APC: 7.3; 95% CI: -0.7-11.8). In non-Hispanic Blacks or African Americans, the AAMR in 1999 was 138.6 and then decreased to 78.8 up until 2018 (APC: -3.0; 95% CI: -3.8 to -2.6).</w:t>
      </w:r>
      <w:r w:rsidR="008274D5">
        <w:rPr>
          <w:rFonts w:cs="Times New Roman"/>
          <w:bCs/>
          <w:sz w:val="20"/>
          <w:szCs w:val="20"/>
        </w:rPr>
        <w:t xml:space="preserve"> </w:t>
      </w:r>
      <w:r w:rsidRPr="00D50157">
        <w:rPr>
          <w:rFonts w:cs="Times New Roman"/>
          <w:bCs/>
          <w:sz w:val="20"/>
          <w:szCs w:val="20"/>
        </w:rPr>
        <w:t>The AAMR then increased to 92.4 from 2018 to 2020 (APC: 5.4; 95% CI: -2.4-8.9).</w:t>
      </w:r>
      <w:r w:rsidR="008274D5">
        <w:rPr>
          <w:rFonts w:cs="Times New Roman"/>
          <w:bCs/>
          <w:sz w:val="20"/>
          <w:szCs w:val="20"/>
        </w:rPr>
        <w:t xml:space="preserve"> </w:t>
      </w:r>
      <w:r w:rsidRPr="00D50157">
        <w:rPr>
          <w:rFonts w:cs="Times New Roman"/>
          <w:bCs/>
          <w:sz w:val="20"/>
          <w:szCs w:val="20"/>
        </w:rPr>
        <w:t>The AAMR of non-Hispanic Whites was 91.2 in 1999 and decreased to 84.3 in 2020 (APC: - 0.7; 95% CI: -0.9 to -0.4). In the Hispanic population, the AAMR was 76 in 1999 and 63.5 in</w:t>
      </w:r>
      <w:r w:rsidR="008274D5">
        <w:rPr>
          <w:rFonts w:cs="Times New Roman"/>
          <w:bCs/>
          <w:sz w:val="20"/>
          <w:szCs w:val="20"/>
        </w:rPr>
        <w:t xml:space="preserve"> </w:t>
      </w:r>
      <w:r w:rsidRPr="00D50157">
        <w:rPr>
          <w:rFonts w:cs="Times New Roman"/>
          <w:bCs/>
          <w:sz w:val="20"/>
          <w:szCs w:val="20"/>
        </w:rPr>
        <w:t>2020 (APC: -1.5; 95% CI: -1.9 to -1.0) (Supplemental Tables 4.3 and</w:t>
      </w:r>
      <w:r w:rsidR="008274D5">
        <w:rPr>
          <w:rFonts w:cs="Times New Roman"/>
          <w:bCs/>
          <w:sz w:val="20"/>
          <w:szCs w:val="20"/>
        </w:rPr>
        <w:t xml:space="preserve"> </w:t>
      </w:r>
      <w:r w:rsidRPr="00D50157">
        <w:rPr>
          <w:rFonts w:cs="Times New Roman"/>
          <w:bCs/>
          <w:sz w:val="20"/>
          <w:szCs w:val="20"/>
        </w:rPr>
        <w:t xml:space="preserve">4.5., Supplementary figure 4.2 and 4.3) </w:t>
      </w:r>
    </w:p>
    <w:p w14:paraId="6BAFD7E4" w14:textId="77777777" w:rsidR="00D50157" w:rsidRPr="00D50157" w:rsidRDefault="00D50157" w:rsidP="006606AD">
      <w:pPr>
        <w:pStyle w:val="BodyText"/>
        <w:spacing w:line="360" w:lineRule="auto"/>
        <w:ind w:left="0"/>
        <w:jc w:val="both"/>
        <w:rPr>
          <w:rFonts w:cs="Times New Roman"/>
          <w:bCs/>
          <w:sz w:val="20"/>
          <w:szCs w:val="20"/>
        </w:rPr>
      </w:pPr>
    </w:p>
    <w:p w14:paraId="41828A73" w14:textId="77777777" w:rsidR="00D50157" w:rsidRPr="008274D5" w:rsidRDefault="00D50157" w:rsidP="006606AD">
      <w:pPr>
        <w:pStyle w:val="BodyText"/>
        <w:spacing w:line="360" w:lineRule="auto"/>
        <w:ind w:left="0"/>
        <w:jc w:val="both"/>
        <w:rPr>
          <w:rFonts w:cs="Times New Roman"/>
          <w:b/>
          <w:color w:val="0070C0"/>
          <w:sz w:val="20"/>
          <w:szCs w:val="20"/>
        </w:rPr>
      </w:pPr>
      <w:r w:rsidRPr="008274D5">
        <w:rPr>
          <w:rFonts w:cs="Times New Roman"/>
          <w:b/>
          <w:color w:val="0070C0"/>
          <w:sz w:val="20"/>
          <w:szCs w:val="20"/>
        </w:rPr>
        <w:t>Non-specific UTI AAMR Stratified by Geographic Region</w:t>
      </w:r>
    </w:p>
    <w:p w14:paraId="3395E2CB" w14:textId="53FA35FF"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 xml:space="preserve">In large central metro cities, the AAMR in 1999 was 97.9 which decreased to 74.2 in 2020 (APC: -1.7; 95% CI: -2.0 to -1.4). Details for other metropolitan and non-metropolitan cities can be found in Supplemental Tables 4.3 and 4.8. In the Northeast, the AAMR in 1999 was 81.9 decreased to 79.8 in 2011 (APC: -0.5; 95% CI: -1.0-2.6) and then 69.7 in 2020 (APC: -2.1; 95% CI: -5.4 to -1.3). Details for </w:t>
      </w:r>
      <w:proofErr w:type="gramStart"/>
      <w:r w:rsidRPr="00D50157">
        <w:rPr>
          <w:rFonts w:cs="Times New Roman"/>
          <w:bCs/>
          <w:sz w:val="20"/>
          <w:szCs w:val="20"/>
        </w:rPr>
        <w:t>other</w:t>
      </w:r>
      <w:proofErr w:type="gramEnd"/>
      <w:r w:rsidRPr="00D50157">
        <w:rPr>
          <w:rFonts w:cs="Times New Roman"/>
          <w:bCs/>
          <w:sz w:val="20"/>
          <w:szCs w:val="20"/>
        </w:rPr>
        <w:t xml:space="preserve"> census are presented in Supplemental Figure 4.4 and Supplemental Table 4.7. The AAMR of States can be found in Supplemental Table 4.6 and Supplemental Figure 4.5</w:t>
      </w:r>
    </w:p>
    <w:p w14:paraId="182A5240" w14:textId="77777777" w:rsidR="00D50157" w:rsidRPr="00D50157" w:rsidRDefault="00D50157" w:rsidP="006606AD">
      <w:pPr>
        <w:pStyle w:val="BodyText"/>
        <w:spacing w:line="360" w:lineRule="auto"/>
        <w:ind w:left="0"/>
        <w:jc w:val="both"/>
        <w:rPr>
          <w:rFonts w:cs="Times New Roman"/>
          <w:bCs/>
          <w:sz w:val="20"/>
          <w:szCs w:val="20"/>
        </w:rPr>
      </w:pPr>
    </w:p>
    <w:p w14:paraId="2AA22630" w14:textId="77777777" w:rsidR="00D50157" w:rsidRPr="00D50157" w:rsidRDefault="00D50157" w:rsidP="006606AD">
      <w:pPr>
        <w:pStyle w:val="BodyText"/>
        <w:spacing w:line="360" w:lineRule="auto"/>
        <w:ind w:left="0"/>
        <w:jc w:val="both"/>
        <w:rPr>
          <w:rFonts w:cs="Times New Roman"/>
          <w:b/>
          <w:color w:val="0070C0"/>
          <w:sz w:val="22"/>
          <w:szCs w:val="22"/>
        </w:rPr>
      </w:pPr>
      <w:r w:rsidRPr="00D50157">
        <w:rPr>
          <w:rFonts w:cs="Times New Roman"/>
          <w:b/>
          <w:color w:val="0070C0"/>
          <w:sz w:val="22"/>
          <w:szCs w:val="22"/>
        </w:rPr>
        <w:t>Discussion</w:t>
      </w:r>
    </w:p>
    <w:p w14:paraId="6F40856F" w14:textId="21F09E0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 xml:space="preserve">This study evaluated mortality trends due to UTIs in individuals aged ≥65 years in the United States. </w:t>
      </w:r>
      <w:proofErr w:type="gramStart"/>
      <w:r w:rsidRPr="00D50157">
        <w:rPr>
          <w:rFonts w:cs="Times New Roman"/>
          <w:bCs/>
          <w:sz w:val="20"/>
          <w:szCs w:val="20"/>
        </w:rPr>
        <w:t>Overall</w:t>
      </w:r>
      <w:proofErr w:type="gramEnd"/>
      <w:r w:rsidRPr="00D50157">
        <w:rPr>
          <w:rFonts w:cs="Times New Roman"/>
          <w:bCs/>
          <w:sz w:val="20"/>
          <w:szCs w:val="20"/>
        </w:rPr>
        <w:t xml:space="preserve"> UTI-related mortality declined from 1999 to 2018, followed by a sharp increase thereafter; a similar pattern was observed for nephritis. Cystitis decreased until 2011, then increased, with a marked rise from 2014 to 2020, while non-specific UTIs showed a gradual decline throughout. Females consistently had higher AAMRs across overall UTI, nephritis, and non-specific UTI. Among racial groups, non-Hispanic Black individuals had the highest mortality. Higher AAMRs were observed in the Southern region, nonmetropolitan areas, and states such as Mississippi, Kentucky, North Carolina, Arkansas, and Indiana, identifying key high-risk populations.</w:t>
      </w:r>
      <w:r>
        <w:rPr>
          <w:rFonts w:cs="Times New Roman"/>
          <w:bCs/>
          <w:sz w:val="20"/>
          <w:szCs w:val="20"/>
        </w:rPr>
        <w:t xml:space="preserve"> </w:t>
      </w:r>
      <w:r w:rsidRPr="00D50157">
        <w:rPr>
          <w:rFonts w:cs="Times New Roman"/>
          <w:bCs/>
          <w:sz w:val="20"/>
          <w:szCs w:val="20"/>
        </w:rPr>
        <w:t>Recent studies reveal an increasing trend of urinary tract infections (UTIs) among older adults, with multi-drug resistance to antibiotics being a significant issue. Older adults are more likely to have diseases such as prolapsed bladder, urinary incontinence, dementia, Parkinson's disease, and diabetes, which can make hygiene care difficult and lead to urinary retention and loss of bladder control</w:t>
      </w:r>
      <w:r w:rsidR="0016050A">
        <w:rPr>
          <w:rFonts w:cs="Times New Roman"/>
          <w:bCs/>
          <w:sz w:val="20"/>
          <w:szCs w:val="20"/>
        </w:rPr>
        <w:t xml:space="preserve"> [</w:t>
      </w:r>
      <w:r w:rsidRPr="00D50157">
        <w:rPr>
          <w:rFonts w:cs="Times New Roman"/>
          <w:bCs/>
          <w:sz w:val="20"/>
          <w:szCs w:val="20"/>
        </w:rPr>
        <w:t>22-23</w:t>
      </w:r>
      <w:r w:rsidR="0016050A">
        <w:rPr>
          <w:rFonts w:cs="Times New Roman"/>
          <w:bCs/>
          <w:sz w:val="20"/>
          <w:szCs w:val="20"/>
        </w:rPr>
        <w:t>]</w:t>
      </w:r>
      <w:r w:rsidRPr="00D50157">
        <w:rPr>
          <w:rFonts w:cs="Times New Roman"/>
          <w:bCs/>
          <w:sz w:val="20"/>
          <w:szCs w:val="20"/>
        </w:rPr>
        <w:t>. Diagnosing UTIs can be challenging as many patients do not present with urinary symptoms but may present with non-specific symptoms like cognitive decline or anorexia</w:t>
      </w:r>
      <w:r w:rsidR="0016050A">
        <w:rPr>
          <w:rFonts w:cs="Times New Roman"/>
          <w:bCs/>
          <w:sz w:val="20"/>
          <w:szCs w:val="20"/>
        </w:rPr>
        <w:t xml:space="preserve"> [</w:t>
      </w:r>
      <w:r w:rsidRPr="00D50157">
        <w:rPr>
          <w:rFonts w:cs="Times New Roman"/>
          <w:bCs/>
          <w:sz w:val="20"/>
          <w:szCs w:val="20"/>
        </w:rPr>
        <w:t>24-25</w:t>
      </w:r>
      <w:r w:rsidR="0016050A">
        <w:rPr>
          <w:rFonts w:cs="Times New Roman"/>
          <w:bCs/>
          <w:sz w:val="20"/>
          <w:szCs w:val="20"/>
        </w:rPr>
        <w:t>]</w:t>
      </w:r>
      <w:r w:rsidRPr="00D50157">
        <w:rPr>
          <w:rFonts w:cs="Times New Roman"/>
          <w:bCs/>
          <w:sz w:val="20"/>
          <w:szCs w:val="20"/>
        </w:rPr>
        <w:t>. The high prevalence of asymptomatic bacteriuria in older people may be misdiagnosed as UTI, leading to adverse outcomes</w:t>
      </w:r>
      <w:r w:rsidR="0016050A">
        <w:rPr>
          <w:rFonts w:cs="Times New Roman"/>
          <w:bCs/>
          <w:sz w:val="20"/>
          <w:szCs w:val="20"/>
        </w:rPr>
        <w:t xml:space="preserve"> [</w:t>
      </w:r>
      <w:r w:rsidRPr="00D50157">
        <w:rPr>
          <w:rFonts w:cs="Times New Roman"/>
          <w:bCs/>
          <w:sz w:val="20"/>
          <w:szCs w:val="20"/>
        </w:rPr>
        <w:t>26-27</w:t>
      </w:r>
      <w:r w:rsidR="0016050A">
        <w:rPr>
          <w:rFonts w:cs="Times New Roman"/>
          <w:bCs/>
          <w:sz w:val="20"/>
          <w:szCs w:val="20"/>
        </w:rPr>
        <w:t>]</w:t>
      </w:r>
      <w:r w:rsidRPr="00D50157">
        <w:rPr>
          <w:rFonts w:cs="Times New Roman"/>
          <w:bCs/>
          <w:sz w:val="20"/>
          <w:szCs w:val="20"/>
        </w:rPr>
        <w:t xml:space="preserve">. Unnecessary antibiotic treatment can lead to multi-drug resistance organisms. A higher number of UTI-related deaths are found in medical facilities and long-term facilities due to catheter-associated infections </w:t>
      </w:r>
      <w:r w:rsidR="0016050A">
        <w:rPr>
          <w:rFonts w:cs="Times New Roman"/>
          <w:bCs/>
          <w:sz w:val="20"/>
          <w:szCs w:val="20"/>
        </w:rPr>
        <w:t>[</w:t>
      </w:r>
      <w:r w:rsidRPr="00D50157">
        <w:rPr>
          <w:rFonts w:cs="Times New Roman"/>
          <w:bCs/>
          <w:sz w:val="20"/>
          <w:szCs w:val="20"/>
        </w:rPr>
        <w:t>28-29</w:t>
      </w:r>
      <w:r w:rsidR="0016050A">
        <w:rPr>
          <w:rFonts w:cs="Times New Roman"/>
          <w:bCs/>
          <w:sz w:val="20"/>
          <w:szCs w:val="20"/>
        </w:rPr>
        <w:t>]</w:t>
      </w:r>
      <w:r w:rsidRPr="00D50157">
        <w:rPr>
          <w:rFonts w:cs="Times New Roman"/>
          <w:bCs/>
          <w:sz w:val="20"/>
          <w:szCs w:val="20"/>
        </w:rPr>
        <w:t xml:space="preserve">. </w:t>
      </w:r>
      <w:r w:rsidRPr="00D50157">
        <w:rPr>
          <w:rFonts w:cs="Times New Roman"/>
          <w:bCs/>
          <w:sz w:val="20"/>
          <w:szCs w:val="20"/>
        </w:rPr>
        <w:lastRenderedPageBreak/>
        <w:t xml:space="preserve">Delay in treatment can lead to severe consequences, such as urosepsis, which has a mortality rate of 25% to 60% </w:t>
      </w:r>
      <w:r w:rsidR="0016050A">
        <w:rPr>
          <w:rFonts w:cs="Times New Roman"/>
          <w:bCs/>
          <w:sz w:val="20"/>
          <w:szCs w:val="20"/>
        </w:rPr>
        <w:t>[</w:t>
      </w:r>
      <w:r w:rsidRPr="00D50157">
        <w:rPr>
          <w:rFonts w:cs="Times New Roman"/>
          <w:bCs/>
          <w:sz w:val="20"/>
          <w:szCs w:val="20"/>
        </w:rPr>
        <w:t>30</w:t>
      </w:r>
      <w:r w:rsidR="0016050A">
        <w:rPr>
          <w:rFonts w:cs="Times New Roman"/>
          <w:bCs/>
          <w:sz w:val="20"/>
          <w:szCs w:val="20"/>
        </w:rPr>
        <w:t>].</w:t>
      </w:r>
      <w:r w:rsidRPr="00D50157">
        <w:rPr>
          <w:rFonts w:cs="Times New Roman"/>
          <w:bCs/>
          <w:sz w:val="20"/>
          <w:szCs w:val="20"/>
        </w:rPr>
        <w:t xml:space="preserve"> Data for population size, year, demographics, states, region, and urban-rural classification were abstracted, with demographic data including sex and race/ethnicity. Geographical data was further stratified into six counties, with metropolitan counties being large central metro counties, nonmetropolitan counties being micropolitan counties, and census regions being Northeast, Midwest, South &amp; West. We found that females had a higher mortality rate than males. An explanation for this might be that females are found to have a higher prevalence of acute UTIs (23.3% vs 6.8%) and recurrent UTIs (54.2% and 15.7%)</w:t>
      </w:r>
      <w:r w:rsidR="0016050A">
        <w:rPr>
          <w:rFonts w:cs="Times New Roman"/>
          <w:bCs/>
          <w:sz w:val="20"/>
          <w:szCs w:val="20"/>
        </w:rPr>
        <w:t xml:space="preserve"> [</w:t>
      </w:r>
      <w:r w:rsidRPr="00D50157">
        <w:rPr>
          <w:rFonts w:cs="Times New Roman"/>
          <w:bCs/>
          <w:sz w:val="20"/>
          <w:szCs w:val="20"/>
        </w:rPr>
        <w:t>31</w:t>
      </w:r>
      <w:r w:rsidR="0016050A">
        <w:rPr>
          <w:rFonts w:cs="Times New Roman"/>
          <w:bCs/>
          <w:sz w:val="20"/>
          <w:szCs w:val="20"/>
        </w:rPr>
        <w:t>].</w:t>
      </w:r>
      <w:r w:rsidRPr="00D50157">
        <w:rPr>
          <w:rFonts w:cs="Times New Roman"/>
          <w:bCs/>
          <w:sz w:val="20"/>
          <w:szCs w:val="20"/>
        </w:rPr>
        <w:t xml:space="preserve"> Furthermore, females have a shorter urethra making them susceptible to infections. In older post-menopausal women, factors such as lack of estrogen and loss of lactobacilli in the vaginal flora along with pelvic prolapse lead to higher UTI rates32 Our study found differences in mortality rate among races with NH Blacks taking the lead followed by NH American Indians, NH Whites, Hispanics and lastly NH Asians. A reason for this might be that diabetes is a risk factor for UTI, and Blacks have the highest prevalence of Type 2 diabetes (13.2%) when compared to Hispanics (12.8%), Asians (9%) and NH Whites (7.6%). Native Americans showed varying prevalence from 6 % to 24.1%. </w:t>
      </w:r>
      <w:r w:rsidR="0016050A">
        <w:rPr>
          <w:rFonts w:cs="Times New Roman"/>
          <w:bCs/>
          <w:sz w:val="20"/>
          <w:szCs w:val="20"/>
        </w:rPr>
        <w:t>[</w:t>
      </w:r>
      <w:r w:rsidRPr="00D50157">
        <w:rPr>
          <w:rFonts w:cs="Times New Roman"/>
          <w:bCs/>
          <w:sz w:val="20"/>
          <w:szCs w:val="20"/>
        </w:rPr>
        <w:t>33-34</w:t>
      </w:r>
      <w:r w:rsidR="0016050A">
        <w:rPr>
          <w:rFonts w:cs="Times New Roman"/>
          <w:bCs/>
          <w:sz w:val="20"/>
          <w:szCs w:val="20"/>
        </w:rPr>
        <w:t>]</w:t>
      </w:r>
      <w:r w:rsidRPr="00D50157">
        <w:rPr>
          <w:rFonts w:cs="Times New Roman"/>
          <w:bCs/>
          <w:sz w:val="20"/>
          <w:szCs w:val="20"/>
        </w:rPr>
        <w:t>.</w:t>
      </w:r>
      <w:r>
        <w:rPr>
          <w:rFonts w:cs="Times New Roman"/>
          <w:bCs/>
          <w:sz w:val="20"/>
          <w:szCs w:val="20"/>
        </w:rPr>
        <w:t xml:space="preserve"> </w:t>
      </w:r>
      <w:r w:rsidRPr="00D50157">
        <w:rPr>
          <w:rFonts w:cs="Times New Roman"/>
          <w:bCs/>
          <w:sz w:val="20"/>
          <w:szCs w:val="20"/>
        </w:rPr>
        <w:t>However, we found a cross-sectional study in which Hispanics had the highest diabetes prevalence35. Furthermore, access to healthcare is affected depending on the race or ethnic group36 Our findings demonstrated higher UTI-related mortality in nonmetropolitan areas, the Southern region, and states such as Mississippi and Kentucky. These disparities may be attributed to limited healthcare access, workforce shortages, and suboptimal aseptic practices during catheterization. Strengthening infection control measures and improving healthcare worker training are essential to mitigate these risks. Policymakers, clinicians, and public health organizations should further investigate the underlying causes of geographic and demographic disparities to guide targeted interventions. As one of the first CDC WONDER analyses focusing on UTI mortality in older adults, continued surveillance is necessary to monitor evolving trends and support informed healthcare planning and resource allocation. A notable finding of our study was the significant rise in urethritis-related mortality in recent years, which was not previously highlighted. This increase may reflect improved recognition and coding practices, as well as a true rise in disease burden, particularly among older adults with multiple comorbidities. Increased use of urinary catheterization, higher prevalence of antimicrobial resistance, and delayed diagnosis in vulnerable populations may also contribute. Additionally, the relatively low baseline number of urethritis-related deaths may exaggerate percentage-based increases over time. These findings should be interpreted cautiously and warrant further investigation to better understand underlying causes and trends.</w:t>
      </w:r>
    </w:p>
    <w:p w14:paraId="194BF27B" w14:textId="77777777" w:rsidR="00D50157" w:rsidRPr="00D50157" w:rsidRDefault="00D50157" w:rsidP="006606AD">
      <w:pPr>
        <w:pStyle w:val="BodyText"/>
        <w:spacing w:line="360" w:lineRule="auto"/>
        <w:ind w:left="0"/>
        <w:jc w:val="both"/>
        <w:rPr>
          <w:rFonts w:cs="Times New Roman"/>
          <w:bCs/>
          <w:sz w:val="20"/>
          <w:szCs w:val="20"/>
        </w:rPr>
      </w:pPr>
    </w:p>
    <w:p w14:paraId="11A2159A"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Study limitations</w:t>
      </w:r>
    </w:p>
    <w:p w14:paraId="12238246"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 xml:space="preserve">Our study has several limitations. We used multiple cause-of-death data instead of the underlying cause of death to identify individuals who died of UTI to cover a broader range of people. This might make our UTI </w:t>
      </w:r>
      <w:proofErr w:type="gramStart"/>
      <w:r w:rsidRPr="00D50157">
        <w:rPr>
          <w:rFonts w:cs="Times New Roman"/>
          <w:bCs/>
          <w:sz w:val="20"/>
          <w:szCs w:val="20"/>
        </w:rPr>
        <w:t>study population</w:t>
      </w:r>
      <w:proofErr w:type="gramEnd"/>
      <w:r w:rsidRPr="00D50157">
        <w:rPr>
          <w:rFonts w:cs="Times New Roman"/>
          <w:bCs/>
          <w:sz w:val="20"/>
          <w:szCs w:val="20"/>
        </w:rPr>
        <w:t xml:space="preserve"> a less accurate representation of the disease. Mortality data in some subcategories was unreliable or unavailable due to the small number of cases </w:t>
      </w:r>
      <w:proofErr w:type="gramStart"/>
      <w:r w:rsidRPr="00D50157">
        <w:rPr>
          <w:rFonts w:cs="Times New Roman"/>
          <w:bCs/>
          <w:sz w:val="20"/>
          <w:szCs w:val="20"/>
        </w:rPr>
        <w:t>or</w:t>
      </w:r>
      <w:proofErr w:type="gramEnd"/>
      <w:r w:rsidRPr="00D50157">
        <w:rPr>
          <w:rFonts w:cs="Times New Roman"/>
          <w:bCs/>
          <w:sz w:val="20"/>
          <w:szCs w:val="20"/>
        </w:rPr>
        <w:t xml:space="preserve"> so we were unable to do analysis. Data on medical therapy, UTI treatment and socioeconomic determinants of health was also not available, which may impact access to care.</w:t>
      </w:r>
    </w:p>
    <w:p w14:paraId="77497C49" w14:textId="77777777" w:rsidR="00D50157" w:rsidRPr="00D50157" w:rsidRDefault="00D50157" w:rsidP="006606AD">
      <w:pPr>
        <w:pStyle w:val="BodyText"/>
        <w:spacing w:line="360" w:lineRule="auto"/>
        <w:ind w:left="0"/>
        <w:jc w:val="both"/>
        <w:rPr>
          <w:rFonts w:cs="Times New Roman"/>
          <w:bCs/>
          <w:sz w:val="20"/>
          <w:szCs w:val="20"/>
        </w:rPr>
      </w:pPr>
    </w:p>
    <w:p w14:paraId="5931F9F3" w14:textId="77777777" w:rsidR="00D50157" w:rsidRPr="00D50157" w:rsidRDefault="00D50157" w:rsidP="006606AD">
      <w:pPr>
        <w:pStyle w:val="BodyText"/>
        <w:spacing w:line="360" w:lineRule="auto"/>
        <w:ind w:left="0"/>
        <w:jc w:val="both"/>
        <w:rPr>
          <w:rFonts w:cs="Times New Roman"/>
          <w:b/>
          <w:color w:val="0070C0"/>
          <w:sz w:val="22"/>
          <w:szCs w:val="22"/>
        </w:rPr>
      </w:pPr>
      <w:r w:rsidRPr="00D50157">
        <w:rPr>
          <w:rFonts w:cs="Times New Roman"/>
          <w:b/>
          <w:color w:val="0070C0"/>
          <w:sz w:val="22"/>
          <w:szCs w:val="22"/>
        </w:rPr>
        <w:lastRenderedPageBreak/>
        <w:t>Conclusions</w:t>
      </w:r>
    </w:p>
    <w:p w14:paraId="6D4EBBD0"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Mortality trends have seen an overall decline from the year 1999 to 2018 and then an increase from 2018 onwards. Higher AAMRs were observed in Black or African Americans as well as American Indian or Alaska Natives, the Southern region of the United States and in nonmetropolitan areas in the specific age strata studied of older adults aged &gt;65 years. Further targeted interventions are needed to prevent and treat UTI among older adults to reduce these levels of UTI-related mortality.</w:t>
      </w:r>
    </w:p>
    <w:p w14:paraId="008800EB" w14:textId="77777777" w:rsidR="00D50157" w:rsidRPr="00D50157" w:rsidRDefault="00D50157" w:rsidP="006606AD">
      <w:pPr>
        <w:pStyle w:val="BodyText"/>
        <w:spacing w:line="360" w:lineRule="auto"/>
        <w:ind w:left="0"/>
        <w:jc w:val="both"/>
        <w:rPr>
          <w:rFonts w:cs="Times New Roman"/>
          <w:bCs/>
          <w:sz w:val="20"/>
          <w:szCs w:val="20"/>
        </w:rPr>
      </w:pPr>
    </w:p>
    <w:p w14:paraId="7C97EFA4" w14:textId="77777777"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Declaration of interests</w:t>
      </w:r>
    </w:p>
    <w:p w14:paraId="6BD1503A"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The authors declare that they have no known competing financial interests or personal relationships that could have appeared to influence the work reported in this paper.</w:t>
      </w:r>
    </w:p>
    <w:p w14:paraId="5F6000E1" w14:textId="77777777" w:rsidR="00D50157" w:rsidRDefault="00D50157" w:rsidP="006606AD">
      <w:pPr>
        <w:pStyle w:val="BodyText"/>
        <w:spacing w:line="360" w:lineRule="auto"/>
        <w:ind w:left="0"/>
        <w:jc w:val="both"/>
        <w:rPr>
          <w:rFonts w:cs="Times New Roman"/>
          <w:bCs/>
          <w:sz w:val="20"/>
          <w:szCs w:val="20"/>
        </w:rPr>
      </w:pPr>
    </w:p>
    <w:p w14:paraId="57FFAACB" w14:textId="0A1193CE"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Financial disclosure</w:t>
      </w:r>
    </w:p>
    <w:p w14:paraId="064812FA"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There were no financial interests in any of the procedures, devices, or products mentioned in this manuscript for any of the authors. In addition, no funding or grant was received for this study.</w:t>
      </w:r>
    </w:p>
    <w:p w14:paraId="27B723A5" w14:textId="77777777" w:rsidR="00D50157" w:rsidRDefault="00D50157" w:rsidP="006606AD">
      <w:pPr>
        <w:pStyle w:val="BodyText"/>
        <w:spacing w:line="360" w:lineRule="auto"/>
        <w:ind w:left="0"/>
        <w:jc w:val="both"/>
        <w:rPr>
          <w:rFonts w:cs="Times New Roman"/>
          <w:bCs/>
          <w:sz w:val="20"/>
          <w:szCs w:val="20"/>
        </w:rPr>
      </w:pPr>
    </w:p>
    <w:p w14:paraId="160CC382" w14:textId="010E96AD"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Ethical statement</w:t>
      </w:r>
    </w:p>
    <w:p w14:paraId="02B51F08"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The study conforms to the Declaration of Helsinki.</w:t>
      </w:r>
    </w:p>
    <w:p w14:paraId="79743059" w14:textId="77777777" w:rsidR="00D50157" w:rsidRPr="00D50157" w:rsidRDefault="00D50157" w:rsidP="006606AD">
      <w:pPr>
        <w:pStyle w:val="BodyText"/>
        <w:spacing w:line="360" w:lineRule="auto"/>
        <w:ind w:left="0"/>
        <w:jc w:val="both"/>
        <w:rPr>
          <w:rFonts w:cs="Times New Roman"/>
          <w:bCs/>
          <w:sz w:val="20"/>
          <w:szCs w:val="20"/>
        </w:rPr>
      </w:pPr>
    </w:p>
    <w:p w14:paraId="796FBA3F" w14:textId="77777777" w:rsidR="00D50157" w:rsidRPr="00D50157" w:rsidRDefault="00D50157" w:rsidP="006606AD">
      <w:pPr>
        <w:pStyle w:val="BodyText"/>
        <w:spacing w:line="360" w:lineRule="auto"/>
        <w:ind w:left="0"/>
        <w:jc w:val="both"/>
        <w:rPr>
          <w:rFonts w:cs="Times New Roman"/>
          <w:b/>
          <w:color w:val="0070C0"/>
          <w:sz w:val="20"/>
          <w:szCs w:val="20"/>
        </w:rPr>
      </w:pPr>
      <w:proofErr w:type="spellStart"/>
      <w:r w:rsidRPr="00D50157">
        <w:rPr>
          <w:rFonts w:cs="Times New Roman"/>
          <w:b/>
          <w:color w:val="0070C0"/>
          <w:sz w:val="20"/>
          <w:szCs w:val="20"/>
        </w:rPr>
        <w:t>Irb</w:t>
      </w:r>
      <w:proofErr w:type="spellEnd"/>
      <w:r w:rsidRPr="00D50157">
        <w:rPr>
          <w:rFonts w:cs="Times New Roman"/>
          <w:b/>
          <w:color w:val="0070C0"/>
          <w:sz w:val="20"/>
          <w:szCs w:val="20"/>
        </w:rPr>
        <w:t xml:space="preserve"> approval</w:t>
      </w:r>
    </w:p>
    <w:p w14:paraId="4E48F3A7"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No IRB approval required for this manuscript as no human subjects were involved.</w:t>
      </w:r>
    </w:p>
    <w:p w14:paraId="03225177" w14:textId="77777777" w:rsidR="00753DB8" w:rsidRDefault="00753DB8" w:rsidP="006606AD">
      <w:pPr>
        <w:pStyle w:val="BodyText"/>
        <w:spacing w:line="360" w:lineRule="auto"/>
        <w:ind w:left="0"/>
        <w:jc w:val="both"/>
        <w:rPr>
          <w:rFonts w:cs="Times New Roman"/>
          <w:b/>
          <w:color w:val="0070C0"/>
          <w:sz w:val="20"/>
          <w:szCs w:val="20"/>
        </w:rPr>
      </w:pPr>
    </w:p>
    <w:p w14:paraId="5FB835BE" w14:textId="69CD46CF"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Data availability statement</w:t>
      </w:r>
    </w:p>
    <w:p w14:paraId="38F29F54" w14:textId="77777777" w:rsidR="00D50157" w:rsidRP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The authors confirm that the studies included in this research are publicly available on PubMed Central. Data supporting the findings of this study are available within the article and Supplementary material files.</w:t>
      </w:r>
    </w:p>
    <w:p w14:paraId="6BBA3EF0" w14:textId="77777777" w:rsidR="00D50157" w:rsidRDefault="00D50157" w:rsidP="006606AD">
      <w:pPr>
        <w:pStyle w:val="BodyText"/>
        <w:spacing w:line="360" w:lineRule="auto"/>
        <w:ind w:left="0"/>
        <w:jc w:val="both"/>
        <w:rPr>
          <w:rFonts w:cs="Times New Roman"/>
          <w:bCs/>
          <w:sz w:val="20"/>
          <w:szCs w:val="20"/>
        </w:rPr>
      </w:pPr>
    </w:p>
    <w:p w14:paraId="1D1854EF" w14:textId="77777777" w:rsidR="00753DB8"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Consent to Participate declaration</w:t>
      </w:r>
    </w:p>
    <w:p w14:paraId="2E6D17AB" w14:textId="6BDD1FC2" w:rsidR="00D50157" w:rsidRPr="00D50157" w:rsidRDefault="00D50157" w:rsidP="006606AD">
      <w:pPr>
        <w:pStyle w:val="BodyText"/>
        <w:spacing w:line="360" w:lineRule="auto"/>
        <w:ind w:left="0"/>
        <w:jc w:val="both"/>
        <w:rPr>
          <w:rFonts w:cs="Times New Roman"/>
          <w:b/>
          <w:color w:val="0070C0"/>
          <w:sz w:val="20"/>
          <w:szCs w:val="20"/>
        </w:rPr>
      </w:pPr>
      <w:r w:rsidRPr="00D50157">
        <w:rPr>
          <w:rFonts w:cs="Times New Roman"/>
          <w:bCs/>
          <w:sz w:val="20"/>
          <w:szCs w:val="20"/>
        </w:rPr>
        <w:t>not applicable</w:t>
      </w:r>
    </w:p>
    <w:p w14:paraId="387438F9" w14:textId="77777777" w:rsidR="00D50157" w:rsidRDefault="00D50157" w:rsidP="006606AD">
      <w:pPr>
        <w:pStyle w:val="BodyText"/>
        <w:spacing w:line="360" w:lineRule="auto"/>
        <w:ind w:left="0"/>
        <w:jc w:val="both"/>
        <w:rPr>
          <w:rFonts w:cs="Times New Roman"/>
          <w:bCs/>
          <w:sz w:val="20"/>
          <w:szCs w:val="20"/>
        </w:rPr>
      </w:pPr>
    </w:p>
    <w:p w14:paraId="496F2A44" w14:textId="77777777" w:rsidR="00753DB8" w:rsidRDefault="00D50157" w:rsidP="006606AD">
      <w:pPr>
        <w:pStyle w:val="BodyText"/>
        <w:spacing w:line="360" w:lineRule="auto"/>
        <w:ind w:left="0"/>
        <w:jc w:val="both"/>
        <w:rPr>
          <w:rFonts w:cs="Times New Roman"/>
          <w:b/>
          <w:color w:val="0070C0"/>
          <w:sz w:val="20"/>
          <w:szCs w:val="20"/>
        </w:rPr>
      </w:pPr>
      <w:r w:rsidRPr="00D50157">
        <w:rPr>
          <w:rFonts w:cs="Times New Roman"/>
          <w:b/>
          <w:color w:val="0070C0"/>
          <w:sz w:val="20"/>
          <w:szCs w:val="20"/>
        </w:rPr>
        <w:t>Consent to Publish declaration</w:t>
      </w:r>
    </w:p>
    <w:p w14:paraId="5DF3B726" w14:textId="7E4C1FDC" w:rsidR="00D50157" w:rsidRDefault="00D50157" w:rsidP="006606AD">
      <w:pPr>
        <w:pStyle w:val="BodyText"/>
        <w:spacing w:line="360" w:lineRule="auto"/>
        <w:ind w:left="0"/>
        <w:jc w:val="both"/>
        <w:rPr>
          <w:rFonts w:cs="Times New Roman"/>
          <w:bCs/>
          <w:sz w:val="20"/>
          <w:szCs w:val="20"/>
        </w:rPr>
      </w:pPr>
      <w:r w:rsidRPr="00D50157">
        <w:rPr>
          <w:rFonts w:cs="Times New Roman"/>
          <w:bCs/>
          <w:sz w:val="20"/>
          <w:szCs w:val="20"/>
        </w:rPr>
        <w:t>not applicable</w:t>
      </w:r>
    </w:p>
    <w:p w14:paraId="7B949769" w14:textId="77777777" w:rsidR="00753DB8" w:rsidRDefault="00753DB8" w:rsidP="006606AD">
      <w:pPr>
        <w:pStyle w:val="BodyText"/>
        <w:spacing w:line="360" w:lineRule="auto"/>
        <w:ind w:left="0"/>
        <w:jc w:val="both"/>
        <w:rPr>
          <w:rFonts w:cs="Times New Roman"/>
          <w:bCs/>
          <w:sz w:val="20"/>
          <w:szCs w:val="20"/>
        </w:rPr>
      </w:pPr>
    </w:p>
    <w:p w14:paraId="55F7E352" w14:textId="77777777" w:rsidR="00753DB8" w:rsidRPr="00753DB8" w:rsidRDefault="00753DB8" w:rsidP="0016050A">
      <w:pPr>
        <w:pStyle w:val="BodyText"/>
        <w:spacing w:line="360" w:lineRule="auto"/>
        <w:ind w:left="0"/>
        <w:jc w:val="both"/>
        <w:rPr>
          <w:rFonts w:cs="Times New Roman"/>
          <w:b/>
          <w:color w:val="0070C0"/>
          <w:sz w:val="22"/>
          <w:szCs w:val="22"/>
        </w:rPr>
      </w:pPr>
      <w:r w:rsidRPr="00753DB8">
        <w:rPr>
          <w:rFonts w:cs="Times New Roman"/>
          <w:b/>
          <w:color w:val="0070C0"/>
          <w:sz w:val="22"/>
          <w:szCs w:val="22"/>
        </w:rPr>
        <w:t>References</w:t>
      </w:r>
    </w:p>
    <w:p w14:paraId="21D893E3" w14:textId="2FFFE00E" w:rsidR="00753DB8" w:rsidRPr="00753DB8" w:rsidRDefault="00753DB8" w:rsidP="006606AD">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Tan CW, </w:t>
      </w:r>
      <w:proofErr w:type="spellStart"/>
      <w:r w:rsidRPr="00753DB8">
        <w:rPr>
          <w:rFonts w:cs="Times New Roman"/>
          <w:bCs/>
          <w:sz w:val="20"/>
          <w:szCs w:val="20"/>
        </w:rPr>
        <w:t>Chlebicki</w:t>
      </w:r>
      <w:proofErr w:type="spellEnd"/>
      <w:r w:rsidRPr="00753DB8">
        <w:rPr>
          <w:rFonts w:cs="Times New Roman"/>
          <w:bCs/>
          <w:sz w:val="20"/>
          <w:szCs w:val="20"/>
        </w:rPr>
        <w:t xml:space="preserve"> MP. Urinary tract infections in adults. Singapore Med J [Internet] 57 (2016): 485. </w:t>
      </w:r>
    </w:p>
    <w:p w14:paraId="0CAE2FCE" w14:textId="18C0CD22"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Curns AT, Holman RC, </w:t>
      </w:r>
      <w:proofErr w:type="spellStart"/>
      <w:r w:rsidRPr="00753DB8">
        <w:rPr>
          <w:rFonts w:cs="Times New Roman"/>
          <w:bCs/>
          <w:sz w:val="20"/>
          <w:szCs w:val="20"/>
        </w:rPr>
        <w:t>Sejvar</w:t>
      </w:r>
      <w:proofErr w:type="spellEnd"/>
      <w:r w:rsidRPr="00753DB8">
        <w:rPr>
          <w:rFonts w:cs="Times New Roman"/>
          <w:bCs/>
          <w:sz w:val="20"/>
          <w:szCs w:val="20"/>
        </w:rPr>
        <w:t xml:space="preserve"> JJ, et al. Infectious disease hospitalizations among older adults in the United States from 1990 through 2002. Arch Intern Med [Internet] 165 (2005): 2514-20. </w:t>
      </w:r>
    </w:p>
    <w:p w14:paraId="116C9821" w14:textId="378A5503"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lastRenderedPageBreak/>
        <w:t xml:space="preserve">Ruben FL, </w:t>
      </w:r>
      <w:proofErr w:type="spellStart"/>
      <w:r w:rsidRPr="00753DB8">
        <w:rPr>
          <w:rFonts w:cs="Times New Roman"/>
          <w:bCs/>
          <w:sz w:val="20"/>
          <w:szCs w:val="20"/>
        </w:rPr>
        <w:t>Dearwater</w:t>
      </w:r>
      <w:proofErr w:type="spellEnd"/>
      <w:r w:rsidRPr="00753DB8">
        <w:rPr>
          <w:rFonts w:cs="Times New Roman"/>
          <w:bCs/>
          <w:sz w:val="20"/>
          <w:szCs w:val="20"/>
        </w:rPr>
        <w:t xml:space="preserve"> SR, Norden CW, et al. Clinical infections in the noninstitutionalized geriatric age group: methods utilized and incidence of infections. The Pittsburgh Good Health Study. Am J Epidemiol [Internet] 141 (1995): 145-57. </w:t>
      </w:r>
    </w:p>
    <w:p w14:paraId="0E14D680" w14:textId="50EC2EC1"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Griebling TL. Urologic diseases in </w:t>
      </w:r>
      <w:proofErr w:type="spellStart"/>
      <w:r w:rsidRPr="00753DB8">
        <w:rPr>
          <w:rFonts w:cs="Times New Roman"/>
          <w:bCs/>
          <w:sz w:val="20"/>
          <w:szCs w:val="20"/>
        </w:rPr>
        <w:t>america</w:t>
      </w:r>
      <w:proofErr w:type="spellEnd"/>
      <w:r w:rsidRPr="00753DB8">
        <w:rPr>
          <w:rFonts w:cs="Times New Roman"/>
          <w:bCs/>
          <w:sz w:val="20"/>
          <w:szCs w:val="20"/>
        </w:rPr>
        <w:t xml:space="preserve"> project: trends in resource use for urinary tract infections in men. J </w:t>
      </w:r>
      <w:proofErr w:type="spellStart"/>
      <w:r w:rsidRPr="00753DB8">
        <w:rPr>
          <w:rFonts w:cs="Times New Roman"/>
          <w:bCs/>
          <w:sz w:val="20"/>
          <w:szCs w:val="20"/>
        </w:rPr>
        <w:t>Urol</w:t>
      </w:r>
      <w:proofErr w:type="spellEnd"/>
      <w:r w:rsidRPr="00753DB8">
        <w:rPr>
          <w:rFonts w:cs="Times New Roman"/>
          <w:bCs/>
          <w:sz w:val="20"/>
          <w:szCs w:val="20"/>
        </w:rPr>
        <w:t xml:space="preserve"> [Internet] 173 (2005): 1288-94. </w:t>
      </w:r>
    </w:p>
    <w:p w14:paraId="50759BEE" w14:textId="0FCA73B7"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Akhtar N, Rahman R, Sultana S. Antimicrobial Sensitivity Pattern of Escherichia coli Causing Urinary Tract Infection in Bangladeshi Patients. Am J </w:t>
      </w:r>
      <w:proofErr w:type="spellStart"/>
      <w:r w:rsidRPr="00753DB8">
        <w:rPr>
          <w:rFonts w:cs="Times New Roman"/>
          <w:bCs/>
          <w:sz w:val="20"/>
          <w:szCs w:val="20"/>
        </w:rPr>
        <w:t>Microbiol</w:t>
      </w:r>
      <w:proofErr w:type="spellEnd"/>
      <w:r w:rsidRPr="00753DB8">
        <w:rPr>
          <w:rFonts w:cs="Times New Roman"/>
          <w:bCs/>
          <w:sz w:val="20"/>
          <w:szCs w:val="20"/>
        </w:rPr>
        <w:t xml:space="preserve"> Res [Internet] 4 (2016): 122-5. </w:t>
      </w:r>
    </w:p>
    <w:p w14:paraId="4AEBD27A" w14:textId="64C5DF89"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Bono MJ, Leslie SW, </w:t>
      </w:r>
      <w:proofErr w:type="spellStart"/>
      <w:r w:rsidRPr="00753DB8">
        <w:rPr>
          <w:rFonts w:cs="Times New Roman"/>
          <w:bCs/>
          <w:sz w:val="20"/>
          <w:szCs w:val="20"/>
        </w:rPr>
        <w:t>Reygaert</w:t>
      </w:r>
      <w:proofErr w:type="spellEnd"/>
      <w:r w:rsidRPr="00753DB8">
        <w:rPr>
          <w:rFonts w:cs="Times New Roman"/>
          <w:bCs/>
          <w:sz w:val="20"/>
          <w:szCs w:val="20"/>
        </w:rPr>
        <w:t xml:space="preserve"> WC. Uncomplicated Urinary Tract Infections. (2023); 10-3. </w:t>
      </w:r>
    </w:p>
    <w:p w14:paraId="53F66411" w14:textId="161D837B"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Zeng Z, Zhan J, Zhang K, et al. Global, regional, and national burden of urinary tract infections from 1990 to 2019: an analysis of the global burden of disease study 2019. World J </w:t>
      </w:r>
      <w:proofErr w:type="spellStart"/>
      <w:r w:rsidRPr="00753DB8">
        <w:rPr>
          <w:rFonts w:cs="Times New Roman"/>
          <w:bCs/>
          <w:sz w:val="20"/>
          <w:szCs w:val="20"/>
        </w:rPr>
        <w:t>Urol</w:t>
      </w:r>
      <w:proofErr w:type="spellEnd"/>
      <w:r w:rsidRPr="00753DB8">
        <w:rPr>
          <w:rFonts w:cs="Times New Roman"/>
          <w:bCs/>
          <w:sz w:val="20"/>
          <w:szCs w:val="20"/>
        </w:rPr>
        <w:t xml:space="preserve"> [Internet] 40 (2022): 755-63. </w:t>
      </w:r>
    </w:p>
    <w:p w14:paraId="2A0C11E0" w14:textId="3AFFB41A"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MIHAĽOVÁ M, CELEC P, BREZA J. Urosepsis. Lek </w:t>
      </w:r>
      <w:proofErr w:type="spellStart"/>
      <w:r w:rsidRPr="00753DB8">
        <w:rPr>
          <w:rFonts w:cs="Times New Roman"/>
          <w:bCs/>
          <w:sz w:val="20"/>
          <w:szCs w:val="20"/>
        </w:rPr>
        <w:t>Obz</w:t>
      </w:r>
      <w:proofErr w:type="spellEnd"/>
      <w:r w:rsidRPr="00753DB8">
        <w:rPr>
          <w:rFonts w:cs="Times New Roman"/>
          <w:bCs/>
          <w:sz w:val="20"/>
          <w:szCs w:val="20"/>
        </w:rPr>
        <w:t xml:space="preserve"> [Internet] 6 (2023): 364-8. </w:t>
      </w:r>
    </w:p>
    <w:p w14:paraId="71A5F910" w14:textId="35CBBCCE"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Bauer M, </w:t>
      </w:r>
      <w:proofErr w:type="spellStart"/>
      <w:r w:rsidRPr="00753DB8">
        <w:rPr>
          <w:rFonts w:cs="Times New Roman"/>
          <w:bCs/>
          <w:sz w:val="20"/>
          <w:szCs w:val="20"/>
        </w:rPr>
        <w:t>Groesdonk</w:t>
      </w:r>
      <w:proofErr w:type="spellEnd"/>
      <w:r w:rsidRPr="00753DB8">
        <w:rPr>
          <w:rFonts w:cs="Times New Roman"/>
          <w:bCs/>
          <w:sz w:val="20"/>
          <w:szCs w:val="20"/>
        </w:rPr>
        <w:t xml:space="preserve"> HV, </w:t>
      </w:r>
      <w:proofErr w:type="spellStart"/>
      <w:r w:rsidRPr="00753DB8">
        <w:rPr>
          <w:rFonts w:cs="Times New Roman"/>
          <w:bCs/>
          <w:sz w:val="20"/>
          <w:szCs w:val="20"/>
        </w:rPr>
        <w:t>Preissing</w:t>
      </w:r>
      <w:proofErr w:type="spellEnd"/>
      <w:r w:rsidRPr="00753DB8">
        <w:rPr>
          <w:rFonts w:cs="Times New Roman"/>
          <w:bCs/>
          <w:sz w:val="20"/>
          <w:szCs w:val="20"/>
        </w:rPr>
        <w:t xml:space="preserve"> F, et al. Mortality in sepsis and septic shock in Germany. Results of a systematic review and meta- analysis. </w:t>
      </w:r>
      <w:proofErr w:type="spellStart"/>
      <w:r w:rsidRPr="00753DB8">
        <w:rPr>
          <w:rFonts w:cs="Times New Roman"/>
          <w:bCs/>
          <w:sz w:val="20"/>
          <w:szCs w:val="20"/>
        </w:rPr>
        <w:t>Anaesthesist</w:t>
      </w:r>
      <w:proofErr w:type="spellEnd"/>
      <w:r w:rsidRPr="00753DB8">
        <w:rPr>
          <w:rFonts w:cs="Times New Roman"/>
          <w:bCs/>
          <w:sz w:val="20"/>
          <w:szCs w:val="20"/>
        </w:rPr>
        <w:t xml:space="preserve"> [Internet] 70 (2021): 673-80. </w:t>
      </w:r>
    </w:p>
    <w:p w14:paraId="0750D7B9" w14:textId="2E28D216"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Stangl F, Wagenlehner F, Schneidewind L, et al. [Urosepsis: pathophysiology, diagnosis, and management-an update]. </w:t>
      </w:r>
      <w:proofErr w:type="spellStart"/>
      <w:r w:rsidRPr="00753DB8">
        <w:rPr>
          <w:rFonts w:cs="Times New Roman"/>
          <w:bCs/>
          <w:sz w:val="20"/>
          <w:szCs w:val="20"/>
        </w:rPr>
        <w:t>Urol</w:t>
      </w:r>
      <w:proofErr w:type="spellEnd"/>
      <w:r w:rsidRPr="00753DB8">
        <w:rPr>
          <w:rFonts w:cs="Times New Roman"/>
          <w:bCs/>
          <w:sz w:val="20"/>
          <w:szCs w:val="20"/>
        </w:rPr>
        <w:t xml:space="preserve"> (Heidelberg, Ger [Internet] 63 (2024): 543-50. </w:t>
      </w:r>
    </w:p>
    <w:p w14:paraId="43707FE4" w14:textId="1A0B779B" w:rsidR="00753DB8" w:rsidRPr="00753DB8" w:rsidRDefault="00753DB8" w:rsidP="0016050A">
      <w:pPr>
        <w:pStyle w:val="BodyText"/>
        <w:numPr>
          <w:ilvl w:val="0"/>
          <w:numId w:val="5"/>
        </w:numPr>
        <w:spacing w:line="360" w:lineRule="auto"/>
        <w:ind w:left="1077" w:hanging="720"/>
        <w:jc w:val="both"/>
        <w:rPr>
          <w:rFonts w:cs="Times New Roman"/>
          <w:bCs/>
          <w:sz w:val="20"/>
          <w:szCs w:val="20"/>
        </w:rPr>
      </w:pPr>
      <w:proofErr w:type="spellStart"/>
      <w:r w:rsidRPr="00753DB8">
        <w:rPr>
          <w:rFonts w:cs="Times New Roman"/>
          <w:bCs/>
          <w:sz w:val="20"/>
          <w:szCs w:val="20"/>
        </w:rPr>
        <w:t>Bonkat</w:t>
      </w:r>
      <w:proofErr w:type="spellEnd"/>
      <w:r w:rsidRPr="00753DB8">
        <w:rPr>
          <w:rFonts w:cs="Times New Roman"/>
          <w:bCs/>
          <w:sz w:val="20"/>
          <w:szCs w:val="20"/>
        </w:rPr>
        <w:t xml:space="preserve"> G, Cai T, </w:t>
      </w:r>
      <w:proofErr w:type="spellStart"/>
      <w:r w:rsidRPr="00753DB8">
        <w:rPr>
          <w:rFonts w:cs="Times New Roman"/>
          <w:bCs/>
          <w:sz w:val="20"/>
          <w:szCs w:val="20"/>
        </w:rPr>
        <w:t>Veeratterapillay</w:t>
      </w:r>
      <w:proofErr w:type="spellEnd"/>
      <w:r w:rsidRPr="00753DB8">
        <w:rPr>
          <w:rFonts w:cs="Times New Roman"/>
          <w:bCs/>
          <w:sz w:val="20"/>
          <w:szCs w:val="20"/>
        </w:rPr>
        <w:t xml:space="preserve"> R,</w:t>
      </w:r>
      <w:r>
        <w:rPr>
          <w:rFonts w:cs="Times New Roman"/>
          <w:bCs/>
          <w:sz w:val="20"/>
          <w:szCs w:val="20"/>
        </w:rPr>
        <w:t xml:space="preserve"> </w:t>
      </w:r>
      <w:r w:rsidRPr="00753DB8">
        <w:rPr>
          <w:rFonts w:cs="Times New Roman"/>
          <w:bCs/>
          <w:sz w:val="20"/>
          <w:szCs w:val="20"/>
        </w:rPr>
        <w:t xml:space="preserve">et al. Bruyère F, Bartoletti R, </w:t>
      </w:r>
      <w:proofErr w:type="spellStart"/>
      <w:r w:rsidRPr="00753DB8">
        <w:rPr>
          <w:rFonts w:cs="Times New Roman"/>
          <w:bCs/>
          <w:sz w:val="20"/>
          <w:szCs w:val="20"/>
        </w:rPr>
        <w:t>Pilatz</w:t>
      </w:r>
      <w:proofErr w:type="spellEnd"/>
      <w:r w:rsidRPr="00753DB8">
        <w:rPr>
          <w:rFonts w:cs="Times New Roman"/>
          <w:bCs/>
          <w:sz w:val="20"/>
          <w:szCs w:val="20"/>
        </w:rPr>
        <w:t xml:space="preserve"> A, et al. Management of Urosepsis in 2018. </w:t>
      </w:r>
      <w:proofErr w:type="spellStart"/>
      <w:r w:rsidRPr="00753DB8">
        <w:rPr>
          <w:rFonts w:cs="Times New Roman"/>
          <w:bCs/>
          <w:sz w:val="20"/>
          <w:szCs w:val="20"/>
        </w:rPr>
        <w:t>Eur</w:t>
      </w:r>
      <w:proofErr w:type="spellEnd"/>
      <w:r w:rsidRPr="00753DB8">
        <w:rPr>
          <w:rFonts w:cs="Times New Roman"/>
          <w:bCs/>
          <w:sz w:val="20"/>
          <w:szCs w:val="20"/>
        </w:rPr>
        <w:t xml:space="preserve"> </w:t>
      </w:r>
      <w:proofErr w:type="spellStart"/>
      <w:r w:rsidRPr="00753DB8">
        <w:rPr>
          <w:rFonts w:cs="Times New Roman"/>
          <w:bCs/>
          <w:sz w:val="20"/>
          <w:szCs w:val="20"/>
        </w:rPr>
        <w:t>Urol</w:t>
      </w:r>
      <w:proofErr w:type="spellEnd"/>
      <w:r w:rsidRPr="00753DB8">
        <w:rPr>
          <w:rFonts w:cs="Times New Roman"/>
          <w:bCs/>
          <w:sz w:val="20"/>
          <w:szCs w:val="20"/>
        </w:rPr>
        <w:t xml:space="preserve"> Focus [Internet] 5 (2019): 5-9. </w:t>
      </w:r>
    </w:p>
    <w:p w14:paraId="4DE723B2" w14:textId="6416FD68"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Li X, Fan H, Zi H, et al. Global and Regional Burden of Bacterial Antimicrobial Resistance in Urinary Tract Infections in 2019. J Clin Med [Internet] 11 (2022): 2817. </w:t>
      </w:r>
    </w:p>
    <w:p w14:paraId="375143A6" w14:textId="15A5B401"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Elderly population | OECD [Internet]. </w:t>
      </w:r>
      <w:r w:rsidR="00B73EEF">
        <w:rPr>
          <w:rFonts w:cs="Times New Roman"/>
          <w:bCs/>
          <w:sz w:val="20"/>
          <w:szCs w:val="20"/>
        </w:rPr>
        <w:t>(</w:t>
      </w:r>
      <w:r w:rsidRPr="00753DB8">
        <w:rPr>
          <w:rFonts w:cs="Times New Roman"/>
          <w:bCs/>
          <w:sz w:val="20"/>
          <w:szCs w:val="20"/>
        </w:rPr>
        <w:t>2024</w:t>
      </w:r>
      <w:r w:rsidR="00B73EEF">
        <w:rPr>
          <w:rFonts w:cs="Times New Roman"/>
          <w:bCs/>
          <w:sz w:val="20"/>
          <w:szCs w:val="20"/>
        </w:rPr>
        <w:t>)</w:t>
      </w:r>
      <w:r w:rsidRPr="00753DB8">
        <w:rPr>
          <w:rFonts w:cs="Times New Roman"/>
          <w:bCs/>
          <w:sz w:val="20"/>
          <w:szCs w:val="20"/>
        </w:rPr>
        <w:t xml:space="preserve">. </w:t>
      </w:r>
    </w:p>
    <w:p w14:paraId="439D04EE" w14:textId="36A2498A"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Medicare I of M (US) C to D a S for QR and A in, Lohr KN. The Elderly Population </w:t>
      </w:r>
      <w:r w:rsidR="00B73EEF">
        <w:rPr>
          <w:rFonts w:cs="Times New Roman"/>
          <w:bCs/>
          <w:sz w:val="20"/>
          <w:szCs w:val="20"/>
        </w:rPr>
        <w:t>(1990).</w:t>
      </w:r>
    </w:p>
    <w:p w14:paraId="79D2FF31" w14:textId="363760FD"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STROBE - Strengthening the reporting of observational studies in epidemiology </w:t>
      </w:r>
      <w:r w:rsidR="00B73EEF">
        <w:rPr>
          <w:rFonts w:cs="Times New Roman"/>
          <w:bCs/>
          <w:sz w:val="20"/>
          <w:szCs w:val="20"/>
        </w:rPr>
        <w:t>(2014).</w:t>
      </w:r>
    </w:p>
    <w:p w14:paraId="2E94E7BF" w14:textId="7F907796"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Multiple Cause of Death, 1999-2020 Request [Internet] </w:t>
      </w:r>
      <w:r w:rsidR="00B73EEF">
        <w:rPr>
          <w:rFonts w:cs="Times New Roman"/>
          <w:bCs/>
          <w:sz w:val="20"/>
          <w:szCs w:val="20"/>
        </w:rPr>
        <w:t>(</w:t>
      </w:r>
      <w:r w:rsidRPr="00753DB8">
        <w:rPr>
          <w:rFonts w:cs="Times New Roman"/>
          <w:bCs/>
          <w:sz w:val="20"/>
          <w:szCs w:val="20"/>
        </w:rPr>
        <w:t>2024</w:t>
      </w:r>
      <w:r w:rsidR="00B73EEF">
        <w:rPr>
          <w:rFonts w:cs="Times New Roman"/>
          <w:bCs/>
          <w:sz w:val="20"/>
          <w:szCs w:val="20"/>
        </w:rPr>
        <w:t>)</w:t>
      </w:r>
      <w:r w:rsidRPr="00753DB8">
        <w:rPr>
          <w:rFonts w:cs="Times New Roman"/>
          <w:bCs/>
          <w:sz w:val="20"/>
          <w:szCs w:val="20"/>
        </w:rPr>
        <w:t xml:space="preserve">. </w:t>
      </w:r>
    </w:p>
    <w:p w14:paraId="218B686D" w14:textId="640F517B"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Data Access - Urban Rural Classification Scheme for Counties </w:t>
      </w:r>
      <w:r w:rsidR="00B73EEF">
        <w:rPr>
          <w:rFonts w:cs="Times New Roman"/>
          <w:bCs/>
          <w:sz w:val="20"/>
          <w:szCs w:val="20"/>
        </w:rPr>
        <w:t>(2024).</w:t>
      </w:r>
    </w:p>
    <w:p w14:paraId="7C31CF7F" w14:textId="1737A1D3"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Anderson RN, Rosenberg HM. Age standardization of death rates; implementation of the year 2000 standard [Internet]. National vital statistics reports: from the Centers for Disease Control and Prevention, National Center for Health </w:t>
      </w:r>
      <w:proofErr w:type="gramStart"/>
      <w:r w:rsidRPr="00753DB8">
        <w:rPr>
          <w:rFonts w:cs="Times New Roman"/>
          <w:bCs/>
          <w:sz w:val="20"/>
          <w:szCs w:val="20"/>
        </w:rPr>
        <w:t>Statistics,</w:t>
      </w:r>
      <w:proofErr w:type="gramEnd"/>
      <w:r w:rsidRPr="00753DB8">
        <w:rPr>
          <w:rFonts w:cs="Times New Roman"/>
          <w:bCs/>
          <w:sz w:val="20"/>
          <w:szCs w:val="20"/>
        </w:rPr>
        <w:t xml:space="preserve"> National Vital Statistics System 47 (1998).</w:t>
      </w:r>
    </w:p>
    <w:p w14:paraId="1DF23A4B" w14:textId="39C5C729" w:rsidR="00753DB8" w:rsidRPr="00753DB8" w:rsidRDefault="00753DB8" w:rsidP="0016050A">
      <w:pPr>
        <w:pStyle w:val="BodyText"/>
        <w:numPr>
          <w:ilvl w:val="0"/>
          <w:numId w:val="5"/>
        </w:numPr>
        <w:spacing w:line="360" w:lineRule="auto"/>
        <w:ind w:left="1077" w:hanging="720"/>
        <w:jc w:val="both"/>
        <w:rPr>
          <w:rFonts w:cs="Times New Roman"/>
          <w:bCs/>
          <w:sz w:val="20"/>
          <w:szCs w:val="20"/>
        </w:rPr>
      </w:pPr>
      <w:proofErr w:type="spellStart"/>
      <w:r w:rsidRPr="00753DB8">
        <w:rPr>
          <w:rFonts w:cs="Times New Roman"/>
          <w:bCs/>
          <w:sz w:val="20"/>
          <w:szCs w:val="20"/>
        </w:rPr>
        <w:t>Joinpoint</w:t>
      </w:r>
      <w:proofErr w:type="spellEnd"/>
      <w:r w:rsidRPr="00753DB8">
        <w:rPr>
          <w:rFonts w:cs="Times New Roman"/>
          <w:bCs/>
          <w:sz w:val="20"/>
          <w:szCs w:val="20"/>
        </w:rPr>
        <w:t xml:space="preserve"> Regression Program </w:t>
      </w:r>
      <w:r w:rsidR="00B73EEF">
        <w:rPr>
          <w:rFonts w:cs="Times New Roman"/>
          <w:bCs/>
          <w:sz w:val="20"/>
          <w:szCs w:val="20"/>
        </w:rPr>
        <w:t>(2024).</w:t>
      </w:r>
    </w:p>
    <w:p w14:paraId="70B30C29" w14:textId="6C991A4A"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Yang X, Chen H, Zheng Y, et al. Disease burden and long-term trends of urinary tract infections: A worldwide report. Front Public Heal [Internet] 10 (2022). </w:t>
      </w:r>
    </w:p>
    <w:p w14:paraId="775BF739" w14:textId="5469C7DB"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Mancuso G, Midiri A, Gerace E, et al. Urinary Tract Infections: The Current Scenario and Future Prospects. Pathogens [Internet] 12 (2023).</w:t>
      </w:r>
    </w:p>
    <w:p w14:paraId="1E284490" w14:textId="76F43379"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Goepel M, Kirschner-Hermanns R, Welz-Barth A, et al.  Urinary Incontinence in the Elderly: Part 3 of a Series of Articles on Incontinence. </w:t>
      </w:r>
      <w:proofErr w:type="spellStart"/>
      <w:r w:rsidRPr="00753DB8">
        <w:rPr>
          <w:rFonts w:cs="Times New Roman"/>
          <w:bCs/>
          <w:sz w:val="20"/>
          <w:szCs w:val="20"/>
        </w:rPr>
        <w:t>Dtsch</w:t>
      </w:r>
      <w:proofErr w:type="spellEnd"/>
      <w:r w:rsidRPr="00753DB8">
        <w:rPr>
          <w:rFonts w:cs="Times New Roman"/>
          <w:bCs/>
          <w:sz w:val="20"/>
          <w:szCs w:val="20"/>
        </w:rPr>
        <w:t xml:space="preserve"> </w:t>
      </w:r>
      <w:proofErr w:type="spellStart"/>
      <w:r w:rsidRPr="00753DB8">
        <w:rPr>
          <w:rFonts w:cs="Times New Roman"/>
          <w:bCs/>
          <w:sz w:val="20"/>
          <w:szCs w:val="20"/>
        </w:rPr>
        <w:t>Arztebl</w:t>
      </w:r>
      <w:proofErr w:type="spellEnd"/>
      <w:r w:rsidRPr="00753DB8">
        <w:rPr>
          <w:rFonts w:cs="Times New Roman"/>
          <w:bCs/>
          <w:sz w:val="20"/>
          <w:szCs w:val="20"/>
        </w:rPr>
        <w:t xml:space="preserve"> Int [Internet] 107 (2010): 531. </w:t>
      </w:r>
    </w:p>
    <w:p w14:paraId="09DB0FB9" w14:textId="1167B1DB"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Alharbi BA, Masud N, </w:t>
      </w:r>
      <w:proofErr w:type="spellStart"/>
      <w:r w:rsidRPr="00753DB8">
        <w:rPr>
          <w:rFonts w:cs="Times New Roman"/>
          <w:bCs/>
          <w:sz w:val="20"/>
          <w:szCs w:val="20"/>
        </w:rPr>
        <w:t>Alajlan</w:t>
      </w:r>
      <w:proofErr w:type="spellEnd"/>
      <w:r w:rsidRPr="00753DB8">
        <w:rPr>
          <w:rFonts w:cs="Times New Roman"/>
          <w:bCs/>
          <w:sz w:val="20"/>
          <w:szCs w:val="20"/>
        </w:rPr>
        <w:t xml:space="preserve"> FA, et al. Association of elderly age and chronic illnesses: Role of </w:t>
      </w:r>
      <w:r w:rsidRPr="00753DB8">
        <w:rPr>
          <w:rFonts w:cs="Times New Roman"/>
          <w:bCs/>
          <w:sz w:val="20"/>
          <w:szCs w:val="20"/>
        </w:rPr>
        <w:lastRenderedPageBreak/>
        <w:t xml:space="preserve">gender as a risk factor. J Fam Med Prim Care [Internet] 9 (2020): 1684. </w:t>
      </w:r>
    </w:p>
    <w:p w14:paraId="33F6E3A8" w14:textId="5362B907"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Barkham TMS, Martin FC, </w:t>
      </w:r>
      <w:proofErr w:type="spellStart"/>
      <w:r w:rsidRPr="00753DB8">
        <w:rPr>
          <w:rFonts w:cs="Times New Roman"/>
          <w:bCs/>
          <w:sz w:val="20"/>
          <w:szCs w:val="20"/>
        </w:rPr>
        <w:t>Eykyn</w:t>
      </w:r>
      <w:proofErr w:type="spellEnd"/>
      <w:r w:rsidRPr="00753DB8">
        <w:rPr>
          <w:rFonts w:cs="Times New Roman"/>
          <w:bCs/>
          <w:sz w:val="20"/>
          <w:szCs w:val="20"/>
        </w:rPr>
        <w:t xml:space="preserve"> SJ. Delay in the diagnosis of </w:t>
      </w:r>
      <w:proofErr w:type="spellStart"/>
      <w:r w:rsidRPr="00753DB8">
        <w:rPr>
          <w:rFonts w:cs="Times New Roman"/>
          <w:bCs/>
          <w:sz w:val="20"/>
          <w:szCs w:val="20"/>
        </w:rPr>
        <w:t>bacteraemic</w:t>
      </w:r>
      <w:proofErr w:type="spellEnd"/>
      <w:r w:rsidRPr="00753DB8">
        <w:rPr>
          <w:rFonts w:cs="Times New Roman"/>
          <w:bCs/>
          <w:sz w:val="20"/>
          <w:szCs w:val="20"/>
        </w:rPr>
        <w:t xml:space="preserve"> urinary tract infection in elderly patients. Age Ageing [Internet] 25 (1996): 130-</w:t>
      </w:r>
      <w:r w:rsidR="00B73EEF">
        <w:rPr>
          <w:rFonts w:cs="Times New Roman"/>
          <w:bCs/>
          <w:sz w:val="20"/>
          <w:szCs w:val="20"/>
        </w:rPr>
        <w:t>13</w:t>
      </w:r>
      <w:r w:rsidRPr="00753DB8">
        <w:rPr>
          <w:rFonts w:cs="Times New Roman"/>
          <w:bCs/>
          <w:sz w:val="20"/>
          <w:szCs w:val="20"/>
        </w:rPr>
        <w:t xml:space="preserve">2. </w:t>
      </w:r>
    </w:p>
    <w:p w14:paraId="21886765" w14:textId="029D7E42"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Woodford HJ, George J. Diagnosis and management of urinary tract infection in hospitalized older people. J Am </w:t>
      </w:r>
      <w:proofErr w:type="spellStart"/>
      <w:r w:rsidRPr="00753DB8">
        <w:rPr>
          <w:rFonts w:cs="Times New Roman"/>
          <w:bCs/>
          <w:sz w:val="20"/>
          <w:szCs w:val="20"/>
        </w:rPr>
        <w:t>Geriatr</w:t>
      </w:r>
      <w:proofErr w:type="spellEnd"/>
      <w:r w:rsidRPr="00753DB8">
        <w:rPr>
          <w:rFonts w:cs="Times New Roman"/>
          <w:bCs/>
          <w:sz w:val="20"/>
          <w:szCs w:val="20"/>
        </w:rPr>
        <w:t xml:space="preserve"> Soc [Internet] 57 (2009): 107-14. </w:t>
      </w:r>
    </w:p>
    <w:p w14:paraId="08F34C7C" w14:textId="60E5D5F6"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Petty LA, Vaughn VM, Flanders SA, et al. Risk Factors and Outcomes Associated </w:t>
      </w:r>
      <w:proofErr w:type="gramStart"/>
      <w:r w:rsidRPr="00753DB8">
        <w:rPr>
          <w:rFonts w:cs="Times New Roman"/>
          <w:bCs/>
          <w:sz w:val="20"/>
          <w:szCs w:val="20"/>
        </w:rPr>
        <w:t>With</w:t>
      </w:r>
      <w:proofErr w:type="gramEnd"/>
      <w:r w:rsidRPr="00753DB8">
        <w:rPr>
          <w:rFonts w:cs="Times New Roman"/>
          <w:bCs/>
          <w:sz w:val="20"/>
          <w:szCs w:val="20"/>
        </w:rPr>
        <w:t xml:space="preserve"> Treatment of Asymptomatic Bacteriuria in Hospitalized Patients. JAMA Intern Med [Internet] 179 (2019): 1519-</w:t>
      </w:r>
      <w:r w:rsidR="00B73EEF">
        <w:rPr>
          <w:rFonts w:cs="Times New Roman"/>
          <w:bCs/>
          <w:sz w:val="20"/>
          <w:szCs w:val="20"/>
        </w:rPr>
        <w:t>15</w:t>
      </w:r>
      <w:r w:rsidRPr="00753DB8">
        <w:rPr>
          <w:rFonts w:cs="Times New Roman"/>
          <w:bCs/>
          <w:sz w:val="20"/>
          <w:szCs w:val="20"/>
        </w:rPr>
        <w:t xml:space="preserve">27. </w:t>
      </w:r>
    </w:p>
    <w:p w14:paraId="78C9ECC3" w14:textId="20D2CF2E"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Nicolle LE. Asymptomatic bacteriuria in the elderly. Infect Dis Clin North Am [Internet] 11 (1997): 647-62. </w:t>
      </w:r>
    </w:p>
    <w:p w14:paraId="758CEC1F" w14:textId="07DE685E"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Hooton TM, Bradley SF, Cardenas DD, et al. Diagnosis, prevention, and treatment of catheter-associated urinary tract infection in adults: 2009 International Clinical Practice Guidelines from the Infectious Diseases Society of America. Clin Infect Dis [Internet] 50 (2010): 625-63. </w:t>
      </w:r>
    </w:p>
    <w:p w14:paraId="3A4B680F" w14:textId="37F38A3E"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Tsan L, Davis C, Langberg R, et al. Prevalence of nursing home-associated infections in the Department of Veterans Affairs nursing home care units. </w:t>
      </w:r>
      <w:proofErr w:type="gramStart"/>
      <w:r w:rsidRPr="00753DB8">
        <w:rPr>
          <w:rFonts w:cs="Times New Roman"/>
          <w:bCs/>
          <w:sz w:val="20"/>
          <w:szCs w:val="20"/>
        </w:rPr>
        <w:t>Am</w:t>
      </w:r>
      <w:proofErr w:type="gramEnd"/>
      <w:r w:rsidRPr="00753DB8">
        <w:rPr>
          <w:rFonts w:cs="Times New Roman"/>
          <w:bCs/>
          <w:sz w:val="20"/>
          <w:szCs w:val="20"/>
        </w:rPr>
        <w:t xml:space="preserve"> J Infect Control [Internet] 36 (2008): 173-9. </w:t>
      </w:r>
    </w:p>
    <w:p w14:paraId="79E3D898" w14:textId="150B3655"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Ackermann RJ, Monroe PW. </w:t>
      </w:r>
      <w:proofErr w:type="spellStart"/>
      <w:r w:rsidRPr="00753DB8">
        <w:rPr>
          <w:rFonts w:cs="Times New Roman"/>
          <w:bCs/>
          <w:sz w:val="20"/>
          <w:szCs w:val="20"/>
        </w:rPr>
        <w:t>Bacteremic</w:t>
      </w:r>
      <w:proofErr w:type="spellEnd"/>
      <w:r w:rsidRPr="00753DB8">
        <w:rPr>
          <w:rFonts w:cs="Times New Roman"/>
          <w:bCs/>
          <w:sz w:val="20"/>
          <w:szCs w:val="20"/>
        </w:rPr>
        <w:t xml:space="preserve"> urinary tract infection in older people. J Am </w:t>
      </w:r>
      <w:proofErr w:type="spellStart"/>
      <w:r w:rsidRPr="00753DB8">
        <w:rPr>
          <w:rFonts w:cs="Times New Roman"/>
          <w:bCs/>
          <w:sz w:val="20"/>
          <w:szCs w:val="20"/>
        </w:rPr>
        <w:t>Geriatr</w:t>
      </w:r>
      <w:proofErr w:type="spellEnd"/>
      <w:r w:rsidRPr="00753DB8">
        <w:rPr>
          <w:rFonts w:cs="Times New Roman"/>
          <w:bCs/>
          <w:sz w:val="20"/>
          <w:szCs w:val="20"/>
        </w:rPr>
        <w:t xml:space="preserve"> Soc [Internet] 44 (1996): 27-33. </w:t>
      </w:r>
    </w:p>
    <w:p w14:paraId="6911DA44" w14:textId="74B39140"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González E, López LR, Bedoya AE, et al. </w:t>
      </w:r>
      <w:proofErr w:type="spellStart"/>
      <w:r w:rsidRPr="00753DB8">
        <w:rPr>
          <w:rFonts w:cs="Times New Roman"/>
          <w:bCs/>
          <w:sz w:val="20"/>
          <w:szCs w:val="20"/>
        </w:rPr>
        <w:t>Prevalencia</w:t>
      </w:r>
      <w:proofErr w:type="spellEnd"/>
      <w:r w:rsidRPr="00753DB8">
        <w:rPr>
          <w:rFonts w:cs="Times New Roman"/>
          <w:bCs/>
          <w:sz w:val="20"/>
          <w:szCs w:val="20"/>
        </w:rPr>
        <w:t xml:space="preserve"> de </w:t>
      </w:r>
      <w:proofErr w:type="spellStart"/>
      <w:r w:rsidRPr="00753DB8">
        <w:rPr>
          <w:rFonts w:cs="Times New Roman"/>
          <w:bCs/>
          <w:sz w:val="20"/>
          <w:szCs w:val="20"/>
        </w:rPr>
        <w:t>uropatógenos</w:t>
      </w:r>
      <w:proofErr w:type="spellEnd"/>
      <w:r w:rsidRPr="00753DB8">
        <w:rPr>
          <w:rFonts w:cs="Times New Roman"/>
          <w:bCs/>
          <w:sz w:val="20"/>
          <w:szCs w:val="20"/>
        </w:rPr>
        <w:t xml:space="preserve"> Gram </w:t>
      </w:r>
      <w:proofErr w:type="spellStart"/>
      <w:r w:rsidRPr="00753DB8">
        <w:rPr>
          <w:rFonts w:cs="Times New Roman"/>
          <w:bCs/>
          <w:sz w:val="20"/>
          <w:szCs w:val="20"/>
        </w:rPr>
        <w:t>negativo</w:t>
      </w:r>
      <w:proofErr w:type="spellEnd"/>
      <w:r w:rsidRPr="00753DB8">
        <w:rPr>
          <w:rFonts w:cs="Times New Roman"/>
          <w:bCs/>
          <w:sz w:val="20"/>
          <w:szCs w:val="20"/>
        </w:rPr>
        <w:t xml:space="preserve"> </w:t>
      </w:r>
      <w:proofErr w:type="spellStart"/>
      <w:r w:rsidRPr="00753DB8">
        <w:rPr>
          <w:rFonts w:cs="Times New Roman"/>
          <w:bCs/>
          <w:sz w:val="20"/>
          <w:szCs w:val="20"/>
        </w:rPr>
        <w:t>aislados</w:t>
      </w:r>
      <w:proofErr w:type="spellEnd"/>
      <w:r w:rsidRPr="00753DB8">
        <w:rPr>
          <w:rFonts w:cs="Times New Roman"/>
          <w:bCs/>
          <w:sz w:val="20"/>
          <w:szCs w:val="20"/>
        </w:rPr>
        <w:t xml:space="preserve"> de </w:t>
      </w:r>
      <w:proofErr w:type="spellStart"/>
      <w:r w:rsidRPr="00753DB8">
        <w:rPr>
          <w:rFonts w:cs="Times New Roman"/>
          <w:bCs/>
          <w:sz w:val="20"/>
          <w:szCs w:val="20"/>
        </w:rPr>
        <w:t>pacientes</w:t>
      </w:r>
      <w:proofErr w:type="spellEnd"/>
      <w:r w:rsidRPr="00753DB8">
        <w:rPr>
          <w:rFonts w:cs="Times New Roman"/>
          <w:bCs/>
          <w:sz w:val="20"/>
          <w:szCs w:val="20"/>
        </w:rPr>
        <w:t xml:space="preserve"> </w:t>
      </w:r>
      <w:proofErr w:type="spellStart"/>
      <w:r w:rsidRPr="00753DB8">
        <w:rPr>
          <w:rFonts w:cs="Times New Roman"/>
          <w:bCs/>
          <w:sz w:val="20"/>
          <w:szCs w:val="20"/>
        </w:rPr>
        <w:t>adultos</w:t>
      </w:r>
      <w:proofErr w:type="spellEnd"/>
      <w:r w:rsidRPr="00753DB8">
        <w:rPr>
          <w:rFonts w:cs="Times New Roman"/>
          <w:bCs/>
          <w:sz w:val="20"/>
          <w:szCs w:val="20"/>
        </w:rPr>
        <w:t xml:space="preserve"> </w:t>
      </w:r>
      <w:proofErr w:type="spellStart"/>
      <w:r w:rsidRPr="00753DB8">
        <w:rPr>
          <w:rFonts w:cs="Times New Roman"/>
          <w:bCs/>
          <w:sz w:val="20"/>
          <w:szCs w:val="20"/>
        </w:rPr>
        <w:t>en</w:t>
      </w:r>
      <w:proofErr w:type="spellEnd"/>
      <w:r w:rsidRPr="00753DB8">
        <w:rPr>
          <w:rFonts w:cs="Times New Roman"/>
          <w:bCs/>
          <w:sz w:val="20"/>
          <w:szCs w:val="20"/>
        </w:rPr>
        <w:t xml:space="preserve"> la ciudad de Cali (2015).</w:t>
      </w:r>
    </w:p>
    <w:p w14:paraId="6CEF3F16" w14:textId="6C4E33A1"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Jackson SL, Boyko EJ, Scholes D, et al. Predictors of urinary tract infection after menopause: a prospective study. Am J Med [Internet] 117 (2004): 903-</w:t>
      </w:r>
      <w:r w:rsidR="00B73EEF">
        <w:rPr>
          <w:rFonts w:cs="Times New Roman"/>
          <w:bCs/>
          <w:sz w:val="20"/>
          <w:szCs w:val="20"/>
        </w:rPr>
        <w:t>9</w:t>
      </w:r>
      <w:r w:rsidRPr="00753DB8">
        <w:rPr>
          <w:rFonts w:cs="Times New Roman"/>
          <w:bCs/>
          <w:sz w:val="20"/>
          <w:szCs w:val="20"/>
        </w:rPr>
        <w:t xml:space="preserve">11. </w:t>
      </w:r>
    </w:p>
    <w:p w14:paraId="31542DC6" w14:textId="7F8422A8"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Jain A, Tiwary P, Mathew DM, et al. IJCM_279A: Evaluation of diabetes mellitus as a risk factor for urinary tract infection in women: A case control study. Indian J Community Med [Internet] 49 (2024): S81-S81. </w:t>
      </w:r>
    </w:p>
    <w:p w14:paraId="056CC54C" w14:textId="0F1F8B99"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 xml:space="preserve">Ferdinand KC, Nasser SA. Racial/ethnic disparities in prevalence and care of patients with type 2 diabetes mellitus. Curr Med Res </w:t>
      </w:r>
      <w:proofErr w:type="spellStart"/>
      <w:r w:rsidRPr="00753DB8">
        <w:rPr>
          <w:rFonts w:cs="Times New Roman"/>
          <w:bCs/>
          <w:sz w:val="20"/>
          <w:szCs w:val="20"/>
        </w:rPr>
        <w:t>Opin</w:t>
      </w:r>
      <w:proofErr w:type="spellEnd"/>
      <w:r w:rsidRPr="00753DB8">
        <w:rPr>
          <w:rFonts w:cs="Times New Roman"/>
          <w:bCs/>
          <w:sz w:val="20"/>
          <w:szCs w:val="20"/>
        </w:rPr>
        <w:t xml:space="preserve"> [Internet] 31 (2015): 913-</w:t>
      </w:r>
      <w:r w:rsidR="00B73EEF">
        <w:rPr>
          <w:rFonts w:cs="Times New Roman"/>
          <w:bCs/>
          <w:sz w:val="20"/>
          <w:szCs w:val="20"/>
        </w:rPr>
        <w:t>9</w:t>
      </w:r>
      <w:r w:rsidRPr="00753DB8">
        <w:rPr>
          <w:rFonts w:cs="Times New Roman"/>
          <w:bCs/>
          <w:sz w:val="20"/>
          <w:szCs w:val="20"/>
        </w:rPr>
        <w:t xml:space="preserve">23. </w:t>
      </w:r>
    </w:p>
    <w:p w14:paraId="38D9A936" w14:textId="1D66C6DA" w:rsidR="00753DB8" w:rsidRPr="00753DB8"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Cheng YJ, Kanaya AM, Araneta MRG, et al. Prevalence of Diabetes by Race and Ethnicity in the United States, 2011-2016. JAMA [Internet] 322 (2019): 2389-</w:t>
      </w:r>
      <w:r w:rsidR="00B73EEF">
        <w:rPr>
          <w:rFonts w:cs="Times New Roman"/>
          <w:bCs/>
          <w:sz w:val="20"/>
          <w:szCs w:val="20"/>
        </w:rPr>
        <w:t>23</w:t>
      </w:r>
      <w:r w:rsidRPr="00753DB8">
        <w:rPr>
          <w:rFonts w:cs="Times New Roman"/>
          <w:bCs/>
          <w:sz w:val="20"/>
          <w:szCs w:val="20"/>
        </w:rPr>
        <w:t xml:space="preserve">98. </w:t>
      </w:r>
    </w:p>
    <w:p w14:paraId="1AA0F9A3" w14:textId="62F9187D" w:rsidR="00753DB8" w:rsidRPr="000F142A" w:rsidRDefault="00753DB8" w:rsidP="0016050A">
      <w:pPr>
        <w:pStyle w:val="BodyText"/>
        <w:numPr>
          <w:ilvl w:val="0"/>
          <w:numId w:val="5"/>
        </w:numPr>
        <w:spacing w:line="360" w:lineRule="auto"/>
        <w:ind w:left="1077" w:hanging="720"/>
        <w:jc w:val="both"/>
        <w:rPr>
          <w:rFonts w:cs="Times New Roman"/>
          <w:bCs/>
          <w:sz w:val="20"/>
          <w:szCs w:val="20"/>
        </w:rPr>
      </w:pPr>
      <w:r w:rsidRPr="00753DB8">
        <w:rPr>
          <w:rFonts w:cs="Times New Roman"/>
          <w:bCs/>
          <w:sz w:val="20"/>
          <w:szCs w:val="20"/>
        </w:rPr>
        <w:t>James C, Thomas M, Lillie-Blanton M, et al. Key Facts: Race, Ethnicity &amp; Medical Care (2007).</w:t>
      </w:r>
    </w:p>
    <w:p w14:paraId="07DD0E3D" w14:textId="77777777" w:rsidR="00271A8A" w:rsidRDefault="00271A8A" w:rsidP="00271A8A">
      <w:pPr>
        <w:pStyle w:val="NormalWeb"/>
        <w:spacing w:before="0" w:beforeAutospacing="0" w:after="0" w:afterAutospacing="0" w:line="360" w:lineRule="auto"/>
        <w:jc w:val="both"/>
        <w:rPr>
          <w:sz w:val="20"/>
          <w:szCs w:val="20"/>
          <w:lang w:val="en-IN"/>
        </w:rPr>
      </w:pPr>
    </w:p>
    <w:p w14:paraId="049638DA" w14:textId="77777777" w:rsidR="00271A8A" w:rsidRDefault="00271A8A" w:rsidP="00271A8A">
      <w:pPr>
        <w:pStyle w:val="NormalWeb"/>
        <w:spacing w:before="0" w:beforeAutospacing="0" w:after="0" w:afterAutospacing="0" w:line="360" w:lineRule="auto"/>
        <w:jc w:val="both"/>
        <w:rPr>
          <w:sz w:val="20"/>
          <w:szCs w:val="20"/>
          <w:lang w:val="en-IN"/>
        </w:rPr>
      </w:pPr>
    </w:p>
    <w:sectPr w:rsidR="00271A8A" w:rsidSect="00DB20A0">
      <w:headerReference w:type="default" r:id="rId10"/>
      <w:footerReference w:type="default" r:id="rId11"/>
      <w:pgSz w:w="12240" w:h="15840" w:code="1"/>
      <w:pgMar w:top="576" w:right="1440" w:bottom="1008" w:left="1440" w:header="720" w:footer="720" w:gutter="0"/>
      <w:pgNumType w:start="8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512A8" w14:textId="77777777" w:rsidR="00AD1971" w:rsidRDefault="00AD1971" w:rsidP="00A62EFF">
      <w:pPr>
        <w:spacing w:after="0" w:line="240" w:lineRule="auto"/>
      </w:pPr>
      <w:r>
        <w:separator/>
      </w:r>
    </w:p>
  </w:endnote>
  <w:endnote w:type="continuationSeparator" w:id="0">
    <w:p w14:paraId="1BD91CC7" w14:textId="77777777" w:rsidR="00AD1971" w:rsidRDefault="00AD1971"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Liberation Serif">
    <w:altName w:val="Times New Roman"/>
    <w:charset w:val="00"/>
    <w:family w:val="auto"/>
    <w:pitch w:val="default"/>
  </w:font>
  <w:font w:name="Mangal">
    <w:panose1 w:val="00000400000000000000"/>
    <w:charset w:val="00"/>
    <w:family w:val="roman"/>
    <w:pitch w:val="variable"/>
    <w:sig w:usb0="00008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F">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81C56" w14:textId="77777777" w:rsidR="00FC7D72" w:rsidRDefault="00FC7D72" w:rsidP="002D4318">
    <w:pPr>
      <w:pStyle w:val="Footer"/>
      <w:tabs>
        <w:tab w:val="clear" w:pos="9360"/>
        <w:tab w:val="right" w:pos="9781"/>
      </w:tabs>
      <w:spacing w:line="360" w:lineRule="auto"/>
      <w:jc w:val="both"/>
      <w:rPr>
        <w:rFonts w:ascii="Times New Roman" w:hAnsi="Times New Roman" w:cs="Times New Roman"/>
        <w:b/>
        <w:color w:val="2E74B5" w:themeColor="accent1" w:themeShade="BF"/>
        <w:sz w:val="20"/>
        <w:szCs w:val="20"/>
      </w:rPr>
    </w:pPr>
  </w:p>
  <w:p w14:paraId="004E55AE" w14:textId="6BE5180A" w:rsidR="007A59FD" w:rsidRDefault="007A59FD" w:rsidP="002D4318">
    <w:pPr>
      <w:pStyle w:val="Footer"/>
      <w:tabs>
        <w:tab w:val="clear" w:pos="9360"/>
        <w:tab w:val="right" w:pos="9781"/>
      </w:tabs>
      <w:spacing w:line="360" w:lineRule="auto"/>
      <w:jc w:val="both"/>
      <w:rPr>
        <w:rFonts w:ascii="Times New Roman" w:hAnsi="Times New Roman" w:cs="Times New Roman"/>
        <w:b/>
        <w:color w:val="2E74B5" w:themeColor="accent1" w:themeShade="BF"/>
        <w:sz w:val="20"/>
        <w:szCs w:val="18"/>
      </w:rPr>
    </w:pPr>
    <w:r w:rsidRPr="00B264DE">
      <w:rPr>
        <w:rFonts w:ascii="Times New Roman" w:hAnsi="Times New Roman" w:cs="Times New Roman"/>
        <w:b/>
        <w:color w:val="2E74B5" w:themeColor="accent1" w:themeShade="BF"/>
        <w:sz w:val="20"/>
        <w:szCs w:val="20"/>
      </w:rPr>
      <w:t>Archives of Nephrology and Urology</w:t>
    </w:r>
    <w:r>
      <w:rPr>
        <w:rFonts w:ascii="Times New Roman" w:hAnsi="Times New Roman" w:cs="Times New Roman"/>
        <w:b/>
        <w:color w:val="2E74B5" w:themeColor="accent1" w:themeShade="BF"/>
        <w:sz w:val="20"/>
        <w:szCs w:val="20"/>
      </w:rPr>
      <w:tab/>
    </w:r>
    <w:r>
      <w:rPr>
        <w:rFonts w:ascii="Times New Roman" w:hAnsi="Times New Roman" w:cs="Times New Roman"/>
        <w:b/>
        <w:color w:val="2E74B5" w:themeColor="accent1" w:themeShade="BF"/>
        <w:sz w:val="18"/>
        <w:szCs w:val="18"/>
      </w:rPr>
      <w:tab/>
    </w:r>
  </w:p>
  <w:p w14:paraId="5839B21A" w14:textId="77777777" w:rsidR="007A59FD" w:rsidRDefault="007A59FD" w:rsidP="00C40BAD">
    <w:pPr>
      <w:pStyle w:val="Footer"/>
      <w:tabs>
        <w:tab w:val="clear" w:pos="9360"/>
        <w:tab w:val="right" w:pos="9781"/>
      </w:tabs>
      <w:spacing w:line="360" w:lineRule="auto"/>
      <w:ind w:left="-426"/>
      <w:jc w:val="both"/>
      <w:rPr>
        <w:rFonts w:ascii="Times New Roman" w:hAnsi="Times New Roman" w:cs="Times New Roman"/>
        <w:b/>
        <w:color w:val="2E74B5" w:themeColor="accent1" w:themeShade="BF"/>
        <w:sz w:val="20"/>
        <w:szCs w:val="18"/>
      </w:rPr>
    </w:pPr>
  </w:p>
  <w:p w14:paraId="38726AA3" w14:textId="77777777" w:rsidR="007A59FD" w:rsidRDefault="007A59FD" w:rsidP="00145333">
    <w:pPr>
      <w:pStyle w:val="Footer"/>
      <w:jc w:val="both"/>
      <w:rPr>
        <w:rFonts w:ascii="Times New Roman" w:hAnsi="Times New Roman" w:cs="Times New Roman"/>
        <w:b/>
        <w:color w:val="2E74B5" w:themeColor="accent1" w:themeShade="BF"/>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105BD" w14:textId="77777777" w:rsidR="00AD1971" w:rsidRDefault="00AD1971" w:rsidP="00A62EFF">
      <w:pPr>
        <w:spacing w:after="0" w:line="240" w:lineRule="auto"/>
      </w:pPr>
      <w:r>
        <w:separator/>
      </w:r>
    </w:p>
  </w:footnote>
  <w:footnote w:type="continuationSeparator" w:id="0">
    <w:p w14:paraId="52FF39ED" w14:textId="77777777" w:rsidR="00AD1971" w:rsidRDefault="00AD1971"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70C8" w14:textId="7C8DAB74" w:rsidR="007A59FD" w:rsidRDefault="007A59FD">
    <w:pPr>
      <w:pStyle w:val="Header"/>
      <w:rPr>
        <w:lang w:val="en-GB"/>
      </w:rPr>
    </w:pPr>
    <w:r>
      <w:rPr>
        <w:rFonts w:ascii="Times New Roman" w:eastAsia="Times New Roman" w:hAnsi="Times New Roman" w:cs="Times New Roman"/>
        <w:b/>
        <w:i/>
        <w:color w:val="2E75B5"/>
        <w:sz w:val="20"/>
        <w:szCs w:val="20"/>
      </w:rPr>
      <w:t xml:space="preserve">Arch Nephrol </w:t>
    </w:r>
    <w:proofErr w:type="spellStart"/>
    <w:r>
      <w:rPr>
        <w:rFonts w:ascii="Times New Roman" w:eastAsia="Times New Roman" w:hAnsi="Times New Roman" w:cs="Times New Roman"/>
        <w:b/>
        <w:i/>
        <w:color w:val="2E75B5"/>
        <w:sz w:val="20"/>
        <w:szCs w:val="20"/>
      </w:rPr>
      <w:t>Urol</w:t>
    </w:r>
    <w:proofErr w:type="spellEnd"/>
    <w:r>
      <w:rPr>
        <w:rFonts w:ascii="Times New Roman" w:eastAsia="Times New Roman" w:hAnsi="Times New Roman" w:cs="Times New Roman"/>
        <w:b/>
        <w:i/>
        <w:color w:val="2E75B5"/>
        <w:sz w:val="20"/>
        <w:szCs w:val="20"/>
      </w:rPr>
      <w:t xml:space="preserve"> 20</w:t>
    </w:r>
    <w:r w:rsidR="00B563C9">
      <w:rPr>
        <w:rFonts w:ascii="Times New Roman" w:eastAsia="Times New Roman" w:hAnsi="Times New Roman" w:cs="Times New Roman"/>
        <w:b/>
        <w:i/>
        <w:color w:val="2E75B5"/>
        <w:sz w:val="20"/>
        <w:szCs w:val="20"/>
      </w:rPr>
      <w:t>26</w:t>
    </w:r>
    <w:r>
      <w:rPr>
        <w:rFonts w:ascii="Times New Roman" w:eastAsia="Times New Roman" w:hAnsi="Times New Roman" w:cs="Times New Roman"/>
        <w:b/>
        <w:i/>
        <w:color w:val="2E75B5"/>
        <w:sz w:val="18"/>
        <w:szCs w:val="18"/>
      </w:rPr>
      <w:tab/>
    </w:r>
    <w:r w:rsidR="00215302">
      <w:rPr>
        <w:rFonts w:ascii="Times New Roman" w:eastAsia="Times New Roman" w:hAnsi="Times New Roman" w:cs="Times New Roman"/>
        <w:b/>
        <w:i/>
        <w:color w:val="2E75B5"/>
        <w:sz w:val="18"/>
        <w:szCs w:val="18"/>
      </w:rPr>
      <w:tab/>
    </w:r>
    <w:r>
      <w:rPr>
        <w:rFonts w:ascii="Times New Roman" w:eastAsia="Times New Roman" w:hAnsi="Times New Roman" w:cs="Times New Roman"/>
        <w:b/>
        <w:i/>
        <w:color w:val="2E74B6"/>
        <w:sz w:val="20"/>
        <w:szCs w:val="20"/>
      </w:rPr>
      <w:t xml:space="preserve">DOI: </w:t>
    </w:r>
    <w:r w:rsidR="00E602F1" w:rsidRPr="00E602F1">
      <w:rPr>
        <w:rFonts w:ascii="Times New Roman" w:eastAsia="Times New Roman" w:hAnsi="Times New Roman" w:cs="Times New Roman"/>
        <w:b/>
        <w:i/>
        <w:color w:val="2E74B6"/>
        <w:sz w:val="20"/>
        <w:szCs w:val="20"/>
        <w:lang w:val="en-IN"/>
      </w:rPr>
      <w:t>10.26502/anu.2644-2833114</w:t>
    </w:r>
  </w:p>
  <w:p w14:paraId="5EB46858" w14:textId="77777777" w:rsidR="007A59FD" w:rsidRDefault="007A59FD">
    <w:pPr>
      <w:pStyle w:val="Header"/>
      <w:rPr>
        <w:lang w:val="en-GB"/>
      </w:rPr>
    </w:pPr>
  </w:p>
  <w:p w14:paraId="4A13E0F1" w14:textId="77777777" w:rsidR="007A59FD" w:rsidRPr="00471005" w:rsidRDefault="007A59FD">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818E7"/>
    <w:multiLevelType w:val="hybridMultilevel"/>
    <w:tmpl w:val="F78657F2"/>
    <w:lvl w:ilvl="0" w:tplc="ADF89FE6">
      <w:start w:val="1"/>
      <w:numFmt w:val="decimal"/>
      <w:lvlText w:val="%1."/>
      <w:lvlJc w:val="left"/>
      <w:pPr>
        <w:ind w:left="720" w:hanging="5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E5015FF"/>
    <w:multiLevelType w:val="hybridMultilevel"/>
    <w:tmpl w:val="E81AF2B8"/>
    <w:lvl w:ilvl="0" w:tplc="ADF89FE6">
      <w:start w:val="1"/>
      <w:numFmt w:val="decimal"/>
      <w:lvlText w:val="%1."/>
      <w:lvlJc w:val="left"/>
      <w:pPr>
        <w:ind w:left="720" w:hanging="580"/>
      </w:pPr>
      <w:rPr>
        <w:rFonts w:hint="default"/>
      </w:rPr>
    </w:lvl>
    <w:lvl w:ilvl="1" w:tplc="40090019" w:tentative="1">
      <w:start w:val="1"/>
      <w:numFmt w:val="lowerLetter"/>
      <w:lvlText w:val="%2."/>
      <w:lvlJc w:val="left"/>
      <w:pPr>
        <w:ind w:left="1220" w:hanging="360"/>
      </w:pPr>
    </w:lvl>
    <w:lvl w:ilvl="2" w:tplc="4009001B" w:tentative="1">
      <w:start w:val="1"/>
      <w:numFmt w:val="lowerRoman"/>
      <w:lvlText w:val="%3."/>
      <w:lvlJc w:val="right"/>
      <w:pPr>
        <w:ind w:left="1940" w:hanging="180"/>
      </w:pPr>
    </w:lvl>
    <w:lvl w:ilvl="3" w:tplc="4009000F" w:tentative="1">
      <w:start w:val="1"/>
      <w:numFmt w:val="decimal"/>
      <w:lvlText w:val="%4."/>
      <w:lvlJc w:val="left"/>
      <w:pPr>
        <w:ind w:left="2660" w:hanging="360"/>
      </w:pPr>
    </w:lvl>
    <w:lvl w:ilvl="4" w:tplc="40090019" w:tentative="1">
      <w:start w:val="1"/>
      <w:numFmt w:val="lowerLetter"/>
      <w:lvlText w:val="%5."/>
      <w:lvlJc w:val="left"/>
      <w:pPr>
        <w:ind w:left="3380" w:hanging="360"/>
      </w:pPr>
    </w:lvl>
    <w:lvl w:ilvl="5" w:tplc="4009001B" w:tentative="1">
      <w:start w:val="1"/>
      <w:numFmt w:val="lowerRoman"/>
      <w:lvlText w:val="%6."/>
      <w:lvlJc w:val="right"/>
      <w:pPr>
        <w:ind w:left="4100" w:hanging="180"/>
      </w:pPr>
    </w:lvl>
    <w:lvl w:ilvl="6" w:tplc="4009000F" w:tentative="1">
      <w:start w:val="1"/>
      <w:numFmt w:val="decimal"/>
      <w:lvlText w:val="%7."/>
      <w:lvlJc w:val="left"/>
      <w:pPr>
        <w:ind w:left="4820" w:hanging="360"/>
      </w:pPr>
    </w:lvl>
    <w:lvl w:ilvl="7" w:tplc="40090019" w:tentative="1">
      <w:start w:val="1"/>
      <w:numFmt w:val="lowerLetter"/>
      <w:lvlText w:val="%8."/>
      <w:lvlJc w:val="left"/>
      <w:pPr>
        <w:ind w:left="5540" w:hanging="360"/>
      </w:pPr>
    </w:lvl>
    <w:lvl w:ilvl="8" w:tplc="4009001B" w:tentative="1">
      <w:start w:val="1"/>
      <w:numFmt w:val="lowerRoman"/>
      <w:lvlText w:val="%9."/>
      <w:lvlJc w:val="right"/>
      <w:pPr>
        <w:ind w:left="6260" w:hanging="180"/>
      </w:pPr>
    </w:lvl>
  </w:abstractNum>
  <w:abstractNum w:abstractNumId="3" w15:restartNumberingAfterBreak="0">
    <w:nsid w:val="579670F4"/>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D1956B8"/>
    <w:multiLevelType w:val="hybridMultilevel"/>
    <w:tmpl w:val="E4BC7BC6"/>
    <w:lvl w:ilvl="0" w:tplc="F9585BCE">
      <w:start w:val="1"/>
      <w:numFmt w:val="decimal"/>
      <w:lvlText w:val="%1."/>
      <w:lvlJc w:val="left"/>
      <w:pPr>
        <w:ind w:left="1077" w:hanging="360"/>
      </w:pPr>
      <w:rPr>
        <w:sz w:val="20"/>
        <w:szCs w:val="20"/>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5" w15:restartNumberingAfterBreak="0">
    <w:nsid w:val="64527CF5"/>
    <w:multiLevelType w:val="hybridMultilevel"/>
    <w:tmpl w:val="32845B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98974781">
    <w:abstractNumId w:val="1"/>
  </w:num>
  <w:num w:numId="2" w16cid:durableId="1872180693">
    <w:abstractNumId w:val="4"/>
  </w:num>
  <w:num w:numId="3" w16cid:durableId="1068578064">
    <w:abstractNumId w:val="5"/>
  </w:num>
  <w:num w:numId="4" w16cid:durableId="414983202">
    <w:abstractNumId w:val="2"/>
  </w:num>
  <w:num w:numId="5" w16cid:durableId="654531547">
    <w:abstractNumId w:val="0"/>
  </w:num>
  <w:num w:numId="6" w16cid:durableId="164909586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344"/>
    <w:rsid w:val="000010E2"/>
    <w:rsid w:val="00001349"/>
    <w:rsid w:val="000013AF"/>
    <w:rsid w:val="0000153A"/>
    <w:rsid w:val="000015D2"/>
    <w:rsid w:val="000027C2"/>
    <w:rsid w:val="00002C88"/>
    <w:rsid w:val="00002F18"/>
    <w:rsid w:val="00002FCA"/>
    <w:rsid w:val="00003496"/>
    <w:rsid w:val="0000390D"/>
    <w:rsid w:val="000039C4"/>
    <w:rsid w:val="00003E96"/>
    <w:rsid w:val="00004314"/>
    <w:rsid w:val="00004465"/>
    <w:rsid w:val="0000449A"/>
    <w:rsid w:val="00004F02"/>
    <w:rsid w:val="00005344"/>
    <w:rsid w:val="00005405"/>
    <w:rsid w:val="00005AA1"/>
    <w:rsid w:val="000060E9"/>
    <w:rsid w:val="0000627B"/>
    <w:rsid w:val="00006A82"/>
    <w:rsid w:val="00006D7F"/>
    <w:rsid w:val="000072D9"/>
    <w:rsid w:val="000073D6"/>
    <w:rsid w:val="000076C9"/>
    <w:rsid w:val="00010D3D"/>
    <w:rsid w:val="00010EC0"/>
    <w:rsid w:val="000111B7"/>
    <w:rsid w:val="0001169F"/>
    <w:rsid w:val="000117A2"/>
    <w:rsid w:val="00011E48"/>
    <w:rsid w:val="00012604"/>
    <w:rsid w:val="0001281D"/>
    <w:rsid w:val="00012A56"/>
    <w:rsid w:val="00012CC3"/>
    <w:rsid w:val="0001306E"/>
    <w:rsid w:val="000132F3"/>
    <w:rsid w:val="0001371B"/>
    <w:rsid w:val="000137AD"/>
    <w:rsid w:val="00013BB5"/>
    <w:rsid w:val="0001470C"/>
    <w:rsid w:val="00014739"/>
    <w:rsid w:val="0001486C"/>
    <w:rsid w:val="00015554"/>
    <w:rsid w:val="00015644"/>
    <w:rsid w:val="00015852"/>
    <w:rsid w:val="0001588F"/>
    <w:rsid w:val="000158E8"/>
    <w:rsid w:val="00015D3F"/>
    <w:rsid w:val="0001692E"/>
    <w:rsid w:val="00017935"/>
    <w:rsid w:val="00017A69"/>
    <w:rsid w:val="00017CDD"/>
    <w:rsid w:val="0002075A"/>
    <w:rsid w:val="000219AB"/>
    <w:rsid w:val="00021D49"/>
    <w:rsid w:val="00021E53"/>
    <w:rsid w:val="00021F19"/>
    <w:rsid w:val="000233E6"/>
    <w:rsid w:val="00023EBC"/>
    <w:rsid w:val="00023F64"/>
    <w:rsid w:val="0002400C"/>
    <w:rsid w:val="00024211"/>
    <w:rsid w:val="00024322"/>
    <w:rsid w:val="00024A98"/>
    <w:rsid w:val="00024F4A"/>
    <w:rsid w:val="000250B7"/>
    <w:rsid w:val="00025373"/>
    <w:rsid w:val="00025D9A"/>
    <w:rsid w:val="00025EF7"/>
    <w:rsid w:val="00026F70"/>
    <w:rsid w:val="00027776"/>
    <w:rsid w:val="00027972"/>
    <w:rsid w:val="00027AA3"/>
    <w:rsid w:val="00031432"/>
    <w:rsid w:val="00031954"/>
    <w:rsid w:val="00031BF7"/>
    <w:rsid w:val="000321B2"/>
    <w:rsid w:val="00032492"/>
    <w:rsid w:val="000324EB"/>
    <w:rsid w:val="00032E84"/>
    <w:rsid w:val="0003349E"/>
    <w:rsid w:val="00033A45"/>
    <w:rsid w:val="0003449C"/>
    <w:rsid w:val="00034722"/>
    <w:rsid w:val="000348C4"/>
    <w:rsid w:val="00034A44"/>
    <w:rsid w:val="00034CBA"/>
    <w:rsid w:val="00034CD8"/>
    <w:rsid w:val="0003521A"/>
    <w:rsid w:val="00035857"/>
    <w:rsid w:val="00035C1E"/>
    <w:rsid w:val="00035DE3"/>
    <w:rsid w:val="00036074"/>
    <w:rsid w:val="0003619B"/>
    <w:rsid w:val="00036232"/>
    <w:rsid w:val="000365DB"/>
    <w:rsid w:val="00036615"/>
    <w:rsid w:val="00036688"/>
    <w:rsid w:val="00036866"/>
    <w:rsid w:val="000371A5"/>
    <w:rsid w:val="0003799E"/>
    <w:rsid w:val="00037C65"/>
    <w:rsid w:val="00037FAE"/>
    <w:rsid w:val="000404A5"/>
    <w:rsid w:val="000405AC"/>
    <w:rsid w:val="0004089F"/>
    <w:rsid w:val="000409AA"/>
    <w:rsid w:val="00040AC3"/>
    <w:rsid w:val="00040D9A"/>
    <w:rsid w:val="00040EBD"/>
    <w:rsid w:val="00041014"/>
    <w:rsid w:val="000410FD"/>
    <w:rsid w:val="0004154F"/>
    <w:rsid w:val="000418D2"/>
    <w:rsid w:val="00042405"/>
    <w:rsid w:val="000424B8"/>
    <w:rsid w:val="000428C0"/>
    <w:rsid w:val="0004296B"/>
    <w:rsid w:val="00042C20"/>
    <w:rsid w:val="00042FE8"/>
    <w:rsid w:val="000438CF"/>
    <w:rsid w:val="00043919"/>
    <w:rsid w:val="00043C94"/>
    <w:rsid w:val="00043C9A"/>
    <w:rsid w:val="00043DDA"/>
    <w:rsid w:val="00043EE2"/>
    <w:rsid w:val="00045249"/>
    <w:rsid w:val="000452C3"/>
    <w:rsid w:val="00045451"/>
    <w:rsid w:val="00045F6B"/>
    <w:rsid w:val="0004607E"/>
    <w:rsid w:val="00046191"/>
    <w:rsid w:val="000461A0"/>
    <w:rsid w:val="000468FA"/>
    <w:rsid w:val="00046C90"/>
    <w:rsid w:val="00046F68"/>
    <w:rsid w:val="00046FAB"/>
    <w:rsid w:val="00046FFD"/>
    <w:rsid w:val="0004718B"/>
    <w:rsid w:val="0004783F"/>
    <w:rsid w:val="00047D75"/>
    <w:rsid w:val="00047EDF"/>
    <w:rsid w:val="000502C6"/>
    <w:rsid w:val="00050D0A"/>
    <w:rsid w:val="000516EE"/>
    <w:rsid w:val="000517D1"/>
    <w:rsid w:val="00051890"/>
    <w:rsid w:val="00051D15"/>
    <w:rsid w:val="00051D9C"/>
    <w:rsid w:val="00052177"/>
    <w:rsid w:val="000528D1"/>
    <w:rsid w:val="0005296B"/>
    <w:rsid w:val="000530F3"/>
    <w:rsid w:val="000532C1"/>
    <w:rsid w:val="0005352B"/>
    <w:rsid w:val="00053B39"/>
    <w:rsid w:val="00053BE7"/>
    <w:rsid w:val="00053D18"/>
    <w:rsid w:val="000542A9"/>
    <w:rsid w:val="00054B13"/>
    <w:rsid w:val="00054FAC"/>
    <w:rsid w:val="000550A0"/>
    <w:rsid w:val="00055667"/>
    <w:rsid w:val="00055899"/>
    <w:rsid w:val="00055AC7"/>
    <w:rsid w:val="00055CB5"/>
    <w:rsid w:val="000567B3"/>
    <w:rsid w:val="00056E72"/>
    <w:rsid w:val="00057F28"/>
    <w:rsid w:val="0006037E"/>
    <w:rsid w:val="00060613"/>
    <w:rsid w:val="00060B34"/>
    <w:rsid w:val="00060B98"/>
    <w:rsid w:val="00060C2E"/>
    <w:rsid w:val="0006200D"/>
    <w:rsid w:val="000621EF"/>
    <w:rsid w:val="0006226B"/>
    <w:rsid w:val="00062973"/>
    <w:rsid w:val="00063436"/>
    <w:rsid w:val="00063C2E"/>
    <w:rsid w:val="000645FD"/>
    <w:rsid w:val="0006472E"/>
    <w:rsid w:val="00064E15"/>
    <w:rsid w:val="00065ED9"/>
    <w:rsid w:val="00066680"/>
    <w:rsid w:val="00066B18"/>
    <w:rsid w:val="00067356"/>
    <w:rsid w:val="00067866"/>
    <w:rsid w:val="000678FD"/>
    <w:rsid w:val="000679C0"/>
    <w:rsid w:val="00067B3D"/>
    <w:rsid w:val="000701EE"/>
    <w:rsid w:val="000702A3"/>
    <w:rsid w:val="000703AC"/>
    <w:rsid w:val="00070929"/>
    <w:rsid w:val="00070C70"/>
    <w:rsid w:val="0007111A"/>
    <w:rsid w:val="00071408"/>
    <w:rsid w:val="000715E6"/>
    <w:rsid w:val="00071E1D"/>
    <w:rsid w:val="000722EC"/>
    <w:rsid w:val="00072591"/>
    <w:rsid w:val="00073244"/>
    <w:rsid w:val="0007328B"/>
    <w:rsid w:val="00073328"/>
    <w:rsid w:val="0007342A"/>
    <w:rsid w:val="00073738"/>
    <w:rsid w:val="00073C4D"/>
    <w:rsid w:val="00073CBC"/>
    <w:rsid w:val="00074328"/>
    <w:rsid w:val="00074519"/>
    <w:rsid w:val="00074714"/>
    <w:rsid w:val="0007473D"/>
    <w:rsid w:val="00074970"/>
    <w:rsid w:val="000751FB"/>
    <w:rsid w:val="0007545F"/>
    <w:rsid w:val="00075A13"/>
    <w:rsid w:val="00075EF0"/>
    <w:rsid w:val="00076198"/>
    <w:rsid w:val="00076E2A"/>
    <w:rsid w:val="0007725F"/>
    <w:rsid w:val="000778E1"/>
    <w:rsid w:val="000779E5"/>
    <w:rsid w:val="00077CE5"/>
    <w:rsid w:val="00077D95"/>
    <w:rsid w:val="000803B5"/>
    <w:rsid w:val="00080613"/>
    <w:rsid w:val="000808DC"/>
    <w:rsid w:val="0008090A"/>
    <w:rsid w:val="00080B71"/>
    <w:rsid w:val="00080D91"/>
    <w:rsid w:val="0008116B"/>
    <w:rsid w:val="0008166A"/>
    <w:rsid w:val="000816D8"/>
    <w:rsid w:val="0008240C"/>
    <w:rsid w:val="00083119"/>
    <w:rsid w:val="00083394"/>
    <w:rsid w:val="00083425"/>
    <w:rsid w:val="00083805"/>
    <w:rsid w:val="0008461D"/>
    <w:rsid w:val="00084AA7"/>
    <w:rsid w:val="00084AF3"/>
    <w:rsid w:val="00084CC4"/>
    <w:rsid w:val="00084F65"/>
    <w:rsid w:val="000852EF"/>
    <w:rsid w:val="0008652A"/>
    <w:rsid w:val="00086B40"/>
    <w:rsid w:val="00087181"/>
    <w:rsid w:val="00087371"/>
    <w:rsid w:val="000874AB"/>
    <w:rsid w:val="000874C8"/>
    <w:rsid w:val="0008751F"/>
    <w:rsid w:val="00087803"/>
    <w:rsid w:val="00087AF2"/>
    <w:rsid w:val="00087CCE"/>
    <w:rsid w:val="00090895"/>
    <w:rsid w:val="00090A7B"/>
    <w:rsid w:val="00090BA5"/>
    <w:rsid w:val="00090D14"/>
    <w:rsid w:val="00090EB3"/>
    <w:rsid w:val="00091008"/>
    <w:rsid w:val="00091539"/>
    <w:rsid w:val="00091B9B"/>
    <w:rsid w:val="00091C93"/>
    <w:rsid w:val="0009230C"/>
    <w:rsid w:val="000924CB"/>
    <w:rsid w:val="0009273F"/>
    <w:rsid w:val="000927EE"/>
    <w:rsid w:val="000929FB"/>
    <w:rsid w:val="000933A4"/>
    <w:rsid w:val="00093431"/>
    <w:rsid w:val="0009378E"/>
    <w:rsid w:val="00093875"/>
    <w:rsid w:val="00093BC7"/>
    <w:rsid w:val="00095209"/>
    <w:rsid w:val="00095481"/>
    <w:rsid w:val="000956DA"/>
    <w:rsid w:val="00095835"/>
    <w:rsid w:val="000959EA"/>
    <w:rsid w:val="00095C07"/>
    <w:rsid w:val="00095CDF"/>
    <w:rsid w:val="000965A1"/>
    <w:rsid w:val="00096DD0"/>
    <w:rsid w:val="000974FC"/>
    <w:rsid w:val="00097C87"/>
    <w:rsid w:val="00097CDA"/>
    <w:rsid w:val="00097D6B"/>
    <w:rsid w:val="000A0177"/>
    <w:rsid w:val="000A04EE"/>
    <w:rsid w:val="000A0502"/>
    <w:rsid w:val="000A05BC"/>
    <w:rsid w:val="000A0F9B"/>
    <w:rsid w:val="000A1241"/>
    <w:rsid w:val="000A14B7"/>
    <w:rsid w:val="000A1606"/>
    <w:rsid w:val="000A181C"/>
    <w:rsid w:val="000A1CA0"/>
    <w:rsid w:val="000A1F6F"/>
    <w:rsid w:val="000A2A79"/>
    <w:rsid w:val="000A2B48"/>
    <w:rsid w:val="000A2E02"/>
    <w:rsid w:val="000A31CB"/>
    <w:rsid w:val="000A3EEB"/>
    <w:rsid w:val="000A3F8D"/>
    <w:rsid w:val="000A44B9"/>
    <w:rsid w:val="000A4B91"/>
    <w:rsid w:val="000A5249"/>
    <w:rsid w:val="000A5AF2"/>
    <w:rsid w:val="000A65C7"/>
    <w:rsid w:val="000A6976"/>
    <w:rsid w:val="000A6B60"/>
    <w:rsid w:val="000A6FE5"/>
    <w:rsid w:val="000A784A"/>
    <w:rsid w:val="000A7D7A"/>
    <w:rsid w:val="000A7DF7"/>
    <w:rsid w:val="000B047C"/>
    <w:rsid w:val="000B068B"/>
    <w:rsid w:val="000B0A81"/>
    <w:rsid w:val="000B1AFC"/>
    <w:rsid w:val="000B1C71"/>
    <w:rsid w:val="000B2148"/>
    <w:rsid w:val="000B24C9"/>
    <w:rsid w:val="000B25CD"/>
    <w:rsid w:val="000B268D"/>
    <w:rsid w:val="000B2916"/>
    <w:rsid w:val="000B2C6B"/>
    <w:rsid w:val="000B2D70"/>
    <w:rsid w:val="000B2F3F"/>
    <w:rsid w:val="000B2F5D"/>
    <w:rsid w:val="000B32B4"/>
    <w:rsid w:val="000B345F"/>
    <w:rsid w:val="000B38FF"/>
    <w:rsid w:val="000B3922"/>
    <w:rsid w:val="000B3AE0"/>
    <w:rsid w:val="000B3B14"/>
    <w:rsid w:val="000B4091"/>
    <w:rsid w:val="000B468B"/>
    <w:rsid w:val="000B46BE"/>
    <w:rsid w:val="000B47F7"/>
    <w:rsid w:val="000B4C45"/>
    <w:rsid w:val="000B4EED"/>
    <w:rsid w:val="000B4F18"/>
    <w:rsid w:val="000B5EE4"/>
    <w:rsid w:val="000B5F97"/>
    <w:rsid w:val="000B5F9B"/>
    <w:rsid w:val="000B60B8"/>
    <w:rsid w:val="000B61B3"/>
    <w:rsid w:val="000B72CF"/>
    <w:rsid w:val="000B7357"/>
    <w:rsid w:val="000B7441"/>
    <w:rsid w:val="000B7493"/>
    <w:rsid w:val="000B7BC1"/>
    <w:rsid w:val="000B7CD8"/>
    <w:rsid w:val="000B7F3F"/>
    <w:rsid w:val="000C0010"/>
    <w:rsid w:val="000C05CA"/>
    <w:rsid w:val="000C1226"/>
    <w:rsid w:val="000C155B"/>
    <w:rsid w:val="000C1CA1"/>
    <w:rsid w:val="000C254A"/>
    <w:rsid w:val="000C2A7A"/>
    <w:rsid w:val="000C2BD1"/>
    <w:rsid w:val="000C332F"/>
    <w:rsid w:val="000C39A9"/>
    <w:rsid w:val="000C3FD0"/>
    <w:rsid w:val="000C4BA2"/>
    <w:rsid w:val="000C5010"/>
    <w:rsid w:val="000C5D85"/>
    <w:rsid w:val="000C5DAD"/>
    <w:rsid w:val="000C6A6F"/>
    <w:rsid w:val="000C6EB0"/>
    <w:rsid w:val="000C6FB1"/>
    <w:rsid w:val="000C7720"/>
    <w:rsid w:val="000C7759"/>
    <w:rsid w:val="000C7888"/>
    <w:rsid w:val="000C78F7"/>
    <w:rsid w:val="000C7D39"/>
    <w:rsid w:val="000D050F"/>
    <w:rsid w:val="000D07CB"/>
    <w:rsid w:val="000D0ADC"/>
    <w:rsid w:val="000D0BCE"/>
    <w:rsid w:val="000D0D8C"/>
    <w:rsid w:val="000D111B"/>
    <w:rsid w:val="000D1E2C"/>
    <w:rsid w:val="000D1EA9"/>
    <w:rsid w:val="000D28F9"/>
    <w:rsid w:val="000D3A0D"/>
    <w:rsid w:val="000D41C8"/>
    <w:rsid w:val="000D4372"/>
    <w:rsid w:val="000D5502"/>
    <w:rsid w:val="000D5CD9"/>
    <w:rsid w:val="000D608B"/>
    <w:rsid w:val="000D64F3"/>
    <w:rsid w:val="000D6903"/>
    <w:rsid w:val="000D6A1E"/>
    <w:rsid w:val="000D6F17"/>
    <w:rsid w:val="000D6F64"/>
    <w:rsid w:val="000D6F86"/>
    <w:rsid w:val="000D6FF6"/>
    <w:rsid w:val="000D71B3"/>
    <w:rsid w:val="000D7888"/>
    <w:rsid w:val="000D7C7B"/>
    <w:rsid w:val="000D7C8D"/>
    <w:rsid w:val="000D7EE3"/>
    <w:rsid w:val="000E0452"/>
    <w:rsid w:val="000E0550"/>
    <w:rsid w:val="000E095B"/>
    <w:rsid w:val="000E0BA0"/>
    <w:rsid w:val="000E106F"/>
    <w:rsid w:val="000E11F6"/>
    <w:rsid w:val="000E120F"/>
    <w:rsid w:val="000E19A2"/>
    <w:rsid w:val="000E23A3"/>
    <w:rsid w:val="000E2553"/>
    <w:rsid w:val="000E25E3"/>
    <w:rsid w:val="000E3324"/>
    <w:rsid w:val="000E35CE"/>
    <w:rsid w:val="000E3920"/>
    <w:rsid w:val="000E4438"/>
    <w:rsid w:val="000E5378"/>
    <w:rsid w:val="000E5688"/>
    <w:rsid w:val="000E5E5F"/>
    <w:rsid w:val="000E65FB"/>
    <w:rsid w:val="000E6C94"/>
    <w:rsid w:val="000E78CC"/>
    <w:rsid w:val="000F09DF"/>
    <w:rsid w:val="000F0A37"/>
    <w:rsid w:val="000F0EC2"/>
    <w:rsid w:val="000F0F2D"/>
    <w:rsid w:val="000F1151"/>
    <w:rsid w:val="000F1B37"/>
    <w:rsid w:val="000F1B48"/>
    <w:rsid w:val="000F1F6C"/>
    <w:rsid w:val="000F2527"/>
    <w:rsid w:val="000F2674"/>
    <w:rsid w:val="000F2CB7"/>
    <w:rsid w:val="000F2E61"/>
    <w:rsid w:val="000F30B6"/>
    <w:rsid w:val="000F3209"/>
    <w:rsid w:val="000F361D"/>
    <w:rsid w:val="000F3A8E"/>
    <w:rsid w:val="000F3D7D"/>
    <w:rsid w:val="000F3DE4"/>
    <w:rsid w:val="000F437C"/>
    <w:rsid w:val="000F510E"/>
    <w:rsid w:val="000F53C1"/>
    <w:rsid w:val="000F53E2"/>
    <w:rsid w:val="000F5BF8"/>
    <w:rsid w:val="000F5DC0"/>
    <w:rsid w:val="000F60C2"/>
    <w:rsid w:val="000F62F7"/>
    <w:rsid w:val="000F6441"/>
    <w:rsid w:val="000F64EF"/>
    <w:rsid w:val="000F6A76"/>
    <w:rsid w:val="000F6BC1"/>
    <w:rsid w:val="000F6F53"/>
    <w:rsid w:val="000F70B4"/>
    <w:rsid w:val="000F71A5"/>
    <w:rsid w:val="000F75FD"/>
    <w:rsid w:val="000F7660"/>
    <w:rsid w:val="000F7B23"/>
    <w:rsid w:val="000F7DB2"/>
    <w:rsid w:val="000F7E01"/>
    <w:rsid w:val="000F7EED"/>
    <w:rsid w:val="000F7F42"/>
    <w:rsid w:val="0010094F"/>
    <w:rsid w:val="0010097D"/>
    <w:rsid w:val="00100B04"/>
    <w:rsid w:val="001011D7"/>
    <w:rsid w:val="001018E8"/>
    <w:rsid w:val="00101BFB"/>
    <w:rsid w:val="00101DCB"/>
    <w:rsid w:val="00102061"/>
    <w:rsid w:val="00102145"/>
    <w:rsid w:val="0010297D"/>
    <w:rsid w:val="001030D0"/>
    <w:rsid w:val="00103655"/>
    <w:rsid w:val="00103B74"/>
    <w:rsid w:val="00104092"/>
    <w:rsid w:val="001040FB"/>
    <w:rsid w:val="00105290"/>
    <w:rsid w:val="001059CA"/>
    <w:rsid w:val="00106473"/>
    <w:rsid w:val="0010664E"/>
    <w:rsid w:val="001067FC"/>
    <w:rsid w:val="00106B4D"/>
    <w:rsid w:val="00107171"/>
    <w:rsid w:val="00107422"/>
    <w:rsid w:val="0010786F"/>
    <w:rsid w:val="001079AC"/>
    <w:rsid w:val="00107D24"/>
    <w:rsid w:val="00110182"/>
    <w:rsid w:val="00110700"/>
    <w:rsid w:val="0011073A"/>
    <w:rsid w:val="001107EC"/>
    <w:rsid w:val="0011089F"/>
    <w:rsid w:val="0011091A"/>
    <w:rsid w:val="00110BBF"/>
    <w:rsid w:val="001111C4"/>
    <w:rsid w:val="0011138E"/>
    <w:rsid w:val="001116CB"/>
    <w:rsid w:val="00111A13"/>
    <w:rsid w:val="00111D29"/>
    <w:rsid w:val="00111FFF"/>
    <w:rsid w:val="00112B45"/>
    <w:rsid w:val="001138C1"/>
    <w:rsid w:val="001141DF"/>
    <w:rsid w:val="001143E0"/>
    <w:rsid w:val="001157E1"/>
    <w:rsid w:val="00115D00"/>
    <w:rsid w:val="001160E4"/>
    <w:rsid w:val="0011629D"/>
    <w:rsid w:val="001162F1"/>
    <w:rsid w:val="0011756D"/>
    <w:rsid w:val="0011781A"/>
    <w:rsid w:val="0011783D"/>
    <w:rsid w:val="00117A01"/>
    <w:rsid w:val="00117E8A"/>
    <w:rsid w:val="00120189"/>
    <w:rsid w:val="00120208"/>
    <w:rsid w:val="00120647"/>
    <w:rsid w:val="00120959"/>
    <w:rsid w:val="001209FE"/>
    <w:rsid w:val="00120CF6"/>
    <w:rsid w:val="00121591"/>
    <w:rsid w:val="001219CF"/>
    <w:rsid w:val="00121EE1"/>
    <w:rsid w:val="00122156"/>
    <w:rsid w:val="001224A5"/>
    <w:rsid w:val="00122F60"/>
    <w:rsid w:val="00123E3E"/>
    <w:rsid w:val="00124D87"/>
    <w:rsid w:val="00125B3C"/>
    <w:rsid w:val="00125FA3"/>
    <w:rsid w:val="00126A45"/>
    <w:rsid w:val="0012708E"/>
    <w:rsid w:val="00127263"/>
    <w:rsid w:val="001272EA"/>
    <w:rsid w:val="0012786A"/>
    <w:rsid w:val="00127BE5"/>
    <w:rsid w:val="00127EA1"/>
    <w:rsid w:val="00127EEA"/>
    <w:rsid w:val="0013036E"/>
    <w:rsid w:val="00130459"/>
    <w:rsid w:val="00130743"/>
    <w:rsid w:val="00130981"/>
    <w:rsid w:val="001309B3"/>
    <w:rsid w:val="001309C3"/>
    <w:rsid w:val="00130C5C"/>
    <w:rsid w:val="001310E6"/>
    <w:rsid w:val="001323BB"/>
    <w:rsid w:val="001323F3"/>
    <w:rsid w:val="001326ED"/>
    <w:rsid w:val="00132780"/>
    <w:rsid w:val="00132AB0"/>
    <w:rsid w:val="00132B93"/>
    <w:rsid w:val="00132D2F"/>
    <w:rsid w:val="00132F90"/>
    <w:rsid w:val="00134956"/>
    <w:rsid w:val="00135679"/>
    <w:rsid w:val="00135C3B"/>
    <w:rsid w:val="001361DE"/>
    <w:rsid w:val="00136853"/>
    <w:rsid w:val="0013696A"/>
    <w:rsid w:val="00136998"/>
    <w:rsid w:val="00136B21"/>
    <w:rsid w:val="00136DEF"/>
    <w:rsid w:val="0013739F"/>
    <w:rsid w:val="00137471"/>
    <w:rsid w:val="001376B8"/>
    <w:rsid w:val="0013793C"/>
    <w:rsid w:val="00137C14"/>
    <w:rsid w:val="0014020A"/>
    <w:rsid w:val="001406EB"/>
    <w:rsid w:val="001407B2"/>
    <w:rsid w:val="001409FF"/>
    <w:rsid w:val="00140C8D"/>
    <w:rsid w:val="00140E8A"/>
    <w:rsid w:val="0014106A"/>
    <w:rsid w:val="00141236"/>
    <w:rsid w:val="001413EE"/>
    <w:rsid w:val="001418FF"/>
    <w:rsid w:val="00141910"/>
    <w:rsid w:val="00141AE9"/>
    <w:rsid w:val="00141DCB"/>
    <w:rsid w:val="00141E81"/>
    <w:rsid w:val="001425AC"/>
    <w:rsid w:val="001428C7"/>
    <w:rsid w:val="001436B5"/>
    <w:rsid w:val="001439AC"/>
    <w:rsid w:val="00143A41"/>
    <w:rsid w:val="00143B8B"/>
    <w:rsid w:val="00143DFD"/>
    <w:rsid w:val="00144590"/>
    <w:rsid w:val="0014478C"/>
    <w:rsid w:val="00145211"/>
    <w:rsid w:val="00145333"/>
    <w:rsid w:val="001456DC"/>
    <w:rsid w:val="00145D2B"/>
    <w:rsid w:val="00145EA7"/>
    <w:rsid w:val="00146CC4"/>
    <w:rsid w:val="00147573"/>
    <w:rsid w:val="00147AFB"/>
    <w:rsid w:val="001506CE"/>
    <w:rsid w:val="0015079E"/>
    <w:rsid w:val="00150A4F"/>
    <w:rsid w:val="00150B41"/>
    <w:rsid w:val="00150ED0"/>
    <w:rsid w:val="0015115B"/>
    <w:rsid w:val="00151649"/>
    <w:rsid w:val="00151812"/>
    <w:rsid w:val="00151D62"/>
    <w:rsid w:val="00151F5B"/>
    <w:rsid w:val="001522D7"/>
    <w:rsid w:val="00153291"/>
    <w:rsid w:val="001532F5"/>
    <w:rsid w:val="0015387E"/>
    <w:rsid w:val="001539A4"/>
    <w:rsid w:val="00153B0C"/>
    <w:rsid w:val="0015400A"/>
    <w:rsid w:val="00154790"/>
    <w:rsid w:val="00154B37"/>
    <w:rsid w:val="00154E01"/>
    <w:rsid w:val="0015571D"/>
    <w:rsid w:val="00155805"/>
    <w:rsid w:val="00155E12"/>
    <w:rsid w:val="00156344"/>
    <w:rsid w:val="00156405"/>
    <w:rsid w:val="00156846"/>
    <w:rsid w:val="00156A9F"/>
    <w:rsid w:val="00156C45"/>
    <w:rsid w:val="001574FC"/>
    <w:rsid w:val="001579D6"/>
    <w:rsid w:val="00157C88"/>
    <w:rsid w:val="0016050A"/>
    <w:rsid w:val="0016086F"/>
    <w:rsid w:val="00160DA4"/>
    <w:rsid w:val="0016106B"/>
    <w:rsid w:val="00161161"/>
    <w:rsid w:val="0016120C"/>
    <w:rsid w:val="001617AB"/>
    <w:rsid w:val="00161ED0"/>
    <w:rsid w:val="00162211"/>
    <w:rsid w:val="00162D1E"/>
    <w:rsid w:val="00162D94"/>
    <w:rsid w:val="00163769"/>
    <w:rsid w:val="00163C34"/>
    <w:rsid w:val="00164B62"/>
    <w:rsid w:val="0016552B"/>
    <w:rsid w:val="001659D2"/>
    <w:rsid w:val="00165B85"/>
    <w:rsid w:val="00165DDD"/>
    <w:rsid w:val="00165EE3"/>
    <w:rsid w:val="0016611F"/>
    <w:rsid w:val="001661C9"/>
    <w:rsid w:val="001666AE"/>
    <w:rsid w:val="0016692D"/>
    <w:rsid w:val="00166B8A"/>
    <w:rsid w:val="00166CC4"/>
    <w:rsid w:val="00166EBD"/>
    <w:rsid w:val="001671BE"/>
    <w:rsid w:val="0016753C"/>
    <w:rsid w:val="00167895"/>
    <w:rsid w:val="00167BBA"/>
    <w:rsid w:val="00167CAD"/>
    <w:rsid w:val="001706FB"/>
    <w:rsid w:val="00170BE9"/>
    <w:rsid w:val="00170F30"/>
    <w:rsid w:val="00170FFC"/>
    <w:rsid w:val="001714C5"/>
    <w:rsid w:val="00171BEB"/>
    <w:rsid w:val="0017204A"/>
    <w:rsid w:val="00172432"/>
    <w:rsid w:val="00172437"/>
    <w:rsid w:val="00172866"/>
    <w:rsid w:val="00172E58"/>
    <w:rsid w:val="00173632"/>
    <w:rsid w:val="001736F5"/>
    <w:rsid w:val="00173D29"/>
    <w:rsid w:val="00173E42"/>
    <w:rsid w:val="00173FE0"/>
    <w:rsid w:val="00174954"/>
    <w:rsid w:val="001753DE"/>
    <w:rsid w:val="00175412"/>
    <w:rsid w:val="0017559A"/>
    <w:rsid w:val="00175A0F"/>
    <w:rsid w:val="00175C7E"/>
    <w:rsid w:val="00175CD8"/>
    <w:rsid w:val="00176031"/>
    <w:rsid w:val="00176AEC"/>
    <w:rsid w:val="001779C8"/>
    <w:rsid w:val="001779E3"/>
    <w:rsid w:val="00177AAB"/>
    <w:rsid w:val="00180009"/>
    <w:rsid w:val="00180397"/>
    <w:rsid w:val="00180458"/>
    <w:rsid w:val="001804A2"/>
    <w:rsid w:val="0018084E"/>
    <w:rsid w:val="00180AB7"/>
    <w:rsid w:val="00180E8F"/>
    <w:rsid w:val="00181269"/>
    <w:rsid w:val="00181317"/>
    <w:rsid w:val="00181413"/>
    <w:rsid w:val="001819C2"/>
    <w:rsid w:val="00182039"/>
    <w:rsid w:val="00182177"/>
    <w:rsid w:val="001824AC"/>
    <w:rsid w:val="00182D59"/>
    <w:rsid w:val="0018386D"/>
    <w:rsid w:val="00183EDC"/>
    <w:rsid w:val="0018414F"/>
    <w:rsid w:val="001841E8"/>
    <w:rsid w:val="0018483D"/>
    <w:rsid w:val="0018494D"/>
    <w:rsid w:val="00184B6E"/>
    <w:rsid w:val="00184F93"/>
    <w:rsid w:val="00185686"/>
    <w:rsid w:val="0018596B"/>
    <w:rsid w:val="00185AED"/>
    <w:rsid w:val="00185B68"/>
    <w:rsid w:val="0018668E"/>
    <w:rsid w:val="00186762"/>
    <w:rsid w:val="00186880"/>
    <w:rsid w:val="00186896"/>
    <w:rsid w:val="00186C8C"/>
    <w:rsid w:val="00186D4B"/>
    <w:rsid w:val="0018749C"/>
    <w:rsid w:val="00187920"/>
    <w:rsid w:val="00187A1F"/>
    <w:rsid w:val="00190410"/>
    <w:rsid w:val="00190470"/>
    <w:rsid w:val="001908C9"/>
    <w:rsid w:val="00190EC0"/>
    <w:rsid w:val="001917CE"/>
    <w:rsid w:val="00191A56"/>
    <w:rsid w:val="001925C4"/>
    <w:rsid w:val="00192610"/>
    <w:rsid w:val="00192745"/>
    <w:rsid w:val="00192B83"/>
    <w:rsid w:val="00192BC8"/>
    <w:rsid w:val="001931D7"/>
    <w:rsid w:val="00193D00"/>
    <w:rsid w:val="00194140"/>
    <w:rsid w:val="0019418C"/>
    <w:rsid w:val="001943C7"/>
    <w:rsid w:val="00194689"/>
    <w:rsid w:val="001947CF"/>
    <w:rsid w:val="001947DF"/>
    <w:rsid w:val="001953DB"/>
    <w:rsid w:val="00196172"/>
    <w:rsid w:val="00196514"/>
    <w:rsid w:val="0019652C"/>
    <w:rsid w:val="00196AF7"/>
    <w:rsid w:val="00196ED7"/>
    <w:rsid w:val="00197108"/>
    <w:rsid w:val="00197472"/>
    <w:rsid w:val="001974C3"/>
    <w:rsid w:val="00197546"/>
    <w:rsid w:val="00197611"/>
    <w:rsid w:val="00197DC3"/>
    <w:rsid w:val="00197EFC"/>
    <w:rsid w:val="00197F01"/>
    <w:rsid w:val="00197FBC"/>
    <w:rsid w:val="001A0008"/>
    <w:rsid w:val="001A00AC"/>
    <w:rsid w:val="001A012F"/>
    <w:rsid w:val="001A033D"/>
    <w:rsid w:val="001A0535"/>
    <w:rsid w:val="001A0954"/>
    <w:rsid w:val="001A205E"/>
    <w:rsid w:val="001A22FC"/>
    <w:rsid w:val="001A2D2E"/>
    <w:rsid w:val="001A3029"/>
    <w:rsid w:val="001A34FB"/>
    <w:rsid w:val="001A35C2"/>
    <w:rsid w:val="001A385B"/>
    <w:rsid w:val="001A38C7"/>
    <w:rsid w:val="001A4067"/>
    <w:rsid w:val="001A4C4D"/>
    <w:rsid w:val="001A509E"/>
    <w:rsid w:val="001A5338"/>
    <w:rsid w:val="001A59B7"/>
    <w:rsid w:val="001A5AF2"/>
    <w:rsid w:val="001A6200"/>
    <w:rsid w:val="001A66EB"/>
    <w:rsid w:val="001A6AF2"/>
    <w:rsid w:val="001A7009"/>
    <w:rsid w:val="001A7C42"/>
    <w:rsid w:val="001A7F31"/>
    <w:rsid w:val="001B0271"/>
    <w:rsid w:val="001B0592"/>
    <w:rsid w:val="001B0788"/>
    <w:rsid w:val="001B08F3"/>
    <w:rsid w:val="001B0A6D"/>
    <w:rsid w:val="001B0AEC"/>
    <w:rsid w:val="001B0CA6"/>
    <w:rsid w:val="001B1216"/>
    <w:rsid w:val="001B188F"/>
    <w:rsid w:val="001B19D6"/>
    <w:rsid w:val="001B1D98"/>
    <w:rsid w:val="001B1E72"/>
    <w:rsid w:val="001B209E"/>
    <w:rsid w:val="001B2EE2"/>
    <w:rsid w:val="001B3043"/>
    <w:rsid w:val="001B3273"/>
    <w:rsid w:val="001B3370"/>
    <w:rsid w:val="001B3625"/>
    <w:rsid w:val="001B3B9B"/>
    <w:rsid w:val="001B3C11"/>
    <w:rsid w:val="001B42E8"/>
    <w:rsid w:val="001B4810"/>
    <w:rsid w:val="001B48F1"/>
    <w:rsid w:val="001B49DF"/>
    <w:rsid w:val="001B4CAC"/>
    <w:rsid w:val="001B53C2"/>
    <w:rsid w:val="001B5E1A"/>
    <w:rsid w:val="001B5ED4"/>
    <w:rsid w:val="001B62D1"/>
    <w:rsid w:val="001B6543"/>
    <w:rsid w:val="001B6DF1"/>
    <w:rsid w:val="001B6FCA"/>
    <w:rsid w:val="001B7A37"/>
    <w:rsid w:val="001B7DA3"/>
    <w:rsid w:val="001B7F73"/>
    <w:rsid w:val="001C0146"/>
    <w:rsid w:val="001C1949"/>
    <w:rsid w:val="001C1B48"/>
    <w:rsid w:val="001C1B63"/>
    <w:rsid w:val="001C286F"/>
    <w:rsid w:val="001C2A99"/>
    <w:rsid w:val="001C34CE"/>
    <w:rsid w:val="001C37A6"/>
    <w:rsid w:val="001C3856"/>
    <w:rsid w:val="001C39BB"/>
    <w:rsid w:val="001C3CF6"/>
    <w:rsid w:val="001C418A"/>
    <w:rsid w:val="001C45A0"/>
    <w:rsid w:val="001C4654"/>
    <w:rsid w:val="001C4E04"/>
    <w:rsid w:val="001C4F58"/>
    <w:rsid w:val="001C4FFF"/>
    <w:rsid w:val="001C518A"/>
    <w:rsid w:val="001C51DD"/>
    <w:rsid w:val="001C5328"/>
    <w:rsid w:val="001C5602"/>
    <w:rsid w:val="001C564F"/>
    <w:rsid w:val="001C5803"/>
    <w:rsid w:val="001C6185"/>
    <w:rsid w:val="001C78E9"/>
    <w:rsid w:val="001D02ED"/>
    <w:rsid w:val="001D0653"/>
    <w:rsid w:val="001D0F63"/>
    <w:rsid w:val="001D10C0"/>
    <w:rsid w:val="001D1177"/>
    <w:rsid w:val="001D1C2E"/>
    <w:rsid w:val="001D2009"/>
    <w:rsid w:val="001D21B3"/>
    <w:rsid w:val="001D21FC"/>
    <w:rsid w:val="001D261E"/>
    <w:rsid w:val="001D27E8"/>
    <w:rsid w:val="001D2947"/>
    <w:rsid w:val="001D31A7"/>
    <w:rsid w:val="001D3447"/>
    <w:rsid w:val="001D35D4"/>
    <w:rsid w:val="001D370D"/>
    <w:rsid w:val="001D3C34"/>
    <w:rsid w:val="001D40AA"/>
    <w:rsid w:val="001D41EF"/>
    <w:rsid w:val="001D480A"/>
    <w:rsid w:val="001D4A8A"/>
    <w:rsid w:val="001D4B41"/>
    <w:rsid w:val="001D4D9D"/>
    <w:rsid w:val="001D5971"/>
    <w:rsid w:val="001D5995"/>
    <w:rsid w:val="001D5B81"/>
    <w:rsid w:val="001D5F17"/>
    <w:rsid w:val="001D5FA1"/>
    <w:rsid w:val="001D613E"/>
    <w:rsid w:val="001D6207"/>
    <w:rsid w:val="001D6A04"/>
    <w:rsid w:val="001D6FC9"/>
    <w:rsid w:val="001D728C"/>
    <w:rsid w:val="001D75F9"/>
    <w:rsid w:val="001D7A6F"/>
    <w:rsid w:val="001E005C"/>
    <w:rsid w:val="001E0625"/>
    <w:rsid w:val="001E0748"/>
    <w:rsid w:val="001E0956"/>
    <w:rsid w:val="001E1960"/>
    <w:rsid w:val="001E1F13"/>
    <w:rsid w:val="001E2353"/>
    <w:rsid w:val="001E2AB6"/>
    <w:rsid w:val="001E2BBF"/>
    <w:rsid w:val="001E3EC1"/>
    <w:rsid w:val="001E4409"/>
    <w:rsid w:val="001E44E2"/>
    <w:rsid w:val="001E4813"/>
    <w:rsid w:val="001E4D0D"/>
    <w:rsid w:val="001E4DF7"/>
    <w:rsid w:val="001E4E04"/>
    <w:rsid w:val="001E4E9D"/>
    <w:rsid w:val="001E55E4"/>
    <w:rsid w:val="001E56FD"/>
    <w:rsid w:val="001E6963"/>
    <w:rsid w:val="001E6C74"/>
    <w:rsid w:val="001E6D97"/>
    <w:rsid w:val="001E6E76"/>
    <w:rsid w:val="001E73A9"/>
    <w:rsid w:val="001E76A7"/>
    <w:rsid w:val="001F03BC"/>
    <w:rsid w:val="001F0B12"/>
    <w:rsid w:val="001F0F68"/>
    <w:rsid w:val="001F13DB"/>
    <w:rsid w:val="001F170C"/>
    <w:rsid w:val="001F18EF"/>
    <w:rsid w:val="001F28E6"/>
    <w:rsid w:val="001F3010"/>
    <w:rsid w:val="001F3306"/>
    <w:rsid w:val="001F3808"/>
    <w:rsid w:val="001F4118"/>
    <w:rsid w:val="001F46C6"/>
    <w:rsid w:val="001F4A88"/>
    <w:rsid w:val="001F4BC7"/>
    <w:rsid w:val="001F500B"/>
    <w:rsid w:val="001F5200"/>
    <w:rsid w:val="001F53F0"/>
    <w:rsid w:val="001F54A3"/>
    <w:rsid w:val="001F562F"/>
    <w:rsid w:val="001F581C"/>
    <w:rsid w:val="001F5BA5"/>
    <w:rsid w:val="001F5EDD"/>
    <w:rsid w:val="001F62A7"/>
    <w:rsid w:val="001F62B9"/>
    <w:rsid w:val="001F66B7"/>
    <w:rsid w:val="001F6FEC"/>
    <w:rsid w:val="001F71BD"/>
    <w:rsid w:val="001F76AD"/>
    <w:rsid w:val="001F7AA9"/>
    <w:rsid w:val="001F7E96"/>
    <w:rsid w:val="00200577"/>
    <w:rsid w:val="00200745"/>
    <w:rsid w:val="00200842"/>
    <w:rsid w:val="00200846"/>
    <w:rsid w:val="0020092C"/>
    <w:rsid w:val="00200D7C"/>
    <w:rsid w:val="00200EDE"/>
    <w:rsid w:val="00200F05"/>
    <w:rsid w:val="002018CE"/>
    <w:rsid w:val="0020191F"/>
    <w:rsid w:val="00201A1E"/>
    <w:rsid w:val="00201D5A"/>
    <w:rsid w:val="00201F28"/>
    <w:rsid w:val="00202395"/>
    <w:rsid w:val="0020257A"/>
    <w:rsid w:val="00202A52"/>
    <w:rsid w:val="00203958"/>
    <w:rsid w:val="00203B5A"/>
    <w:rsid w:val="00203EAF"/>
    <w:rsid w:val="0020402C"/>
    <w:rsid w:val="00204636"/>
    <w:rsid w:val="00204693"/>
    <w:rsid w:val="0020475C"/>
    <w:rsid w:val="00204B60"/>
    <w:rsid w:val="00204BCA"/>
    <w:rsid w:val="00204BD6"/>
    <w:rsid w:val="00204CBF"/>
    <w:rsid w:val="00205A10"/>
    <w:rsid w:val="00205B46"/>
    <w:rsid w:val="00206014"/>
    <w:rsid w:val="0020618C"/>
    <w:rsid w:val="00206ACB"/>
    <w:rsid w:val="00206B48"/>
    <w:rsid w:val="00207135"/>
    <w:rsid w:val="00207656"/>
    <w:rsid w:val="0020780B"/>
    <w:rsid w:val="0020791D"/>
    <w:rsid w:val="00210702"/>
    <w:rsid w:val="002108A5"/>
    <w:rsid w:val="0021095A"/>
    <w:rsid w:val="00210E10"/>
    <w:rsid w:val="00211148"/>
    <w:rsid w:val="002113BB"/>
    <w:rsid w:val="00211647"/>
    <w:rsid w:val="002118DB"/>
    <w:rsid w:val="00211A69"/>
    <w:rsid w:val="00211E4A"/>
    <w:rsid w:val="00212176"/>
    <w:rsid w:val="0021250F"/>
    <w:rsid w:val="002129E4"/>
    <w:rsid w:val="0021369B"/>
    <w:rsid w:val="00213D2E"/>
    <w:rsid w:val="00213E57"/>
    <w:rsid w:val="00213F26"/>
    <w:rsid w:val="00214511"/>
    <w:rsid w:val="00214796"/>
    <w:rsid w:val="00214849"/>
    <w:rsid w:val="00214F0E"/>
    <w:rsid w:val="002152F2"/>
    <w:rsid w:val="00215302"/>
    <w:rsid w:val="002153B8"/>
    <w:rsid w:val="002154A7"/>
    <w:rsid w:val="002155C9"/>
    <w:rsid w:val="00216733"/>
    <w:rsid w:val="00216CFE"/>
    <w:rsid w:val="00216EEA"/>
    <w:rsid w:val="0021701C"/>
    <w:rsid w:val="00217BBD"/>
    <w:rsid w:val="00217F4B"/>
    <w:rsid w:val="00220063"/>
    <w:rsid w:val="00220D72"/>
    <w:rsid w:val="00220F88"/>
    <w:rsid w:val="00221084"/>
    <w:rsid w:val="002210F1"/>
    <w:rsid w:val="0022132E"/>
    <w:rsid w:val="00221504"/>
    <w:rsid w:val="002215E8"/>
    <w:rsid w:val="002219C9"/>
    <w:rsid w:val="002219F4"/>
    <w:rsid w:val="00221D6B"/>
    <w:rsid w:val="00221E33"/>
    <w:rsid w:val="00221EB8"/>
    <w:rsid w:val="00222194"/>
    <w:rsid w:val="00222586"/>
    <w:rsid w:val="00222A28"/>
    <w:rsid w:val="002239A3"/>
    <w:rsid w:val="00223B9C"/>
    <w:rsid w:val="00224445"/>
    <w:rsid w:val="00224720"/>
    <w:rsid w:val="00224A82"/>
    <w:rsid w:val="00224EFB"/>
    <w:rsid w:val="00224FAA"/>
    <w:rsid w:val="00225331"/>
    <w:rsid w:val="00225848"/>
    <w:rsid w:val="00225D24"/>
    <w:rsid w:val="00225E84"/>
    <w:rsid w:val="0022616F"/>
    <w:rsid w:val="00226408"/>
    <w:rsid w:val="00226422"/>
    <w:rsid w:val="0022665F"/>
    <w:rsid w:val="0022671B"/>
    <w:rsid w:val="00226FB5"/>
    <w:rsid w:val="00227029"/>
    <w:rsid w:val="00227130"/>
    <w:rsid w:val="002272AA"/>
    <w:rsid w:val="00227A78"/>
    <w:rsid w:val="00230801"/>
    <w:rsid w:val="00230D3E"/>
    <w:rsid w:val="00231241"/>
    <w:rsid w:val="00232C5A"/>
    <w:rsid w:val="00232EC7"/>
    <w:rsid w:val="00233135"/>
    <w:rsid w:val="00233751"/>
    <w:rsid w:val="00233807"/>
    <w:rsid w:val="002339AB"/>
    <w:rsid w:val="002341A2"/>
    <w:rsid w:val="0023444B"/>
    <w:rsid w:val="0023491A"/>
    <w:rsid w:val="0023497E"/>
    <w:rsid w:val="00234B46"/>
    <w:rsid w:val="002353AE"/>
    <w:rsid w:val="002356D1"/>
    <w:rsid w:val="00235714"/>
    <w:rsid w:val="002361D1"/>
    <w:rsid w:val="00236300"/>
    <w:rsid w:val="002365B4"/>
    <w:rsid w:val="0023695D"/>
    <w:rsid w:val="00236B1F"/>
    <w:rsid w:val="00236DC8"/>
    <w:rsid w:val="00237A2E"/>
    <w:rsid w:val="00240670"/>
    <w:rsid w:val="002409E5"/>
    <w:rsid w:val="00240FEE"/>
    <w:rsid w:val="0024131A"/>
    <w:rsid w:val="002414EC"/>
    <w:rsid w:val="00241730"/>
    <w:rsid w:val="00241CBC"/>
    <w:rsid w:val="002422E8"/>
    <w:rsid w:val="002422F4"/>
    <w:rsid w:val="00242557"/>
    <w:rsid w:val="0024257B"/>
    <w:rsid w:val="002428B8"/>
    <w:rsid w:val="002432B2"/>
    <w:rsid w:val="00243799"/>
    <w:rsid w:val="00243CF0"/>
    <w:rsid w:val="00243EBC"/>
    <w:rsid w:val="0024436B"/>
    <w:rsid w:val="002448AD"/>
    <w:rsid w:val="00245334"/>
    <w:rsid w:val="00245641"/>
    <w:rsid w:val="00245904"/>
    <w:rsid w:val="0024590C"/>
    <w:rsid w:val="00245A2F"/>
    <w:rsid w:val="00245AEB"/>
    <w:rsid w:val="00245B5D"/>
    <w:rsid w:val="00245C44"/>
    <w:rsid w:val="00246240"/>
    <w:rsid w:val="0024678D"/>
    <w:rsid w:val="002468EC"/>
    <w:rsid w:val="00246F40"/>
    <w:rsid w:val="002472AF"/>
    <w:rsid w:val="00250346"/>
    <w:rsid w:val="00250B43"/>
    <w:rsid w:val="00250CBB"/>
    <w:rsid w:val="00251E64"/>
    <w:rsid w:val="00251EEE"/>
    <w:rsid w:val="00252A67"/>
    <w:rsid w:val="00252AC7"/>
    <w:rsid w:val="00252ADD"/>
    <w:rsid w:val="00252E22"/>
    <w:rsid w:val="002531D5"/>
    <w:rsid w:val="00253206"/>
    <w:rsid w:val="002535E2"/>
    <w:rsid w:val="002539EF"/>
    <w:rsid w:val="00253F20"/>
    <w:rsid w:val="00253F9B"/>
    <w:rsid w:val="00254214"/>
    <w:rsid w:val="00254639"/>
    <w:rsid w:val="00254641"/>
    <w:rsid w:val="00254684"/>
    <w:rsid w:val="00254A3B"/>
    <w:rsid w:val="00255ADC"/>
    <w:rsid w:val="00255D7E"/>
    <w:rsid w:val="00255ECF"/>
    <w:rsid w:val="00256BF6"/>
    <w:rsid w:val="002575FF"/>
    <w:rsid w:val="00257964"/>
    <w:rsid w:val="002600BC"/>
    <w:rsid w:val="00260369"/>
    <w:rsid w:val="00260989"/>
    <w:rsid w:val="00260AA7"/>
    <w:rsid w:val="00260F41"/>
    <w:rsid w:val="00260FCA"/>
    <w:rsid w:val="002610C3"/>
    <w:rsid w:val="002614D9"/>
    <w:rsid w:val="00261695"/>
    <w:rsid w:val="002616D3"/>
    <w:rsid w:val="00261CB4"/>
    <w:rsid w:val="00262D42"/>
    <w:rsid w:val="00262FC0"/>
    <w:rsid w:val="0026347B"/>
    <w:rsid w:val="00263512"/>
    <w:rsid w:val="00263624"/>
    <w:rsid w:val="00263706"/>
    <w:rsid w:val="0026375F"/>
    <w:rsid w:val="00264538"/>
    <w:rsid w:val="00264AEA"/>
    <w:rsid w:val="00264BFE"/>
    <w:rsid w:val="002651B6"/>
    <w:rsid w:val="00266276"/>
    <w:rsid w:val="00266622"/>
    <w:rsid w:val="00267553"/>
    <w:rsid w:val="00267769"/>
    <w:rsid w:val="00267CE7"/>
    <w:rsid w:val="00267E74"/>
    <w:rsid w:val="002713CF"/>
    <w:rsid w:val="00271925"/>
    <w:rsid w:val="00271A8A"/>
    <w:rsid w:val="00271D40"/>
    <w:rsid w:val="00272027"/>
    <w:rsid w:val="002728A9"/>
    <w:rsid w:val="002728B8"/>
    <w:rsid w:val="00273635"/>
    <w:rsid w:val="00273697"/>
    <w:rsid w:val="00273793"/>
    <w:rsid w:val="002738F9"/>
    <w:rsid w:val="002741C7"/>
    <w:rsid w:val="00274519"/>
    <w:rsid w:val="00274568"/>
    <w:rsid w:val="00274818"/>
    <w:rsid w:val="00274877"/>
    <w:rsid w:val="00274A92"/>
    <w:rsid w:val="00274E14"/>
    <w:rsid w:val="0027565E"/>
    <w:rsid w:val="0027584F"/>
    <w:rsid w:val="00275A06"/>
    <w:rsid w:val="00275A52"/>
    <w:rsid w:val="00275E09"/>
    <w:rsid w:val="00276361"/>
    <w:rsid w:val="00276376"/>
    <w:rsid w:val="0027648F"/>
    <w:rsid w:val="00276D4D"/>
    <w:rsid w:val="00276F5B"/>
    <w:rsid w:val="0027718D"/>
    <w:rsid w:val="0027719D"/>
    <w:rsid w:val="002775B3"/>
    <w:rsid w:val="00277A30"/>
    <w:rsid w:val="00277F77"/>
    <w:rsid w:val="002801CD"/>
    <w:rsid w:val="002804B3"/>
    <w:rsid w:val="00280CA3"/>
    <w:rsid w:val="00281023"/>
    <w:rsid w:val="00281458"/>
    <w:rsid w:val="0028229E"/>
    <w:rsid w:val="0028248E"/>
    <w:rsid w:val="0028255D"/>
    <w:rsid w:val="0028396A"/>
    <w:rsid w:val="00283F36"/>
    <w:rsid w:val="00284B49"/>
    <w:rsid w:val="00284E18"/>
    <w:rsid w:val="00284F29"/>
    <w:rsid w:val="00284F76"/>
    <w:rsid w:val="0028552E"/>
    <w:rsid w:val="00285E39"/>
    <w:rsid w:val="00286586"/>
    <w:rsid w:val="002865F2"/>
    <w:rsid w:val="00286911"/>
    <w:rsid w:val="00286AE2"/>
    <w:rsid w:val="00287878"/>
    <w:rsid w:val="002879F6"/>
    <w:rsid w:val="00287BA7"/>
    <w:rsid w:val="00287BAA"/>
    <w:rsid w:val="0029012A"/>
    <w:rsid w:val="002903B5"/>
    <w:rsid w:val="00290A27"/>
    <w:rsid w:val="00290C34"/>
    <w:rsid w:val="002916AC"/>
    <w:rsid w:val="00291B89"/>
    <w:rsid w:val="00291C63"/>
    <w:rsid w:val="002924E6"/>
    <w:rsid w:val="00292975"/>
    <w:rsid w:val="00292C60"/>
    <w:rsid w:val="00292FBE"/>
    <w:rsid w:val="0029342A"/>
    <w:rsid w:val="0029396D"/>
    <w:rsid w:val="002939E2"/>
    <w:rsid w:val="002940C3"/>
    <w:rsid w:val="00294A95"/>
    <w:rsid w:val="00294B05"/>
    <w:rsid w:val="002953B6"/>
    <w:rsid w:val="00295EB4"/>
    <w:rsid w:val="002963D3"/>
    <w:rsid w:val="00296ADA"/>
    <w:rsid w:val="002971DF"/>
    <w:rsid w:val="002973FB"/>
    <w:rsid w:val="002975D2"/>
    <w:rsid w:val="00297749"/>
    <w:rsid w:val="00297A71"/>
    <w:rsid w:val="00297BA8"/>
    <w:rsid w:val="002A0337"/>
    <w:rsid w:val="002A072C"/>
    <w:rsid w:val="002A0ACC"/>
    <w:rsid w:val="002A1095"/>
    <w:rsid w:val="002A2AD6"/>
    <w:rsid w:val="002A2D63"/>
    <w:rsid w:val="002A2D7F"/>
    <w:rsid w:val="002A2F1A"/>
    <w:rsid w:val="002A363E"/>
    <w:rsid w:val="002A3645"/>
    <w:rsid w:val="002A369D"/>
    <w:rsid w:val="002A3B26"/>
    <w:rsid w:val="002A4055"/>
    <w:rsid w:val="002A4F83"/>
    <w:rsid w:val="002A5BDD"/>
    <w:rsid w:val="002A5C20"/>
    <w:rsid w:val="002A5C81"/>
    <w:rsid w:val="002A5FFB"/>
    <w:rsid w:val="002A66EB"/>
    <w:rsid w:val="002A675B"/>
    <w:rsid w:val="002A67A2"/>
    <w:rsid w:val="002A68C7"/>
    <w:rsid w:val="002A73F0"/>
    <w:rsid w:val="002A7601"/>
    <w:rsid w:val="002A7628"/>
    <w:rsid w:val="002A77B7"/>
    <w:rsid w:val="002A78EC"/>
    <w:rsid w:val="002A78F2"/>
    <w:rsid w:val="002A7987"/>
    <w:rsid w:val="002A7B20"/>
    <w:rsid w:val="002A7FC9"/>
    <w:rsid w:val="002B028B"/>
    <w:rsid w:val="002B0EC1"/>
    <w:rsid w:val="002B0FE2"/>
    <w:rsid w:val="002B1264"/>
    <w:rsid w:val="002B1982"/>
    <w:rsid w:val="002B1F69"/>
    <w:rsid w:val="002B21D8"/>
    <w:rsid w:val="002B228E"/>
    <w:rsid w:val="002B2EA9"/>
    <w:rsid w:val="002B3076"/>
    <w:rsid w:val="002B3D6E"/>
    <w:rsid w:val="002B3E90"/>
    <w:rsid w:val="002B41AF"/>
    <w:rsid w:val="002B45E2"/>
    <w:rsid w:val="002B47A3"/>
    <w:rsid w:val="002B4C5C"/>
    <w:rsid w:val="002B4E76"/>
    <w:rsid w:val="002B4FFE"/>
    <w:rsid w:val="002B5576"/>
    <w:rsid w:val="002B5A8A"/>
    <w:rsid w:val="002B5C76"/>
    <w:rsid w:val="002B683A"/>
    <w:rsid w:val="002B7679"/>
    <w:rsid w:val="002B7843"/>
    <w:rsid w:val="002B7A66"/>
    <w:rsid w:val="002B7E87"/>
    <w:rsid w:val="002B7EC8"/>
    <w:rsid w:val="002C0359"/>
    <w:rsid w:val="002C0416"/>
    <w:rsid w:val="002C0643"/>
    <w:rsid w:val="002C0989"/>
    <w:rsid w:val="002C0E04"/>
    <w:rsid w:val="002C1064"/>
    <w:rsid w:val="002C10C7"/>
    <w:rsid w:val="002C13A7"/>
    <w:rsid w:val="002C1531"/>
    <w:rsid w:val="002C1AA8"/>
    <w:rsid w:val="002C1CCB"/>
    <w:rsid w:val="002C1CFF"/>
    <w:rsid w:val="002C1F6C"/>
    <w:rsid w:val="002C20E4"/>
    <w:rsid w:val="002C3734"/>
    <w:rsid w:val="002C3D6C"/>
    <w:rsid w:val="002C42FA"/>
    <w:rsid w:val="002C4450"/>
    <w:rsid w:val="002C47F4"/>
    <w:rsid w:val="002C4E14"/>
    <w:rsid w:val="002C5159"/>
    <w:rsid w:val="002C53B1"/>
    <w:rsid w:val="002C54A0"/>
    <w:rsid w:val="002C5B23"/>
    <w:rsid w:val="002C5EC0"/>
    <w:rsid w:val="002C5EE7"/>
    <w:rsid w:val="002C6294"/>
    <w:rsid w:val="002C687F"/>
    <w:rsid w:val="002C6C06"/>
    <w:rsid w:val="002C6C92"/>
    <w:rsid w:val="002C6FA3"/>
    <w:rsid w:val="002C7170"/>
    <w:rsid w:val="002C7530"/>
    <w:rsid w:val="002C7C5D"/>
    <w:rsid w:val="002D00CF"/>
    <w:rsid w:val="002D0274"/>
    <w:rsid w:val="002D07A8"/>
    <w:rsid w:val="002D0AD2"/>
    <w:rsid w:val="002D0C50"/>
    <w:rsid w:val="002D0D58"/>
    <w:rsid w:val="002D0E6B"/>
    <w:rsid w:val="002D0F80"/>
    <w:rsid w:val="002D17DB"/>
    <w:rsid w:val="002D19E8"/>
    <w:rsid w:val="002D1E2C"/>
    <w:rsid w:val="002D2AC5"/>
    <w:rsid w:val="002D3212"/>
    <w:rsid w:val="002D3799"/>
    <w:rsid w:val="002D3A31"/>
    <w:rsid w:val="002D3A4E"/>
    <w:rsid w:val="002D4184"/>
    <w:rsid w:val="002D4318"/>
    <w:rsid w:val="002D45D1"/>
    <w:rsid w:val="002D4A3B"/>
    <w:rsid w:val="002D4A8F"/>
    <w:rsid w:val="002D4C35"/>
    <w:rsid w:val="002D4D36"/>
    <w:rsid w:val="002D4E0E"/>
    <w:rsid w:val="002D54A0"/>
    <w:rsid w:val="002D552B"/>
    <w:rsid w:val="002D5D80"/>
    <w:rsid w:val="002D60A4"/>
    <w:rsid w:val="002D789B"/>
    <w:rsid w:val="002D7981"/>
    <w:rsid w:val="002D7EC8"/>
    <w:rsid w:val="002E01D7"/>
    <w:rsid w:val="002E022A"/>
    <w:rsid w:val="002E04B1"/>
    <w:rsid w:val="002E14D0"/>
    <w:rsid w:val="002E1662"/>
    <w:rsid w:val="002E1BE4"/>
    <w:rsid w:val="002E1C52"/>
    <w:rsid w:val="002E1E04"/>
    <w:rsid w:val="002E2F25"/>
    <w:rsid w:val="002E30DF"/>
    <w:rsid w:val="002E3746"/>
    <w:rsid w:val="002E38F5"/>
    <w:rsid w:val="002E3C53"/>
    <w:rsid w:val="002E3C82"/>
    <w:rsid w:val="002E416A"/>
    <w:rsid w:val="002E44E7"/>
    <w:rsid w:val="002E46C8"/>
    <w:rsid w:val="002E4B4D"/>
    <w:rsid w:val="002E4F6F"/>
    <w:rsid w:val="002E52C8"/>
    <w:rsid w:val="002E540D"/>
    <w:rsid w:val="002E5500"/>
    <w:rsid w:val="002E5B7E"/>
    <w:rsid w:val="002E5DD1"/>
    <w:rsid w:val="002E62BE"/>
    <w:rsid w:val="002E62F8"/>
    <w:rsid w:val="002E6380"/>
    <w:rsid w:val="002E639B"/>
    <w:rsid w:val="002E65D0"/>
    <w:rsid w:val="002E695A"/>
    <w:rsid w:val="002E6AE9"/>
    <w:rsid w:val="002E6D29"/>
    <w:rsid w:val="002E705B"/>
    <w:rsid w:val="002E7122"/>
    <w:rsid w:val="002E7803"/>
    <w:rsid w:val="002E7839"/>
    <w:rsid w:val="002E78CA"/>
    <w:rsid w:val="002E79AA"/>
    <w:rsid w:val="002E7CCB"/>
    <w:rsid w:val="002E7D3E"/>
    <w:rsid w:val="002E7FE9"/>
    <w:rsid w:val="002F0147"/>
    <w:rsid w:val="002F05F5"/>
    <w:rsid w:val="002F0EFF"/>
    <w:rsid w:val="002F11C1"/>
    <w:rsid w:val="002F160E"/>
    <w:rsid w:val="002F204F"/>
    <w:rsid w:val="002F29B8"/>
    <w:rsid w:val="002F2CD9"/>
    <w:rsid w:val="002F2E0E"/>
    <w:rsid w:val="002F3047"/>
    <w:rsid w:val="002F37BC"/>
    <w:rsid w:val="002F4090"/>
    <w:rsid w:val="002F40EA"/>
    <w:rsid w:val="002F412E"/>
    <w:rsid w:val="002F5459"/>
    <w:rsid w:val="002F5948"/>
    <w:rsid w:val="002F5AD0"/>
    <w:rsid w:val="002F5C06"/>
    <w:rsid w:val="002F5F76"/>
    <w:rsid w:val="002F6083"/>
    <w:rsid w:val="002F6B75"/>
    <w:rsid w:val="002F6FDA"/>
    <w:rsid w:val="002F6FE7"/>
    <w:rsid w:val="002F70D9"/>
    <w:rsid w:val="002F72A5"/>
    <w:rsid w:val="002F78C5"/>
    <w:rsid w:val="002F7BD7"/>
    <w:rsid w:val="002F7D71"/>
    <w:rsid w:val="002F7DB5"/>
    <w:rsid w:val="003002C1"/>
    <w:rsid w:val="00300307"/>
    <w:rsid w:val="003004F3"/>
    <w:rsid w:val="00300AA4"/>
    <w:rsid w:val="00300BDD"/>
    <w:rsid w:val="00300F39"/>
    <w:rsid w:val="003010D7"/>
    <w:rsid w:val="0030115D"/>
    <w:rsid w:val="00301920"/>
    <w:rsid w:val="00301DE9"/>
    <w:rsid w:val="00301E66"/>
    <w:rsid w:val="00301EBA"/>
    <w:rsid w:val="0030341A"/>
    <w:rsid w:val="00304251"/>
    <w:rsid w:val="003043A4"/>
    <w:rsid w:val="003045F8"/>
    <w:rsid w:val="003047D9"/>
    <w:rsid w:val="00304CA5"/>
    <w:rsid w:val="00304DEC"/>
    <w:rsid w:val="00304F45"/>
    <w:rsid w:val="003058AD"/>
    <w:rsid w:val="003058E7"/>
    <w:rsid w:val="00305F8F"/>
    <w:rsid w:val="00306286"/>
    <w:rsid w:val="00306722"/>
    <w:rsid w:val="00306955"/>
    <w:rsid w:val="00306E25"/>
    <w:rsid w:val="003071BC"/>
    <w:rsid w:val="00310314"/>
    <w:rsid w:val="00310E04"/>
    <w:rsid w:val="003112A1"/>
    <w:rsid w:val="00311344"/>
    <w:rsid w:val="00311A29"/>
    <w:rsid w:val="00311CE7"/>
    <w:rsid w:val="00311F59"/>
    <w:rsid w:val="003123AF"/>
    <w:rsid w:val="00312865"/>
    <w:rsid w:val="00312D4F"/>
    <w:rsid w:val="00312FE0"/>
    <w:rsid w:val="0031320A"/>
    <w:rsid w:val="00313D1F"/>
    <w:rsid w:val="00313F1F"/>
    <w:rsid w:val="003140E5"/>
    <w:rsid w:val="00314381"/>
    <w:rsid w:val="0031456B"/>
    <w:rsid w:val="0031487E"/>
    <w:rsid w:val="00314D81"/>
    <w:rsid w:val="003152D9"/>
    <w:rsid w:val="003154D6"/>
    <w:rsid w:val="00315642"/>
    <w:rsid w:val="003160D0"/>
    <w:rsid w:val="003164BF"/>
    <w:rsid w:val="003164C5"/>
    <w:rsid w:val="003167C9"/>
    <w:rsid w:val="00316BEF"/>
    <w:rsid w:val="00316DF7"/>
    <w:rsid w:val="0031712C"/>
    <w:rsid w:val="00317224"/>
    <w:rsid w:val="00317717"/>
    <w:rsid w:val="00317C15"/>
    <w:rsid w:val="00320071"/>
    <w:rsid w:val="0032010F"/>
    <w:rsid w:val="00320215"/>
    <w:rsid w:val="003206D3"/>
    <w:rsid w:val="00320784"/>
    <w:rsid w:val="00320E3F"/>
    <w:rsid w:val="0032179C"/>
    <w:rsid w:val="00321AA5"/>
    <w:rsid w:val="00322152"/>
    <w:rsid w:val="00322BF4"/>
    <w:rsid w:val="00322C16"/>
    <w:rsid w:val="003231E5"/>
    <w:rsid w:val="0032322F"/>
    <w:rsid w:val="00323875"/>
    <w:rsid w:val="00323A12"/>
    <w:rsid w:val="00323DF7"/>
    <w:rsid w:val="0032459D"/>
    <w:rsid w:val="00324F47"/>
    <w:rsid w:val="00325E97"/>
    <w:rsid w:val="003266A9"/>
    <w:rsid w:val="00326CA5"/>
    <w:rsid w:val="00327581"/>
    <w:rsid w:val="00327FFC"/>
    <w:rsid w:val="003301AD"/>
    <w:rsid w:val="003312E8"/>
    <w:rsid w:val="00331518"/>
    <w:rsid w:val="00331532"/>
    <w:rsid w:val="00331A3C"/>
    <w:rsid w:val="00331D78"/>
    <w:rsid w:val="00331F92"/>
    <w:rsid w:val="00332245"/>
    <w:rsid w:val="003323AE"/>
    <w:rsid w:val="00332590"/>
    <w:rsid w:val="00332779"/>
    <w:rsid w:val="00332983"/>
    <w:rsid w:val="00332B7C"/>
    <w:rsid w:val="00333165"/>
    <w:rsid w:val="003333F2"/>
    <w:rsid w:val="00333440"/>
    <w:rsid w:val="00333452"/>
    <w:rsid w:val="003342A2"/>
    <w:rsid w:val="00334B9D"/>
    <w:rsid w:val="00334C27"/>
    <w:rsid w:val="00334CC7"/>
    <w:rsid w:val="003355F7"/>
    <w:rsid w:val="003356BB"/>
    <w:rsid w:val="0033620D"/>
    <w:rsid w:val="00336365"/>
    <w:rsid w:val="003368CF"/>
    <w:rsid w:val="00336E03"/>
    <w:rsid w:val="00336F47"/>
    <w:rsid w:val="0033706F"/>
    <w:rsid w:val="00337E11"/>
    <w:rsid w:val="00337E95"/>
    <w:rsid w:val="003400A6"/>
    <w:rsid w:val="003404B5"/>
    <w:rsid w:val="003404F9"/>
    <w:rsid w:val="00340912"/>
    <w:rsid w:val="00340977"/>
    <w:rsid w:val="00340DE9"/>
    <w:rsid w:val="0034129A"/>
    <w:rsid w:val="00342030"/>
    <w:rsid w:val="00342144"/>
    <w:rsid w:val="003422C1"/>
    <w:rsid w:val="003422DD"/>
    <w:rsid w:val="00342D6F"/>
    <w:rsid w:val="00342E3F"/>
    <w:rsid w:val="00342F55"/>
    <w:rsid w:val="00342FD8"/>
    <w:rsid w:val="003438C8"/>
    <w:rsid w:val="00343C1F"/>
    <w:rsid w:val="00343CEB"/>
    <w:rsid w:val="00344065"/>
    <w:rsid w:val="0034419E"/>
    <w:rsid w:val="0034485F"/>
    <w:rsid w:val="0034499D"/>
    <w:rsid w:val="003449C7"/>
    <w:rsid w:val="00345232"/>
    <w:rsid w:val="00345398"/>
    <w:rsid w:val="00345676"/>
    <w:rsid w:val="00345899"/>
    <w:rsid w:val="00345961"/>
    <w:rsid w:val="00345EF5"/>
    <w:rsid w:val="00346383"/>
    <w:rsid w:val="00346531"/>
    <w:rsid w:val="00346C2E"/>
    <w:rsid w:val="00346D50"/>
    <w:rsid w:val="00347203"/>
    <w:rsid w:val="00347CAE"/>
    <w:rsid w:val="003505A2"/>
    <w:rsid w:val="00350A6D"/>
    <w:rsid w:val="00350AF9"/>
    <w:rsid w:val="00350D0B"/>
    <w:rsid w:val="00350D61"/>
    <w:rsid w:val="00351196"/>
    <w:rsid w:val="003512D4"/>
    <w:rsid w:val="0035137A"/>
    <w:rsid w:val="003514E1"/>
    <w:rsid w:val="00351AB6"/>
    <w:rsid w:val="00351F12"/>
    <w:rsid w:val="003521E4"/>
    <w:rsid w:val="00352740"/>
    <w:rsid w:val="00353D2F"/>
    <w:rsid w:val="00354077"/>
    <w:rsid w:val="003540F7"/>
    <w:rsid w:val="0035459E"/>
    <w:rsid w:val="00354ECC"/>
    <w:rsid w:val="00355330"/>
    <w:rsid w:val="0035535C"/>
    <w:rsid w:val="0035569E"/>
    <w:rsid w:val="0035587B"/>
    <w:rsid w:val="00355A1F"/>
    <w:rsid w:val="00355B61"/>
    <w:rsid w:val="00356027"/>
    <w:rsid w:val="00356254"/>
    <w:rsid w:val="003567F1"/>
    <w:rsid w:val="003567FB"/>
    <w:rsid w:val="00356A2C"/>
    <w:rsid w:val="00357624"/>
    <w:rsid w:val="00357682"/>
    <w:rsid w:val="0035782E"/>
    <w:rsid w:val="00357AD7"/>
    <w:rsid w:val="00357BF0"/>
    <w:rsid w:val="00357CF2"/>
    <w:rsid w:val="00357E2C"/>
    <w:rsid w:val="00360115"/>
    <w:rsid w:val="0036059A"/>
    <w:rsid w:val="0036094C"/>
    <w:rsid w:val="00360AF8"/>
    <w:rsid w:val="003616C8"/>
    <w:rsid w:val="0036201C"/>
    <w:rsid w:val="00362308"/>
    <w:rsid w:val="0036265F"/>
    <w:rsid w:val="003628A1"/>
    <w:rsid w:val="00362CFD"/>
    <w:rsid w:val="003633B4"/>
    <w:rsid w:val="00363755"/>
    <w:rsid w:val="00363832"/>
    <w:rsid w:val="0036389E"/>
    <w:rsid w:val="00363FEA"/>
    <w:rsid w:val="0036404B"/>
    <w:rsid w:val="0036414F"/>
    <w:rsid w:val="003643F5"/>
    <w:rsid w:val="0036444D"/>
    <w:rsid w:val="003649C4"/>
    <w:rsid w:val="00364B77"/>
    <w:rsid w:val="00364C69"/>
    <w:rsid w:val="003654E4"/>
    <w:rsid w:val="003657B8"/>
    <w:rsid w:val="00365C1F"/>
    <w:rsid w:val="00365F87"/>
    <w:rsid w:val="003664FE"/>
    <w:rsid w:val="003665FD"/>
    <w:rsid w:val="00366670"/>
    <w:rsid w:val="00366C4B"/>
    <w:rsid w:val="00366F52"/>
    <w:rsid w:val="003672D8"/>
    <w:rsid w:val="00370531"/>
    <w:rsid w:val="003716E9"/>
    <w:rsid w:val="00371A9D"/>
    <w:rsid w:val="00372215"/>
    <w:rsid w:val="0037269E"/>
    <w:rsid w:val="00373169"/>
    <w:rsid w:val="003737C2"/>
    <w:rsid w:val="00373AB5"/>
    <w:rsid w:val="00374235"/>
    <w:rsid w:val="003745E4"/>
    <w:rsid w:val="00374F10"/>
    <w:rsid w:val="003754E2"/>
    <w:rsid w:val="00375DB1"/>
    <w:rsid w:val="0037648C"/>
    <w:rsid w:val="00376577"/>
    <w:rsid w:val="00376C32"/>
    <w:rsid w:val="00376D46"/>
    <w:rsid w:val="00376DC8"/>
    <w:rsid w:val="00376EB6"/>
    <w:rsid w:val="00376F23"/>
    <w:rsid w:val="00376FA5"/>
    <w:rsid w:val="0037704B"/>
    <w:rsid w:val="00377654"/>
    <w:rsid w:val="003779DF"/>
    <w:rsid w:val="00377EB7"/>
    <w:rsid w:val="00377EF9"/>
    <w:rsid w:val="0038038C"/>
    <w:rsid w:val="0038046A"/>
    <w:rsid w:val="003808AF"/>
    <w:rsid w:val="00380929"/>
    <w:rsid w:val="00381307"/>
    <w:rsid w:val="00381D37"/>
    <w:rsid w:val="00381F64"/>
    <w:rsid w:val="00381FB1"/>
    <w:rsid w:val="00382215"/>
    <w:rsid w:val="0038229A"/>
    <w:rsid w:val="00382A8F"/>
    <w:rsid w:val="00382F8D"/>
    <w:rsid w:val="00383773"/>
    <w:rsid w:val="00383DF3"/>
    <w:rsid w:val="00384995"/>
    <w:rsid w:val="003849DC"/>
    <w:rsid w:val="00384AD6"/>
    <w:rsid w:val="00384C44"/>
    <w:rsid w:val="00384F1E"/>
    <w:rsid w:val="003855E4"/>
    <w:rsid w:val="00385CC3"/>
    <w:rsid w:val="00385E05"/>
    <w:rsid w:val="00385F46"/>
    <w:rsid w:val="00386A40"/>
    <w:rsid w:val="003871BB"/>
    <w:rsid w:val="003876BE"/>
    <w:rsid w:val="00387E9D"/>
    <w:rsid w:val="0039046C"/>
    <w:rsid w:val="00390662"/>
    <w:rsid w:val="0039099D"/>
    <w:rsid w:val="003909FE"/>
    <w:rsid w:val="00390AD2"/>
    <w:rsid w:val="00390DC8"/>
    <w:rsid w:val="003916E7"/>
    <w:rsid w:val="003917E9"/>
    <w:rsid w:val="00391C66"/>
    <w:rsid w:val="00392561"/>
    <w:rsid w:val="0039320F"/>
    <w:rsid w:val="00393855"/>
    <w:rsid w:val="00393994"/>
    <w:rsid w:val="00393BCE"/>
    <w:rsid w:val="00393D4B"/>
    <w:rsid w:val="00393E47"/>
    <w:rsid w:val="0039410F"/>
    <w:rsid w:val="003948F6"/>
    <w:rsid w:val="00394900"/>
    <w:rsid w:val="00394B83"/>
    <w:rsid w:val="00395455"/>
    <w:rsid w:val="0039574E"/>
    <w:rsid w:val="003959B0"/>
    <w:rsid w:val="00396467"/>
    <w:rsid w:val="00396663"/>
    <w:rsid w:val="003968D0"/>
    <w:rsid w:val="00396E56"/>
    <w:rsid w:val="0039749D"/>
    <w:rsid w:val="00397735"/>
    <w:rsid w:val="00397926"/>
    <w:rsid w:val="00397B54"/>
    <w:rsid w:val="003A03A6"/>
    <w:rsid w:val="003A03E5"/>
    <w:rsid w:val="003A0EDC"/>
    <w:rsid w:val="003A11A4"/>
    <w:rsid w:val="003A1212"/>
    <w:rsid w:val="003A169C"/>
    <w:rsid w:val="003A17B5"/>
    <w:rsid w:val="003A17CD"/>
    <w:rsid w:val="003A1809"/>
    <w:rsid w:val="003A1D06"/>
    <w:rsid w:val="003A20A6"/>
    <w:rsid w:val="003A24D1"/>
    <w:rsid w:val="003A268F"/>
    <w:rsid w:val="003A28DA"/>
    <w:rsid w:val="003A29EF"/>
    <w:rsid w:val="003A338F"/>
    <w:rsid w:val="003A33A2"/>
    <w:rsid w:val="003A3C79"/>
    <w:rsid w:val="003A40B7"/>
    <w:rsid w:val="003A411F"/>
    <w:rsid w:val="003A49F2"/>
    <w:rsid w:val="003A54C2"/>
    <w:rsid w:val="003A614E"/>
    <w:rsid w:val="003A6643"/>
    <w:rsid w:val="003A68AE"/>
    <w:rsid w:val="003A6A71"/>
    <w:rsid w:val="003A6B58"/>
    <w:rsid w:val="003A6FE2"/>
    <w:rsid w:val="003B0067"/>
    <w:rsid w:val="003B00F9"/>
    <w:rsid w:val="003B03F7"/>
    <w:rsid w:val="003B070B"/>
    <w:rsid w:val="003B0FB9"/>
    <w:rsid w:val="003B11B7"/>
    <w:rsid w:val="003B11CC"/>
    <w:rsid w:val="003B1260"/>
    <w:rsid w:val="003B12D8"/>
    <w:rsid w:val="003B1662"/>
    <w:rsid w:val="003B1734"/>
    <w:rsid w:val="003B1762"/>
    <w:rsid w:val="003B17DA"/>
    <w:rsid w:val="003B1878"/>
    <w:rsid w:val="003B1A07"/>
    <w:rsid w:val="003B1B99"/>
    <w:rsid w:val="003B1D1C"/>
    <w:rsid w:val="003B1E1F"/>
    <w:rsid w:val="003B26BC"/>
    <w:rsid w:val="003B3EAF"/>
    <w:rsid w:val="003B4275"/>
    <w:rsid w:val="003B4BE2"/>
    <w:rsid w:val="003B589E"/>
    <w:rsid w:val="003B5CD8"/>
    <w:rsid w:val="003B5D1E"/>
    <w:rsid w:val="003B5FB2"/>
    <w:rsid w:val="003B62EA"/>
    <w:rsid w:val="003B697A"/>
    <w:rsid w:val="003B6BFF"/>
    <w:rsid w:val="003B731D"/>
    <w:rsid w:val="003B73E6"/>
    <w:rsid w:val="003B78D8"/>
    <w:rsid w:val="003B7A84"/>
    <w:rsid w:val="003B7D09"/>
    <w:rsid w:val="003C0097"/>
    <w:rsid w:val="003C0954"/>
    <w:rsid w:val="003C0A59"/>
    <w:rsid w:val="003C0AB4"/>
    <w:rsid w:val="003C0F85"/>
    <w:rsid w:val="003C11EB"/>
    <w:rsid w:val="003C1226"/>
    <w:rsid w:val="003C1263"/>
    <w:rsid w:val="003C1353"/>
    <w:rsid w:val="003C1822"/>
    <w:rsid w:val="003C1CC4"/>
    <w:rsid w:val="003C2A92"/>
    <w:rsid w:val="003C2B88"/>
    <w:rsid w:val="003C2DC8"/>
    <w:rsid w:val="003C3428"/>
    <w:rsid w:val="003C3F9C"/>
    <w:rsid w:val="003C4F14"/>
    <w:rsid w:val="003C5489"/>
    <w:rsid w:val="003C56D7"/>
    <w:rsid w:val="003C5879"/>
    <w:rsid w:val="003C5B62"/>
    <w:rsid w:val="003C60CA"/>
    <w:rsid w:val="003C6206"/>
    <w:rsid w:val="003C6212"/>
    <w:rsid w:val="003C68BB"/>
    <w:rsid w:val="003C6B81"/>
    <w:rsid w:val="003C7071"/>
    <w:rsid w:val="003C70DA"/>
    <w:rsid w:val="003C7EF6"/>
    <w:rsid w:val="003D030C"/>
    <w:rsid w:val="003D03EB"/>
    <w:rsid w:val="003D0C11"/>
    <w:rsid w:val="003D1679"/>
    <w:rsid w:val="003D1A0B"/>
    <w:rsid w:val="003D1B35"/>
    <w:rsid w:val="003D268D"/>
    <w:rsid w:val="003D2F45"/>
    <w:rsid w:val="003D30F2"/>
    <w:rsid w:val="003D33E6"/>
    <w:rsid w:val="003D36EC"/>
    <w:rsid w:val="003D3733"/>
    <w:rsid w:val="003D376F"/>
    <w:rsid w:val="003D3841"/>
    <w:rsid w:val="003D386A"/>
    <w:rsid w:val="003D3B4A"/>
    <w:rsid w:val="003D45E5"/>
    <w:rsid w:val="003D4829"/>
    <w:rsid w:val="003D4C0E"/>
    <w:rsid w:val="003D4FDE"/>
    <w:rsid w:val="003D5A7E"/>
    <w:rsid w:val="003D5B29"/>
    <w:rsid w:val="003D5FD5"/>
    <w:rsid w:val="003D600C"/>
    <w:rsid w:val="003D6105"/>
    <w:rsid w:val="003D6685"/>
    <w:rsid w:val="003D6B47"/>
    <w:rsid w:val="003D6EB3"/>
    <w:rsid w:val="003D7B16"/>
    <w:rsid w:val="003D7F48"/>
    <w:rsid w:val="003E04F7"/>
    <w:rsid w:val="003E0FD0"/>
    <w:rsid w:val="003E1296"/>
    <w:rsid w:val="003E1EA3"/>
    <w:rsid w:val="003E1FD0"/>
    <w:rsid w:val="003E2123"/>
    <w:rsid w:val="003E23C2"/>
    <w:rsid w:val="003E2785"/>
    <w:rsid w:val="003E28D9"/>
    <w:rsid w:val="003E3150"/>
    <w:rsid w:val="003E368D"/>
    <w:rsid w:val="003E3DF7"/>
    <w:rsid w:val="003E3FED"/>
    <w:rsid w:val="003E3FFB"/>
    <w:rsid w:val="003E484E"/>
    <w:rsid w:val="003E4895"/>
    <w:rsid w:val="003E4CAA"/>
    <w:rsid w:val="003E5341"/>
    <w:rsid w:val="003E5DB2"/>
    <w:rsid w:val="003E603A"/>
    <w:rsid w:val="003E7541"/>
    <w:rsid w:val="003E7F3A"/>
    <w:rsid w:val="003F03CF"/>
    <w:rsid w:val="003F0E50"/>
    <w:rsid w:val="003F121A"/>
    <w:rsid w:val="003F12AC"/>
    <w:rsid w:val="003F2209"/>
    <w:rsid w:val="003F2F71"/>
    <w:rsid w:val="003F35F7"/>
    <w:rsid w:val="003F39AD"/>
    <w:rsid w:val="003F3B0E"/>
    <w:rsid w:val="003F40BA"/>
    <w:rsid w:val="003F4175"/>
    <w:rsid w:val="003F4708"/>
    <w:rsid w:val="003F497A"/>
    <w:rsid w:val="003F4C21"/>
    <w:rsid w:val="003F500B"/>
    <w:rsid w:val="003F579C"/>
    <w:rsid w:val="003F6913"/>
    <w:rsid w:val="003F6F01"/>
    <w:rsid w:val="003F6F2E"/>
    <w:rsid w:val="003F71B7"/>
    <w:rsid w:val="003F72A8"/>
    <w:rsid w:val="003F768F"/>
    <w:rsid w:val="003F7807"/>
    <w:rsid w:val="0040015B"/>
    <w:rsid w:val="0040042C"/>
    <w:rsid w:val="0040088D"/>
    <w:rsid w:val="00400954"/>
    <w:rsid w:val="00400A56"/>
    <w:rsid w:val="00401063"/>
    <w:rsid w:val="0040120D"/>
    <w:rsid w:val="004013D6"/>
    <w:rsid w:val="0040147D"/>
    <w:rsid w:val="00401EC4"/>
    <w:rsid w:val="004020E4"/>
    <w:rsid w:val="00402500"/>
    <w:rsid w:val="00402847"/>
    <w:rsid w:val="00403B9C"/>
    <w:rsid w:val="0040416E"/>
    <w:rsid w:val="00404DF4"/>
    <w:rsid w:val="004054CD"/>
    <w:rsid w:val="00405756"/>
    <w:rsid w:val="00406211"/>
    <w:rsid w:val="004062F6"/>
    <w:rsid w:val="00406AA8"/>
    <w:rsid w:val="00406C8B"/>
    <w:rsid w:val="00406E4B"/>
    <w:rsid w:val="00407035"/>
    <w:rsid w:val="00407E9E"/>
    <w:rsid w:val="004100A4"/>
    <w:rsid w:val="00410395"/>
    <w:rsid w:val="004104CD"/>
    <w:rsid w:val="00410ED2"/>
    <w:rsid w:val="0041119C"/>
    <w:rsid w:val="0041153A"/>
    <w:rsid w:val="004117FE"/>
    <w:rsid w:val="00411A50"/>
    <w:rsid w:val="00411EA5"/>
    <w:rsid w:val="00412423"/>
    <w:rsid w:val="00412496"/>
    <w:rsid w:val="004125AE"/>
    <w:rsid w:val="004133F0"/>
    <w:rsid w:val="00413C09"/>
    <w:rsid w:val="00413C54"/>
    <w:rsid w:val="00413D40"/>
    <w:rsid w:val="00413EDB"/>
    <w:rsid w:val="004140D9"/>
    <w:rsid w:val="004142C5"/>
    <w:rsid w:val="004146A3"/>
    <w:rsid w:val="00414B2C"/>
    <w:rsid w:val="00414FE2"/>
    <w:rsid w:val="004158C0"/>
    <w:rsid w:val="00416507"/>
    <w:rsid w:val="00416569"/>
    <w:rsid w:val="004168CE"/>
    <w:rsid w:val="00416D08"/>
    <w:rsid w:val="00416DD1"/>
    <w:rsid w:val="004172E5"/>
    <w:rsid w:val="004201AD"/>
    <w:rsid w:val="004206F7"/>
    <w:rsid w:val="00420783"/>
    <w:rsid w:val="00420904"/>
    <w:rsid w:val="00420956"/>
    <w:rsid w:val="004209CE"/>
    <w:rsid w:val="00421062"/>
    <w:rsid w:val="004215B0"/>
    <w:rsid w:val="00421FAE"/>
    <w:rsid w:val="004225D5"/>
    <w:rsid w:val="00422A33"/>
    <w:rsid w:val="00422BE7"/>
    <w:rsid w:val="00423110"/>
    <w:rsid w:val="00423205"/>
    <w:rsid w:val="004232E2"/>
    <w:rsid w:val="00423990"/>
    <w:rsid w:val="00423CAC"/>
    <w:rsid w:val="00423D8A"/>
    <w:rsid w:val="00423FBF"/>
    <w:rsid w:val="00424315"/>
    <w:rsid w:val="00424345"/>
    <w:rsid w:val="00424373"/>
    <w:rsid w:val="00424842"/>
    <w:rsid w:val="0042495B"/>
    <w:rsid w:val="00424DA9"/>
    <w:rsid w:val="004251F5"/>
    <w:rsid w:val="004254FF"/>
    <w:rsid w:val="0042597C"/>
    <w:rsid w:val="004259C2"/>
    <w:rsid w:val="00425DDB"/>
    <w:rsid w:val="004260BC"/>
    <w:rsid w:val="00426842"/>
    <w:rsid w:val="0042693E"/>
    <w:rsid w:val="004273CA"/>
    <w:rsid w:val="00427B5E"/>
    <w:rsid w:val="004301B0"/>
    <w:rsid w:val="00430753"/>
    <w:rsid w:val="004307EC"/>
    <w:rsid w:val="00430B5B"/>
    <w:rsid w:val="00431251"/>
    <w:rsid w:val="0043132D"/>
    <w:rsid w:val="004322B8"/>
    <w:rsid w:val="00432C8E"/>
    <w:rsid w:val="00432E45"/>
    <w:rsid w:val="00432F5E"/>
    <w:rsid w:val="00434563"/>
    <w:rsid w:val="004348D1"/>
    <w:rsid w:val="00434D8A"/>
    <w:rsid w:val="004352A0"/>
    <w:rsid w:val="0043550A"/>
    <w:rsid w:val="00435D63"/>
    <w:rsid w:val="0043621E"/>
    <w:rsid w:val="004365A4"/>
    <w:rsid w:val="004365E4"/>
    <w:rsid w:val="0043787D"/>
    <w:rsid w:val="00437950"/>
    <w:rsid w:val="00437CA0"/>
    <w:rsid w:val="00437F53"/>
    <w:rsid w:val="004400F2"/>
    <w:rsid w:val="00440C05"/>
    <w:rsid w:val="00440CB4"/>
    <w:rsid w:val="00441492"/>
    <w:rsid w:val="00442059"/>
    <w:rsid w:val="0044207E"/>
    <w:rsid w:val="004420C2"/>
    <w:rsid w:val="00442350"/>
    <w:rsid w:val="004425C9"/>
    <w:rsid w:val="004425F5"/>
    <w:rsid w:val="00442695"/>
    <w:rsid w:val="00442742"/>
    <w:rsid w:val="0044286D"/>
    <w:rsid w:val="00442AAB"/>
    <w:rsid w:val="00442B23"/>
    <w:rsid w:val="00442EB4"/>
    <w:rsid w:val="00443318"/>
    <w:rsid w:val="00443370"/>
    <w:rsid w:val="004434E7"/>
    <w:rsid w:val="00444385"/>
    <w:rsid w:val="00444426"/>
    <w:rsid w:val="00444C0B"/>
    <w:rsid w:val="0044558C"/>
    <w:rsid w:val="00445ED8"/>
    <w:rsid w:val="00445F5A"/>
    <w:rsid w:val="00446AA4"/>
    <w:rsid w:val="00446C41"/>
    <w:rsid w:val="00446C83"/>
    <w:rsid w:val="00447190"/>
    <w:rsid w:val="00447304"/>
    <w:rsid w:val="00447BB0"/>
    <w:rsid w:val="00447F0D"/>
    <w:rsid w:val="00447F14"/>
    <w:rsid w:val="004504A9"/>
    <w:rsid w:val="00450E29"/>
    <w:rsid w:val="00450F41"/>
    <w:rsid w:val="004514E6"/>
    <w:rsid w:val="004517BD"/>
    <w:rsid w:val="00451D16"/>
    <w:rsid w:val="004525C3"/>
    <w:rsid w:val="004527E4"/>
    <w:rsid w:val="00452FA7"/>
    <w:rsid w:val="00453A4A"/>
    <w:rsid w:val="00453C54"/>
    <w:rsid w:val="00454283"/>
    <w:rsid w:val="004542B5"/>
    <w:rsid w:val="00454C62"/>
    <w:rsid w:val="00454D1F"/>
    <w:rsid w:val="00454FA6"/>
    <w:rsid w:val="00455138"/>
    <w:rsid w:val="004553A2"/>
    <w:rsid w:val="00455DCC"/>
    <w:rsid w:val="00455E16"/>
    <w:rsid w:val="00455FB2"/>
    <w:rsid w:val="0045654F"/>
    <w:rsid w:val="004569A1"/>
    <w:rsid w:val="00456BA6"/>
    <w:rsid w:val="00456F00"/>
    <w:rsid w:val="00456FBD"/>
    <w:rsid w:val="0045761E"/>
    <w:rsid w:val="00460002"/>
    <w:rsid w:val="004604DC"/>
    <w:rsid w:val="004605EC"/>
    <w:rsid w:val="0046096E"/>
    <w:rsid w:val="00461816"/>
    <w:rsid w:val="004618EC"/>
    <w:rsid w:val="00461945"/>
    <w:rsid w:val="00461D49"/>
    <w:rsid w:val="0046245B"/>
    <w:rsid w:val="00462749"/>
    <w:rsid w:val="00462F9A"/>
    <w:rsid w:val="004638F5"/>
    <w:rsid w:val="00463AB2"/>
    <w:rsid w:val="004640C7"/>
    <w:rsid w:val="00464AEF"/>
    <w:rsid w:val="00464CA5"/>
    <w:rsid w:val="00465572"/>
    <w:rsid w:val="004656C6"/>
    <w:rsid w:val="00465827"/>
    <w:rsid w:val="00465C11"/>
    <w:rsid w:val="00466E38"/>
    <w:rsid w:val="00467321"/>
    <w:rsid w:val="0046747F"/>
    <w:rsid w:val="004674DD"/>
    <w:rsid w:val="004676E6"/>
    <w:rsid w:val="00467B92"/>
    <w:rsid w:val="00467C2D"/>
    <w:rsid w:val="00467E57"/>
    <w:rsid w:val="00467EBE"/>
    <w:rsid w:val="00470894"/>
    <w:rsid w:val="004708EE"/>
    <w:rsid w:val="0047098A"/>
    <w:rsid w:val="00470BE6"/>
    <w:rsid w:val="00470C66"/>
    <w:rsid w:val="00470DD1"/>
    <w:rsid w:val="00470FAC"/>
    <w:rsid w:val="00471005"/>
    <w:rsid w:val="00471280"/>
    <w:rsid w:val="00471860"/>
    <w:rsid w:val="00471D18"/>
    <w:rsid w:val="00471DAB"/>
    <w:rsid w:val="0047247F"/>
    <w:rsid w:val="00472AD6"/>
    <w:rsid w:val="00473C72"/>
    <w:rsid w:val="00473E10"/>
    <w:rsid w:val="004743F7"/>
    <w:rsid w:val="004745DE"/>
    <w:rsid w:val="00474648"/>
    <w:rsid w:val="00475039"/>
    <w:rsid w:val="00475105"/>
    <w:rsid w:val="0047536E"/>
    <w:rsid w:val="00475438"/>
    <w:rsid w:val="00475DEE"/>
    <w:rsid w:val="00475ECF"/>
    <w:rsid w:val="00476014"/>
    <w:rsid w:val="0047603F"/>
    <w:rsid w:val="00476254"/>
    <w:rsid w:val="00476FB8"/>
    <w:rsid w:val="004775BF"/>
    <w:rsid w:val="004777BA"/>
    <w:rsid w:val="00477BFA"/>
    <w:rsid w:val="004800B4"/>
    <w:rsid w:val="004803FC"/>
    <w:rsid w:val="00480E28"/>
    <w:rsid w:val="00481375"/>
    <w:rsid w:val="00481DFC"/>
    <w:rsid w:val="004821DA"/>
    <w:rsid w:val="00482516"/>
    <w:rsid w:val="00482B0F"/>
    <w:rsid w:val="00483451"/>
    <w:rsid w:val="004838A2"/>
    <w:rsid w:val="00483C72"/>
    <w:rsid w:val="00484056"/>
    <w:rsid w:val="004841E2"/>
    <w:rsid w:val="00484F9E"/>
    <w:rsid w:val="00485257"/>
    <w:rsid w:val="004864B4"/>
    <w:rsid w:val="00486685"/>
    <w:rsid w:val="00486B0B"/>
    <w:rsid w:val="00486ED6"/>
    <w:rsid w:val="00486F38"/>
    <w:rsid w:val="00486F4C"/>
    <w:rsid w:val="0048740E"/>
    <w:rsid w:val="004874B8"/>
    <w:rsid w:val="004875C7"/>
    <w:rsid w:val="00487705"/>
    <w:rsid w:val="00487B4D"/>
    <w:rsid w:val="00490035"/>
    <w:rsid w:val="0049095B"/>
    <w:rsid w:val="00490ADF"/>
    <w:rsid w:val="00490E40"/>
    <w:rsid w:val="00490EBF"/>
    <w:rsid w:val="004916EC"/>
    <w:rsid w:val="00491911"/>
    <w:rsid w:val="00491D30"/>
    <w:rsid w:val="00491E81"/>
    <w:rsid w:val="0049281A"/>
    <w:rsid w:val="00493506"/>
    <w:rsid w:val="00493AFF"/>
    <w:rsid w:val="00493B33"/>
    <w:rsid w:val="00493CD0"/>
    <w:rsid w:val="00493D3B"/>
    <w:rsid w:val="004941A6"/>
    <w:rsid w:val="004946A0"/>
    <w:rsid w:val="0049498D"/>
    <w:rsid w:val="00495678"/>
    <w:rsid w:val="00495C63"/>
    <w:rsid w:val="00495E6D"/>
    <w:rsid w:val="00496263"/>
    <w:rsid w:val="00496C9A"/>
    <w:rsid w:val="00496CEA"/>
    <w:rsid w:val="00497644"/>
    <w:rsid w:val="00497ADB"/>
    <w:rsid w:val="00497BB1"/>
    <w:rsid w:val="004A0346"/>
    <w:rsid w:val="004A0512"/>
    <w:rsid w:val="004A0F49"/>
    <w:rsid w:val="004A1286"/>
    <w:rsid w:val="004A12C8"/>
    <w:rsid w:val="004A1408"/>
    <w:rsid w:val="004A157E"/>
    <w:rsid w:val="004A1653"/>
    <w:rsid w:val="004A17C2"/>
    <w:rsid w:val="004A1825"/>
    <w:rsid w:val="004A2077"/>
    <w:rsid w:val="004A2E5F"/>
    <w:rsid w:val="004A32BC"/>
    <w:rsid w:val="004A3908"/>
    <w:rsid w:val="004A3A41"/>
    <w:rsid w:val="004A3C3D"/>
    <w:rsid w:val="004A449A"/>
    <w:rsid w:val="004A4B55"/>
    <w:rsid w:val="004A54D9"/>
    <w:rsid w:val="004A5730"/>
    <w:rsid w:val="004A5CC0"/>
    <w:rsid w:val="004A5D11"/>
    <w:rsid w:val="004A5DD3"/>
    <w:rsid w:val="004A62C3"/>
    <w:rsid w:val="004A66C6"/>
    <w:rsid w:val="004A6880"/>
    <w:rsid w:val="004A689B"/>
    <w:rsid w:val="004A694B"/>
    <w:rsid w:val="004A6C45"/>
    <w:rsid w:val="004A7EB6"/>
    <w:rsid w:val="004A7FD4"/>
    <w:rsid w:val="004B025E"/>
    <w:rsid w:val="004B0748"/>
    <w:rsid w:val="004B0886"/>
    <w:rsid w:val="004B1577"/>
    <w:rsid w:val="004B1E14"/>
    <w:rsid w:val="004B211F"/>
    <w:rsid w:val="004B27CC"/>
    <w:rsid w:val="004B2B17"/>
    <w:rsid w:val="004B2DAE"/>
    <w:rsid w:val="004B31DF"/>
    <w:rsid w:val="004B346F"/>
    <w:rsid w:val="004B3974"/>
    <w:rsid w:val="004B3D01"/>
    <w:rsid w:val="004B3E96"/>
    <w:rsid w:val="004B4128"/>
    <w:rsid w:val="004B4661"/>
    <w:rsid w:val="004B4F0C"/>
    <w:rsid w:val="004B5E08"/>
    <w:rsid w:val="004B5E67"/>
    <w:rsid w:val="004B5EDC"/>
    <w:rsid w:val="004B6333"/>
    <w:rsid w:val="004B6555"/>
    <w:rsid w:val="004B675A"/>
    <w:rsid w:val="004B6F5E"/>
    <w:rsid w:val="004B7114"/>
    <w:rsid w:val="004C0410"/>
    <w:rsid w:val="004C05F3"/>
    <w:rsid w:val="004C09D4"/>
    <w:rsid w:val="004C1360"/>
    <w:rsid w:val="004C14A7"/>
    <w:rsid w:val="004C173C"/>
    <w:rsid w:val="004C1AD6"/>
    <w:rsid w:val="004C228F"/>
    <w:rsid w:val="004C2B9D"/>
    <w:rsid w:val="004C3554"/>
    <w:rsid w:val="004C35F3"/>
    <w:rsid w:val="004C36B6"/>
    <w:rsid w:val="004C3900"/>
    <w:rsid w:val="004C4392"/>
    <w:rsid w:val="004C4729"/>
    <w:rsid w:val="004C52BF"/>
    <w:rsid w:val="004C5B14"/>
    <w:rsid w:val="004C5F9A"/>
    <w:rsid w:val="004C6038"/>
    <w:rsid w:val="004C694C"/>
    <w:rsid w:val="004C6BC8"/>
    <w:rsid w:val="004C6C2C"/>
    <w:rsid w:val="004C72EA"/>
    <w:rsid w:val="004C7C43"/>
    <w:rsid w:val="004D0432"/>
    <w:rsid w:val="004D050D"/>
    <w:rsid w:val="004D0CA0"/>
    <w:rsid w:val="004D2609"/>
    <w:rsid w:val="004D27DC"/>
    <w:rsid w:val="004D385E"/>
    <w:rsid w:val="004D3AAC"/>
    <w:rsid w:val="004D4170"/>
    <w:rsid w:val="004D436B"/>
    <w:rsid w:val="004D436D"/>
    <w:rsid w:val="004D46B2"/>
    <w:rsid w:val="004D4749"/>
    <w:rsid w:val="004D47EC"/>
    <w:rsid w:val="004D48BC"/>
    <w:rsid w:val="004D4992"/>
    <w:rsid w:val="004D530A"/>
    <w:rsid w:val="004D537E"/>
    <w:rsid w:val="004D5AF3"/>
    <w:rsid w:val="004D5FCA"/>
    <w:rsid w:val="004D62DB"/>
    <w:rsid w:val="004D638E"/>
    <w:rsid w:val="004D64B0"/>
    <w:rsid w:val="004D67B5"/>
    <w:rsid w:val="004D6C93"/>
    <w:rsid w:val="004D6F8A"/>
    <w:rsid w:val="004D7322"/>
    <w:rsid w:val="004D7444"/>
    <w:rsid w:val="004D7F4F"/>
    <w:rsid w:val="004D7FB8"/>
    <w:rsid w:val="004E0A81"/>
    <w:rsid w:val="004E0FA2"/>
    <w:rsid w:val="004E10BE"/>
    <w:rsid w:val="004E15BB"/>
    <w:rsid w:val="004E165A"/>
    <w:rsid w:val="004E1668"/>
    <w:rsid w:val="004E1ADD"/>
    <w:rsid w:val="004E1C37"/>
    <w:rsid w:val="004E1D6C"/>
    <w:rsid w:val="004E27F1"/>
    <w:rsid w:val="004E2AB1"/>
    <w:rsid w:val="004E2E1A"/>
    <w:rsid w:val="004E3249"/>
    <w:rsid w:val="004E34EC"/>
    <w:rsid w:val="004E3697"/>
    <w:rsid w:val="004E3784"/>
    <w:rsid w:val="004E3995"/>
    <w:rsid w:val="004E3AD9"/>
    <w:rsid w:val="004E3C28"/>
    <w:rsid w:val="004E4411"/>
    <w:rsid w:val="004E4413"/>
    <w:rsid w:val="004E4B27"/>
    <w:rsid w:val="004E4BDC"/>
    <w:rsid w:val="004E4E78"/>
    <w:rsid w:val="004E4E80"/>
    <w:rsid w:val="004E5089"/>
    <w:rsid w:val="004E5B03"/>
    <w:rsid w:val="004E6752"/>
    <w:rsid w:val="004E67E1"/>
    <w:rsid w:val="004E692A"/>
    <w:rsid w:val="004E70CA"/>
    <w:rsid w:val="004E75EE"/>
    <w:rsid w:val="004E7BD8"/>
    <w:rsid w:val="004F0085"/>
    <w:rsid w:val="004F0ABF"/>
    <w:rsid w:val="004F0EDB"/>
    <w:rsid w:val="004F1000"/>
    <w:rsid w:val="004F1466"/>
    <w:rsid w:val="004F1B48"/>
    <w:rsid w:val="004F28BE"/>
    <w:rsid w:val="004F2B31"/>
    <w:rsid w:val="004F2ED4"/>
    <w:rsid w:val="004F3079"/>
    <w:rsid w:val="004F31F4"/>
    <w:rsid w:val="004F3494"/>
    <w:rsid w:val="004F3EFB"/>
    <w:rsid w:val="004F4C6C"/>
    <w:rsid w:val="004F4D21"/>
    <w:rsid w:val="004F55E5"/>
    <w:rsid w:val="004F586A"/>
    <w:rsid w:val="004F5C8B"/>
    <w:rsid w:val="004F60E6"/>
    <w:rsid w:val="004F6247"/>
    <w:rsid w:val="004F65EE"/>
    <w:rsid w:val="004F670E"/>
    <w:rsid w:val="004F682C"/>
    <w:rsid w:val="004F748A"/>
    <w:rsid w:val="004F758C"/>
    <w:rsid w:val="004F7FEE"/>
    <w:rsid w:val="00500568"/>
    <w:rsid w:val="0050060D"/>
    <w:rsid w:val="00500697"/>
    <w:rsid w:val="00500A8F"/>
    <w:rsid w:val="00500E81"/>
    <w:rsid w:val="00500F27"/>
    <w:rsid w:val="00500F2E"/>
    <w:rsid w:val="00501603"/>
    <w:rsid w:val="00501770"/>
    <w:rsid w:val="00502082"/>
    <w:rsid w:val="005021C5"/>
    <w:rsid w:val="0050248F"/>
    <w:rsid w:val="0050264F"/>
    <w:rsid w:val="00502CB4"/>
    <w:rsid w:val="005031D2"/>
    <w:rsid w:val="005031FA"/>
    <w:rsid w:val="0050337E"/>
    <w:rsid w:val="005033B5"/>
    <w:rsid w:val="0050354F"/>
    <w:rsid w:val="00503685"/>
    <w:rsid w:val="00503921"/>
    <w:rsid w:val="00503A97"/>
    <w:rsid w:val="00503D9A"/>
    <w:rsid w:val="00504457"/>
    <w:rsid w:val="005048D9"/>
    <w:rsid w:val="005049BA"/>
    <w:rsid w:val="005049D2"/>
    <w:rsid w:val="00504D50"/>
    <w:rsid w:val="0050583B"/>
    <w:rsid w:val="00505AE6"/>
    <w:rsid w:val="00506066"/>
    <w:rsid w:val="00506254"/>
    <w:rsid w:val="00506B6A"/>
    <w:rsid w:val="00506CD8"/>
    <w:rsid w:val="00506E19"/>
    <w:rsid w:val="005072E7"/>
    <w:rsid w:val="005077AE"/>
    <w:rsid w:val="00507A89"/>
    <w:rsid w:val="00510374"/>
    <w:rsid w:val="005105A2"/>
    <w:rsid w:val="005106E3"/>
    <w:rsid w:val="0051080F"/>
    <w:rsid w:val="005108DD"/>
    <w:rsid w:val="00511452"/>
    <w:rsid w:val="005115AF"/>
    <w:rsid w:val="0051199D"/>
    <w:rsid w:val="00511A7A"/>
    <w:rsid w:val="00511D8A"/>
    <w:rsid w:val="0051265F"/>
    <w:rsid w:val="00512661"/>
    <w:rsid w:val="00513AF2"/>
    <w:rsid w:val="00513BD6"/>
    <w:rsid w:val="00513FAC"/>
    <w:rsid w:val="005148F5"/>
    <w:rsid w:val="00514F86"/>
    <w:rsid w:val="0051508D"/>
    <w:rsid w:val="00515503"/>
    <w:rsid w:val="00515636"/>
    <w:rsid w:val="005158B4"/>
    <w:rsid w:val="005160EE"/>
    <w:rsid w:val="0051618A"/>
    <w:rsid w:val="005162A7"/>
    <w:rsid w:val="00516FD4"/>
    <w:rsid w:val="005172B0"/>
    <w:rsid w:val="005172C3"/>
    <w:rsid w:val="00517864"/>
    <w:rsid w:val="00517ADF"/>
    <w:rsid w:val="00520451"/>
    <w:rsid w:val="005207E7"/>
    <w:rsid w:val="005216C2"/>
    <w:rsid w:val="00521935"/>
    <w:rsid w:val="0052199D"/>
    <w:rsid w:val="00521D13"/>
    <w:rsid w:val="005222BE"/>
    <w:rsid w:val="00522AE6"/>
    <w:rsid w:val="00522DEC"/>
    <w:rsid w:val="00523218"/>
    <w:rsid w:val="005233CB"/>
    <w:rsid w:val="005237D5"/>
    <w:rsid w:val="00523C59"/>
    <w:rsid w:val="005240CE"/>
    <w:rsid w:val="00524BE3"/>
    <w:rsid w:val="00524F0D"/>
    <w:rsid w:val="0052505E"/>
    <w:rsid w:val="005251A6"/>
    <w:rsid w:val="0052525C"/>
    <w:rsid w:val="00525D01"/>
    <w:rsid w:val="0052615E"/>
    <w:rsid w:val="00526283"/>
    <w:rsid w:val="00526737"/>
    <w:rsid w:val="005268FD"/>
    <w:rsid w:val="00526AB0"/>
    <w:rsid w:val="00526D03"/>
    <w:rsid w:val="00526ECE"/>
    <w:rsid w:val="00527043"/>
    <w:rsid w:val="005271E5"/>
    <w:rsid w:val="005272A3"/>
    <w:rsid w:val="0053056B"/>
    <w:rsid w:val="00530A28"/>
    <w:rsid w:val="00530B07"/>
    <w:rsid w:val="00530E5A"/>
    <w:rsid w:val="0053130D"/>
    <w:rsid w:val="0053145D"/>
    <w:rsid w:val="005317B5"/>
    <w:rsid w:val="00531CF9"/>
    <w:rsid w:val="0053227C"/>
    <w:rsid w:val="0053228A"/>
    <w:rsid w:val="00532549"/>
    <w:rsid w:val="00532628"/>
    <w:rsid w:val="00532B10"/>
    <w:rsid w:val="00532CE0"/>
    <w:rsid w:val="00532D25"/>
    <w:rsid w:val="00532E33"/>
    <w:rsid w:val="005334BB"/>
    <w:rsid w:val="00534088"/>
    <w:rsid w:val="005343A2"/>
    <w:rsid w:val="005349C5"/>
    <w:rsid w:val="00535473"/>
    <w:rsid w:val="00535478"/>
    <w:rsid w:val="00535C3A"/>
    <w:rsid w:val="00536482"/>
    <w:rsid w:val="005366DA"/>
    <w:rsid w:val="0053680A"/>
    <w:rsid w:val="0053687D"/>
    <w:rsid w:val="00536E2C"/>
    <w:rsid w:val="00536EE8"/>
    <w:rsid w:val="00536F15"/>
    <w:rsid w:val="0053745C"/>
    <w:rsid w:val="005374A7"/>
    <w:rsid w:val="00537DDD"/>
    <w:rsid w:val="00537FE1"/>
    <w:rsid w:val="005402AA"/>
    <w:rsid w:val="00540366"/>
    <w:rsid w:val="0054086A"/>
    <w:rsid w:val="00541005"/>
    <w:rsid w:val="0054160D"/>
    <w:rsid w:val="005418B0"/>
    <w:rsid w:val="0054290C"/>
    <w:rsid w:val="00542F1E"/>
    <w:rsid w:val="005430B5"/>
    <w:rsid w:val="00543102"/>
    <w:rsid w:val="005434BF"/>
    <w:rsid w:val="005438E0"/>
    <w:rsid w:val="00543918"/>
    <w:rsid w:val="00543AE7"/>
    <w:rsid w:val="005440CF"/>
    <w:rsid w:val="005442E6"/>
    <w:rsid w:val="005448C8"/>
    <w:rsid w:val="0054538F"/>
    <w:rsid w:val="005453A9"/>
    <w:rsid w:val="005454D9"/>
    <w:rsid w:val="00545CDF"/>
    <w:rsid w:val="0054618D"/>
    <w:rsid w:val="005462DC"/>
    <w:rsid w:val="00547043"/>
    <w:rsid w:val="00547399"/>
    <w:rsid w:val="00547404"/>
    <w:rsid w:val="005475FA"/>
    <w:rsid w:val="00547BC4"/>
    <w:rsid w:val="00551085"/>
    <w:rsid w:val="00551261"/>
    <w:rsid w:val="005516FF"/>
    <w:rsid w:val="0055176F"/>
    <w:rsid w:val="00551D5C"/>
    <w:rsid w:val="005522A1"/>
    <w:rsid w:val="005522E2"/>
    <w:rsid w:val="005523E2"/>
    <w:rsid w:val="005525A7"/>
    <w:rsid w:val="005528E6"/>
    <w:rsid w:val="00552969"/>
    <w:rsid w:val="00553100"/>
    <w:rsid w:val="00553321"/>
    <w:rsid w:val="005534D6"/>
    <w:rsid w:val="005534E6"/>
    <w:rsid w:val="0055350A"/>
    <w:rsid w:val="005535A5"/>
    <w:rsid w:val="00553695"/>
    <w:rsid w:val="005541CC"/>
    <w:rsid w:val="00555231"/>
    <w:rsid w:val="00555471"/>
    <w:rsid w:val="00555AAF"/>
    <w:rsid w:val="00555ACB"/>
    <w:rsid w:val="00555EF3"/>
    <w:rsid w:val="00556032"/>
    <w:rsid w:val="00556213"/>
    <w:rsid w:val="00556600"/>
    <w:rsid w:val="0055690B"/>
    <w:rsid w:val="00556A48"/>
    <w:rsid w:val="00556D0E"/>
    <w:rsid w:val="00556D35"/>
    <w:rsid w:val="00557098"/>
    <w:rsid w:val="00557104"/>
    <w:rsid w:val="005571E6"/>
    <w:rsid w:val="005573D3"/>
    <w:rsid w:val="005576DF"/>
    <w:rsid w:val="00557BFA"/>
    <w:rsid w:val="00557DF5"/>
    <w:rsid w:val="00557EF3"/>
    <w:rsid w:val="00560175"/>
    <w:rsid w:val="00560235"/>
    <w:rsid w:val="00560CE9"/>
    <w:rsid w:val="00561A62"/>
    <w:rsid w:val="00561C3D"/>
    <w:rsid w:val="00561C8E"/>
    <w:rsid w:val="0056204C"/>
    <w:rsid w:val="0056255F"/>
    <w:rsid w:val="005626C1"/>
    <w:rsid w:val="00562703"/>
    <w:rsid w:val="00562C13"/>
    <w:rsid w:val="00562D95"/>
    <w:rsid w:val="00562E2B"/>
    <w:rsid w:val="005632BD"/>
    <w:rsid w:val="005633AC"/>
    <w:rsid w:val="00563E13"/>
    <w:rsid w:val="00563FD3"/>
    <w:rsid w:val="0056416A"/>
    <w:rsid w:val="005648DB"/>
    <w:rsid w:val="00564922"/>
    <w:rsid w:val="00565563"/>
    <w:rsid w:val="00565CA7"/>
    <w:rsid w:val="00565FE9"/>
    <w:rsid w:val="00566228"/>
    <w:rsid w:val="00566C2D"/>
    <w:rsid w:val="00566DC7"/>
    <w:rsid w:val="005674BD"/>
    <w:rsid w:val="0056793B"/>
    <w:rsid w:val="0057039B"/>
    <w:rsid w:val="00570777"/>
    <w:rsid w:val="00570C29"/>
    <w:rsid w:val="00571396"/>
    <w:rsid w:val="0057164A"/>
    <w:rsid w:val="005718D3"/>
    <w:rsid w:val="00571AA6"/>
    <w:rsid w:val="00571BE7"/>
    <w:rsid w:val="00571CCF"/>
    <w:rsid w:val="005724DB"/>
    <w:rsid w:val="005726C5"/>
    <w:rsid w:val="0057295F"/>
    <w:rsid w:val="00572D9B"/>
    <w:rsid w:val="00573778"/>
    <w:rsid w:val="00573E09"/>
    <w:rsid w:val="00573ED5"/>
    <w:rsid w:val="00573F12"/>
    <w:rsid w:val="00574000"/>
    <w:rsid w:val="00574115"/>
    <w:rsid w:val="005741D4"/>
    <w:rsid w:val="00574754"/>
    <w:rsid w:val="00574F96"/>
    <w:rsid w:val="00575198"/>
    <w:rsid w:val="00575D35"/>
    <w:rsid w:val="00575F1F"/>
    <w:rsid w:val="00575F7A"/>
    <w:rsid w:val="00576A23"/>
    <w:rsid w:val="005772FC"/>
    <w:rsid w:val="005778D5"/>
    <w:rsid w:val="00577D9B"/>
    <w:rsid w:val="00580255"/>
    <w:rsid w:val="00580357"/>
    <w:rsid w:val="0058070C"/>
    <w:rsid w:val="0058071B"/>
    <w:rsid w:val="00580A4E"/>
    <w:rsid w:val="00580F8C"/>
    <w:rsid w:val="00581362"/>
    <w:rsid w:val="005815AA"/>
    <w:rsid w:val="00581725"/>
    <w:rsid w:val="005822CA"/>
    <w:rsid w:val="00582781"/>
    <w:rsid w:val="00582C39"/>
    <w:rsid w:val="005830DE"/>
    <w:rsid w:val="00583C63"/>
    <w:rsid w:val="00583F17"/>
    <w:rsid w:val="00584165"/>
    <w:rsid w:val="0058469B"/>
    <w:rsid w:val="00584D2B"/>
    <w:rsid w:val="005850B4"/>
    <w:rsid w:val="005851B0"/>
    <w:rsid w:val="00585780"/>
    <w:rsid w:val="005859F0"/>
    <w:rsid w:val="00585AE4"/>
    <w:rsid w:val="00585D14"/>
    <w:rsid w:val="0058657F"/>
    <w:rsid w:val="005868EE"/>
    <w:rsid w:val="00586A4A"/>
    <w:rsid w:val="00586F7C"/>
    <w:rsid w:val="00587332"/>
    <w:rsid w:val="005875F5"/>
    <w:rsid w:val="00587959"/>
    <w:rsid w:val="00587BA5"/>
    <w:rsid w:val="00590511"/>
    <w:rsid w:val="00590778"/>
    <w:rsid w:val="00590C97"/>
    <w:rsid w:val="0059111A"/>
    <w:rsid w:val="0059132D"/>
    <w:rsid w:val="005918DD"/>
    <w:rsid w:val="00591A4D"/>
    <w:rsid w:val="005921A6"/>
    <w:rsid w:val="005921DB"/>
    <w:rsid w:val="00592354"/>
    <w:rsid w:val="0059250A"/>
    <w:rsid w:val="00592612"/>
    <w:rsid w:val="00592BC8"/>
    <w:rsid w:val="00592D1D"/>
    <w:rsid w:val="0059331E"/>
    <w:rsid w:val="00593770"/>
    <w:rsid w:val="005943EA"/>
    <w:rsid w:val="005946E9"/>
    <w:rsid w:val="00594B5F"/>
    <w:rsid w:val="0059578F"/>
    <w:rsid w:val="00595AAF"/>
    <w:rsid w:val="00595CF0"/>
    <w:rsid w:val="00596D21"/>
    <w:rsid w:val="0059718C"/>
    <w:rsid w:val="00597CF0"/>
    <w:rsid w:val="00597D11"/>
    <w:rsid w:val="005A0217"/>
    <w:rsid w:val="005A028F"/>
    <w:rsid w:val="005A062A"/>
    <w:rsid w:val="005A097B"/>
    <w:rsid w:val="005A0D3B"/>
    <w:rsid w:val="005A104B"/>
    <w:rsid w:val="005A2C7E"/>
    <w:rsid w:val="005A3161"/>
    <w:rsid w:val="005A3537"/>
    <w:rsid w:val="005A3670"/>
    <w:rsid w:val="005A387C"/>
    <w:rsid w:val="005A3E11"/>
    <w:rsid w:val="005A4414"/>
    <w:rsid w:val="005A488F"/>
    <w:rsid w:val="005A53E0"/>
    <w:rsid w:val="005A5522"/>
    <w:rsid w:val="005A5788"/>
    <w:rsid w:val="005A59FE"/>
    <w:rsid w:val="005A5C8F"/>
    <w:rsid w:val="005A6259"/>
    <w:rsid w:val="005A627F"/>
    <w:rsid w:val="005A6A40"/>
    <w:rsid w:val="005A6EB7"/>
    <w:rsid w:val="005A7980"/>
    <w:rsid w:val="005A7B58"/>
    <w:rsid w:val="005A7BEC"/>
    <w:rsid w:val="005B052F"/>
    <w:rsid w:val="005B0BA3"/>
    <w:rsid w:val="005B0E2F"/>
    <w:rsid w:val="005B0F85"/>
    <w:rsid w:val="005B0FB7"/>
    <w:rsid w:val="005B133F"/>
    <w:rsid w:val="005B14D5"/>
    <w:rsid w:val="005B1A51"/>
    <w:rsid w:val="005B1F59"/>
    <w:rsid w:val="005B268F"/>
    <w:rsid w:val="005B2C1C"/>
    <w:rsid w:val="005B35E6"/>
    <w:rsid w:val="005B388A"/>
    <w:rsid w:val="005B3FE2"/>
    <w:rsid w:val="005B4130"/>
    <w:rsid w:val="005B4932"/>
    <w:rsid w:val="005B534C"/>
    <w:rsid w:val="005B559D"/>
    <w:rsid w:val="005B5AD2"/>
    <w:rsid w:val="005B5D85"/>
    <w:rsid w:val="005B6428"/>
    <w:rsid w:val="005B66EA"/>
    <w:rsid w:val="005B6AE1"/>
    <w:rsid w:val="005B6D52"/>
    <w:rsid w:val="005B6EDB"/>
    <w:rsid w:val="005B7086"/>
    <w:rsid w:val="005B74DD"/>
    <w:rsid w:val="005B7EE5"/>
    <w:rsid w:val="005B7F10"/>
    <w:rsid w:val="005C0516"/>
    <w:rsid w:val="005C05DE"/>
    <w:rsid w:val="005C069D"/>
    <w:rsid w:val="005C0CB1"/>
    <w:rsid w:val="005C0DA3"/>
    <w:rsid w:val="005C1432"/>
    <w:rsid w:val="005C1764"/>
    <w:rsid w:val="005C1B6F"/>
    <w:rsid w:val="005C2044"/>
    <w:rsid w:val="005C20DB"/>
    <w:rsid w:val="005C20FA"/>
    <w:rsid w:val="005C23D5"/>
    <w:rsid w:val="005C2406"/>
    <w:rsid w:val="005C2555"/>
    <w:rsid w:val="005C2AE0"/>
    <w:rsid w:val="005C2CE4"/>
    <w:rsid w:val="005C2D77"/>
    <w:rsid w:val="005C331E"/>
    <w:rsid w:val="005C3637"/>
    <w:rsid w:val="005C3B72"/>
    <w:rsid w:val="005C3B85"/>
    <w:rsid w:val="005C43F3"/>
    <w:rsid w:val="005C4474"/>
    <w:rsid w:val="005C4DED"/>
    <w:rsid w:val="005C5059"/>
    <w:rsid w:val="005C55E1"/>
    <w:rsid w:val="005C5840"/>
    <w:rsid w:val="005C60C0"/>
    <w:rsid w:val="005C621B"/>
    <w:rsid w:val="005C69AA"/>
    <w:rsid w:val="005C6CA1"/>
    <w:rsid w:val="005C6D17"/>
    <w:rsid w:val="005C6FF6"/>
    <w:rsid w:val="005C755C"/>
    <w:rsid w:val="005C7575"/>
    <w:rsid w:val="005C7752"/>
    <w:rsid w:val="005C7CBA"/>
    <w:rsid w:val="005D020F"/>
    <w:rsid w:val="005D076B"/>
    <w:rsid w:val="005D0B75"/>
    <w:rsid w:val="005D0D03"/>
    <w:rsid w:val="005D14F0"/>
    <w:rsid w:val="005D16FF"/>
    <w:rsid w:val="005D1708"/>
    <w:rsid w:val="005D2227"/>
    <w:rsid w:val="005D2AA9"/>
    <w:rsid w:val="005D2BE0"/>
    <w:rsid w:val="005D2D6E"/>
    <w:rsid w:val="005D2F0C"/>
    <w:rsid w:val="005D3BA2"/>
    <w:rsid w:val="005D4935"/>
    <w:rsid w:val="005D4FB0"/>
    <w:rsid w:val="005D529A"/>
    <w:rsid w:val="005D5400"/>
    <w:rsid w:val="005D547E"/>
    <w:rsid w:val="005D5845"/>
    <w:rsid w:val="005D5EA8"/>
    <w:rsid w:val="005D63A7"/>
    <w:rsid w:val="005D65E2"/>
    <w:rsid w:val="005D6C8F"/>
    <w:rsid w:val="005D7072"/>
    <w:rsid w:val="005D7422"/>
    <w:rsid w:val="005D77CE"/>
    <w:rsid w:val="005D7926"/>
    <w:rsid w:val="005E007D"/>
    <w:rsid w:val="005E029A"/>
    <w:rsid w:val="005E050E"/>
    <w:rsid w:val="005E091F"/>
    <w:rsid w:val="005E0926"/>
    <w:rsid w:val="005E092D"/>
    <w:rsid w:val="005E0D1C"/>
    <w:rsid w:val="005E124A"/>
    <w:rsid w:val="005E22CA"/>
    <w:rsid w:val="005E2F2E"/>
    <w:rsid w:val="005E31CD"/>
    <w:rsid w:val="005E3628"/>
    <w:rsid w:val="005E3A76"/>
    <w:rsid w:val="005E3D05"/>
    <w:rsid w:val="005E3DEE"/>
    <w:rsid w:val="005E46CB"/>
    <w:rsid w:val="005E49F0"/>
    <w:rsid w:val="005E4B50"/>
    <w:rsid w:val="005E4FC5"/>
    <w:rsid w:val="005E51A0"/>
    <w:rsid w:val="005E5237"/>
    <w:rsid w:val="005E548E"/>
    <w:rsid w:val="005E54EB"/>
    <w:rsid w:val="005E59EA"/>
    <w:rsid w:val="005E5A63"/>
    <w:rsid w:val="005E5EC3"/>
    <w:rsid w:val="005E61E5"/>
    <w:rsid w:val="005E69F0"/>
    <w:rsid w:val="005E6B3A"/>
    <w:rsid w:val="005E6B3F"/>
    <w:rsid w:val="005E6FB9"/>
    <w:rsid w:val="005E7205"/>
    <w:rsid w:val="005E7792"/>
    <w:rsid w:val="005E7EC9"/>
    <w:rsid w:val="005E7FC0"/>
    <w:rsid w:val="005F03A1"/>
    <w:rsid w:val="005F0893"/>
    <w:rsid w:val="005F0BFA"/>
    <w:rsid w:val="005F0D91"/>
    <w:rsid w:val="005F0EBF"/>
    <w:rsid w:val="005F157D"/>
    <w:rsid w:val="005F1B11"/>
    <w:rsid w:val="005F1D60"/>
    <w:rsid w:val="005F326B"/>
    <w:rsid w:val="005F3619"/>
    <w:rsid w:val="005F3B09"/>
    <w:rsid w:val="005F4448"/>
    <w:rsid w:val="005F4773"/>
    <w:rsid w:val="005F4848"/>
    <w:rsid w:val="005F5CAE"/>
    <w:rsid w:val="005F5F06"/>
    <w:rsid w:val="005F6E0B"/>
    <w:rsid w:val="005F6EA0"/>
    <w:rsid w:val="005F6F26"/>
    <w:rsid w:val="005F6FCD"/>
    <w:rsid w:val="005F70B6"/>
    <w:rsid w:val="005F7E29"/>
    <w:rsid w:val="00600086"/>
    <w:rsid w:val="00600B21"/>
    <w:rsid w:val="00601382"/>
    <w:rsid w:val="00601865"/>
    <w:rsid w:val="00601B0B"/>
    <w:rsid w:val="00601E05"/>
    <w:rsid w:val="00602133"/>
    <w:rsid w:val="00602549"/>
    <w:rsid w:val="006025A3"/>
    <w:rsid w:val="00602EF7"/>
    <w:rsid w:val="006030B6"/>
    <w:rsid w:val="0060332F"/>
    <w:rsid w:val="00603A64"/>
    <w:rsid w:val="006048E9"/>
    <w:rsid w:val="00604BC2"/>
    <w:rsid w:val="006055E9"/>
    <w:rsid w:val="0060561F"/>
    <w:rsid w:val="00605D21"/>
    <w:rsid w:val="00606363"/>
    <w:rsid w:val="00606C50"/>
    <w:rsid w:val="0060723D"/>
    <w:rsid w:val="006073B4"/>
    <w:rsid w:val="006073B6"/>
    <w:rsid w:val="00607ABE"/>
    <w:rsid w:val="00607FC3"/>
    <w:rsid w:val="00610B09"/>
    <w:rsid w:val="00611926"/>
    <w:rsid w:val="0061199D"/>
    <w:rsid w:val="00611A2D"/>
    <w:rsid w:val="006125B8"/>
    <w:rsid w:val="00612B5F"/>
    <w:rsid w:val="006132BE"/>
    <w:rsid w:val="00613333"/>
    <w:rsid w:val="006134C9"/>
    <w:rsid w:val="00613513"/>
    <w:rsid w:val="00613C43"/>
    <w:rsid w:val="0061407F"/>
    <w:rsid w:val="00614E37"/>
    <w:rsid w:val="0061523C"/>
    <w:rsid w:val="006157AF"/>
    <w:rsid w:val="00615916"/>
    <w:rsid w:val="00615A4B"/>
    <w:rsid w:val="00616A08"/>
    <w:rsid w:val="00617169"/>
    <w:rsid w:val="00617A40"/>
    <w:rsid w:val="00617B44"/>
    <w:rsid w:val="0062010E"/>
    <w:rsid w:val="0062021C"/>
    <w:rsid w:val="00620387"/>
    <w:rsid w:val="00620476"/>
    <w:rsid w:val="006208EC"/>
    <w:rsid w:val="006208F4"/>
    <w:rsid w:val="00620D7E"/>
    <w:rsid w:val="00620D9E"/>
    <w:rsid w:val="0062122D"/>
    <w:rsid w:val="006212E1"/>
    <w:rsid w:val="00621D07"/>
    <w:rsid w:val="00622037"/>
    <w:rsid w:val="00622A70"/>
    <w:rsid w:val="00622B60"/>
    <w:rsid w:val="00623013"/>
    <w:rsid w:val="00623300"/>
    <w:rsid w:val="006239C9"/>
    <w:rsid w:val="00623C8D"/>
    <w:rsid w:val="00624784"/>
    <w:rsid w:val="006247DA"/>
    <w:rsid w:val="00624E28"/>
    <w:rsid w:val="006252BF"/>
    <w:rsid w:val="0062567A"/>
    <w:rsid w:val="00625F3F"/>
    <w:rsid w:val="006260B3"/>
    <w:rsid w:val="00626690"/>
    <w:rsid w:val="0062689C"/>
    <w:rsid w:val="00626903"/>
    <w:rsid w:val="00627DC7"/>
    <w:rsid w:val="00630C12"/>
    <w:rsid w:val="006311F0"/>
    <w:rsid w:val="00631416"/>
    <w:rsid w:val="00631742"/>
    <w:rsid w:val="00632E2B"/>
    <w:rsid w:val="0063334F"/>
    <w:rsid w:val="006334F1"/>
    <w:rsid w:val="00634CE2"/>
    <w:rsid w:val="00635120"/>
    <w:rsid w:val="006353DA"/>
    <w:rsid w:val="00635B3B"/>
    <w:rsid w:val="00635B67"/>
    <w:rsid w:val="00635BAA"/>
    <w:rsid w:val="00635FA2"/>
    <w:rsid w:val="006360D0"/>
    <w:rsid w:val="006366EE"/>
    <w:rsid w:val="00636919"/>
    <w:rsid w:val="0063697D"/>
    <w:rsid w:val="006369A6"/>
    <w:rsid w:val="00637158"/>
    <w:rsid w:val="0063756D"/>
    <w:rsid w:val="00637583"/>
    <w:rsid w:val="00637625"/>
    <w:rsid w:val="00637844"/>
    <w:rsid w:val="00637AAC"/>
    <w:rsid w:val="00637C76"/>
    <w:rsid w:val="00637D2E"/>
    <w:rsid w:val="00637D67"/>
    <w:rsid w:val="00640452"/>
    <w:rsid w:val="00640818"/>
    <w:rsid w:val="006412D0"/>
    <w:rsid w:val="006426EA"/>
    <w:rsid w:val="00642735"/>
    <w:rsid w:val="006429B6"/>
    <w:rsid w:val="00642A82"/>
    <w:rsid w:val="0064405B"/>
    <w:rsid w:val="00644310"/>
    <w:rsid w:val="00644417"/>
    <w:rsid w:val="006445BE"/>
    <w:rsid w:val="00644655"/>
    <w:rsid w:val="006448B3"/>
    <w:rsid w:val="006448C9"/>
    <w:rsid w:val="00644EF1"/>
    <w:rsid w:val="00645461"/>
    <w:rsid w:val="00645579"/>
    <w:rsid w:val="00645797"/>
    <w:rsid w:val="00645AB0"/>
    <w:rsid w:val="0064633E"/>
    <w:rsid w:val="006468F2"/>
    <w:rsid w:val="00647066"/>
    <w:rsid w:val="00647A83"/>
    <w:rsid w:val="00647BA2"/>
    <w:rsid w:val="006500BC"/>
    <w:rsid w:val="006508CB"/>
    <w:rsid w:val="00650CD7"/>
    <w:rsid w:val="00650E50"/>
    <w:rsid w:val="0065125A"/>
    <w:rsid w:val="00651578"/>
    <w:rsid w:val="00652748"/>
    <w:rsid w:val="006529BE"/>
    <w:rsid w:val="00652FF7"/>
    <w:rsid w:val="0065349B"/>
    <w:rsid w:val="00653669"/>
    <w:rsid w:val="0065427D"/>
    <w:rsid w:val="0065486B"/>
    <w:rsid w:val="00654AE5"/>
    <w:rsid w:val="00654D96"/>
    <w:rsid w:val="006561A5"/>
    <w:rsid w:val="00656587"/>
    <w:rsid w:val="006601FF"/>
    <w:rsid w:val="006606AD"/>
    <w:rsid w:val="00660D09"/>
    <w:rsid w:val="0066194D"/>
    <w:rsid w:val="00661EC5"/>
    <w:rsid w:val="006621A7"/>
    <w:rsid w:val="0066226F"/>
    <w:rsid w:val="00662C37"/>
    <w:rsid w:val="00662C79"/>
    <w:rsid w:val="006633DC"/>
    <w:rsid w:val="00663985"/>
    <w:rsid w:val="00663CFD"/>
    <w:rsid w:val="006643C2"/>
    <w:rsid w:val="00664427"/>
    <w:rsid w:val="00664633"/>
    <w:rsid w:val="006653EE"/>
    <w:rsid w:val="006654E5"/>
    <w:rsid w:val="00665B33"/>
    <w:rsid w:val="00665C6A"/>
    <w:rsid w:val="006669CE"/>
    <w:rsid w:val="006669E4"/>
    <w:rsid w:val="00666DF9"/>
    <w:rsid w:val="00667170"/>
    <w:rsid w:val="00667273"/>
    <w:rsid w:val="0066793A"/>
    <w:rsid w:val="0067044B"/>
    <w:rsid w:val="00670E18"/>
    <w:rsid w:val="00670F46"/>
    <w:rsid w:val="00671147"/>
    <w:rsid w:val="006712FB"/>
    <w:rsid w:val="00671604"/>
    <w:rsid w:val="006717ED"/>
    <w:rsid w:val="00671FA7"/>
    <w:rsid w:val="0067224C"/>
    <w:rsid w:val="0067245A"/>
    <w:rsid w:val="00672A23"/>
    <w:rsid w:val="00672BD3"/>
    <w:rsid w:val="00672CBC"/>
    <w:rsid w:val="006733C5"/>
    <w:rsid w:val="00673760"/>
    <w:rsid w:val="00673822"/>
    <w:rsid w:val="00673ECF"/>
    <w:rsid w:val="00674173"/>
    <w:rsid w:val="00675329"/>
    <w:rsid w:val="0067550D"/>
    <w:rsid w:val="00675A91"/>
    <w:rsid w:val="00675DC3"/>
    <w:rsid w:val="00675DCA"/>
    <w:rsid w:val="00675F95"/>
    <w:rsid w:val="00676938"/>
    <w:rsid w:val="00677060"/>
    <w:rsid w:val="006770F3"/>
    <w:rsid w:val="0067753C"/>
    <w:rsid w:val="0067754A"/>
    <w:rsid w:val="00677BB2"/>
    <w:rsid w:val="00677C2C"/>
    <w:rsid w:val="00677D63"/>
    <w:rsid w:val="00677EDA"/>
    <w:rsid w:val="00677F77"/>
    <w:rsid w:val="00680040"/>
    <w:rsid w:val="006800B2"/>
    <w:rsid w:val="006802CD"/>
    <w:rsid w:val="0068086D"/>
    <w:rsid w:val="00680878"/>
    <w:rsid w:val="00680BA1"/>
    <w:rsid w:val="00680BF6"/>
    <w:rsid w:val="00680F16"/>
    <w:rsid w:val="00680FE1"/>
    <w:rsid w:val="006814F6"/>
    <w:rsid w:val="00681AA5"/>
    <w:rsid w:val="00682238"/>
    <w:rsid w:val="006824C9"/>
    <w:rsid w:val="0068260E"/>
    <w:rsid w:val="006827D4"/>
    <w:rsid w:val="00682816"/>
    <w:rsid w:val="006839AB"/>
    <w:rsid w:val="006841A2"/>
    <w:rsid w:val="006846EE"/>
    <w:rsid w:val="00684920"/>
    <w:rsid w:val="00684E60"/>
    <w:rsid w:val="00685250"/>
    <w:rsid w:val="006856DC"/>
    <w:rsid w:val="006857E9"/>
    <w:rsid w:val="00685960"/>
    <w:rsid w:val="0068599A"/>
    <w:rsid w:val="00685C11"/>
    <w:rsid w:val="00686006"/>
    <w:rsid w:val="0068630E"/>
    <w:rsid w:val="00686394"/>
    <w:rsid w:val="00686DA2"/>
    <w:rsid w:val="006870EA"/>
    <w:rsid w:val="006871CC"/>
    <w:rsid w:val="006879FC"/>
    <w:rsid w:val="00690152"/>
    <w:rsid w:val="006903B6"/>
    <w:rsid w:val="006907EE"/>
    <w:rsid w:val="00690D2A"/>
    <w:rsid w:val="00692129"/>
    <w:rsid w:val="00692497"/>
    <w:rsid w:val="00692866"/>
    <w:rsid w:val="006937AB"/>
    <w:rsid w:val="00693ED1"/>
    <w:rsid w:val="00694052"/>
    <w:rsid w:val="00694175"/>
    <w:rsid w:val="0069417E"/>
    <w:rsid w:val="006942BC"/>
    <w:rsid w:val="0069490C"/>
    <w:rsid w:val="00694958"/>
    <w:rsid w:val="00694CC3"/>
    <w:rsid w:val="0069556B"/>
    <w:rsid w:val="0069565B"/>
    <w:rsid w:val="00695891"/>
    <w:rsid w:val="0069593E"/>
    <w:rsid w:val="00695B2D"/>
    <w:rsid w:val="0069648D"/>
    <w:rsid w:val="00696FF7"/>
    <w:rsid w:val="00697239"/>
    <w:rsid w:val="006974F3"/>
    <w:rsid w:val="00697786"/>
    <w:rsid w:val="006A024C"/>
    <w:rsid w:val="006A0938"/>
    <w:rsid w:val="006A0B89"/>
    <w:rsid w:val="006A0C3C"/>
    <w:rsid w:val="006A0DFE"/>
    <w:rsid w:val="006A10FC"/>
    <w:rsid w:val="006A1490"/>
    <w:rsid w:val="006A1676"/>
    <w:rsid w:val="006A183B"/>
    <w:rsid w:val="006A1A4D"/>
    <w:rsid w:val="006A1B75"/>
    <w:rsid w:val="006A2754"/>
    <w:rsid w:val="006A276C"/>
    <w:rsid w:val="006A309E"/>
    <w:rsid w:val="006A369D"/>
    <w:rsid w:val="006A3970"/>
    <w:rsid w:val="006A3CD1"/>
    <w:rsid w:val="006A50F4"/>
    <w:rsid w:val="006A519B"/>
    <w:rsid w:val="006A5405"/>
    <w:rsid w:val="006A60A0"/>
    <w:rsid w:val="006A70BE"/>
    <w:rsid w:val="006A74E7"/>
    <w:rsid w:val="006A7A55"/>
    <w:rsid w:val="006B024B"/>
    <w:rsid w:val="006B06F3"/>
    <w:rsid w:val="006B085D"/>
    <w:rsid w:val="006B09A7"/>
    <w:rsid w:val="006B1937"/>
    <w:rsid w:val="006B1A17"/>
    <w:rsid w:val="006B20F6"/>
    <w:rsid w:val="006B21A9"/>
    <w:rsid w:val="006B3C38"/>
    <w:rsid w:val="006B4435"/>
    <w:rsid w:val="006B4541"/>
    <w:rsid w:val="006B53AE"/>
    <w:rsid w:val="006B5806"/>
    <w:rsid w:val="006B58BB"/>
    <w:rsid w:val="006B5CF5"/>
    <w:rsid w:val="006B5F8D"/>
    <w:rsid w:val="006B6102"/>
    <w:rsid w:val="006B642A"/>
    <w:rsid w:val="006B6567"/>
    <w:rsid w:val="006B6A8E"/>
    <w:rsid w:val="006B6E80"/>
    <w:rsid w:val="006B738B"/>
    <w:rsid w:val="006B78B1"/>
    <w:rsid w:val="006B7C7D"/>
    <w:rsid w:val="006B7CCE"/>
    <w:rsid w:val="006B7CDF"/>
    <w:rsid w:val="006B7E94"/>
    <w:rsid w:val="006B7ECA"/>
    <w:rsid w:val="006C08B1"/>
    <w:rsid w:val="006C0CF6"/>
    <w:rsid w:val="006C0DD1"/>
    <w:rsid w:val="006C13AA"/>
    <w:rsid w:val="006C1AB3"/>
    <w:rsid w:val="006C1C4B"/>
    <w:rsid w:val="006C2936"/>
    <w:rsid w:val="006C2F7A"/>
    <w:rsid w:val="006C33C3"/>
    <w:rsid w:val="006C3CC2"/>
    <w:rsid w:val="006C3F56"/>
    <w:rsid w:val="006C401E"/>
    <w:rsid w:val="006C47E6"/>
    <w:rsid w:val="006C4CDB"/>
    <w:rsid w:val="006C50B5"/>
    <w:rsid w:val="006C6631"/>
    <w:rsid w:val="006C6F86"/>
    <w:rsid w:val="006C7310"/>
    <w:rsid w:val="006C7643"/>
    <w:rsid w:val="006C7832"/>
    <w:rsid w:val="006C789C"/>
    <w:rsid w:val="006D034E"/>
    <w:rsid w:val="006D0DE9"/>
    <w:rsid w:val="006D15F6"/>
    <w:rsid w:val="006D1756"/>
    <w:rsid w:val="006D184F"/>
    <w:rsid w:val="006D1D1E"/>
    <w:rsid w:val="006D23E7"/>
    <w:rsid w:val="006D250A"/>
    <w:rsid w:val="006D255E"/>
    <w:rsid w:val="006D25F5"/>
    <w:rsid w:val="006D2D08"/>
    <w:rsid w:val="006D2FEE"/>
    <w:rsid w:val="006D305E"/>
    <w:rsid w:val="006D3223"/>
    <w:rsid w:val="006D36C1"/>
    <w:rsid w:val="006D3938"/>
    <w:rsid w:val="006D3B97"/>
    <w:rsid w:val="006D3BBC"/>
    <w:rsid w:val="006D43ED"/>
    <w:rsid w:val="006D46FC"/>
    <w:rsid w:val="006D4910"/>
    <w:rsid w:val="006D4CD3"/>
    <w:rsid w:val="006D4D74"/>
    <w:rsid w:val="006D4E95"/>
    <w:rsid w:val="006D54A3"/>
    <w:rsid w:val="006D5C87"/>
    <w:rsid w:val="006D5CF1"/>
    <w:rsid w:val="006D5D1D"/>
    <w:rsid w:val="006D5F82"/>
    <w:rsid w:val="006D60E3"/>
    <w:rsid w:val="006D6530"/>
    <w:rsid w:val="006D6A6D"/>
    <w:rsid w:val="006D7026"/>
    <w:rsid w:val="006D7286"/>
    <w:rsid w:val="006D7529"/>
    <w:rsid w:val="006D77AF"/>
    <w:rsid w:val="006D7BB0"/>
    <w:rsid w:val="006D7BF4"/>
    <w:rsid w:val="006E03FC"/>
    <w:rsid w:val="006E0917"/>
    <w:rsid w:val="006E0B4B"/>
    <w:rsid w:val="006E1216"/>
    <w:rsid w:val="006E125D"/>
    <w:rsid w:val="006E1523"/>
    <w:rsid w:val="006E1D03"/>
    <w:rsid w:val="006E1D8C"/>
    <w:rsid w:val="006E26D4"/>
    <w:rsid w:val="006E28E6"/>
    <w:rsid w:val="006E2B81"/>
    <w:rsid w:val="006E38FF"/>
    <w:rsid w:val="006E3F1A"/>
    <w:rsid w:val="006E45D7"/>
    <w:rsid w:val="006E4BE0"/>
    <w:rsid w:val="006E5044"/>
    <w:rsid w:val="006E54A0"/>
    <w:rsid w:val="006E595A"/>
    <w:rsid w:val="006E5B0A"/>
    <w:rsid w:val="006E5B91"/>
    <w:rsid w:val="006E6169"/>
    <w:rsid w:val="006E6175"/>
    <w:rsid w:val="006E744C"/>
    <w:rsid w:val="006E74C0"/>
    <w:rsid w:val="006E7B89"/>
    <w:rsid w:val="006F02C2"/>
    <w:rsid w:val="006F0590"/>
    <w:rsid w:val="006F06E0"/>
    <w:rsid w:val="006F0D82"/>
    <w:rsid w:val="006F1029"/>
    <w:rsid w:val="006F11DB"/>
    <w:rsid w:val="006F13D0"/>
    <w:rsid w:val="006F170A"/>
    <w:rsid w:val="006F1A8A"/>
    <w:rsid w:val="006F23B3"/>
    <w:rsid w:val="006F28E6"/>
    <w:rsid w:val="006F3659"/>
    <w:rsid w:val="006F383A"/>
    <w:rsid w:val="006F391D"/>
    <w:rsid w:val="006F3AA7"/>
    <w:rsid w:val="006F3BDF"/>
    <w:rsid w:val="006F43E3"/>
    <w:rsid w:val="006F4430"/>
    <w:rsid w:val="006F5A28"/>
    <w:rsid w:val="006F5B1E"/>
    <w:rsid w:val="006F6674"/>
    <w:rsid w:val="006F7282"/>
    <w:rsid w:val="006F7F56"/>
    <w:rsid w:val="00700764"/>
    <w:rsid w:val="00700B28"/>
    <w:rsid w:val="00700CD4"/>
    <w:rsid w:val="00700DA9"/>
    <w:rsid w:val="0070115D"/>
    <w:rsid w:val="00701183"/>
    <w:rsid w:val="00701629"/>
    <w:rsid w:val="007018D6"/>
    <w:rsid w:val="00702673"/>
    <w:rsid w:val="00703146"/>
    <w:rsid w:val="007033CC"/>
    <w:rsid w:val="00703565"/>
    <w:rsid w:val="00703A8B"/>
    <w:rsid w:val="00704C2B"/>
    <w:rsid w:val="00704D03"/>
    <w:rsid w:val="00705435"/>
    <w:rsid w:val="00705527"/>
    <w:rsid w:val="007068C8"/>
    <w:rsid w:val="00706CBB"/>
    <w:rsid w:val="00706D71"/>
    <w:rsid w:val="00706FB4"/>
    <w:rsid w:val="0070710A"/>
    <w:rsid w:val="00707410"/>
    <w:rsid w:val="00707753"/>
    <w:rsid w:val="00707A34"/>
    <w:rsid w:val="00707BD1"/>
    <w:rsid w:val="00707C18"/>
    <w:rsid w:val="00710714"/>
    <w:rsid w:val="0071085F"/>
    <w:rsid w:val="00710EEF"/>
    <w:rsid w:val="00711270"/>
    <w:rsid w:val="00711AF7"/>
    <w:rsid w:val="00712759"/>
    <w:rsid w:val="00712F58"/>
    <w:rsid w:val="0071351F"/>
    <w:rsid w:val="00713916"/>
    <w:rsid w:val="00713E34"/>
    <w:rsid w:val="00714798"/>
    <w:rsid w:val="00714D66"/>
    <w:rsid w:val="0071573F"/>
    <w:rsid w:val="00716550"/>
    <w:rsid w:val="00716B88"/>
    <w:rsid w:val="00716E52"/>
    <w:rsid w:val="007170A6"/>
    <w:rsid w:val="0071721E"/>
    <w:rsid w:val="007172F6"/>
    <w:rsid w:val="0071757B"/>
    <w:rsid w:val="00717B16"/>
    <w:rsid w:val="00717E81"/>
    <w:rsid w:val="0072064F"/>
    <w:rsid w:val="00720FF7"/>
    <w:rsid w:val="00721AAA"/>
    <w:rsid w:val="00721BB9"/>
    <w:rsid w:val="00721EE7"/>
    <w:rsid w:val="0072217C"/>
    <w:rsid w:val="007222AE"/>
    <w:rsid w:val="00722305"/>
    <w:rsid w:val="00722EC8"/>
    <w:rsid w:val="00722FD1"/>
    <w:rsid w:val="00722FEE"/>
    <w:rsid w:val="0072321A"/>
    <w:rsid w:val="00723545"/>
    <w:rsid w:val="00723F9B"/>
    <w:rsid w:val="00724025"/>
    <w:rsid w:val="007247D6"/>
    <w:rsid w:val="00724B52"/>
    <w:rsid w:val="00724BA2"/>
    <w:rsid w:val="0072501E"/>
    <w:rsid w:val="00725576"/>
    <w:rsid w:val="007263AF"/>
    <w:rsid w:val="00726595"/>
    <w:rsid w:val="007266E4"/>
    <w:rsid w:val="0072738E"/>
    <w:rsid w:val="0072767E"/>
    <w:rsid w:val="007277B4"/>
    <w:rsid w:val="007277E5"/>
    <w:rsid w:val="00727EDD"/>
    <w:rsid w:val="00727F30"/>
    <w:rsid w:val="0073000A"/>
    <w:rsid w:val="00730180"/>
    <w:rsid w:val="00730397"/>
    <w:rsid w:val="007306A6"/>
    <w:rsid w:val="0073077D"/>
    <w:rsid w:val="0073095E"/>
    <w:rsid w:val="00730D5B"/>
    <w:rsid w:val="00730DC4"/>
    <w:rsid w:val="0073189B"/>
    <w:rsid w:val="00731AAE"/>
    <w:rsid w:val="00731D04"/>
    <w:rsid w:val="00731FF1"/>
    <w:rsid w:val="00732023"/>
    <w:rsid w:val="0073243C"/>
    <w:rsid w:val="00732A4D"/>
    <w:rsid w:val="00732AFF"/>
    <w:rsid w:val="00732C6D"/>
    <w:rsid w:val="00733279"/>
    <w:rsid w:val="00734CDD"/>
    <w:rsid w:val="0073596F"/>
    <w:rsid w:val="00735A1E"/>
    <w:rsid w:val="0073640E"/>
    <w:rsid w:val="00737030"/>
    <w:rsid w:val="0073714E"/>
    <w:rsid w:val="007372D7"/>
    <w:rsid w:val="00737CFF"/>
    <w:rsid w:val="00737E5F"/>
    <w:rsid w:val="007412AB"/>
    <w:rsid w:val="007415FE"/>
    <w:rsid w:val="00742B4B"/>
    <w:rsid w:val="00743346"/>
    <w:rsid w:val="0074334D"/>
    <w:rsid w:val="00743A46"/>
    <w:rsid w:val="00743FE3"/>
    <w:rsid w:val="0074487A"/>
    <w:rsid w:val="00744965"/>
    <w:rsid w:val="00744C67"/>
    <w:rsid w:val="00744EE9"/>
    <w:rsid w:val="00745678"/>
    <w:rsid w:val="00745B0B"/>
    <w:rsid w:val="00745EA3"/>
    <w:rsid w:val="007463AE"/>
    <w:rsid w:val="00747625"/>
    <w:rsid w:val="00747BF6"/>
    <w:rsid w:val="00747BFD"/>
    <w:rsid w:val="00747CD7"/>
    <w:rsid w:val="00747F28"/>
    <w:rsid w:val="00750487"/>
    <w:rsid w:val="007509D4"/>
    <w:rsid w:val="00750A21"/>
    <w:rsid w:val="00750A34"/>
    <w:rsid w:val="00750D2E"/>
    <w:rsid w:val="007519A8"/>
    <w:rsid w:val="00751C68"/>
    <w:rsid w:val="00752161"/>
    <w:rsid w:val="00752580"/>
    <w:rsid w:val="00753105"/>
    <w:rsid w:val="007534E0"/>
    <w:rsid w:val="00753B4D"/>
    <w:rsid w:val="00753DB8"/>
    <w:rsid w:val="00753F59"/>
    <w:rsid w:val="00753F5E"/>
    <w:rsid w:val="00755077"/>
    <w:rsid w:val="007552DC"/>
    <w:rsid w:val="007553C9"/>
    <w:rsid w:val="007557B8"/>
    <w:rsid w:val="00755AE3"/>
    <w:rsid w:val="00756543"/>
    <w:rsid w:val="00756D1B"/>
    <w:rsid w:val="007573FB"/>
    <w:rsid w:val="00757E5C"/>
    <w:rsid w:val="00757ECE"/>
    <w:rsid w:val="00760CF5"/>
    <w:rsid w:val="00760DDD"/>
    <w:rsid w:val="007613E7"/>
    <w:rsid w:val="007615A0"/>
    <w:rsid w:val="007616E5"/>
    <w:rsid w:val="00761867"/>
    <w:rsid w:val="007624C0"/>
    <w:rsid w:val="007627D2"/>
    <w:rsid w:val="00763704"/>
    <w:rsid w:val="00763DA5"/>
    <w:rsid w:val="00764423"/>
    <w:rsid w:val="007645F2"/>
    <w:rsid w:val="0076462D"/>
    <w:rsid w:val="00764A60"/>
    <w:rsid w:val="0076502B"/>
    <w:rsid w:val="007652A2"/>
    <w:rsid w:val="00765644"/>
    <w:rsid w:val="00765795"/>
    <w:rsid w:val="00765C80"/>
    <w:rsid w:val="0076609D"/>
    <w:rsid w:val="007666C7"/>
    <w:rsid w:val="00766BFD"/>
    <w:rsid w:val="00766CC5"/>
    <w:rsid w:val="00767212"/>
    <w:rsid w:val="0076733F"/>
    <w:rsid w:val="00767A8B"/>
    <w:rsid w:val="00767E0B"/>
    <w:rsid w:val="00770510"/>
    <w:rsid w:val="0077070A"/>
    <w:rsid w:val="007707DC"/>
    <w:rsid w:val="0077138B"/>
    <w:rsid w:val="007714B0"/>
    <w:rsid w:val="007716BF"/>
    <w:rsid w:val="00771A89"/>
    <w:rsid w:val="00771BFE"/>
    <w:rsid w:val="0077277A"/>
    <w:rsid w:val="00772853"/>
    <w:rsid w:val="007728C8"/>
    <w:rsid w:val="0077295D"/>
    <w:rsid w:val="007730A4"/>
    <w:rsid w:val="007739FD"/>
    <w:rsid w:val="00773B08"/>
    <w:rsid w:val="00773CE1"/>
    <w:rsid w:val="00774117"/>
    <w:rsid w:val="0077495B"/>
    <w:rsid w:val="00774D7A"/>
    <w:rsid w:val="00774F99"/>
    <w:rsid w:val="0077553B"/>
    <w:rsid w:val="0077556F"/>
    <w:rsid w:val="0077568A"/>
    <w:rsid w:val="007757B3"/>
    <w:rsid w:val="00775C63"/>
    <w:rsid w:val="007760F7"/>
    <w:rsid w:val="00776584"/>
    <w:rsid w:val="007765F5"/>
    <w:rsid w:val="007768FF"/>
    <w:rsid w:val="00776BE1"/>
    <w:rsid w:val="00777603"/>
    <w:rsid w:val="00777CC7"/>
    <w:rsid w:val="00780206"/>
    <w:rsid w:val="00780497"/>
    <w:rsid w:val="00780AF6"/>
    <w:rsid w:val="00781767"/>
    <w:rsid w:val="00781D67"/>
    <w:rsid w:val="0078204E"/>
    <w:rsid w:val="00782275"/>
    <w:rsid w:val="0078241F"/>
    <w:rsid w:val="007824B4"/>
    <w:rsid w:val="007825A2"/>
    <w:rsid w:val="007829C0"/>
    <w:rsid w:val="00782B0A"/>
    <w:rsid w:val="00783647"/>
    <w:rsid w:val="00783AE3"/>
    <w:rsid w:val="00783B0E"/>
    <w:rsid w:val="00784141"/>
    <w:rsid w:val="007844CA"/>
    <w:rsid w:val="007845C5"/>
    <w:rsid w:val="00784737"/>
    <w:rsid w:val="00784A3D"/>
    <w:rsid w:val="00784D05"/>
    <w:rsid w:val="00784D12"/>
    <w:rsid w:val="00784E45"/>
    <w:rsid w:val="00785344"/>
    <w:rsid w:val="00785A4F"/>
    <w:rsid w:val="00785B21"/>
    <w:rsid w:val="00785B4B"/>
    <w:rsid w:val="00785BB3"/>
    <w:rsid w:val="0078601F"/>
    <w:rsid w:val="00786ADE"/>
    <w:rsid w:val="007874E5"/>
    <w:rsid w:val="00787730"/>
    <w:rsid w:val="0078783D"/>
    <w:rsid w:val="00787AFF"/>
    <w:rsid w:val="00787FA6"/>
    <w:rsid w:val="0079070F"/>
    <w:rsid w:val="00790A42"/>
    <w:rsid w:val="00791270"/>
    <w:rsid w:val="0079139F"/>
    <w:rsid w:val="00791676"/>
    <w:rsid w:val="007919F9"/>
    <w:rsid w:val="007925C7"/>
    <w:rsid w:val="0079295D"/>
    <w:rsid w:val="00792A1A"/>
    <w:rsid w:val="00792FD4"/>
    <w:rsid w:val="00793432"/>
    <w:rsid w:val="007938F3"/>
    <w:rsid w:val="007939AC"/>
    <w:rsid w:val="007939E4"/>
    <w:rsid w:val="00793BC4"/>
    <w:rsid w:val="0079424C"/>
    <w:rsid w:val="00794563"/>
    <w:rsid w:val="00794677"/>
    <w:rsid w:val="00794BD2"/>
    <w:rsid w:val="00794C76"/>
    <w:rsid w:val="007959C8"/>
    <w:rsid w:val="00795C79"/>
    <w:rsid w:val="00795E5E"/>
    <w:rsid w:val="0079603D"/>
    <w:rsid w:val="0079619E"/>
    <w:rsid w:val="007964D2"/>
    <w:rsid w:val="007972E7"/>
    <w:rsid w:val="00797359"/>
    <w:rsid w:val="00797AF9"/>
    <w:rsid w:val="00797B73"/>
    <w:rsid w:val="00797CCF"/>
    <w:rsid w:val="00797E1C"/>
    <w:rsid w:val="00797F1C"/>
    <w:rsid w:val="007A005C"/>
    <w:rsid w:val="007A02B6"/>
    <w:rsid w:val="007A0527"/>
    <w:rsid w:val="007A0AC4"/>
    <w:rsid w:val="007A0D66"/>
    <w:rsid w:val="007A0EB2"/>
    <w:rsid w:val="007A11B4"/>
    <w:rsid w:val="007A15E5"/>
    <w:rsid w:val="007A1654"/>
    <w:rsid w:val="007A165A"/>
    <w:rsid w:val="007A1900"/>
    <w:rsid w:val="007A1C5A"/>
    <w:rsid w:val="007A2337"/>
    <w:rsid w:val="007A2488"/>
    <w:rsid w:val="007A2553"/>
    <w:rsid w:val="007A27F6"/>
    <w:rsid w:val="007A2C28"/>
    <w:rsid w:val="007A31C5"/>
    <w:rsid w:val="007A31FF"/>
    <w:rsid w:val="007A3261"/>
    <w:rsid w:val="007A3F0D"/>
    <w:rsid w:val="007A40BC"/>
    <w:rsid w:val="007A4492"/>
    <w:rsid w:val="007A46DE"/>
    <w:rsid w:val="007A4853"/>
    <w:rsid w:val="007A4DAE"/>
    <w:rsid w:val="007A5516"/>
    <w:rsid w:val="007A59FD"/>
    <w:rsid w:val="007A5FCD"/>
    <w:rsid w:val="007A670B"/>
    <w:rsid w:val="007A6B86"/>
    <w:rsid w:val="007A6D74"/>
    <w:rsid w:val="007A73F2"/>
    <w:rsid w:val="007A74B7"/>
    <w:rsid w:val="007A75B1"/>
    <w:rsid w:val="007A7AD0"/>
    <w:rsid w:val="007A7E63"/>
    <w:rsid w:val="007B0520"/>
    <w:rsid w:val="007B0CA8"/>
    <w:rsid w:val="007B1412"/>
    <w:rsid w:val="007B1496"/>
    <w:rsid w:val="007B14AD"/>
    <w:rsid w:val="007B1518"/>
    <w:rsid w:val="007B1901"/>
    <w:rsid w:val="007B1AF0"/>
    <w:rsid w:val="007B1B49"/>
    <w:rsid w:val="007B1FD3"/>
    <w:rsid w:val="007B2079"/>
    <w:rsid w:val="007B218A"/>
    <w:rsid w:val="007B2BC4"/>
    <w:rsid w:val="007B3520"/>
    <w:rsid w:val="007B3557"/>
    <w:rsid w:val="007B4176"/>
    <w:rsid w:val="007B44F9"/>
    <w:rsid w:val="007B465D"/>
    <w:rsid w:val="007B5128"/>
    <w:rsid w:val="007B52B7"/>
    <w:rsid w:val="007B5577"/>
    <w:rsid w:val="007B57B4"/>
    <w:rsid w:val="007B591F"/>
    <w:rsid w:val="007B5AA7"/>
    <w:rsid w:val="007B5C46"/>
    <w:rsid w:val="007B60FF"/>
    <w:rsid w:val="007B6181"/>
    <w:rsid w:val="007B6297"/>
    <w:rsid w:val="007B65DB"/>
    <w:rsid w:val="007B67BC"/>
    <w:rsid w:val="007B6F2A"/>
    <w:rsid w:val="007B7320"/>
    <w:rsid w:val="007B74B1"/>
    <w:rsid w:val="007B7C62"/>
    <w:rsid w:val="007B7EDB"/>
    <w:rsid w:val="007B7F20"/>
    <w:rsid w:val="007C03D4"/>
    <w:rsid w:val="007C0574"/>
    <w:rsid w:val="007C07BC"/>
    <w:rsid w:val="007C0DC5"/>
    <w:rsid w:val="007C104B"/>
    <w:rsid w:val="007C11AF"/>
    <w:rsid w:val="007C12F7"/>
    <w:rsid w:val="007C1637"/>
    <w:rsid w:val="007C1839"/>
    <w:rsid w:val="007C1D3B"/>
    <w:rsid w:val="007C23EF"/>
    <w:rsid w:val="007C2A35"/>
    <w:rsid w:val="007C2EC2"/>
    <w:rsid w:val="007C3B75"/>
    <w:rsid w:val="007C3F0E"/>
    <w:rsid w:val="007C3F5B"/>
    <w:rsid w:val="007C40E3"/>
    <w:rsid w:val="007C468B"/>
    <w:rsid w:val="007C4E01"/>
    <w:rsid w:val="007C54C6"/>
    <w:rsid w:val="007C5619"/>
    <w:rsid w:val="007C588E"/>
    <w:rsid w:val="007C5AA8"/>
    <w:rsid w:val="007C5F58"/>
    <w:rsid w:val="007C661F"/>
    <w:rsid w:val="007C6764"/>
    <w:rsid w:val="007C6D92"/>
    <w:rsid w:val="007C70D1"/>
    <w:rsid w:val="007C718F"/>
    <w:rsid w:val="007C73BD"/>
    <w:rsid w:val="007D057C"/>
    <w:rsid w:val="007D07BA"/>
    <w:rsid w:val="007D0F18"/>
    <w:rsid w:val="007D117F"/>
    <w:rsid w:val="007D19B5"/>
    <w:rsid w:val="007D1C34"/>
    <w:rsid w:val="007D285D"/>
    <w:rsid w:val="007D2DA4"/>
    <w:rsid w:val="007D31A7"/>
    <w:rsid w:val="007D326D"/>
    <w:rsid w:val="007D33A3"/>
    <w:rsid w:val="007D351C"/>
    <w:rsid w:val="007D3EEA"/>
    <w:rsid w:val="007D4080"/>
    <w:rsid w:val="007D48A3"/>
    <w:rsid w:val="007D4A84"/>
    <w:rsid w:val="007D4A92"/>
    <w:rsid w:val="007D4EAC"/>
    <w:rsid w:val="007D515E"/>
    <w:rsid w:val="007D59AB"/>
    <w:rsid w:val="007D60D9"/>
    <w:rsid w:val="007D6A09"/>
    <w:rsid w:val="007D6E17"/>
    <w:rsid w:val="007D777E"/>
    <w:rsid w:val="007D7841"/>
    <w:rsid w:val="007D7947"/>
    <w:rsid w:val="007D7992"/>
    <w:rsid w:val="007D7C4B"/>
    <w:rsid w:val="007D7E72"/>
    <w:rsid w:val="007E0098"/>
    <w:rsid w:val="007E060D"/>
    <w:rsid w:val="007E07A0"/>
    <w:rsid w:val="007E08F9"/>
    <w:rsid w:val="007E09C3"/>
    <w:rsid w:val="007E0DA2"/>
    <w:rsid w:val="007E0E25"/>
    <w:rsid w:val="007E120F"/>
    <w:rsid w:val="007E151B"/>
    <w:rsid w:val="007E158A"/>
    <w:rsid w:val="007E1DD7"/>
    <w:rsid w:val="007E24A5"/>
    <w:rsid w:val="007E273E"/>
    <w:rsid w:val="007E2779"/>
    <w:rsid w:val="007E29B1"/>
    <w:rsid w:val="007E2AC5"/>
    <w:rsid w:val="007E3159"/>
    <w:rsid w:val="007E3289"/>
    <w:rsid w:val="007E364E"/>
    <w:rsid w:val="007E37E3"/>
    <w:rsid w:val="007E3910"/>
    <w:rsid w:val="007E3D73"/>
    <w:rsid w:val="007E3F74"/>
    <w:rsid w:val="007E49E1"/>
    <w:rsid w:val="007E49E8"/>
    <w:rsid w:val="007E4B95"/>
    <w:rsid w:val="007E4D54"/>
    <w:rsid w:val="007E5606"/>
    <w:rsid w:val="007E5A9B"/>
    <w:rsid w:val="007E5C84"/>
    <w:rsid w:val="007E637D"/>
    <w:rsid w:val="007E6448"/>
    <w:rsid w:val="007E68AB"/>
    <w:rsid w:val="007E6A85"/>
    <w:rsid w:val="007E6AD3"/>
    <w:rsid w:val="007E7550"/>
    <w:rsid w:val="007E7649"/>
    <w:rsid w:val="007E7712"/>
    <w:rsid w:val="007E78AE"/>
    <w:rsid w:val="007E7D44"/>
    <w:rsid w:val="007E7E5E"/>
    <w:rsid w:val="007F0F57"/>
    <w:rsid w:val="007F1115"/>
    <w:rsid w:val="007F1600"/>
    <w:rsid w:val="007F1BA2"/>
    <w:rsid w:val="007F1DE2"/>
    <w:rsid w:val="007F2529"/>
    <w:rsid w:val="007F35CF"/>
    <w:rsid w:val="007F3D8E"/>
    <w:rsid w:val="007F4BB8"/>
    <w:rsid w:val="007F5239"/>
    <w:rsid w:val="007F5A6E"/>
    <w:rsid w:val="007F5ABA"/>
    <w:rsid w:val="007F5E40"/>
    <w:rsid w:val="007F60DF"/>
    <w:rsid w:val="007F6217"/>
    <w:rsid w:val="007F6265"/>
    <w:rsid w:val="007F62D3"/>
    <w:rsid w:val="007F6413"/>
    <w:rsid w:val="007F6A4F"/>
    <w:rsid w:val="007F71CE"/>
    <w:rsid w:val="007F7248"/>
    <w:rsid w:val="007F75BB"/>
    <w:rsid w:val="007F7844"/>
    <w:rsid w:val="007F7C63"/>
    <w:rsid w:val="008000D2"/>
    <w:rsid w:val="00800586"/>
    <w:rsid w:val="008009A4"/>
    <w:rsid w:val="00800C4D"/>
    <w:rsid w:val="00801C0E"/>
    <w:rsid w:val="00802162"/>
    <w:rsid w:val="00802829"/>
    <w:rsid w:val="00802A35"/>
    <w:rsid w:val="00802D4C"/>
    <w:rsid w:val="0080316F"/>
    <w:rsid w:val="00803B1E"/>
    <w:rsid w:val="00803CC0"/>
    <w:rsid w:val="008040CE"/>
    <w:rsid w:val="008042A5"/>
    <w:rsid w:val="0080478C"/>
    <w:rsid w:val="008048AE"/>
    <w:rsid w:val="00804A87"/>
    <w:rsid w:val="00805D84"/>
    <w:rsid w:val="00806173"/>
    <w:rsid w:val="00806DDA"/>
    <w:rsid w:val="00807047"/>
    <w:rsid w:val="008076B6"/>
    <w:rsid w:val="0080770F"/>
    <w:rsid w:val="00807EB3"/>
    <w:rsid w:val="00810244"/>
    <w:rsid w:val="00810249"/>
    <w:rsid w:val="00810E14"/>
    <w:rsid w:val="00811071"/>
    <w:rsid w:val="00811217"/>
    <w:rsid w:val="0081127A"/>
    <w:rsid w:val="00811425"/>
    <w:rsid w:val="00811540"/>
    <w:rsid w:val="00811890"/>
    <w:rsid w:val="00811BC6"/>
    <w:rsid w:val="00812445"/>
    <w:rsid w:val="008124A7"/>
    <w:rsid w:val="00812504"/>
    <w:rsid w:val="00812A0A"/>
    <w:rsid w:val="00812D5C"/>
    <w:rsid w:val="00812DA4"/>
    <w:rsid w:val="00813132"/>
    <w:rsid w:val="00813133"/>
    <w:rsid w:val="008131C7"/>
    <w:rsid w:val="00813235"/>
    <w:rsid w:val="0081381E"/>
    <w:rsid w:val="00813A80"/>
    <w:rsid w:val="00813AB3"/>
    <w:rsid w:val="00813B6F"/>
    <w:rsid w:val="008144AF"/>
    <w:rsid w:val="0081469B"/>
    <w:rsid w:val="008149EF"/>
    <w:rsid w:val="00814E0C"/>
    <w:rsid w:val="00814E3F"/>
    <w:rsid w:val="00815249"/>
    <w:rsid w:val="0081597C"/>
    <w:rsid w:val="00815A9E"/>
    <w:rsid w:val="00815D8E"/>
    <w:rsid w:val="00815EDE"/>
    <w:rsid w:val="0081610F"/>
    <w:rsid w:val="00816369"/>
    <w:rsid w:val="0081670F"/>
    <w:rsid w:val="00817643"/>
    <w:rsid w:val="008177F8"/>
    <w:rsid w:val="00817A1B"/>
    <w:rsid w:val="00817A47"/>
    <w:rsid w:val="00817C56"/>
    <w:rsid w:val="00817C73"/>
    <w:rsid w:val="00817FD6"/>
    <w:rsid w:val="00820105"/>
    <w:rsid w:val="00820451"/>
    <w:rsid w:val="00820EFC"/>
    <w:rsid w:val="00820FB8"/>
    <w:rsid w:val="00821558"/>
    <w:rsid w:val="00821853"/>
    <w:rsid w:val="0082190C"/>
    <w:rsid w:val="00821C26"/>
    <w:rsid w:val="008220E0"/>
    <w:rsid w:val="008225B0"/>
    <w:rsid w:val="00822794"/>
    <w:rsid w:val="00822C51"/>
    <w:rsid w:val="00823194"/>
    <w:rsid w:val="00823D5C"/>
    <w:rsid w:val="00823DA1"/>
    <w:rsid w:val="00824275"/>
    <w:rsid w:val="00824B5B"/>
    <w:rsid w:val="0082558A"/>
    <w:rsid w:val="00825660"/>
    <w:rsid w:val="00825994"/>
    <w:rsid w:val="00826369"/>
    <w:rsid w:val="008268DF"/>
    <w:rsid w:val="00826EAB"/>
    <w:rsid w:val="008274D5"/>
    <w:rsid w:val="00827562"/>
    <w:rsid w:val="00827BAC"/>
    <w:rsid w:val="00830A9E"/>
    <w:rsid w:val="00831083"/>
    <w:rsid w:val="00831119"/>
    <w:rsid w:val="0083118E"/>
    <w:rsid w:val="0083126B"/>
    <w:rsid w:val="008313F6"/>
    <w:rsid w:val="00832653"/>
    <w:rsid w:val="00832F75"/>
    <w:rsid w:val="00833063"/>
    <w:rsid w:val="00833586"/>
    <w:rsid w:val="00834017"/>
    <w:rsid w:val="008340FB"/>
    <w:rsid w:val="00834660"/>
    <w:rsid w:val="0083506E"/>
    <w:rsid w:val="00836B58"/>
    <w:rsid w:val="00836CE3"/>
    <w:rsid w:val="00836E69"/>
    <w:rsid w:val="00836F1F"/>
    <w:rsid w:val="008375FA"/>
    <w:rsid w:val="00841A9B"/>
    <w:rsid w:val="00841EA7"/>
    <w:rsid w:val="008425D4"/>
    <w:rsid w:val="0084289F"/>
    <w:rsid w:val="008428AB"/>
    <w:rsid w:val="00842C6B"/>
    <w:rsid w:val="00843076"/>
    <w:rsid w:val="00843478"/>
    <w:rsid w:val="00843A25"/>
    <w:rsid w:val="00843B3E"/>
    <w:rsid w:val="00843DCF"/>
    <w:rsid w:val="00844E5B"/>
    <w:rsid w:val="008455B4"/>
    <w:rsid w:val="008455D1"/>
    <w:rsid w:val="00845645"/>
    <w:rsid w:val="00845D41"/>
    <w:rsid w:val="00845F73"/>
    <w:rsid w:val="0084759A"/>
    <w:rsid w:val="00850AB6"/>
    <w:rsid w:val="00850AEA"/>
    <w:rsid w:val="00850AF7"/>
    <w:rsid w:val="00850B4C"/>
    <w:rsid w:val="00850FFC"/>
    <w:rsid w:val="008510C4"/>
    <w:rsid w:val="00851391"/>
    <w:rsid w:val="00851576"/>
    <w:rsid w:val="00851679"/>
    <w:rsid w:val="00851931"/>
    <w:rsid w:val="00851BFB"/>
    <w:rsid w:val="00851BFE"/>
    <w:rsid w:val="008522A0"/>
    <w:rsid w:val="0085250A"/>
    <w:rsid w:val="0085253E"/>
    <w:rsid w:val="008526A1"/>
    <w:rsid w:val="0085285A"/>
    <w:rsid w:val="00852C7D"/>
    <w:rsid w:val="00852EF7"/>
    <w:rsid w:val="00853A6F"/>
    <w:rsid w:val="00854097"/>
    <w:rsid w:val="0085452F"/>
    <w:rsid w:val="0085455E"/>
    <w:rsid w:val="00854C8E"/>
    <w:rsid w:val="008553D4"/>
    <w:rsid w:val="0085584E"/>
    <w:rsid w:val="00856B1C"/>
    <w:rsid w:val="00856F11"/>
    <w:rsid w:val="00856FFC"/>
    <w:rsid w:val="0085701E"/>
    <w:rsid w:val="0085759F"/>
    <w:rsid w:val="00857694"/>
    <w:rsid w:val="00857A7D"/>
    <w:rsid w:val="00857B10"/>
    <w:rsid w:val="0086024E"/>
    <w:rsid w:val="0086063E"/>
    <w:rsid w:val="00860E29"/>
    <w:rsid w:val="008610E4"/>
    <w:rsid w:val="008611B9"/>
    <w:rsid w:val="008613CE"/>
    <w:rsid w:val="008617E0"/>
    <w:rsid w:val="00862233"/>
    <w:rsid w:val="00862392"/>
    <w:rsid w:val="00862AAD"/>
    <w:rsid w:val="008630FD"/>
    <w:rsid w:val="00863107"/>
    <w:rsid w:val="00863626"/>
    <w:rsid w:val="00863CF3"/>
    <w:rsid w:val="008649B4"/>
    <w:rsid w:val="00864C32"/>
    <w:rsid w:val="00864CF3"/>
    <w:rsid w:val="00864D93"/>
    <w:rsid w:val="00865491"/>
    <w:rsid w:val="00865652"/>
    <w:rsid w:val="0086568E"/>
    <w:rsid w:val="008656AC"/>
    <w:rsid w:val="0086572C"/>
    <w:rsid w:val="00865CAD"/>
    <w:rsid w:val="00866124"/>
    <w:rsid w:val="008663F0"/>
    <w:rsid w:val="00866E0F"/>
    <w:rsid w:val="00866F44"/>
    <w:rsid w:val="008670ED"/>
    <w:rsid w:val="00867319"/>
    <w:rsid w:val="008675DC"/>
    <w:rsid w:val="008675F8"/>
    <w:rsid w:val="008678F0"/>
    <w:rsid w:val="00870839"/>
    <w:rsid w:val="0087098D"/>
    <w:rsid w:val="00870C7B"/>
    <w:rsid w:val="00870DE9"/>
    <w:rsid w:val="00871252"/>
    <w:rsid w:val="00871B58"/>
    <w:rsid w:val="00871CD7"/>
    <w:rsid w:val="00871EE4"/>
    <w:rsid w:val="00871F20"/>
    <w:rsid w:val="00872012"/>
    <w:rsid w:val="0087253B"/>
    <w:rsid w:val="0087309F"/>
    <w:rsid w:val="008731F0"/>
    <w:rsid w:val="0087334F"/>
    <w:rsid w:val="0087344C"/>
    <w:rsid w:val="00873D93"/>
    <w:rsid w:val="00873DA3"/>
    <w:rsid w:val="0087403F"/>
    <w:rsid w:val="00874067"/>
    <w:rsid w:val="00875AB7"/>
    <w:rsid w:val="00875BEB"/>
    <w:rsid w:val="00875F64"/>
    <w:rsid w:val="00876121"/>
    <w:rsid w:val="00876B4E"/>
    <w:rsid w:val="00876FCE"/>
    <w:rsid w:val="00877126"/>
    <w:rsid w:val="008771D2"/>
    <w:rsid w:val="00877B3A"/>
    <w:rsid w:val="00880D15"/>
    <w:rsid w:val="00880DF8"/>
    <w:rsid w:val="00880ED3"/>
    <w:rsid w:val="00880F16"/>
    <w:rsid w:val="0088144C"/>
    <w:rsid w:val="00881823"/>
    <w:rsid w:val="00881837"/>
    <w:rsid w:val="00881856"/>
    <w:rsid w:val="00881D5D"/>
    <w:rsid w:val="00881D95"/>
    <w:rsid w:val="0088238F"/>
    <w:rsid w:val="00882867"/>
    <w:rsid w:val="00883193"/>
    <w:rsid w:val="008837BB"/>
    <w:rsid w:val="008840C9"/>
    <w:rsid w:val="00884337"/>
    <w:rsid w:val="00884372"/>
    <w:rsid w:val="00884D5C"/>
    <w:rsid w:val="00884D94"/>
    <w:rsid w:val="0088579F"/>
    <w:rsid w:val="0088584C"/>
    <w:rsid w:val="00885945"/>
    <w:rsid w:val="00886829"/>
    <w:rsid w:val="00886F34"/>
    <w:rsid w:val="008870C2"/>
    <w:rsid w:val="00887DAD"/>
    <w:rsid w:val="00890069"/>
    <w:rsid w:val="008902F7"/>
    <w:rsid w:val="0089083A"/>
    <w:rsid w:val="008911CD"/>
    <w:rsid w:val="0089159B"/>
    <w:rsid w:val="0089165B"/>
    <w:rsid w:val="00892078"/>
    <w:rsid w:val="0089284E"/>
    <w:rsid w:val="00892BF6"/>
    <w:rsid w:val="00892F86"/>
    <w:rsid w:val="00893071"/>
    <w:rsid w:val="00893113"/>
    <w:rsid w:val="008931E3"/>
    <w:rsid w:val="00893315"/>
    <w:rsid w:val="0089338B"/>
    <w:rsid w:val="00893585"/>
    <w:rsid w:val="00893874"/>
    <w:rsid w:val="00893DBA"/>
    <w:rsid w:val="008941FA"/>
    <w:rsid w:val="00894648"/>
    <w:rsid w:val="00894A5D"/>
    <w:rsid w:val="00894B29"/>
    <w:rsid w:val="00894C7A"/>
    <w:rsid w:val="00894EE9"/>
    <w:rsid w:val="00894EED"/>
    <w:rsid w:val="0089500D"/>
    <w:rsid w:val="008960D1"/>
    <w:rsid w:val="00896C0C"/>
    <w:rsid w:val="00897441"/>
    <w:rsid w:val="00897B50"/>
    <w:rsid w:val="00897C4D"/>
    <w:rsid w:val="00897CCE"/>
    <w:rsid w:val="00897E46"/>
    <w:rsid w:val="008A01F8"/>
    <w:rsid w:val="008A0550"/>
    <w:rsid w:val="008A098B"/>
    <w:rsid w:val="008A0CD0"/>
    <w:rsid w:val="008A0D85"/>
    <w:rsid w:val="008A19DD"/>
    <w:rsid w:val="008A1CE6"/>
    <w:rsid w:val="008A27D7"/>
    <w:rsid w:val="008A31EE"/>
    <w:rsid w:val="008A331F"/>
    <w:rsid w:val="008A3B49"/>
    <w:rsid w:val="008A40AB"/>
    <w:rsid w:val="008A423B"/>
    <w:rsid w:val="008A43A1"/>
    <w:rsid w:val="008A440C"/>
    <w:rsid w:val="008A468E"/>
    <w:rsid w:val="008A481A"/>
    <w:rsid w:val="008A4AC4"/>
    <w:rsid w:val="008A4AE1"/>
    <w:rsid w:val="008A501E"/>
    <w:rsid w:val="008A6374"/>
    <w:rsid w:val="008A69A1"/>
    <w:rsid w:val="008A6A27"/>
    <w:rsid w:val="008A6FBF"/>
    <w:rsid w:val="008A7237"/>
    <w:rsid w:val="008A73B6"/>
    <w:rsid w:val="008A740A"/>
    <w:rsid w:val="008A777A"/>
    <w:rsid w:val="008A7931"/>
    <w:rsid w:val="008A7B97"/>
    <w:rsid w:val="008A7C29"/>
    <w:rsid w:val="008B0104"/>
    <w:rsid w:val="008B016D"/>
    <w:rsid w:val="008B094A"/>
    <w:rsid w:val="008B12E1"/>
    <w:rsid w:val="008B24A5"/>
    <w:rsid w:val="008B2A34"/>
    <w:rsid w:val="008B2E1D"/>
    <w:rsid w:val="008B2F11"/>
    <w:rsid w:val="008B2F24"/>
    <w:rsid w:val="008B31CD"/>
    <w:rsid w:val="008B3304"/>
    <w:rsid w:val="008B37BA"/>
    <w:rsid w:val="008B3C2C"/>
    <w:rsid w:val="008B47C4"/>
    <w:rsid w:val="008B48AB"/>
    <w:rsid w:val="008B4DD5"/>
    <w:rsid w:val="008B5230"/>
    <w:rsid w:val="008B583E"/>
    <w:rsid w:val="008B6353"/>
    <w:rsid w:val="008B6B55"/>
    <w:rsid w:val="008B6E94"/>
    <w:rsid w:val="008B6EDB"/>
    <w:rsid w:val="008B6FA6"/>
    <w:rsid w:val="008B7DD5"/>
    <w:rsid w:val="008C0118"/>
    <w:rsid w:val="008C0AAE"/>
    <w:rsid w:val="008C0AE5"/>
    <w:rsid w:val="008C1317"/>
    <w:rsid w:val="008C27BC"/>
    <w:rsid w:val="008C28AD"/>
    <w:rsid w:val="008C291A"/>
    <w:rsid w:val="008C2C54"/>
    <w:rsid w:val="008C2F7E"/>
    <w:rsid w:val="008C39AB"/>
    <w:rsid w:val="008C40D6"/>
    <w:rsid w:val="008C4414"/>
    <w:rsid w:val="008C47F0"/>
    <w:rsid w:val="008C4BB3"/>
    <w:rsid w:val="008C5102"/>
    <w:rsid w:val="008C5128"/>
    <w:rsid w:val="008C58D3"/>
    <w:rsid w:val="008C5A1B"/>
    <w:rsid w:val="008C5B72"/>
    <w:rsid w:val="008C61C5"/>
    <w:rsid w:val="008C6671"/>
    <w:rsid w:val="008C6F4E"/>
    <w:rsid w:val="008C6F5D"/>
    <w:rsid w:val="008C71FA"/>
    <w:rsid w:val="008C74C8"/>
    <w:rsid w:val="008D0571"/>
    <w:rsid w:val="008D09F3"/>
    <w:rsid w:val="008D0E14"/>
    <w:rsid w:val="008D1922"/>
    <w:rsid w:val="008D1A8F"/>
    <w:rsid w:val="008D21B0"/>
    <w:rsid w:val="008D29BB"/>
    <w:rsid w:val="008D2E8D"/>
    <w:rsid w:val="008D31C9"/>
    <w:rsid w:val="008D32E3"/>
    <w:rsid w:val="008D33BD"/>
    <w:rsid w:val="008D3852"/>
    <w:rsid w:val="008D42D8"/>
    <w:rsid w:val="008D42F9"/>
    <w:rsid w:val="008D4469"/>
    <w:rsid w:val="008D44D4"/>
    <w:rsid w:val="008D4BA4"/>
    <w:rsid w:val="008D4D7C"/>
    <w:rsid w:val="008D4E75"/>
    <w:rsid w:val="008D5E0A"/>
    <w:rsid w:val="008D6F5D"/>
    <w:rsid w:val="008D7036"/>
    <w:rsid w:val="008D7692"/>
    <w:rsid w:val="008D790E"/>
    <w:rsid w:val="008D7B1F"/>
    <w:rsid w:val="008D7C92"/>
    <w:rsid w:val="008D7CFC"/>
    <w:rsid w:val="008D7ED7"/>
    <w:rsid w:val="008E0033"/>
    <w:rsid w:val="008E08C9"/>
    <w:rsid w:val="008E0C71"/>
    <w:rsid w:val="008E1327"/>
    <w:rsid w:val="008E13D5"/>
    <w:rsid w:val="008E2182"/>
    <w:rsid w:val="008E2657"/>
    <w:rsid w:val="008E284E"/>
    <w:rsid w:val="008E2A95"/>
    <w:rsid w:val="008E3975"/>
    <w:rsid w:val="008E3AB2"/>
    <w:rsid w:val="008E4BE4"/>
    <w:rsid w:val="008E4DAE"/>
    <w:rsid w:val="008E56A2"/>
    <w:rsid w:val="008E589C"/>
    <w:rsid w:val="008E5DFE"/>
    <w:rsid w:val="008E6519"/>
    <w:rsid w:val="008E66FD"/>
    <w:rsid w:val="008E6759"/>
    <w:rsid w:val="008E691A"/>
    <w:rsid w:val="008E7190"/>
    <w:rsid w:val="008E73EB"/>
    <w:rsid w:val="008E747D"/>
    <w:rsid w:val="008F0212"/>
    <w:rsid w:val="008F069D"/>
    <w:rsid w:val="008F0948"/>
    <w:rsid w:val="008F0A96"/>
    <w:rsid w:val="008F105C"/>
    <w:rsid w:val="008F1589"/>
    <w:rsid w:val="008F15DA"/>
    <w:rsid w:val="008F1896"/>
    <w:rsid w:val="008F1CF6"/>
    <w:rsid w:val="008F25C5"/>
    <w:rsid w:val="008F2E7C"/>
    <w:rsid w:val="008F2F61"/>
    <w:rsid w:val="008F31A4"/>
    <w:rsid w:val="008F39A6"/>
    <w:rsid w:val="008F45AB"/>
    <w:rsid w:val="008F5750"/>
    <w:rsid w:val="008F6A3B"/>
    <w:rsid w:val="008F6CB7"/>
    <w:rsid w:val="008F704C"/>
    <w:rsid w:val="008F7929"/>
    <w:rsid w:val="008F79CC"/>
    <w:rsid w:val="008F7AA1"/>
    <w:rsid w:val="0090026C"/>
    <w:rsid w:val="00900376"/>
    <w:rsid w:val="0090037E"/>
    <w:rsid w:val="00900423"/>
    <w:rsid w:val="00900558"/>
    <w:rsid w:val="00901335"/>
    <w:rsid w:val="009014E6"/>
    <w:rsid w:val="00901796"/>
    <w:rsid w:val="0090197C"/>
    <w:rsid w:val="009019E9"/>
    <w:rsid w:val="00901C65"/>
    <w:rsid w:val="00901E97"/>
    <w:rsid w:val="00901EE7"/>
    <w:rsid w:val="00901F3A"/>
    <w:rsid w:val="009022CD"/>
    <w:rsid w:val="009024AB"/>
    <w:rsid w:val="0090264C"/>
    <w:rsid w:val="00902667"/>
    <w:rsid w:val="009028D9"/>
    <w:rsid w:val="00902A3C"/>
    <w:rsid w:val="0090313E"/>
    <w:rsid w:val="0090345B"/>
    <w:rsid w:val="00903771"/>
    <w:rsid w:val="009038FA"/>
    <w:rsid w:val="00903D24"/>
    <w:rsid w:val="0090436C"/>
    <w:rsid w:val="00904472"/>
    <w:rsid w:val="009044AB"/>
    <w:rsid w:val="0090477A"/>
    <w:rsid w:val="009047B3"/>
    <w:rsid w:val="009048A9"/>
    <w:rsid w:val="00904937"/>
    <w:rsid w:val="00905405"/>
    <w:rsid w:val="0090547C"/>
    <w:rsid w:val="00906188"/>
    <w:rsid w:val="00906803"/>
    <w:rsid w:val="00906CAB"/>
    <w:rsid w:val="00906D3E"/>
    <w:rsid w:val="00906EF6"/>
    <w:rsid w:val="00907290"/>
    <w:rsid w:val="00907411"/>
    <w:rsid w:val="0090767E"/>
    <w:rsid w:val="00907AFD"/>
    <w:rsid w:val="009106AF"/>
    <w:rsid w:val="00910D85"/>
    <w:rsid w:val="00911009"/>
    <w:rsid w:val="00911159"/>
    <w:rsid w:val="009112CC"/>
    <w:rsid w:val="009116F1"/>
    <w:rsid w:val="009117B4"/>
    <w:rsid w:val="009118A7"/>
    <w:rsid w:val="009118B8"/>
    <w:rsid w:val="00911B6F"/>
    <w:rsid w:val="00911EDB"/>
    <w:rsid w:val="009121CF"/>
    <w:rsid w:val="0091255C"/>
    <w:rsid w:val="009136AD"/>
    <w:rsid w:val="00913AEC"/>
    <w:rsid w:val="00914818"/>
    <w:rsid w:val="00914D32"/>
    <w:rsid w:val="0091504C"/>
    <w:rsid w:val="00916209"/>
    <w:rsid w:val="009162CE"/>
    <w:rsid w:val="00916B8A"/>
    <w:rsid w:val="00916C88"/>
    <w:rsid w:val="009171D5"/>
    <w:rsid w:val="00917503"/>
    <w:rsid w:val="009178F7"/>
    <w:rsid w:val="00917CC9"/>
    <w:rsid w:val="00920439"/>
    <w:rsid w:val="00920FAE"/>
    <w:rsid w:val="009214DC"/>
    <w:rsid w:val="00921965"/>
    <w:rsid w:val="00921B63"/>
    <w:rsid w:val="00921BD5"/>
    <w:rsid w:val="00921E31"/>
    <w:rsid w:val="00921E8A"/>
    <w:rsid w:val="009220BA"/>
    <w:rsid w:val="009223F7"/>
    <w:rsid w:val="00922EF3"/>
    <w:rsid w:val="009235CF"/>
    <w:rsid w:val="00923C58"/>
    <w:rsid w:val="00923D7D"/>
    <w:rsid w:val="009241D8"/>
    <w:rsid w:val="009241FE"/>
    <w:rsid w:val="00924553"/>
    <w:rsid w:val="00924676"/>
    <w:rsid w:val="009247AA"/>
    <w:rsid w:val="0092489A"/>
    <w:rsid w:val="00924B2A"/>
    <w:rsid w:val="00924E70"/>
    <w:rsid w:val="009250F5"/>
    <w:rsid w:val="00925430"/>
    <w:rsid w:val="00925467"/>
    <w:rsid w:val="00926135"/>
    <w:rsid w:val="00926846"/>
    <w:rsid w:val="00926B01"/>
    <w:rsid w:val="00926EAB"/>
    <w:rsid w:val="00927A00"/>
    <w:rsid w:val="00927D73"/>
    <w:rsid w:val="00927E48"/>
    <w:rsid w:val="0093017B"/>
    <w:rsid w:val="0093051A"/>
    <w:rsid w:val="009306E9"/>
    <w:rsid w:val="00930F72"/>
    <w:rsid w:val="009324D1"/>
    <w:rsid w:val="0093280E"/>
    <w:rsid w:val="0093298C"/>
    <w:rsid w:val="009329EB"/>
    <w:rsid w:val="00932E9B"/>
    <w:rsid w:val="00933A80"/>
    <w:rsid w:val="00933DE1"/>
    <w:rsid w:val="0093444E"/>
    <w:rsid w:val="00934768"/>
    <w:rsid w:val="00934CF2"/>
    <w:rsid w:val="009350BA"/>
    <w:rsid w:val="00935833"/>
    <w:rsid w:val="009358B5"/>
    <w:rsid w:val="00935A37"/>
    <w:rsid w:val="0093617F"/>
    <w:rsid w:val="00936216"/>
    <w:rsid w:val="00936ACD"/>
    <w:rsid w:val="00936AE6"/>
    <w:rsid w:val="00936D2A"/>
    <w:rsid w:val="0093766C"/>
    <w:rsid w:val="00937A61"/>
    <w:rsid w:val="00937AF0"/>
    <w:rsid w:val="00937FA4"/>
    <w:rsid w:val="00940422"/>
    <w:rsid w:val="0094067B"/>
    <w:rsid w:val="009410AC"/>
    <w:rsid w:val="0094141F"/>
    <w:rsid w:val="009415EB"/>
    <w:rsid w:val="009417A7"/>
    <w:rsid w:val="00941DF0"/>
    <w:rsid w:val="00942739"/>
    <w:rsid w:val="00942A57"/>
    <w:rsid w:val="00942B5E"/>
    <w:rsid w:val="00942E33"/>
    <w:rsid w:val="009439B3"/>
    <w:rsid w:val="00943AE4"/>
    <w:rsid w:val="009440C2"/>
    <w:rsid w:val="00944170"/>
    <w:rsid w:val="009446C5"/>
    <w:rsid w:val="00944B19"/>
    <w:rsid w:val="00944DAA"/>
    <w:rsid w:val="0094583D"/>
    <w:rsid w:val="00945A2F"/>
    <w:rsid w:val="00945A41"/>
    <w:rsid w:val="00945BC5"/>
    <w:rsid w:val="0094600B"/>
    <w:rsid w:val="009468DD"/>
    <w:rsid w:val="0094696C"/>
    <w:rsid w:val="00946F39"/>
    <w:rsid w:val="00947823"/>
    <w:rsid w:val="00947F0D"/>
    <w:rsid w:val="00947F9A"/>
    <w:rsid w:val="00950802"/>
    <w:rsid w:val="00951439"/>
    <w:rsid w:val="009519D6"/>
    <w:rsid w:val="00952175"/>
    <w:rsid w:val="009527E4"/>
    <w:rsid w:val="00952CE4"/>
    <w:rsid w:val="00953F8A"/>
    <w:rsid w:val="009545B9"/>
    <w:rsid w:val="00954A75"/>
    <w:rsid w:val="00955480"/>
    <w:rsid w:val="0095576B"/>
    <w:rsid w:val="00955A20"/>
    <w:rsid w:val="00955A52"/>
    <w:rsid w:val="00955FD1"/>
    <w:rsid w:val="00956226"/>
    <w:rsid w:val="009562DC"/>
    <w:rsid w:val="0095668F"/>
    <w:rsid w:val="00956996"/>
    <w:rsid w:val="00956F54"/>
    <w:rsid w:val="0095712A"/>
    <w:rsid w:val="00957340"/>
    <w:rsid w:val="00957741"/>
    <w:rsid w:val="00957FDE"/>
    <w:rsid w:val="00960192"/>
    <w:rsid w:val="0096052F"/>
    <w:rsid w:val="009609A6"/>
    <w:rsid w:val="00960E49"/>
    <w:rsid w:val="00961149"/>
    <w:rsid w:val="00961599"/>
    <w:rsid w:val="00961AE4"/>
    <w:rsid w:val="00961E7E"/>
    <w:rsid w:val="009624D8"/>
    <w:rsid w:val="009628E1"/>
    <w:rsid w:val="00962E72"/>
    <w:rsid w:val="00962FDD"/>
    <w:rsid w:val="00963054"/>
    <w:rsid w:val="00963272"/>
    <w:rsid w:val="0096349F"/>
    <w:rsid w:val="00963AA3"/>
    <w:rsid w:val="00963DE2"/>
    <w:rsid w:val="00964298"/>
    <w:rsid w:val="0096463D"/>
    <w:rsid w:val="0096476F"/>
    <w:rsid w:val="00964F19"/>
    <w:rsid w:val="0096516E"/>
    <w:rsid w:val="00965519"/>
    <w:rsid w:val="00965546"/>
    <w:rsid w:val="009658C7"/>
    <w:rsid w:val="00965F88"/>
    <w:rsid w:val="00966217"/>
    <w:rsid w:val="009662BA"/>
    <w:rsid w:val="009668F3"/>
    <w:rsid w:val="00966C32"/>
    <w:rsid w:val="00966F30"/>
    <w:rsid w:val="009673A5"/>
    <w:rsid w:val="00967492"/>
    <w:rsid w:val="0096772E"/>
    <w:rsid w:val="0096780C"/>
    <w:rsid w:val="00967C3F"/>
    <w:rsid w:val="00970031"/>
    <w:rsid w:val="009701C8"/>
    <w:rsid w:val="00970482"/>
    <w:rsid w:val="00970506"/>
    <w:rsid w:val="009708DD"/>
    <w:rsid w:val="00970BAA"/>
    <w:rsid w:val="00970C33"/>
    <w:rsid w:val="00971285"/>
    <w:rsid w:val="00972112"/>
    <w:rsid w:val="009731C6"/>
    <w:rsid w:val="00973438"/>
    <w:rsid w:val="0097363A"/>
    <w:rsid w:val="00973D38"/>
    <w:rsid w:val="0097411B"/>
    <w:rsid w:val="0097445B"/>
    <w:rsid w:val="00974A76"/>
    <w:rsid w:val="00974BBA"/>
    <w:rsid w:val="00974DF7"/>
    <w:rsid w:val="009758EE"/>
    <w:rsid w:val="009758EF"/>
    <w:rsid w:val="00975FF8"/>
    <w:rsid w:val="0097601C"/>
    <w:rsid w:val="00976890"/>
    <w:rsid w:val="009769F2"/>
    <w:rsid w:val="00976A0A"/>
    <w:rsid w:val="00976A5F"/>
    <w:rsid w:val="00976B0E"/>
    <w:rsid w:val="00976D99"/>
    <w:rsid w:val="00977585"/>
    <w:rsid w:val="009777AF"/>
    <w:rsid w:val="00977B3B"/>
    <w:rsid w:val="00977FD7"/>
    <w:rsid w:val="0098029C"/>
    <w:rsid w:val="00980F9C"/>
    <w:rsid w:val="00981182"/>
    <w:rsid w:val="00981347"/>
    <w:rsid w:val="009817AE"/>
    <w:rsid w:val="0098188B"/>
    <w:rsid w:val="00981AEF"/>
    <w:rsid w:val="00981B85"/>
    <w:rsid w:val="00982078"/>
    <w:rsid w:val="009820AC"/>
    <w:rsid w:val="00982226"/>
    <w:rsid w:val="00982483"/>
    <w:rsid w:val="00982491"/>
    <w:rsid w:val="00982727"/>
    <w:rsid w:val="00982B66"/>
    <w:rsid w:val="009833CB"/>
    <w:rsid w:val="00983540"/>
    <w:rsid w:val="0098424B"/>
    <w:rsid w:val="009844C6"/>
    <w:rsid w:val="0098476A"/>
    <w:rsid w:val="00984E77"/>
    <w:rsid w:val="00985688"/>
    <w:rsid w:val="009858CF"/>
    <w:rsid w:val="00985EB2"/>
    <w:rsid w:val="00985FFA"/>
    <w:rsid w:val="009860D8"/>
    <w:rsid w:val="00986422"/>
    <w:rsid w:val="00986453"/>
    <w:rsid w:val="00986A3A"/>
    <w:rsid w:val="00986A4F"/>
    <w:rsid w:val="0098753D"/>
    <w:rsid w:val="0098784F"/>
    <w:rsid w:val="009902C3"/>
    <w:rsid w:val="00990854"/>
    <w:rsid w:val="009917B1"/>
    <w:rsid w:val="00992257"/>
    <w:rsid w:val="009922D8"/>
    <w:rsid w:val="00992AC2"/>
    <w:rsid w:val="00993602"/>
    <w:rsid w:val="00993BD8"/>
    <w:rsid w:val="00993E8E"/>
    <w:rsid w:val="00994137"/>
    <w:rsid w:val="00994F7F"/>
    <w:rsid w:val="009951F1"/>
    <w:rsid w:val="00995425"/>
    <w:rsid w:val="0099629C"/>
    <w:rsid w:val="00996827"/>
    <w:rsid w:val="00996E08"/>
    <w:rsid w:val="00996FCA"/>
    <w:rsid w:val="00997677"/>
    <w:rsid w:val="0099784C"/>
    <w:rsid w:val="009A077F"/>
    <w:rsid w:val="009A09A0"/>
    <w:rsid w:val="009A0C44"/>
    <w:rsid w:val="009A10A8"/>
    <w:rsid w:val="009A120C"/>
    <w:rsid w:val="009A13AA"/>
    <w:rsid w:val="009A142D"/>
    <w:rsid w:val="009A1C2E"/>
    <w:rsid w:val="009A207A"/>
    <w:rsid w:val="009A2FDE"/>
    <w:rsid w:val="009A31FB"/>
    <w:rsid w:val="009A32B2"/>
    <w:rsid w:val="009A33AF"/>
    <w:rsid w:val="009A348F"/>
    <w:rsid w:val="009A3A2C"/>
    <w:rsid w:val="009A3AEA"/>
    <w:rsid w:val="009A3CC8"/>
    <w:rsid w:val="009A419B"/>
    <w:rsid w:val="009A46D1"/>
    <w:rsid w:val="009A49D8"/>
    <w:rsid w:val="009A4D6F"/>
    <w:rsid w:val="009A5724"/>
    <w:rsid w:val="009A57F6"/>
    <w:rsid w:val="009A5865"/>
    <w:rsid w:val="009A5F36"/>
    <w:rsid w:val="009A5FB8"/>
    <w:rsid w:val="009A6236"/>
    <w:rsid w:val="009A65CC"/>
    <w:rsid w:val="009A6AAC"/>
    <w:rsid w:val="009A718E"/>
    <w:rsid w:val="009A73EE"/>
    <w:rsid w:val="009A7600"/>
    <w:rsid w:val="009A78AA"/>
    <w:rsid w:val="009A7BAB"/>
    <w:rsid w:val="009B021E"/>
    <w:rsid w:val="009B03FC"/>
    <w:rsid w:val="009B12F4"/>
    <w:rsid w:val="009B1601"/>
    <w:rsid w:val="009B1A40"/>
    <w:rsid w:val="009B1BDE"/>
    <w:rsid w:val="009B1C15"/>
    <w:rsid w:val="009B1DAD"/>
    <w:rsid w:val="009B25B8"/>
    <w:rsid w:val="009B2863"/>
    <w:rsid w:val="009B2A35"/>
    <w:rsid w:val="009B33A4"/>
    <w:rsid w:val="009B393D"/>
    <w:rsid w:val="009B3BC6"/>
    <w:rsid w:val="009B3FC7"/>
    <w:rsid w:val="009B42CA"/>
    <w:rsid w:val="009B467A"/>
    <w:rsid w:val="009B5173"/>
    <w:rsid w:val="009B5953"/>
    <w:rsid w:val="009B5ECA"/>
    <w:rsid w:val="009B693B"/>
    <w:rsid w:val="009B69D3"/>
    <w:rsid w:val="009B6DFF"/>
    <w:rsid w:val="009B7059"/>
    <w:rsid w:val="009B7443"/>
    <w:rsid w:val="009B7462"/>
    <w:rsid w:val="009B7A2F"/>
    <w:rsid w:val="009C05D7"/>
    <w:rsid w:val="009C069D"/>
    <w:rsid w:val="009C0CCE"/>
    <w:rsid w:val="009C118C"/>
    <w:rsid w:val="009C12D3"/>
    <w:rsid w:val="009C1776"/>
    <w:rsid w:val="009C19BB"/>
    <w:rsid w:val="009C1FED"/>
    <w:rsid w:val="009C2302"/>
    <w:rsid w:val="009C28C7"/>
    <w:rsid w:val="009C31D7"/>
    <w:rsid w:val="009C3954"/>
    <w:rsid w:val="009C3CE9"/>
    <w:rsid w:val="009C3CFB"/>
    <w:rsid w:val="009C411F"/>
    <w:rsid w:val="009C417C"/>
    <w:rsid w:val="009C44A3"/>
    <w:rsid w:val="009C4735"/>
    <w:rsid w:val="009C4BBA"/>
    <w:rsid w:val="009C4C35"/>
    <w:rsid w:val="009C4DA1"/>
    <w:rsid w:val="009C4FD6"/>
    <w:rsid w:val="009C5794"/>
    <w:rsid w:val="009C593D"/>
    <w:rsid w:val="009C5E9B"/>
    <w:rsid w:val="009C5F12"/>
    <w:rsid w:val="009C6684"/>
    <w:rsid w:val="009C6B8C"/>
    <w:rsid w:val="009C6EFF"/>
    <w:rsid w:val="009C6FA8"/>
    <w:rsid w:val="009C7546"/>
    <w:rsid w:val="009C7795"/>
    <w:rsid w:val="009C7810"/>
    <w:rsid w:val="009C7A0E"/>
    <w:rsid w:val="009D0463"/>
    <w:rsid w:val="009D061A"/>
    <w:rsid w:val="009D07A0"/>
    <w:rsid w:val="009D0AEA"/>
    <w:rsid w:val="009D0E84"/>
    <w:rsid w:val="009D1209"/>
    <w:rsid w:val="009D1222"/>
    <w:rsid w:val="009D1A5D"/>
    <w:rsid w:val="009D28CD"/>
    <w:rsid w:val="009D29AD"/>
    <w:rsid w:val="009D30DD"/>
    <w:rsid w:val="009D31DA"/>
    <w:rsid w:val="009D334C"/>
    <w:rsid w:val="009D4420"/>
    <w:rsid w:val="009D4756"/>
    <w:rsid w:val="009D4A29"/>
    <w:rsid w:val="009D4D87"/>
    <w:rsid w:val="009D5992"/>
    <w:rsid w:val="009D5E4E"/>
    <w:rsid w:val="009D610A"/>
    <w:rsid w:val="009D62CD"/>
    <w:rsid w:val="009D66C2"/>
    <w:rsid w:val="009D767A"/>
    <w:rsid w:val="009D779E"/>
    <w:rsid w:val="009D77EC"/>
    <w:rsid w:val="009D7E20"/>
    <w:rsid w:val="009D7F6C"/>
    <w:rsid w:val="009E0002"/>
    <w:rsid w:val="009E0329"/>
    <w:rsid w:val="009E0623"/>
    <w:rsid w:val="009E093B"/>
    <w:rsid w:val="009E095E"/>
    <w:rsid w:val="009E0D67"/>
    <w:rsid w:val="009E1651"/>
    <w:rsid w:val="009E16A0"/>
    <w:rsid w:val="009E1895"/>
    <w:rsid w:val="009E1A1C"/>
    <w:rsid w:val="009E1E47"/>
    <w:rsid w:val="009E245B"/>
    <w:rsid w:val="009E2C2B"/>
    <w:rsid w:val="009E2C87"/>
    <w:rsid w:val="009E2DC9"/>
    <w:rsid w:val="009E33D3"/>
    <w:rsid w:val="009E34EA"/>
    <w:rsid w:val="009E35EC"/>
    <w:rsid w:val="009E3F7F"/>
    <w:rsid w:val="009E433E"/>
    <w:rsid w:val="009E4380"/>
    <w:rsid w:val="009E47A7"/>
    <w:rsid w:val="009E6106"/>
    <w:rsid w:val="009E6D94"/>
    <w:rsid w:val="009E74ED"/>
    <w:rsid w:val="009E7784"/>
    <w:rsid w:val="009E7E38"/>
    <w:rsid w:val="009E7EEA"/>
    <w:rsid w:val="009E7F13"/>
    <w:rsid w:val="009F06FB"/>
    <w:rsid w:val="009F0891"/>
    <w:rsid w:val="009F0945"/>
    <w:rsid w:val="009F118C"/>
    <w:rsid w:val="009F131E"/>
    <w:rsid w:val="009F1BCD"/>
    <w:rsid w:val="009F1C35"/>
    <w:rsid w:val="009F1D2B"/>
    <w:rsid w:val="009F28A8"/>
    <w:rsid w:val="009F2C7C"/>
    <w:rsid w:val="009F327A"/>
    <w:rsid w:val="009F3ECE"/>
    <w:rsid w:val="009F4956"/>
    <w:rsid w:val="009F4D53"/>
    <w:rsid w:val="009F4E30"/>
    <w:rsid w:val="009F55BD"/>
    <w:rsid w:val="009F597E"/>
    <w:rsid w:val="009F59AD"/>
    <w:rsid w:val="009F6394"/>
    <w:rsid w:val="009F63BB"/>
    <w:rsid w:val="009F6E53"/>
    <w:rsid w:val="009F6EED"/>
    <w:rsid w:val="009F719B"/>
    <w:rsid w:val="009F78AA"/>
    <w:rsid w:val="009F7CD9"/>
    <w:rsid w:val="00A0004A"/>
    <w:rsid w:val="00A00078"/>
    <w:rsid w:val="00A000EA"/>
    <w:rsid w:val="00A001B3"/>
    <w:rsid w:val="00A00528"/>
    <w:rsid w:val="00A00773"/>
    <w:rsid w:val="00A00850"/>
    <w:rsid w:val="00A00870"/>
    <w:rsid w:val="00A00ACC"/>
    <w:rsid w:val="00A012E1"/>
    <w:rsid w:val="00A01419"/>
    <w:rsid w:val="00A01C00"/>
    <w:rsid w:val="00A021F5"/>
    <w:rsid w:val="00A02C1A"/>
    <w:rsid w:val="00A02C6C"/>
    <w:rsid w:val="00A02D8A"/>
    <w:rsid w:val="00A03097"/>
    <w:rsid w:val="00A034DD"/>
    <w:rsid w:val="00A03869"/>
    <w:rsid w:val="00A03979"/>
    <w:rsid w:val="00A03C4A"/>
    <w:rsid w:val="00A03CFC"/>
    <w:rsid w:val="00A04484"/>
    <w:rsid w:val="00A04952"/>
    <w:rsid w:val="00A04C34"/>
    <w:rsid w:val="00A04FB9"/>
    <w:rsid w:val="00A05213"/>
    <w:rsid w:val="00A054B1"/>
    <w:rsid w:val="00A064FE"/>
    <w:rsid w:val="00A067ED"/>
    <w:rsid w:val="00A068B1"/>
    <w:rsid w:val="00A06DFB"/>
    <w:rsid w:val="00A07167"/>
    <w:rsid w:val="00A073DA"/>
    <w:rsid w:val="00A076B8"/>
    <w:rsid w:val="00A07C7C"/>
    <w:rsid w:val="00A100AA"/>
    <w:rsid w:val="00A10538"/>
    <w:rsid w:val="00A105AC"/>
    <w:rsid w:val="00A10AD8"/>
    <w:rsid w:val="00A10C64"/>
    <w:rsid w:val="00A11251"/>
    <w:rsid w:val="00A119E7"/>
    <w:rsid w:val="00A11C35"/>
    <w:rsid w:val="00A121BE"/>
    <w:rsid w:val="00A129D1"/>
    <w:rsid w:val="00A12C44"/>
    <w:rsid w:val="00A12ED1"/>
    <w:rsid w:val="00A13257"/>
    <w:rsid w:val="00A13573"/>
    <w:rsid w:val="00A13D30"/>
    <w:rsid w:val="00A13D63"/>
    <w:rsid w:val="00A13E58"/>
    <w:rsid w:val="00A14135"/>
    <w:rsid w:val="00A143C1"/>
    <w:rsid w:val="00A14455"/>
    <w:rsid w:val="00A148EB"/>
    <w:rsid w:val="00A14B2F"/>
    <w:rsid w:val="00A1515F"/>
    <w:rsid w:val="00A1516E"/>
    <w:rsid w:val="00A153FD"/>
    <w:rsid w:val="00A15580"/>
    <w:rsid w:val="00A15609"/>
    <w:rsid w:val="00A15931"/>
    <w:rsid w:val="00A159ED"/>
    <w:rsid w:val="00A15A6D"/>
    <w:rsid w:val="00A15B6D"/>
    <w:rsid w:val="00A16561"/>
    <w:rsid w:val="00A1673B"/>
    <w:rsid w:val="00A16BD7"/>
    <w:rsid w:val="00A16C28"/>
    <w:rsid w:val="00A16C6E"/>
    <w:rsid w:val="00A16F4F"/>
    <w:rsid w:val="00A170D0"/>
    <w:rsid w:val="00A1757E"/>
    <w:rsid w:val="00A17B1B"/>
    <w:rsid w:val="00A17BF3"/>
    <w:rsid w:val="00A20E75"/>
    <w:rsid w:val="00A20FD3"/>
    <w:rsid w:val="00A211AD"/>
    <w:rsid w:val="00A21B51"/>
    <w:rsid w:val="00A21FA3"/>
    <w:rsid w:val="00A220DE"/>
    <w:rsid w:val="00A22143"/>
    <w:rsid w:val="00A22379"/>
    <w:rsid w:val="00A22587"/>
    <w:rsid w:val="00A227B5"/>
    <w:rsid w:val="00A22939"/>
    <w:rsid w:val="00A236A9"/>
    <w:rsid w:val="00A23DD7"/>
    <w:rsid w:val="00A23F2B"/>
    <w:rsid w:val="00A248FF"/>
    <w:rsid w:val="00A24A0F"/>
    <w:rsid w:val="00A24DB1"/>
    <w:rsid w:val="00A25438"/>
    <w:rsid w:val="00A2602B"/>
    <w:rsid w:val="00A260DE"/>
    <w:rsid w:val="00A261E9"/>
    <w:rsid w:val="00A265D8"/>
    <w:rsid w:val="00A266B1"/>
    <w:rsid w:val="00A26B37"/>
    <w:rsid w:val="00A26DF3"/>
    <w:rsid w:val="00A27083"/>
    <w:rsid w:val="00A27348"/>
    <w:rsid w:val="00A278AE"/>
    <w:rsid w:val="00A27CF5"/>
    <w:rsid w:val="00A30030"/>
    <w:rsid w:val="00A3069A"/>
    <w:rsid w:val="00A30F3E"/>
    <w:rsid w:val="00A311F3"/>
    <w:rsid w:val="00A3156C"/>
    <w:rsid w:val="00A317E9"/>
    <w:rsid w:val="00A319C8"/>
    <w:rsid w:val="00A3215E"/>
    <w:rsid w:val="00A3219D"/>
    <w:rsid w:val="00A3245D"/>
    <w:rsid w:val="00A32521"/>
    <w:rsid w:val="00A325A6"/>
    <w:rsid w:val="00A32912"/>
    <w:rsid w:val="00A32B76"/>
    <w:rsid w:val="00A32E81"/>
    <w:rsid w:val="00A3379E"/>
    <w:rsid w:val="00A33AAC"/>
    <w:rsid w:val="00A33BCA"/>
    <w:rsid w:val="00A35AC0"/>
    <w:rsid w:val="00A35CFD"/>
    <w:rsid w:val="00A35DDF"/>
    <w:rsid w:val="00A36226"/>
    <w:rsid w:val="00A36B68"/>
    <w:rsid w:val="00A36EA5"/>
    <w:rsid w:val="00A40977"/>
    <w:rsid w:val="00A41399"/>
    <w:rsid w:val="00A414AF"/>
    <w:rsid w:val="00A416A2"/>
    <w:rsid w:val="00A41BED"/>
    <w:rsid w:val="00A42B13"/>
    <w:rsid w:val="00A430F8"/>
    <w:rsid w:val="00A4350C"/>
    <w:rsid w:val="00A43A83"/>
    <w:rsid w:val="00A43C45"/>
    <w:rsid w:val="00A44125"/>
    <w:rsid w:val="00A4529D"/>
    <w:rsid w:val="00A45A96"/>
    <w:rsid w:val="00A45C57"/>
    <w:rsid w:val="00A463C8"/>
    <w:rsid w:val="00A464DF"/>
    <w:rsid w:val="00A46732"/>
    <w:rsid w:val="00A469CD"/>
    <w:rsid w:val="00A46B9E"/>
    <w:rsid w:val="00A46CBF"/>
    <w:rsid w:val="00A474AE"/>
    <w:rsid w:val="00A50D82"/>
    <w:rsid w:val="00A51A52"/>
    <w:rsid w:val="00A51AE4"/>
    <w:rsid w:val="00A51BCA"/>
    <w:rsid w:val="00A52121"/>
    <w:rsid w:val="00A522D4"/>
    <w:rsid w:val="00A5280C"/>
    <w:rsid w:val="00A52ED7"/>
    <w:rsid w:val="00A5313D"/>
    <w:rsid w:val="00A53166"/>
    <w:rsid w:val="00A5343B"/>
    <w:rsid w:val="00A53761"/>
    <w:rsid w:val="00A53A7A"/>
    <w:rsid w:val="00A53F1A"/>
    <w:rsid w:val="00A53F25"/>
    <w:rsid w:val="00A53F8E"/>
    <w:rsid w:val="00A545C5"/>
    <w:rsid w:val="00A54708"/>
    <w:rsid w:val="00A5496E"/>
    <w:rsid w:val="00A54A71"/>
    <w:rsid w:val="00A551DB"/>
    <w:rsid w:val="00A55B95"/>
    <w:rsid w:val="00A561EE"/>
    <w:rsid w:val="00A565A0"/>
    <w:rsid w:val="00A565A5"/>
    <w:rsid w:val="00A570D9"/>
    <w:rsid w:val="00A574EC"/>
    <w:rsid w:val="00A57674"/>
    <w:rsid w:val="00A57830"/>
    <w:rsid w:val="00A6051F"/>
    <w:rsid w:val="00A60EAB"/>
    <w:rsid w:val="00A60F61"/>
    <w:rsid w:val="00A614FB"/>
    <w:rsid w:val="00A61E86"/>
    <w:rsid w:val="00A629FF"/>
    <w:rsid w:val="00A62BB2"/>
    <w:rsid w:val="00A62E52"/>
    <w:rsid w:val="00A62EFF"/>
    <w:rsid w:val="00A62FD8"/>
    <w:rsid w:val="00A634AF"/>
    <w:rsid w:val="00A63A9F"/>
    <w:rsid w:val="00A6425F"/>
    <w:rsid w:val="00A6427D"/>
    <w:rsid w:val="00A64530"/>
    <w:rsid w:val="00A64655"/>
    <w:rsid w:val="00A654DA"/>
    <w:rsid w:val="00A65562"/>
    <w:rsid w:val="00A6609E"/>
    <w:rsid w:val="00A66181"/>
    <w:rsid w:val="00A663E4"/>
    <w:rsid w:val="00A66487"/>
    <w:rsid w:val="00A666A9"/>
    <w:rsid w:val="00A66735"/>
    <w:rsid w:val="00A668FE"/>
    <w:rsid w:val="00A66F93"/>
    <w:rsid w:val="00A67476"/>
    <w:rsid w:val="00A67A87"/>
    <w:rsid w:val="00A701D9"/>
    <w:rsid w:val="00A705B4"/>
    <w:rsid w:val="00A706D8"/>
    <w:rsid w:val="00A70B52"/>
    <w:rsid w:val="00A70C5F"/>
    <w:rsid w:val="00A70CC2"/>
    <w:rsid w:val="00A70D90"/>
    <w:rsid w:val="00A70E8F"/>
    <w:rsid w:val="00A70E90"/>
    <w:rsid w:val="00A71ADA"/>
    <w:rsid w:val="00A722F6"/>
    <w:rsid w:val="00A7238E"/>
    <w:rsid w:val="00A72F2F"/>
    <w:rsid w:val="00A731B2"/>
    <w:rsid w:val="00A7321C"/>
    <w:rsid w:val="00A732B5"/>
    <w:rsid w:val="00A734C4"/>
    <w:rsid w:val="00A73F1E"/>
    <w:rsid w:val="00A748EF"/>
    <w:rsid w:val="00A74912"/>
    <w:rsid w:val="00A749F5"/>
    <w:rsid w:val="00A75CD5"/>
    <w:rsid w:val="00A75FAC"/>
    <w:rsid w:val="00A762C3"/>
    <w:rsid w:val="00A76375"/>
    <w:rsid w:val="00A764D9"/>
    <w:rsid w:val="00A76789"/>
    <w:rsid w:val="00A77D5B"/>
    <w:rsid w:val="00A8003D"/>
    <w:rsid w:val="00A8089F"/>
    <w:rsid w:val="00A80957"/>
    <w:rsid w:val="00A80C39"/>
    <w:rsid w:val="00A81101"/>
    <w:rsid w:val="00A815A5"/>
    <w:rsid w:val="00A816F1"/>
    <w:rsid w:val="00A8195E"/>
    <w:rsid w:val="00A81B67"/>
    <w:rsid w:val="00A81D02"/>
    <w:rsid w:val="00A81D86"/>
    <w:rsid w:val="00A826EA"/>
    <w:rsid w:val="00A828B2"/>
    <w:rsid w:val="00A829A9"/>
    <w:rsid w:val="00A82A60"/>
    <w:rsid w:val="00A82A96"/>
    <w:rsid w:val="00A82C5B"/>
    <w:rsid w:val="00A82E4C"/>
    <w:rsid w:val="00A830AD"/>
    <w:rsid w:val="00A833A2"/>
    <w:rsid w:val="00A835FE"/>
    <w:rsid w:val="00A84460"/>
    <w:rsid w:val="00A84601"/>
    <w:rsid w:val="00A8484C"/>
    <w:rsid w:val="00A851B0"/>
    <w:rsid w:val="00A851E6"/>
    <w:rsid w:val="00A8525F"/>
    <w:rsid w:val="00A855A3"/>
    <w:rsid w:val="00A8626D"/>
    <w:rsid w:val="00A86BB6"/>
    <w:rsid w:val="00A87367"/>
    <w:rsid w:val="00A876BB"/>
    <w:rsid w:val="00A879C3"/>
    <w:rsid w:val="00A900E1"/>
    <w:rsid w:val="00A906C8"/>
    <w:rsid w:val="00A909AF"/>
    <w:rsid w:val="00A913B0"/>
    <w:rsid w:val="00A91969"/>
    <w:rsid w:val="00A922DA"/>
    <w:rsid w:val="00A92622"/>
    <w:rsid w:val="00A9290F"/>
    <w:rsid w:val="00A92A34"/>
    <w:rsid w:val="00A92AAE"/>
    <w:rsid w:val="00A92AFF"/>
    <w:rsid w:val="00A93027"/>
    <w:rsid w:val="00A930E3"/>
    <w:rsid w:val="00A94024"/>
    <w:rsid w:val="00A94AAE"/>
    <w:rsid w:val="00A95995"/>
    <w:rsid w:val="00A95EA8"/>
    <w:rsid w:val="00A96BE5"/>
    <w:rsid w:val="00A96F19"/>
    <w:rsid w:val="00A9724C"/>
    <w:rsid w:val="00A97264"/>
    <w:rsid w:val="00A97AD6"/>
    <w:rsid w:val="00A97C19"/>
    <w:rsid w:val="00AA0075"/>
    <w:rsid w:val="00AA0079"/>
    <w:rsid w:val="00AA06B8"/>
    <w:rsid w:val="00AA129F"/>
    <w:rsid w:val="00AA182D"/>
    <w:rsid w:val="00AA18ED"/>
    <w:rsid w:val="00AA193F"/>
    <w:rsid w:val="00AA2428"/>
    <w:rsid w:val="00AA24C4"/>
    <w:rsid w:val="00AA266D"/>
    <w:rsid w:val="00AA26C6"/>
    <w:rsid w:val="00AA2BC6"/>
    <w:rsid w:val="00AA325C"/>
    <w:rsid w:val="00AA362D"/>
    <w:rsid w:val="00AA37E3"/>
    <w:rsid w:val="00AA3ADC"/>
    <w:rsid w:val="00AA40A3"/>
    <w:rsid w:val="00AA41F0"/>
    <w:rsid w:val="00AA42EA"/>
    <w:rsid w:val="00AA443D"/>
    <w:rsid w:val="00AA4732"/>
    <w:rsid w:val="00AA4A0C"/>
    <w:rsid w:val="00AA4ECA"/>
    <w:rsid w:val="00AA52F9"/>
    <w:rsid w:val="00AA5CE1"/>
    <w:rsid w:val="00AA65BD"/>
    <w:rsid w:val="00AA6DB5"/>
    <w:rsid w:val="00AA788F"/>
    <w:rsid w:val="00AA7A26"/>
    <w:rsid w:val="00AA7B0F"/>
    <w:rsid w:val="00AB0800"/>
    <w:rsid w:val="00AB1242"/>
    <w:rsid w:val="00AB156E"/>
    <w:rsid w:val="00AB1D74"/>
    <w:rsid w:val="00AB20EA"/>
    <w:rsid w:val="00AB21EC"/>
    <w:rsid w:val="00AB2292"/>
    <w:rsid w:val="00AB2B97"/>
    <w:rsid w:val="00AB31EA"/>
    <w:rsid w:val="00AB34F8"/>
    <w:rsid w:val="00AB3E74"/>
    <w:rsid w:val="00AB4175"/>
    <w:rsid w:val="00AB4420"/>
    <w:rsid w:val="00AB4A0D"/>
    <w:rsid w:val="00AB4BE8"/>
    <w:rsid w:val="00AB4C50"/>
    <w:rsid w:val="00AB4C8B"/>
    <w:rsid w:val="00AB4EC1"/>
    <w:rsid w:val="00AB5663"/>
    <w:rsid w:val="00AB5C6F"/>
    <w:rsid w:val="00AB624C"/>
    <w:rsid w:val="00AB6482"/>
    <w:rsid w:val="00AB64D2"/>
    <w:rsid w:val="00AB67F0"/>
    <w:rsid w:val="00AB6AAD"/>
    <w:rsid w:val="00AB6D65"/>
    <w:rsid w:val="00AB722D"/>
    <w:rsid w:val="00AB746E"/>
    <w:rsid w:val="00AB78A9"/>
    <w:rsid w:val="00AB7A30"/>
    <w:rsid w:val="00AC0433"/>
    <w:rsid w:val="00AC13A6"/>
    <w:rsid w:val="00AC1719"/>
    <w:rsid w:val="00AC1E89"/>
    <w:rsid w:val="00AC1E97"/>
    <w:rsid w:val="00AC2350"/>
    <w:rsid w:val="00AC2461"/>
    <w:rsid w:val="00AC254A"/>
    <w:rsid w:val="00AC2841"/>
    <w:rsid w:val="00AC286F"/>
    <w:rsid w:val="00AC2DD7"/>
    <w:rsid w:val="00AC3178"/>
    <w:rsid w:val="00AC3855"/>
    <w:rsid w:val="00AC3E7F"/>
    <w:rsid w:val="00AC4435"/>
    <w:rsid w:val="00AC48BA"/>
    <w:rsid w:val="00AC4C56"/>
    <w:rsid w:val="00AC54F9"/>
    <w:rsid w:val="00AC57CD"/>
    <w:rsid w:val="00AC5BA6"/>
    <w:rsid w:val="00AC6DF0"/>
    <w:rsid w:val="00AC7583"/>
    <w:rsid w:val="00AC7821"/>
    <w:rsid w:val="00AD03A0"/>
    <w:rsid w:val="00AD044E"/>
    <w:rsid w:val="00AD0666"/>
    <w:rsid w:val="00AD0BDD"/>
    <w:rsid w:val="00AD0D23"/>
    <w:rsid w:val="00AD0FF9"/>
    <w:rsid w:val="00AD163D"/>
    <w:rsid w:val="00AD1971"/>
    <w:rsid w:val="00AD1F6C"/>
    <w:rsid w:val="00AD2074"/>
    <w:rsid w:val="00AD22FB"/>
    <w:rsid w:val="00AD262F"/>
    <w:rsid w:val="00AD27FD"/>
    <w:rsid w:val="00AD296C"/>
    <w:rsid w:val="00AD2D91"/>
    <w:rsid w:val="00AD36D8"/>
    <w:rsid w:val="00AD3F06"/>
    <w:rsid w:val="00AD403E"/>
    <w:rsid w:val="00AD445B"/>
    <w:rsid w:val="00AD4B8F"/>
    <w:rsid w:val="00AD4C90"/>
    <w:rsid w:val="00AD4DAB"/>
    <w:rsid w:val="00AD4F83"/>
    <w:rsid w:val="00AD5D94"/>
    <w:rsid w:val="00AD6221"/>
    <w:rsid w:val="00AD63A0"/>
    <w:rsid w:val="00AD6417"/>
    <w:rsid w:val="00AD67E3"/>
    <w:rsid w:val="00AD6809"/>
    <w:rsid w:val="00AD696C"/>
    <w:rsid w:val="00AD6AA3"/>
    <w:rsid w:val="00AD6C73"/>
    <w:rsid w:val="00AD7475"/>
    <w:rsid w:val="00AD74B3"/>
    <w:rsid w:val="00AD7A47"/>
    <w:rsid w:val="00AD7B1B"/>
    <w:rsid w:val="00AD7E84"/>
    <w:rsid w:val="00AE043A"/>
    <w:rsid w:val="00AE0A9C"/>
    <w:rsid w:val="00AE0F1D"/>
    <w:rsid w:val="00AE1143"/>
    <w:rsid w:val="00AE1911"/>
    <w:rsid w:val="00AE2365"/>
    <w:rsid w:val="00AE2736"/>
    <w:rsid w:val="00AE2A49"/>
    <w:rsid w:val="00AE2B06"/>
    <w:rsid w:val="00AE3127"/>
    <w:rsid w:val="00AE3AEF"/>
    <w:rsid w:val="00AE3FFB"/>
    <w:rsid w:val="00AE463E"/>
    <w:rsid w:val="00AE488B"/>
    <w:rsid w:val="00AE4C84"/>
    <w:rsid w:val="00AE4EEA"/>
    <w:rsid w:val="00AE534B"/>
    <w:rsid w:val="00AE551B"/>
    <w:rsid w:val="00AE691B"/>
    <w:rsid w:val="00AE6E1B"/>
    <w:rsid w:val="00AE7503"/>
    <w:rsid w:val="00AE75E8"/>
    <w:rsid w:val="00AE76EC"/>
    <w:rsid w:val="00AE7B0B"/>
    <w:rsid w:val="00AF0C6E"/>
    <w:rsid w:val="00AF0CFF"/>
    <w:rsid w:val="00AF0D80"/>
    <w:rsid w:val="00AF0F73"/>
    <w:rsid w:val="00AF10A8"/>
    <w:rsid w:val="00AF1663"/>
    <w:rsid w:val="00AF1739"/>
    <w:rsid w:val="00AF1CC2"/>
    <w:rsid w:val="00AF1CCB"/>
    <w:rsid w:val="00AF1DCA"/>
    <w:rsid w:val="00AF20C7"/>
    <w:rsid w:val="00AF23ED"/>
    <w:rsid w:val="00AF2988"/>
    <w:rsid w:val="00AF310C"/>
    <w:rsid w:val="00AF31B0"/>
    <w:rsid w:val="00AF39E1"/>
    <w:rsid w:val="00AF3AED"/>
    <w:rsid w:val="00AF3DB3"/>
    <w:rsid w:val="00AF4480"/>
    <w:rsid w:val="00AF4982"/>
    <w:rsid w:val="00AF4D78"/>
    <w:rsid w:val="00AF4E44"/>
    <w:rsid w:val="00AF5DCD"/>
    <w:rsid w:val="00AF5F98"/>
    <w:rsid w:val="00AF61AA"/>
    <w:rsid w:val="00AF6780"/>
    <w:rsid w:val="00AF6E34"/>
    <w:rsid w:val="00AF74E8"/>
    <w:rsid w:val="00AF787B"/>
    <w:rsid w:val="00B0000C"/>
    <w:rsid w:val="00B002D9"/>
    <w:rsid w:val="00B0038D"/>
    <w:rsid w:val="00B00698"/>
    <w:rsid w:val="00B00A74"/>
    <w:rsid w:val="00B015E5"/>
    <w:rsid w:val="00B0268D"/>
    <w:rsid w:val="00B02831"/>
    <w:rsid w:val="00B032FF"/>
    <w:rsid w:val="00B03A4E"/>
    <w:rsid w:val="00B03C7F"/>
    <w:rsid w:val="00B04210"/>
    <w:rsid w:val="00B048E6"/>
    <w:rsid w:val="00B04B59"/>
    <w:rsid w:val="00B04E0F"/>
    <w:rsid w:val="00B05103"/>
    <w:rsid w:val="00B05127"/>
    <w:rsid w:val="00B05848"/>
    <w:rsid w:val="00B05BE2"/>
    <w:rsid w:val="00B05C70"/>
    <w:rsid w:val="00B06183"/>
    <w:rsid w:val="00B061BB"/>
    <w:rsid w:val="00B067C8"/>
    <w:rsid w:val="00B067DE"/>
    <w:rsid w:val="00B07758"/>
    <w:rsid w:val="00B1026C"/>
    <w:rsid w:val="00B10E73"/>
    <w:rsid w:val="00B11057"/>
    <w:rsid w:val="00B111F5"/>
    <w:rsid w:val="00B1180B"/>
    <w:rsid w:val="00B11A5F"/>
    <w:rsid w:val="00B12300"/>
    <w:rsid w:val="00B12363"/>
    <w:rsid w:val="00B1244C"/>
    <w:rsid w:val="00B126ED"/>
    <w:rsid w:val="00B12B24"/>
    <w:rsid w:val="00B12EAB"/>
    <w:rsid w:val="00B13E57"/>
    <w:rsid w:val="00B14509"/>
    <w:rsid w:val="00B15277"/>
    <w:rsid w:val="00B15427"/>
    <w:rsid w:val="00B15430"/>
    <w:rsid w:val="00B15459"/>
    <w:rsid w:val="00B1598E"/>
    <w:rsid w:val="00B15A23"/>
    <w:rsid w:val="00B15D65"/>
    <w:rsid w:val="00B16546"/>
    <w:rsid w:val="00B16839"/>
    <w:rsid w:val="00B16999"/>
    <w:rsid w:val="00B16AC6"/>
    <w:rsid w:val="00B16D67"/>
    <w:rsid w:val="00B17195"/>
    <w:rsid w:val="00B171D5"/>
    <w:rsid w:val="00B17449"/>
    <w:rsid w:val="00B205AE"/>
    <w:rsid w:val="00B207E6"/>
    <w:rsid w:val="00B209A6"/>
    <w:rsid w:val="00B209AF"/>
    <w:rsid w:val="00B20AE2"/>
    <w:rsid w:val="00B20D6B"/>
    <w:rsid w:val="00B210E1"/>
    <w:rsid w:val="00B21304"/>
    <w:rsid w:val="00B2157F"/>
    <w:rsid w:val="00B21609"/>
    <w:rsid w:val="00B21675"/>
    <w:rsid w:val="00B21A8E"/>
    <w:rsid w:val="00B21AD4"/>
    <w:rsid w:val="00B21D39"/>
    <w:rsid w:val="00B2241B"/>
    <w:rsid w:val="00B22745"/>
    <w:rsid w:val="00B227A2"/>
    <w:rsid w:val="00B229A1"/>
    <w:rsid w:val="00B22B7F"/>
    <w:rsid w:val="00B22DCA"/>
    <w:rsid w:val="00B22E03"/>
    <w:rsid w:val="00B231DD"/>
    <w:rsid w:val="00B233D4"/>
    <w:rsid w:val="00B2416B"/>
    <w:rsid w:val="00B241A9"/>
    <w:rsid w:val="00B24C10"/>
    <w:rsid w:val="00B24C89"/>
    <w:rsid w:val="00B25AF1"/>
    <w:rsid w:val="00B25D17"/>
    <w:rsid w:val="00B25EB7"/>
    <w:rsid w:val="00B264DE"/>
    <w:rsid w:val="00B26691"/>
    <w:rsid w:val="00B2745E"/>
    <w:rsid w:val="00B27F7E"/>
    <w:rsid w:val="00B27FCE"/>
    <w:rsid w:val="00B305B6"/>
    <w:rsid w:val="00B309E2"/>
    <w:rsid w:val="00B30B30"/>
    <w:rsid w:val="00B30C38"/>
    <w:rsid w:val="00B312A3"/>
    <w:rsid w:val="00B3168F"/>
    <w:rsid w:val="00B31D35"/>
    <w:rsid w:val="00B31E3E"/>
    <w:rsid w:val="00B31F03"/>
    <w:rsid w:val="00B3273E"/>
    <w:rsid w:val="00B3357E"/>
    <w:rsid w:val="00B337AB"/>
    <w:rsid w:val="00B340E0"/>
    <w:rsid w:val="00B342E7"/>
    <w:rsid w:val="00B34959"/>
    <w:rsid w:val="00B34F88"/>
    <w:rsid w:val="00B34FF8"/>
    <w:rsid w:val="00B35783"/>
    <w:rsid w:val="00B35886"/>
    <w:rsid w:val="00B35DE8"/>
    <w:rsid w:val="00B36249"/>
    <w:rsid w:val="00B363CF"/>
    <w:rsid w:val="00B3694F"/>
    <w:rsid w:val="00B36B1B"/>
    <w:rsid w:val="00B37075"/>
    <w:rsid w:val="00B40280"/>
    <w:rsid w:val="00B40358"/>
    <w:rsid w:val="00B40431"/>
    <w:rsid w:val="00B40719"/>
    <w:rsid w:val="00B40A95"/>
    <w:rsid w:val="00B40FE3"/>
    <w:rsid w:val="00B4186D"/>
    <w:rsid w:val="00B41C39"/>
    <w:rsid w:val="00B41CA3"/>
    <w:rsid w:val="00B42099"/>
    <w:rsid w:val="00B4218F"/>
    <w:rsid w:val="00B42225"/>
    <w:rsid w:val="00B422D0"/>
    <w:rsid w:val="00B42BA5"/>
    <w:rsid w:val="00B42BB6"/>
    <w:rsid w:val="00B42D5F"/>
    <w:rsid w:val="00B43169"/>
    <w:rsid w:val="00B433FE"/>
    <w:rsid w:val="00B43495"/>
    <w:rsid w:val="00B43579"/>
    <w:rsid w:val="00B43721"/>
    <w:rsid w:val="00B43764"/>
    <w:rsid w:val="00B43B5C"/>
    <w:rsid w:val="00B43DF3"/>
    <w:rsid w:val="00B44044"/>
    <w:rsid w:val="00B442C7"/>
    <w:rsid w:val="00B443C4"/>
    <w:rsid w:val="00B44459"/>
    <w:rsid w:val="00B44747"/>
    <w:rsid w:val="00B44947"/>
    <w:rsid w:val="00B44C52"/>
    <w:rsid w:val="00B451A0"/>
    <w:rsid w:val="00B459E8"/>
    <w:rsid w:val="00B45D23"/>
    <w:rsid w:val="00B46010"/>
    <w:rsid w:val="00B460FD"/>
    <w:rsid w:val="00B46296"/>
    <w:rsid w:val="00B46637"/>
    <w:rsid w:val="00B479E9"/>
    <w:rsid w:val="00B47BD5"/>
    <w:rsid w:val="00B47DFB"/>
    <w:rsid w:val="00B50761"/>
    <w:rsid w:val="00B50872"/>
    <w:rsid w:val="00B50BE6"/>
    <w:rsid w:val="00B50FF0"/>
    <w:rsid w:val="00B5112C"/>
    <w:rsid w:val="00B513CE"/>
    <w:rsid w:val="00B51A5F"/>
    <w:rsid w:val="00B52202"/>
    <w:rsid w:val="00B5222B"/>
    <w:rsid w:val="00B523BC"/>
    <w:rsid w:val="00B5246D"/>
    <w:rsid w:val="00B524B6"/>
    <w:rsid w:val="00B53009"/>
    <w:rsid w:val="00B53265"/>
    <w:rsid w:val="00B53377"/>
    <w:rsid w:val="00B5338F"/>
    <w:rsid w:val="00B533EE"/>
    <w:rsid w:val="00B53A08"/>
    <w:rsid w:val="00B53B7B"/>
    <w:rsid w:val="00B540ED"/>
    <w:rsid w:val="00B54238"/>
    <w:rsid w:val="00B54A21"/>
    <w:rsid w:val="00B54C4D"/>
    <w:rsid w:val="00B54FA7"/>
    <w:rsid w:val="00B551CC"/>
    <w:rsid w:val="00B551EC"/>
    <w:rsid w:val="00B55C68"/>
    <w:rsid w:val="00B55D6B"/>
    <w:rsid w:val="00B55D92"/>
    <w:rsid w:val="00B56336"/>
    <w:rsid w:val="00B563AD"/>
    <w:rsid w:val="00B563C9"/>
    <w:rsid w:val="00B569D6"/>
    <w:rsid w:val="00B56AA0"/>
    <w:rsid w:val="00B606C2"/>
    <w:rsid w:val="00B61DD5"/>
    <w:rsid w:val="00B621D6"/>
    <w:rsid w:val="00B622EF"/>
    <w:rsid w:val="00B62618"/>
    <w:rsid w:val="00B626F5"/>
    <w:rsid w:val="00B628D0"/>
    <w:rsid w:val="00B63663"/>
    <w:rsid w:val="00B63EE4"/>
    <w:rsid w:val="00B64138"/>
    <w:rsid w:val="00B64369"/>
    <w:rsid w:val="00B648CA"/>
    <w:rsid w:val="00B64B13"/>
    <w:rsid w:val="00B65327"/>
    <w:rsid w:val="00B65805"/>
    <w:rsid w:val="00B65AE4"/>
    <w:rsid w:val="00B66FB7"/>
    <w:rsid w:val="00B67407"/>
    <w:rsid w:val="00B675A8"/>
    <w:rsid w:val="00B67948"/>
    <w:rsid w:val="00B67A0C"/>
    <w:rsid w:val="00B703AE"/>
    <w:rsid w:val="00B703E9"/>
    <w:rsid w:val="00B703FA"/>
    <w:rsid w:val="00B708FB"/>
    <w:rsid w:val="00B70F8B"/>
    <w:rsid w:val="00B71E6F"/>
    <w:rsid w:val="00B720A1"/>
    <w:rsid w:val="00B72C0C"/>
    <w:rsid w:val="00B732F6"/>
    <w:rsid w:val="00B73A24"/>
    <w:rsid w:val="00B73E9C"/>
    <w:rsid w:val="00B73EEF"/>
    <w:rsid w:val="00B7550D"/>
    <w:rsid w:val="00B75C90"/>
    <w:rsid w:val="00B763FF"/>
    <w:rsid w:val="00B76CCE"/>
    <w:rsid w:val="00B773B7"/>
    <w:rsid w:val="00B80FC0"/>
    <w:rsid w:val="00B810DC"/>
    <w:rsid w:val="00B811CC"/>
    <w:rsid w:val="00B81226"/>
    <w:rsid w:val="00B81A53"/>
    <w:rsid w:val="00B81CCB"/>
    <w:rsid w:val="00B8207F"/>
    <w:rsid w:val="00B82175"/>
    <w:rsid w:val="00B8225A"/>
    <w:rsid w:val="00B82326"/>
    <w:rsid w:val="00B8281F"/>
    <w:rsid w:val="00B82864"/>
    <w:rsid w:val="00B82921"/>
    <w:rsid w:val="00B82B4F"/>
    <w:rsid w:val="00B82B92"/>
    <w:rsid w:val="00B82E07"/>
    <w:rsid w:val="00B832AD"/>
    <w:rsid w:val="00B83A97"/>
    <w:rsid w:val="00B8413A"/>
    <w:rsid w:val="00B84B03"/>
    <w:rsid w:val="00B8507F"/>
    <w:rsid w:val="00B85237"/>
    <w:rsid w:val="00B852F8"/>
    <w:rsid w:val="00B8536E"/>
    <w:rsid w:val="00B85888"/>
    <w:rsid w:val="00B8595C"/>
    <w:rsid w:val="00B85D91"/>
    <w:rsid w:val="00B8670D"/>
    <w:rsid w:val="00B8676F"/>
    <w:rsid w:val="00B8725C"/>
    <w:rsid w:val="00B87703"/>
    <w:rsid w:val="00B87A53"/>
    <w:rsid w:val="00B87C23"/>
    <w:rsid w:val="00B901C7"/>
    <w:rsid w:val="00B90278"/>
    <w:rsid w:val="00B9043E"/>
    <w:rsid w:val="00B9093D"/>
    <w:rsid w:val="00B90982"/>
    <w:rsid w:val="00B90E78"/>
    <w:rsid w:val="00B91064"/>
    <w:rsid w:val="00B910CC"/>
    <w:rsid w:val="00B91A47"/>
    <w:rsid w:val="00B91AD6"/>
    <w:rsid w:val="00B91BD1"/>
    <w:rsid w:val="00B91D95"/>
    <w:rsid w:val="00B92D4B"/>
    <w:rsid w:val="00B930C2"/>
    <w:rsid w:val="00B932DB"/>
    <w:rsid w:val="00B93B24"/>
    <w:rsid w:val="00B93E38"/>
    <w:rsid w:val="00B9457D"/>
    <w:rsid w:val="00B947F5"/>
    <w:rsid w:val="00B94FBC"/>
    <w:rsid w:val="00B95D16"/>
    <w:rsid w:val="00B9605E"/>
    <w:rsid w:val="00B969C1"/>
    <w:rsid w:val="00B97016"/>
    <w:rsid w:val="00B97148"/>
    <w:rsid w:val="00B979A4"/>
    <w:rsid w:val="00B979B9"/>
    <w:rsid w:val="00B97F59"/>
    <w:rsid w:val="00B97FDE"/>
    <w:rsid w:val="00BA00BD"/>
    <w:rsid w:val="00BA01E0"/>
    <w:rsid w:val="00BA0351"/>
    <w:rsid w:val="00BA08D6"/>
    <w:rsid w:val="00BA150A"/>
    <w:rsid w:val="00BA1BF4"/>
    <w:rsid w:val="00BA200D"/>
    <w:rsid w:val="00BA203B"/>
    <w:rsid w:val="00BA2583"/>
    <w:rsid w:val="00BA25F5"/>
    <w:rsid w:val="00BA2D85"/>
    <w:rsid w:val="00BA2E16"/>
    <w:rsid w:val="00BA3188"/>
    <w:rsid w:val="00BA3210"/>
    <w:rsid w:val="00BA37E4"/>
    <w:rsid w:val="00BA4556"/>
    <w:rsid w:val="00BA498A"/>
    <w:rsid w:val="00BA4C04"/>
    <w:rsid w:val="00BA4D58"/>
    <w:rsid w:val="00BA4E46"/>
    <w:rsid w:val="00BA56BF"/>
    <w:rsid w:val="00BA56E8"/>
    <w:rsid w:val="00BA6611"/>
    <w:rsid w:val="00BA69B5"/>
    <w:rsid w:val="00BA6BFA"/>
    <w:rsid w:val="00BA6DAD"/>
    <w:rsid w:val="00BA6F7D"/>
    <w:rsid w:val="00BA7087"/>
    <w:rsid w:val="00BA75A8"/>
    <w:rsid w:val="00BA7826"/>
    <w:rsid w:val="00BA78F1"/>
    <w:rsid w:val="00BA7987"/>
    <w:rsid w:val="00BA7A2D"/>
    <w:rsid w:val="00BA7D80"/>
    <w:rsid w:val="00BA7D99"/>
    <w:rsid w:val="00BA7EE6"/>
    <w:rsid w:val="00BA7F01"/>
    <w:rsid w:val="00BB06C1"/>
    <w:rsid w:val="00BB0748"/>
    <w:rsid w:val="00BB0AD5"/>
    <w:rsid w:val="00BB0BF3"/>
    <w:rsid w:val="00BB0C19"/>
    <w:rsid w:val="00BB0EC4"/>
    <w:rsid w:val="00BB0ECD"/>
    <w:rsid w:val="00BB0FD8"/>
    <w:rsid w:val="00BB1420"/>
    <w:rsid w:val="00BB149C"/>
    <w:rsid w:val="00BB1685"/>
    <w:rsid w:val="00BB1F60"/>
    <w:rsid w:val="00BB240B"/>
    <w:rsid w:val="00BB2A8B"/>
    <w:rsid w:val="00BB2CB9"/>
    <w:rsid w:val="00BB30E5"/>
    <w:rsid w:val="00BB3F30"/>
    <w:rsid w:val="00BB46F4"/>
    <w:rsid w:val="00BB4C2F"/>
    <w:rsid w:val="00BB5314"/>
    <w:rsid w:val="00BB5596"/>
    <w:rsid w:val="00BB5CB8"/>
    <w:rsid w:val="00BB5DCB"/>
    <w:rsid w:val="00BB623D"/>
    <w:rsid w:val="00BB62E1"/>
    <w:rsid w:val="00BB6488"/>
    <w:rsid w:val="00BB67CE"/>
    <w:rsid w:val="00BB6804"/>
    <w:rsid w:val="00BB6D55"/>
    <w:rsid w:val="00BB6FC6"/>
    <w:rsid w:val="00BB72B9"/>
    <w:rsid w:val="00BC0496"/>
    <w:rsid w:val="00BC09B1"/>
    <w:rsid w:val="00BC0F0B"/>
    <w:rsid w:val="00BC0F98"/>
    <w:rsid w:val="00BC0FBC"/>
    <w:rsid w:val="00BC1BB3"/>
    <w:rsid w:val="00BC1BD8"/>
    <w:rsid w:val="00BC219E"/>
    <w:rsid w:val="00BC2A5F"/>
    <w:rsid w:val="00BC2ED9"/>
    <w:rsid w:val="00BC3EF3"/>
    <w:rsid w:val="00BC4976"/>
    <w:rsid w:val="00BC4C0F"/>
    <w:rsid w:val="00BC4C7F"/>
    <w:rsid w:val="00BC4E36"/>
    <w:rsid w:val="00BC50B0"/>
    <w:rsid w:val="00BC51EA"/>
    <w:rsid w:val="00BC5B80"/>
    <w:rsid w:val="00BC5E7A"/>
    <w:rsid w:val="00BC5EA0"/>
    <w:rsid w:val="00BC6088"/>
    <w:rsid w:val="00BC677E"/>
    <w:rsid w:val="00BC6AEA"/>
    <w:rsid w:val="00BC6F10"/>
    <w:rsid w:val="00BC7D0A"/>
    <w:rsid w:val="00BD0052"/>
    <w:rsid w:val="00BD01AF"/>
    <w:rsid w:val="00BD07DB"/>
    <w:rsid w:val="00BD083E"/>
    <w:rsid w:val="00BD0D43"/>
    <w:rsid w:val="00BD0E41"/>
    <w:rsid w:val="00BD11FB"/>
    <w:rsid w:val="00BD1858"/>
    <w:rsid w:val="00BD1FAE"/>
    <w:rsid w:val="00BD247E"/>
    <w:rsid w:val="00BD2A84"/>
    <w:rsid w:val="00BD2AEC"/>
    <w:rsid w:val="00BD2E3E"/>
    <w:rsid w:val="00BD358A"/>
    <w:rsid w:val="00BD359E"/>
    <w:rsid w:val="00BD3606"/>
    <w:rsid w:val="00BD3FE5"/>
    <w:rsid w:val="00BD40EF"/>
    <w:rsid w:val="00BD4117"/>
    <w:rsid w:val="00BD49FB"/>
    <w:rsid w:val="00BD4A95"/>
    <w:rsid w:val="00BD4D15"/>
    <w:rsid w:val="00BD5278"/>
    <w:rsid w:val="00BD5525"/>
    <w:rsid w:val="00BD58B4"/>
    <w:rsid w:val="00BD612E"/>
    <w:rsid w:val="00BD6ADE"/>
    <w:rsid w:val="00BD6F39"/>
    <w:rsid w:val="00BD6FD8"/>
    <w:rsid w:val="00BD7278"/>
    <w:rsid w:val="00BD7280"/>
    <w:rsid w:val="00BD78EF"/>
    <w:rsid w:val="00BE00F5"/>
    <w:rsid w:val="00BE02D5"/>
    <w:rsid w:val="00BE0DA8"/>
    <w:rsid w:val="00BE1807"/>
    <w:rsid w:val="00BE1B9C"/>
    <w:rsid w:val="00BE1C87"/>
    <w:rsid w:val="00BE1EA3"/>
    <w:rsid w:val="00BE1EDD"/>
    <w:rsid w:val="00BE3319"/>
    <w:rsid w:val="00BE3593"/>
    <w:rsid w:val="00BE3596"/>
    <w:rsid w:val="00BE48B6"/>
    <w:rsid w:val="00BE498E"/>
    <w:rsid w:val="00BE5084"/>
    <w:rsid w:val="00BE51A0"/>
    <w:rsid w:val="00BE5380"/>
    <w:rsid w:val="00BE58D4"/>
    <w:rsid w:val="00BE5EEE"/>
    <w:rsid w:val="00BE5FAD"/>
    <w:rsid w:val="00BE610B"/>
    <w:rsid w:val="00BE671D"/>
    <w:rsid w:val="00BE704C"/>
    <w:rsid w:val="00BE7639"/>
    <w:rsid w:val="00BE7E42"/>
    <w:rsid w:val="00BF0165"/>
    <w:rsid w:val="00BF066B"/>
    <w:rsid w:val="00BF0BA5"/>
    <w:rsid w:val="00BF0C0F"/>
    <w:rsid w:val="00BF0C59"/>
    <w:rsid w:val="00BF0FA7"/>
    <w:rsid w:val="00BF1743"/>
    <w:rsid w:val="00BF18A1"/>
    <w:rsid w:val="00BF1B62"/>
    <w:rsid w:val="00BF2076"/>
    <w:rsid w:val="00BF218C"/>
    <w:rsid w:val="00BF22BC"/>
    <w:rsid w:val="00BF25B6"/>
    <w:rsid w:val="00BF2CD9"/>
    <w:rsid w:val="00BF2F66"/>
    <w:rsid w:val="00BF302B"/>
    <w:rsid w:val="00BF3224"/>
    <w:rsid w:val="00BF32C7"/>
    <w:rsid w:val="00BF372D"/>
    <w:rsid w:val="00BF3B65"/>
    <w:rsid w:val="00BF3D34"/>
    <w:rsid w:val="00BF4A1F"/>
    <w:rsid w:val="00BF5026"/>
    <w:rsid w:val="00BF50F9"/>
    <w:rsid w:val="00BF57A5"/>
    <w:rsid w:val="00BF5DB4"/>
    <w:rsid w:val="00BF5F26"/>
    <w:rsid w:val="00BF62B7"/>
    <w:rsid w:val="00BF6466"/>
    <w:rsid w:val="00BF6653"/>
    <w:rsid w:val="00BF77AE"/>
    <w:rsid w:val="00BF78BC"/>
    <w:rsid w:val="00BF7A9A"/>
    <w:rsid w:val="00BF7CCD"/>
    <w:rsid w:val="00BF7D99"/>
    <w:rsid w:val="00BF7E11"/>
    <w:rsid w:val="00BF7EA3"/>
    <w:rsid w:val="00BF7EAF"/>
    <w:rsid w:val="00BF7EBB"/>
    <w:rsid w:val="00C0082A"/>
    <w:rsid w:val="00C00A83"/>
    <w:rsid w:val="00C0116A"/>
    <w:rsid w:val="00C0116C"/>
    <w:rsid w:val="00C018CC"/>
    <w:rsid w:val="00C01ADB"/>
    <w:rsid w:val="00C02291"/>
    <w:rsid w:val="00C022D9"/>
    <w:rsid w:val="00C02584"/>
    <w:rsid w:val="00C02A47"/>
    <w:rsid w:val="00C02DE2"/>
    <w:rsid w:val="00C02F39"/>
    <w:rsid w:val="00C03455"/>
    <w:rsid w:val="00C038C8"/>
    <w:rsid w:val="00C04D06"/>
    <w:rsid w:val="00C04DE9"/>
    <w:rsid w:val="00C04F98"/>
    <w:rsid w:val="00C05296"/>
    <w:rsid w:val="00C057AC"/>
    <w:rsid w:val="00C057B3"/>
    <w:rsid w:val="00C05986"/>
    <w:rsid w:val="00C05B4C"/>
    <w:rsid w:val="00C05C4F"/>
    <w:rsid w:val="00C06288"/>
    <w:rsid w:val="00C06B0D"/>
    <w:rsid w:val="00C07012"/>
    <w:rsid w:val="00C07217"/>
    <w:rsid w:val="00C07224"/>
    <w:rsid w:val="00C0762A"/>
    <w:rsid w:val="00C07A01"/>
    <w:rsid w:val="00C07BF0"/>
    <w:rsid w:val="00C100C2"/>
    <w:rsid w:val="00C101E9"/>
    <w:rsid w:val="00C10B0B"/>
    <w:rsid w:val="00C10DFF"/>
    <w:rsid w:val="00C119FD"/>
    <w:rsid w:val="00C11B65"/>
    <w:rsid w:val="00C11B98"/>
    <w:rsid w:val="00C11D29"/>
    <w:rsid w:val="00C12008"/>
    <w:rsid w:val="00C124CC"/>
    <w:rsid w:val="00C133A5"/>
    <w:rsid w:val="00C13EFF"/>
    <w:rsid w:val="00C143C5"/>
    <w:rsid w:val="00C147EB"/>
    <w:rsid w:val="00C14A0B"/>
    <w:rsid w:val="00C1519D"/>
    <w:rsid w:val="00C15453"/>
    <w:rsid w:val="00C1558C"/>
    <w:rsid w:val="00C158F5"/>
    <w:rsid w:val="00C15C2D"/>
    <w:rsid w:val="00C1603D"/>
    <w:rsid w:val="00C17709"/>
    <w:rsid w:val="00C17A40"/>
    <w:rsid w:val="00C17B85"/>
    <w:rsid w:val="00C17FE4"/>
    <w:rsid w:val="00C20363"/>
    <w:rsid w:val="00C20585"/>
    <w:rsid w:val="00C20A1B"/>
    <w:rsid w:val="00C20CE8"/>
    <w:rsid w:val="00C21334"/>
    <w:rsid w:val="00C215CC"/>
    <w:rsid w:val="00C217AF"/>
    <w:rsid w:val="00C21908"/>
    <w:rsid w:val="00C21DF0"/>
    <w:rsid w:val="00C21E85"/>
    <w:rsid w:val="00C22455"/>
    <w:rsid w:val="00C229CE"/>
    <w:rsid w:val="00C22CEC"/>
    <w:rsid w:val="00C22F18"/>
    <w:rsid w:val="00C235B5"/>
    <w:rsid w:val="00C235D1"/>
    <w:rsid w:val="00C23613"/>
    <w:rsid w:val="00C23808"/>
    <w:rsid w:val="00C23A49"/>
    <w:rsid w:val="00C23E79"/>
    <w:rsid w:val="00C24009"/>
    <w:rsid w:val="00C24056"/>
    <w:rsid w:val="00C243D6"/>
    <w:rsid w:val="00C2448D"/>
    <w:rsid w:val="00C248E0"/>
    <w:rsid w:val="00C24A34"/>
    <w:rsid w:val="00C25019"/>
    <w:rsid w:val="00C2591B"/>
    <w:rsid w:val="00C25A49"/>
    <w:rsid w:val="00C26148"/>
    <w:rsid w:val="00C26549"/>
    <w:rsid w:val="00C26A5B"/>
    <w:rsid w:val="00C26B03"/>
    <w:rsid w:val="00C26E7F"/>
    <w:rsid w:val="00C2708A"/>
    <w:rsid w:val="00C27460"/>
    <w:rsid w:val="00C27472"/>
    <w:rsid w:val="00C27D5F"/>
    <w:rsid w:val="00C305BC"/>
    <w:rsid w:val="00C306DB"/>
    <w:rsid w:val="00C3071A"/>
    <w:rsid w:val="00C30961"/>
    <w:rsid w:val="00C31885"/>
    <w:rsid w:val="00C31B50"/>
    <w:rsid w:val="00C31C68"/>
    <w:rsid w:val="00C327FC"/>
    <w:rsid w:val="00C33012"/>
    <w:rsid w:val="00C33103"/>
    <w:rsid w:val="00C33343"/>
    <w:rsid w:val="00C33758"/>
    <w:rsid w:val="00C338B9"/>
    <w:rsid w:val="00C33EFF"/>
    <w:rsid w:val="00C340D2"/>
    <w:rsid w:val="00C34212"/>
    <w:rsid w:val="00C343E8"/>
    <w:rsid w:val="00C3480F"/>
    <w:rsid w:val="00C34838"/>
    <w:rsid w:val="00C34F54"/>
    <w:rsid w:val="00C351A2"/>
    <w:rsid w:val="00C35672"/>
    <w:rsid w:val="00C356A8"/>
    <w:rsid w:val="00C35B6D"/>
    <w:rsid w:val="00C35C57"/>
    <w:rsid w:val="00C36906"/>
    <w:rsid w:val="00C36B51"/>
    <w:rsid w:val="00C36F14"/>
    <w:rsid w:val="00C372DA"/>
    <w:rsid w:val="00C379C7"/>
    <w:rsid w:val="00C37AEE"/>
    <w:rsid w:val="00C401A8"/>
    <w:rsid w:val="00C405DF"/>
    <w:rsid w:val="00C4098B"/>
    <w:rsid w:val="00C40BAD"/>
    <w:rsid w:val="00C41365"/>
    <w:rsid w:val="00C42194"/>
    <w:rsid w:val="00C42A9B"/>
    <w:rsid w:val="00C42B30"/>
    <w:rsid w:val="00C42EA5"/>
    <w:rsid w:val="00C430D0"/>
    <w:rsid w:val="00C437AD"/>
    <w:rsid w:val="00C44656"/>
    <w:rsid w:val="00C448B1"/>
    <w:rsid w:val="00C449B5"/>
    <w:rsid w:val="00C46733"/>
    <w:rsid w:val="00C46F8C"/>
    <w:rsid w:val="00C470E6"/>
    <w:rsid w:val="00C4749D"/>
    <w:rsid w:val="00C47D3D"/>
    <w:rsid w:val="00C5040D"/>
    <w:rsid w:val="00C508DE"/>
    <w:rsid w:val="00C50920"/>
    <w:rsid w:val="00C50924"/>
    <w:rsid w:val="00C5149A"/>
    <w:rsid w:val="00C517F5"/>
    <w:rsid w:val="00C51C17"/>
    <w:rsid w:val="00C51E8E"/>
    <w:rsid w:val="00C52014"/>
    <w:rsid w:val="00C5208B"/>
    <w:rsid w:val="00C52209"/>
    <w:rsid w:val="00C5234B"/>
    <w:rsid w:val="00C52871"/>
    <w:rsid w:val="00C529E5"/>
    <w:rsid w:val="00C52BF9"/>
    <w:rsid w:val="00C52F60"/>
    <w:rsid w:val="00C52F6F"/>
    <w:rsid w:val="00C530FF"/>
    <w:rsid w:val="00C53393"/>
    <w:rsid w:val="00C53D2F"/>
    <w:rsid w:val="00C53F4F"/>
    <w:rsid w:val="00C53F75"/>
    <w:rsid w:val="00C543D6"/>
    <w:rsid w:val="00C54787"/>
    <w:rsid w:val="00C54B80"/>
    <w:rsid w:val="00C54C6B"/>
    <w:rsid w:val="00C54F61"/>
    <w:rsid w:val="00C55052"/>
    <w:rsid w:val="00C55383"/>
    <w:rsid w:val="00C55E31"/>
    <w:rsid w:val="00C5678F"/>
    <w:rsid w:val="00C56834"/>
    <w:rsid w:val="00C57282"/>
    <w:rsid w:val="00C57694"/>
    <w:rsid w:val="00C57F3B"/>
    <w:rsid w:val="00C604BA"/>
    <w:rsid w:val="00C61BB3"/>
    <w:rsid w:val="00C61D49"/>
    <w:rsid w:val="00C61F81"/>
    <w:rsid w:val="00C61F8A"/>
    <w:rsid w:val="00C624DC"/>
    <w:rsid w:val="00C62579"/>
    <w:rsid w:val="00C62AAF"/>
    <w:rsid w:val="00C62BAA"/>
    <w:rsid w:val="00C62E9F"/>
    <w:rsid w:val="00C639EA"/>
    <w:rsid w:val="00C63FA6"/>
    <w:rsid w:val="00C64921"/>
    <w:rsid w:val="00C64CC2"/>
    <w:rsid w:val="00C651C7"/>
    <w:rsid w:val="00C65284"/>
    <w:rsid w:val="00C65580"/>
    <w:rsid w:val="00C659F6"/>
    <w:rsid w:val="00C65B1D"/>
    <w:rsid w:val="00C65CED"/>
    <w:rsid w:val="00C65E40"/>
    <w:rsid w:val="00C65EF5"/>
    <w:rsid w:val="00C66DB9"/>
    <w:rsid w:val="00C67522"/>
    <w:rsid w:val="00C675E4"/>
    <w:rsid w:val="00C67698"/>
    <w:rsid w:val="00C67BA0"/>
    <w:rsid w:val="00C67E4B"/>
    <w:rsid w:val="00C67E66"/>
    <w:rsid w:val="00C70A29"/>
    <w:rsid w:val="00C70B28"/>
    <w:rsid w:val="00C71667"/>
    <w:rsid w:val="00C71E6B"/>
    <w:rsid w:val="00C71EFF"/>
    <w:rsid w:val="00C71FF6"/>
    <w:rsid w:val="00C72560"/>
    <w:rsid w:val="00C727E7"/>
    <w:rsid w:val="00C7305A"/>
    <w:rsid w:val="00C73B2B"/>
    <w:rsid w:val="00C73D32"/>
    <w:rsid w:val="00C7419D"/>
    <w:rsid w:val="00C74442"/>
    <w:rsid w:val="00C74577"/>
    <w:rsid w:val="00C756E1"/>
    <w:rsid w:val="00C75B26"/>
    <w:rsid w:val="00C75C0B"/>
    <w:rsid w:val="00C75EA0"/>
    <w:rsid w:val="00C75F2A"/>
    <w:rsid w:val="00C763C6"/>
    <w:rsid w:val="00C764C8"/>
    <w:rsid w:val="00C767E6"/>
    <w:rsid w:val="00C774D9"/>
    <w:rsid w:val="00C77B92"/>
    <w:rsid w:val="00C77D5D"/>
    <w:rsid w:val="00C8001E"/>
    <w:rsid w:val="00C803E6"/>
    <w:rsid w:val="00C8076E"/>
    <w:rsid w:val="00C80D34"/>
    <w:rsid w:val="00C80DC8"/>
    <w:rsid w:val="00C80EE9"/>
    <w:rsid w:val="00C810C4"/>
    <w:rsid w:val="00C818FA"/>
    <w:rsid w:val="00C81B9F"/>
    <w:rsid w:val="00C81BE5"/>
    <w:rsid w:val="00C81D39"/>
    <w:rsid w:val="00C824F9"/>
    <w:rsid w:val="00C82B26"/>
    <w:rsid w:val="00C82B50"/>
    <w:rsid w:val="00C82DB6"/>
    <w:rsid w:val="00C83100"/>
    <w:rsid w:val="00C8320C"/>
    <w:rsid w:val="00C83308"/>
    <w:rsid w:val="00C836BE"/>
    <w:rsid w:val="00C83786"/>
    <w:rsid w:val="00C83969"/>
    <w:rsid w:val="00C84DAF"/>
    <w:rsid w:val="00C850F3"/>
    <w:rsid w:val="00C8609A"/>
    <w:rsid w:val="00C86375"/>
    <w:rsid w:val="00C86581"/>
    <w:rsid w:val="00C866D4"/>
    <w:rsid w:val="00C86984"/>
    <w:rsid w:val="00C873A4"/>
    <w:rsid w:val="00C8748E"/>
    <w:rsid w:val="00C87583"/>
    <w:rsid w:val="00C87811"/>
    <w:rsid w:val="00C90618"/>
    <w:rsid w:val="00C90ED2"/>
    <w:rsid w:val="00C9125C"/>
    <w:rsid w:val="00C912DD"/>
    <w:rsid w:val="00C91C12"/>
    <w:rsid w:val="00C91D1B"/>
    <w:rsid w:val="00C927BE"/>
    <w:rsid w:val="00C928C5"/>
    <w:rsid w:val="00C92D7D"/>
    <w:rsid w:val="00C92E57"/>
    <w:rsid w:val="00C930E5"/>
    <w:rsid w:val="00C93236"/>
    <w:rsid w:val="00C93625"/>
    <w:rsid w:val="00C9385E"/>
    <w:rsid w:val="00C93B07"/>
    <w:rsid w:val="00C93B3B"/>
    <w:rsid w:val="00C93F96"/>
    <w:rsid w:val="00C94E1F"/>
    <w:rsid w:val="00C94FA6"/>
    <w:rsid w:val="00C9515E"/>
    <w:rsid w:val="00C95CC3"/>
    <w:rsid w:val="00C95DED"/>
    <w:rsid w:val="00C962D8"/>
    <w:rsid w:val="00C969F2"/>
    <w:rsid w:val="00C96D26"/>
    <w:rsid w:val="00C971D3"/>
    <w:rsid w:val="00C97455"/>
    <w:rsid w:val="00C9746B"/>
    <w:rsid w:val="00C97E74"/>
    <w:rsid w:val="00CA0501"/>
    <w:rsid w:val="00CA0877"/>
    <w:rsid w:val="00CA0C63"/>
    <w:rsid w:val="00CA0D90"/>
    <w:rsid w:val="00CA1579"/>
    <w:rsid w:val="00CA163E"/>
    <w:rsid w:val="00CA173C"/>
    <w:rsid w:val="00CA1895"/>
    <w:rsid w:val="00CA19B2"/>
    <w:rsid w:val="00CA19D6"/>
    <w:rsid w:val="00CA26DD"/>
    <w:rsid w:val="00CA27FC"/>
    <w:rsid w:val="00CA281D"/>
    <w:rsid w:val="00CA29DE"/>
    <w:rsid w:val="00CA2B55"/>
    <w:rsid w:val="00CA2EB1"/>
    <w:rsid w:val="00CA3394"/>
    <w:rsid w:val="00CA3634"/>
    <w:rsid w:val="00CA36C2"/>
    <w:rsid w:val="00CA39D8"/>
    <w:rsid w:val="00CA557D"/>
    <w:rsid w:val="00CA59B6"/>
    <w:rsid w:val="00CA5F46"/>
    <w:rsid w:val="00CA68A5"/>
    <w:rsid w:val="00CA6DE6"/>
    <w:rsid w:val="00CA7438"/>
    <w:rsid w:val="00CA7532"/>
    <w:rsid w:val="00CA7676"/>
    <w:rsid w:val="00CA7756"/>
    <w:rsid w:val="00CA78A9"/>
    <w:rsid w:val="00CA79BC"/>
    <w:rsid w:val="00CA7D7E"/>
    <w:rsid w:val="00CB0136"/>
    <w:rsid w:val="00CB0BC8"/>
    <w:rsid w:val="00CB0C9D"/>
    <w:rsid w:val="00CB0CD6"/>
    <w:rsid w:val="00CB0ECD"/>
    <w:rsid w:val="00CB14A5"/>
    <w:rsid w:val="00CB14B7"/>
    <w:rsid w:val="00CB161A"/>
    <w:rsid w:val="00CB17EA"/>
    <w:rsid w:val="00CB1BD7"/>
    <w:rsid w:val="00CB1C39"/>
    <w:rsid w:val="00CB21D4"/>
    <w:rsid w:val="00CB2C7F"/>
    <w:rsid w:val="00CB33AA"/>
    <w:rsid w:val="00CB3833"/>
    <w:rsid w:val="00CB3847"/>
    <w:rsid w:val="00CB3C8D"/>
    <w:rsid w:val="00CB3DE0"/>
    <w:rsid w:val="00CB467A"/>
    <w:rsid w:val="00CB4D74"/>
    <w:rsid w:val="00CB53A7"/>
    <w:rsid w:val="00CB5913"/>
    <w:rsid w:val="00CB602A"/>
    <w:rsid w:val="00CB6273"/>
    <w:rsid w:val="00CB65BE"/>
    <w:rsid w:val="00CB6731"/>
    <w:rsid w:val="00CB683C"/>
    <w:rsid w:val="00CB6ADA"/>
    <w:rsid w:val="00CB6E73"/>
    <w:rsid w:val="00CB732B"/>
    <w:rsid w:val="00CB7E06"/>
    <w:rsid w:val="00CC02D6"/>
    <w:rsid w:val="00CC0BA0"/>
    <w:rsid w:val="00CC1028"/>
    <w:rsid w:val="00CC170C"/>
    <w:rsid w:val="00CC1996"/>
    <w:rsid w:val="00CC1C46"/>
    <w:rsid w:val="00CC2013"/>
    <w:rsid w:val="00CC274D"/>
    <w:rsid w:val="00CC2AFF"/>
    <w:rsid w:val="00CC2CA7"/>
    <w:rsid w:val="00CC325B"/>
    <w:rsid w:val="00CC3378"/>
    <w:rsid w:val="00CC3436"/>
    <w:rsid w:val="00CC3A8A"/>
    <w:rsid w:val="00CC3DA6"/>
    <w:rsid w:val="00CC40ED"/>
    <w:rsid w:val="00CC4159"/>
    <w:rsid w:val="00CC41E1"/>
    <w:rsid w:val="00CC4820"/>
    <w:rsid w:val="00CC4ABF"/>
    <w:rsid w:val="00CC4CCD"/>
    <w:rsid w:val="00CC5634"/>
    <w:rsid w:val="00CC592F"/>
    <w:rsid w:val="00CC5962"/>
    <w:rsid w:val="00CC5D08"/>
    <w:rsid w:val="00CC5F70"/>
    <w:rsid w:val="00CC61BC"/>
    <w:rsid w:val="00CC6386"/>
    <w:rsid w:val="00CC6ABC"/>
    <w:rsid w:val="00CC7275"/>
    <w:rsid w:val="00CD0270"/>
    <w:rsid w:val="00CD03A4"/>
    <w:rsid w:val="00CD0A5C"/>
    <w:rsid w:val="00CD0ACE"/>
    <w:rsid w:val="00CD0D22"/>
    <w:rsid w:val="00CD117C"/>
    <w:rsid w:val="00CD13BD"/>
    <w:rsid w:val="00CD167C"/>
    <w:rsid w:val="00CD1896"/>
    <w:rsid w:val="00CD1D44"/>
    <w:rsid w:val="00CD1FE7"/>
    <w:rsid w:val="00CD28D9"/>
    <w:rsid w:val="00CD2907"/>
    <w:rsid w:val="00CD298F"/>
    <w:rsid w:val="00CD2FF3"/>
    <w:rsid w:val="00CD3108"/>
    <w:rsid w:val="00CD3165"/>
    <w:rsid w:val="00CD31B6"/>
    <w:rsid w:val="00CD3735"/>
    <w:rsid w:val="00CD44C6"/>
    <w:rsid w:val="00CD46B9"/>
    <w:rsid w:val="00CD4DB8"/>
    <w:rsid w:val="00CD4FE1"/>
    <w:rsid w:val="00CD53ED"/>
    <w:rsid w:val="00CD582D"/>
    <w:rsid w:val="00CD5B0B"/>
    <w:rsid w:val="00CD5D1F"/>
    <w:rsid w:val="00CD698B"/>
    <w:rsid w:val="00CD72A9"/>
    <w:rsid w:val="00CD75FA"/>
    <w:rsid w:val="00CD7612"/>
    <w:rsid w:val="00CD7BD7"/>
    <w:rsid w:val="00CD7FD2"/>
    <w:rsid w:val="00CE00FC"/>
    <w:rsid w:val="00CE082E"/>
    <w:rsid w:val="00CE15F9"/>
    <w:rsid w:val="00CE254B"/>
    <w:rsid w:val="00CE2EDF"/>
    <w:rsid w:val="00CE39E2"/>
    <w:rsid w:val="00CE3A8E"/>
    <w:rsid w:val="00CE3B1D"/>
    <w:rsid w:val="00CE4261"/>
    <w:rsid w:val="00CE4AE2"/>
    <w:rsid w:val="00CE4E0B"/>
    <w:rsid w:val="00CE4FAF"/>
    <w:rsid w:val="00CE5074"/>
    <w:rsid w:val="00CE50A4"/>
    <w:rsid w:val="00CE562E"/>
    <w:rsid w:val="00CE5771"/>
    <w:rsid w:val="00CE5965"/>
    <w:rsid w:val="00CE6C89"/>
    <w:rsid w:val="00CE6E95"/>
    <w:rsid w:val="00CE70BC"/>
    <w:rsid w:val="00CE711B"/>
    <w:rsid w:val="00CE7320"/>
    <w:rsid w:val="00CE79FA"/>
    <w:rsid w:val="00CE7A47"/>
    <w:rsid w:val="00CE7A4F"/>
    <w:rsid w:val="00CE7E01"/>
    <w:rsid w:val="00CF010E"/>
    <w:rsid w:val="00CF07B6"/>
    <w:rsid w:val="00CF0BB7"/>
    <w:rsid w:val="00CF0F89"/>
    <w:rsid w:val="00CF127C"/>
    <w:rsid w:val="00CF13D3"/>
    <w:rsid w:val="00CF1736"/>
    <w:rsid w:val="00CF177E"/>
    <w:rsid w:val="00CF1D99"/>
    <w:rsid w:val="00CF1F85"/>
    <w:rsid w:val="00CF2448"/>
    <w:rsid w:val="00CF2882"/>
    <w:rsid w:val="00CF32A3"/>
    <w:rsid w:val="00CF4944"/>
    <w:rsid w:val="00CF4968"/>
    <w:rsid w:val="00CF4B3C"/>
    <w:rsid w:val="00CF4F9E"/>
    <w:rsid w:val="00CF5B8B"/>
    <w:rsid w:val="00CF5FE7"/>
    <w:rsid w:val="00CF6786"/>
    <w:rsid w:val="00CF6846"/>
    <w:rsid w:val="00CF6B23"/>
    <w:rsid w:val="00CF6F28"/>
    <w:rsid w:val="00CF6F49"/>
    <w:rsid w:val="00CF7D8D"/>
    <w:rsid w:val="00D004E0"/>
    <w:rsid w:val="00D00A23"/>
    <w:rsid w:val="00D00FE2"/>
    <w:rsid w:val="00D01065"/>
    <w:rsid w:val="00D01373"/>
    <w:rsid w:val="00D01E69"/>
    <w:rsid w:val="00D02061"/>
    <w:rsid w:val="00D020A0"/>
    <w:rsid w:val="00D02240"/>
    <w:rsid w:val="00D02672"/>
    <w:rsid w:val="00D0296A"/>
    <w:rsid w:val="00D029BE"/>
    <w:rsid w:val="00D02CD9"/>
    <w:rsid w:val="00D031CC"/>
    <w:rsid w:val="00D033A1"/>
    <w:rsid w:val="00D03E9B"/>
    <w:rsid w:val="00D042C8"/>
    <w:rsid w:val="00D04682"/>
    <w:rsid w:val="00D048DA"/>
    <w:rsid w:val="00D04EAD"/>
    <w:rsid w:val="00D052E7"/>
    <w:rsid w:val="00D05371"/>
    <w:rsid w:val="00D05A90"/>
    <w:rsid w:val="00D05ECB"/>
    <w:rsid w:val="00D0642D"/>
    <w:rsid w:val="00D06B5E"/>
    <w:rsid w:val="00D070E4"/>
    <w:rsid w:val="00D07818"/>
    <w:rsid w:val="00D0789A"/>
    <w:rsid w:val="00D079C2"/>
    <w:rsid w:val="00D07D93"/>
    <w:rsid w:val="00D07E02"/>
    <w:rsid w:val="00D10220"/>
    <w:rsid w:val="00D10B69"/>
    <w:rsid w:val="00D10E30"/>
    <w:rsid w:val="00D11A22"/>
    <w:rsid w:val="00D12117"/>
    <w:rsid w:val="00D1268E"/>
    <w:rsid w:val="00D12BD2"/>
    <w:rsid w:val="00D12E54"/>
    <w:rsid w:val="00D13275"/>
    <w:rsid w:val="00D13D40"/>
    <w:rsid w:val="00D13E39"/>
    <w:rsid w:val="00D14415"/>
    <w:rsid w:val="00D14827"/>
    <w:rsid w:val="00D149AE"/>
    <w:rsid w:val="00D14C12"/>
    <w:rsid w:val="00D15032"/>
    <w:rsid w:val="00D151BD"/>
    <w:rsid w:val="00D1521F"/>
    <w:rsid w:val="00D1608B"/>
    <w:rsid w:val="00D16163"/>
    <w:rsid w:val="00D16865"/>
    <w:rsid w:val="00D169BB"/>
    <w:rsid w:val="00D175CE"/>
    <w:rsid w:val="00D1761A"/>
    <w:rsid w:val="00D17686"/>
    <w:rsid w:val="00D17701"/>
    <w:rsid w:val="00D17773"/>
    <w:rsid w:val="00D17864"/>
    <w:rsid w:val="00D178C2"/>
    <w:rsid w:val="00D17D2C"/>
    <w:rsid w:val="00D201D4"/>
    <w:rsid w:val="00D20230"/>
    <w:rsid w:val="00D204AE"/>
    <w:rsid w:val="00D21386"/>
    <w:rsid w:val="00D21460"/>
    <w:rsid w:val="00D216B7"/>
    <w:rsid w:val="00D2171E"/>
    <w:rsid w:val="00D218EC"/>
    <w:rsid w:val="00D2194F"/>
    <w:rsid w:val="00D220C4"/>
    <w:rsid w:val="00D22345"/>
    <w:rsid w:val="00D229CD"/>
    <w:rsid w:val="00D22A84"/>
    <w:rsid w:val="00D22AA8"/>
    <w:rsid w:val="00D22CDB"/>
    <w:rsid w:val="00D22EBB"/>
    <w:rsid w:val="00D23282"/>
    <w:rsid w:val="00D232F2"/>
    <w:rsid w:val="00D234F6"/>
    <w:rsid w:val="00D23820"/>
    <w:rsid w:val="00D239F8"/>
    <w:rsid w:val="00D23E49"/>
    <w:rsid w:val="00D240D1"/>
    <w:rsid w:val="00D245EB"/>
    <w:rsid w:val="00D24612"/>
    <w:rsid w:val="00D24958"/>
    <w:rsid w:val="00D24F8E"/>
    <w:rsid w:val="00D24FC9"/>
    <w:rsid w:val="00D250F7"/>
    <w:rsid w:val="00D2519D"/>
    <w:rsid w:val="00D25657"/>
    <w:rsid w:val="00D25E06"/>
    <w:rsid w:val="00D25F37"/>
    <w:rsid w:val="00D2617C"/>
    <w:rsid w:val="00D26251"/>
    <w:rsid w:val="00D263FE"/>
    <w:rsid w:val="00D266D4"/>
    <w:rsid w:val="00D26F1D"/>
    <w:rsid w:val="00D277A7"/>
    <w:rsid w:val="00D302C5"/>
    <w:rsid w:val="00D302F8"/>
    <w:rsid w:val="00D305AE"/>
    <w:rsid w:val="00D30A44"/>
    <w:rsid w:val="00D30AB7"/>
    <w:rsid w:val="00D30B1E"/>
    <w:rsid w:val="00D30F98"/>
    <w:rsid w:val="00D3109B"/>
    <w:rsid w:val="00D31121"/>
    <w:rsid w:val="00D31ABA"/>
    <w:rsid w:val="00D31C3C"/>
    <w:rsid w:val="00D32DC9"/>
    <w:rsid w:val="00D33B2E"/>
    <w:rsid w:val="00D33E93"/>
    <w:rsid w:val="00D3400B"/>
    <w:rsid w:val="00D344A3"/>
    <w:rsid w:val="00D34AAD"/>
    <w:rsid w:val="00D35408"/>
    <w:rsid w:val="00D356D7"/>
    <w:rsid w:val="00D3570D"/>
    <w:rsid w:val="00D35A1F"/>
    <w:rsid w:val="00D35B59"/>
    <w:rsid w:val="00D36508"/>
    <w:rsid w:val="00D36CA6"/>
    <w:rsid w:val="00D36E88"/>
    <w:rsid w:val="00D3703C"/>
    <w:rsid w:val="00D37A90"/>
    <w:rsid w:val="00D37DDB"/>
    <w:rsid w:val="00D40C2C"/>
    <w:rsid w:val="00D40E9E"/>
    <w:rsid w:val="00D412A1"/>
    <w:rsid w:val="00D41FE7"/>
    <w:rsid w:val="00D422EF"/>
    <w:rsid w:val="00D42E98"/>
    <w:rsid w:val="00D437B1"/>
    <w:rsid w:val="00D43B8A"/>
    <w:rsid w:val="00D43BD9"/>
    <w:rsid w:val="00D43F30"/>
    <w:rsid w:val="00D44424"/>
    <w:rsid w:val="00D44491"/>
    <w:rsid w:val="00D44C80"/>
    <w:rsid w:val="00D45854"/>
    <w:rsid w:val="00D45AC8"/>
    <w:rsid w:val="00D467A9"/>
    <w:rsid w:val="00D4688A"/>
    <w:rsid w:val="00D46EEC"/>
    <w:rsid w:val="00D46FCA"/>
    <w:rsid w:val="00D4705A"/>
    <w:rsid w:val="00D47253"/>
    <w:rsid w:val="00D47CBE"/>
    <w:rsid w:val="00D50157"/>
    <w:rsid w:val="00D5070D"/>
    <w:rsid w:val="00D50859"/>
    <w:rsid w:val="00D50929"/>
    <w:rsid w:val="00D509CC"/>
    <w:rsid w:val="00D50BF7"/>
    <w:rsid w:val="00D50FB5"/>
    <w:rsid w:val="00D51A7B"/>
    <w:rsid w:val="00D51AAB"/>
    <w:rsid w:val="00D51CCC"/>
    <w:rsid w:val="00D51CE5"/>
    <w:rsid w:val="00D51E4E"/>
    <w:rsid w:val="00D51F4E"/>
    <w:rsid w:val="00D520FE"/>
    <w:rsid w:val="00D52287"/>
    <w:rsid w:val="00D527BD"/>
    <w:rsid w:val="00D52E31"/>
    <w:rsid w:val="00D538E5"/>
    <w:rsid w:val="00D53DE0"/>
    <w:rsid w:val="00D53F8F"/>
    <w:rsid w:val="00D542C7"/>
    <w:rsid w:val="00D543CC"/>
    <w:rsid w:val="00D549FA"/>
    <w:rsid w:val="00D54CBD"/>
    <w:rsid w:val="00D553F7"/>
    <w:rsid w:val="00D56119"/>
    <w:rsid w:val="00D5635C"/>
    <w:rsid w:val="00D56663"/>
    <w:rsid w:val="00D56DC0"/>
    <w:rsid w:val="00D57209"/>
    <w:rsid w:val="00D573D5"/>
    <w:rsid w:val="00D576D5"/>
    <w:rsid w:val="00D578F2"/>
    <w:rsid w:val="00D60190"/>
    <w:rsid w:val="00D6036C"/>
    <w:rsid w:val="00D609D6"/>
    <w:rsid w:val="00D616E1"/>
    <w:rsid w:val="00D61A05"/>
    <w:rsid w:val="00D61DFE"/>
    <w:rsid w:val="00D62181"/>
    <w:rsid w:val="00D62205"/>
    <w:rsid w:val="00D6238D"/>
    <w:rsid w:val="00D62531"/>
    <w:rsid w:val="00D6273D"/>
    <w:rsid w:val="00D627C1"/>
    <w:rsid w:val="00D629CB"/>
    <w:rsid w:val="00D62E52"/>
    <w:rsid w:val="00D62EC3"/>
    <w:rsid w:val="00D646C2"/>
    <w:rsid w:val="00D6497F"/>
    <w:rsid w:val="00D64F8E"/>
    <w:rsid w:val="00D6560A"/>
    <w:rsid w:val="00D65905"/>
    <w:rsid w:val="00D65BA7"/>
    <w:rsid w:val="00D66885"/>
    <w:rsid w:val="00D66E22"/>
    <w:rsid w:val="00D66ECA"/>
    <w:rsid w:val="00D66F10"/>
    <w:rsid w:val="00D674DF"/>
    <w:rsid w:val="00D67CD9"/>
    <w:rsid w:val="00D67D53"/>
    <w:rsid w:val="00D67E28"/>
    <w:rsid w:val="00D707A3"/>
    <w:rsid w:val="00D70923"/>
    <w:rsid w:val="00D709E2"/>
    <w:rsid w:val="00D70AB2"/>
    <w:rsid w:val="00D70EC8"/>
    <w:rsid w:val="00D70FC5"/>
    <w:rsid w:val="00D7155B"/>
    <w:rsid w:val="00D7171B"/>
    <w:rsid w:val="00D71979"/>
    <w:rsid w:val="00D71DAA"/>
    <w:rsid w:val="00D71DF2"/>
    <w:rsid w:val="00D71ED3"/>
    <w:rsid w:val="00D726F0"/>
    <w:rsid w:val="00D728E9"/>
    <w:rsid w:val="00D72B8A"/>
    <w:rsid w:val="00D72D5F"/>
    <w:rsid w:val="00D73E39"/>
    <w:rsid w:val="00D7465E"/>
    <w:rsid w:val="00D74899"/>
    <w:rsid w:val="00D74E7E"/>
    <w:rsid w:val="00D74F70"/>
    <w:rsid w:val="00D74FC6"/>
    <w:rsid w:val="00D74FE3"/>
    <w:rsid w:val="00D752AF"/>
    <w:rsid w:val="00D75444"/>
    <w:rsid w:val="00D755FF"/>
    <w:rsid w:val="00D762DF"/>
    <w:rsid w:val="00D7630D"/>
    <w:rsid w:val="00D7662E"/>
    <w:rsid w:val="00D76C46"/>
    <w:rsid w:val="00D76DC7"/>
    <w:rsid w:val="00D76F24"/>
    <w:rsid w:val="00D80888"/>
    <w:rsid w:val="00D8107B"/>
    <w:rsid w:val="00D81A0A"/>
    <w:rsid w:val="00D8214D"/>
    <w:rsid w:val="00D822D1"/>
    <w:rsid w:val="00D827D4"/>
    <w:rsid w:val="00D82C50"/>
    <w:rsid w:val="00D8314C"/>
    <w:rsid w:val="00D832FE"/>
    <w:rsid w:val="00D834AA"/>
    <w:rsid w:val="00D83EAF"/>
    <w:rsid w:val="00D83F95"/>
    <w:rsid w:val="00D83FD2"/>
    <w:rsid w:val="00D842F9"/>
    <w:rsid w:val="00D84796"/>
    <w:rsid w:val="00D852B4"/>
    <w:rsid w:val="00D855B0"/>
    <w:rsid w:val="00D856E6"/>
    <w:rsid w:val="00D85A2A"/>
    <w:rsid w:val="00D85AD3"/>
    <w:rsid w:val="00D86384"/>
    <w:rsid w:val="00D86A98"/>
    <w:rsid w:val="00D8703F"/>
    <w:rsid w:val="00D8714F"/>
    <w:rsid w:val="00D87243"/>
    <w:rsid w:val="00D87B14"/>
    <w:rsid w:val="00D87D95"/>
    <w:rsid w:val="00D9057D"/>
    <w:rsid w:val="00D9064B"/>
    <w:rsid w:val="00D9076B"/>
    <w:rsid w:val="00D90837"/>
    <w:rsid w:val="00D9087E"/>
    <w:rsid w:val="00D91256"/>
    <w:rsid w:val="00D917DA"/>
    <w:rsid w:val="00D91E3B"/>
    <w:rsid w:val="00D921A1"/>
    <w:rsid w:val="00D92B88"/>
    <w:rsid w:val="00D9320E"/>
    <w:rsid w:val="00D932ED"/>
    <w:rsid w:val="00D9383A"/>
    <w:rsid w:val="00D93C2D"/>
    <w:rsid w:val="00D94042"/>
    <w:rsid w:val="00D947EA"/>
    <w:rsid w:val="00D94A57"/>
    <w:rsid w:val="00D94BF1"/>
    <w:rsid w:val="00D954D7"/>
    <w:rsid w:val="00D955FA"/>
    <w:rsid w:val="00D96396"/>
    <w:rsid w:val="00D96594"/>
    <w:rsid w:val="00D97035"/>
    <w:rsid w:val="00D970F5"/>
    <w:rsid w:val="00D972AA"/>
    <w:rsid w:val="00D973BF"/>
    <w:rsid w:val="00D97485"/>
    <w:rsid w:val="00D97628"/>
    <w:rsid w:val="00D978DF"/>
    <w:rsid w:val="00D97AFA"/>
    <w:rsid w:val="00D97D04"/>
    <w:rsid w:val="00D97D1F"/>
    <w:rsid w:val="00DA0225"/>
    <w:rsid w:val="00DA02A3"/>
    <w:rsid w:val="00DA0B29"/>
    <w:rsid w:val="00DA0DB4"/>
    <w:rsid w:val="00DA15DA"/>
    <w:rsid w:val="00DA16BA"/>
    <w:rsid w:val="00DA1829"/>
    <w:rsid w:val="00DA1A7F"/>
    <w:rsid w:val="00DA1F27"/>
    <w:rsid w:val="00DA20ED"/>
    <w:rsid w:val="00DA22BC"/>
    <w:rsid w:val="00DA2649"/>
    <w:rsid w:val="00DA2AB5"/>
    <w:rsid w:val="00DA2AC5"/>
    <w:rsid w:val="00DA2B25"/>
    <w:rsid w:val="00DA3B49"/>
    <w:rsid w:val="00DA3C50"/>
    <w:rsid w:val="00DA47EA"/>
    <w:rsid w:val="00DA4DC8"/>
    <w:rsid w:val="00DA51D0"/>
    <w:rsid w:val="00DA5364"/>
    <w:rsid w:val="00DA5509"/>
    <w:rsid w:val="00DA56E2"/>
    <w:rsid w:val="00DA588C"/>
    <w:rsid w:val="00DA604E"/>
    <w:rsid w:val="00DA61C7"/>
    <w:rsid w:val="00DA69B6"/>
    <w:rsid w:val="00DA6CAF"/>
    <w:rsid w:val="00DA6F29"/>
    <w:rsid w:val="00DA7627"/>
    <w:rsid w:val="00DA7723"/>
    <w:rsid w:val="00DA77D1"/>
    <w:rsid w:val="00DA78A7"/>
    <w:rsid w:val="00DA7D55"/>
    <w:rsid w:val="00DA7F68"/>
    <w:rsid w:val="00DA7F74"/>
    <w:rsid w:val="00DB0FF0"/>
    <w:rsid w:val="00DB11A1"/>
    <w:rsid w:val="00DB11BF"/>
    <w:rsid w:val="00DB14D9"/>
    <w:rsid w:val="00DB15B8"/>
    <w:rsid w:val="00DB1E12"/>
    <w:rsid w:val="00DB20A0"/>
    <w:rsid w:val="00DB210A"/>
    <w:rsid w:val="00DB2265"/>
    <w:rsid w:val="00DB26DD"/>
    <w:rsid w:val="00DB2783"/>
    <w:rsid w:val="00DB28D6"/>
    <w:rsid w:val="00DB29E3"/>
    <w:rsid w:val="00DB29F9"/>
    <w:rsid w:val="00DB2B68"/>
    <w:rsid w:val="00DB2BD5"/>
    <w:rsid w:val="00DB2C8F"/>
    <w:rsid w:val="00DB32B7"/>
    <w:rsid w:val="00DB3665"/>
    <w:rsid w:val="00DB3855"/>
    <w:rsid w:val="00DB39C2"/>
    <w:rsid w:val="00DB42FB"/>
    <w:rsid w:val="00DB4B5A"/>
    <w:rsid w:val="00DB4DD3"/>
    <w:rsid w:val="00DB55B2"/>
    <w:rsid w:val="00DB5687"/>
    <w:rsid w:val="00DB5A4F"/>
    <w:rsid w:val="00DB6E1D"/>
    <w:rsid w:val="00DB7169"/>
    <w:rsid w:val="00DB7B70"/>
    <w:rsid w:val="00DB7CA8"/>
    <w:rsid w:val="00DB7CD1"/>
    <w:rsid w:val="00DC07FD"/>
    <w:rsid w:val="00DC0F1C"/>
    <w:rsid w:val="00DC143C"/>
    <w:rsid w:val="00DC1DC6"/>
    <w:rsid w:val="00DC2331"/>
    <w:rsid w:val="00DC2BBC"/>
    <w:rsid w:val="00DC2EA5"/>
    <w:rsid w:val="00DC30FC"/>
    <w:rsid w:val="00DC32C4"/>
    <w:rsid w:val="00DC37E3"/>
    <w:rsid w:val="00DC39CD"/>
    <w:rsid w:val="00DC3FC9"/>
    <w:rsid w:val="00DC3FD5"/>
    <w:rsid w:val="00DC40B5"/>
    <w:rsid w:val="00DC48C9"/>
    <w:rsid w:val="00DC4A76"/>
    <w:rsid w:val="00DC4DA2"/>
    <w:rsid w:val="00DC51A7"/>
    <w:rsid w:val="00DC537F"/>
    <w:rsid w:val="00DC55ED"/>
    <w:rsid w:val="00DC657A"/>
    <w:rsid w:val="00DC688A"/>
    <w:rsid w:val="00DC68CE"/>
    <w:rsid w:val="00DC71AD"/>
    <w:rsid w:val="00DC786D"/>
    <w:rsid w:val="00DC7CA0"/>
    <w:rsid w:val="00DC7D6F"/>
    <w:rsid w:val="00DD0683"/>
    <w:rsid w:val="00DD0C48"/>
    <w:rsid w:val="00DD12D5"/>
    <w:rsid w:val="00DD1417"/>
    <w:rsid w:val="00DD15B2"/>
    <w:rsid w:val="00DD1635"/>
    <w:rsid w:val="00DD18AB"/>
    <w:rsid w:val="00DD19CF"/>
    <w:rsid w:val="00DD1A27"/>
    <w:rsid w:val="00DD1D7C"/>
    <w:rsid w:val="00DD2DF9"/>
    <w:rsid w:val="00DD2E04"/>
    <w:rsid w:val="00DD34A3"/>
    <w:rsid w:val="00DD398B"/>
    <w:rsid w:val="00DD4656"/>
    <w:rsid w:val="00DD4693"/>
    <w:rsid w:val="00DD49D5"/>
    <w:rsid w:val="00DD58B1"/>
    <w:rsid w:val="00DD5E82"/>
    <w:rsid w:val="00DD5ED1"/>
    <w:rsid w:val="00DD7095"/>
    <w:rsid w:val="00DD7412"/>
    <w:rsid w:val="00DD7877"/>
    <w:rsid w:val="00DD794D"/>
    <w:rsid w:val="00DD797A"/>
    <w:rsid w:val="00DD7ED0"/>
    <w:rsid w:val="00DE035E"/>
    <w:rsid w:val="00DE10B8"/>
    <w:rsid w:val="00DE1985"/>
    <w:rsid w:val="00DE1A53"/>
    <w:rsid w:val="00DE3ACB"/>
    <w:rsid w:val="00DE3ADF"/>
    <w:rsid w:val="00DE42D0"/>
    <w:rsid w:val="00DE43AB"/>
    <w:rsid w:val="00DE4E8E"/>
    <w:rsid w:val="00DE5436"/>
    <w:rsid w:val="00DE56A2"/>
    <w:rsid w:val="00DE5716"/>
    <w:rsid w:val="00DE5AC0"/>
    <w:rsid w:val="00DE69E3"/>
    <w:rsid w:val="00DE6ABE"/>
    <w:rsid w:val="00DE6D3F"/>
    <w:rsid w:val="00DE7156"/>
    <w:rsid w:val="00DE72C3"/>
    <w:rsid w:val="00DE740F"/>
    <w:rsid w:val="00DE7568"/>
    <w:rsid w:val="00DF0040"/>
    <w:rsid w:val="00DF0AB2"/>
    <w:rsid w:val="00DF0B5F"/>
    <w:rsid w:val="00DF103A"/>
    <w:rsid w:val="00DF121E"/>
    <w:rsid w:val="00DF15EF"/>
    <w:rsid w:val="00DF2481"/>
    <w:rsid w:val="00DF2B3E"/>
    <w:rsid w:val="00DF3320"/>
    <w:rsid w:val="00DF3379"/>
    <w:rsid w:val="00DF3A44"/>
    <w:rsid w:val="00DF3B08"/>
    <w:rsid w:val="00DF3EBC"/>
    <w:rsid w:val="00DF3EF7"/>
    <w:rsid w:val="00DF3F06"/>
    <w:rsid w:val="00DF46B7"/>
    <w:rsid w:val="00DF4A6C"/>
    <w:rsid w:val="00DF4EAC"/>
    <w:rsid w:val="00DF58D6"/>
    <w:rsid w:val="00DF5AC1"/>
    <w:rsid w:val="00DF607B"/>
    <w:rsid w:val="00DF6122"/>
    <w:rsid w:val="00DF67B3"/>
    <w:rsid w:val="00DF6925"/>
    <w:rsid w:val="00DF69CD"/>
    <w:rsid w:val="00DF6D66"/>
    <w:rsid w:val="00DF72AA"/>
    <w:rsid w:val="00DF72DA"/>
    <w:rsid w:val="00DF7469"/>
    <w:rsid w:val="00DF7AD2"/>
    <w:rsid w:val="00DF7D81"/>
    <w:rsid w:val="00DF7FBA"/>
    <w:rsid w:val="00E000DF"/>
    <w:rsid w:val="00E00367"/>
    <w:rsid w:val="00E003B5"/>
    <w:rsid w:val="00E00B68"/>
    <w:rsid w:val="00E015F1"/>
    <w:rsid w:val="00E019C5"/>
    <w:rsid w:val="00E01CDC"/>
    <w:rsid w:val="00E01E0A"/>
    <w:rsid w:val="00E02287"/>
    <w:rsid w:val="00E02D59"/>
    <w:rsid w:val="00E02DC6"/>
    <w:rsid w:val="00E0308A"/>
    <w:rsid w:val="00E0333C"/>
    <w:rsid w:val="00E03D6A"/>
    <w:rsid w:val="00E03E78"/>
    <w:rsid w:val="00E03F5A"/>
    <w:rsid w:val="00E045EF"/>
    <w:rsid w:val="00E05191"/>
    <w:rsid w:val="00E05670"/>
    <w:rsid w:val="00E057FE"/>
    <w:rsid w:val="00E062ED"/>
    <w:rsid w:val="00E06A53"/>
    <w:rsid w:val="00E07377"/>
    <w:rsid w:val="00E073DD"/>
    <w:rsid w:val="00E075D9"/>
    <w:rsid w:val="00E0763A"/>
    <w:rsid w:val="00E077D0"/>
    <w:rsid w:val="00E07AC1"/>
    <w:rsid w:val="00E07B05"/>
    <w:rsid w:val="00E07D72"/>
    <w:rsid w:val="00E07DC2"/>
    <w:rsid w:val="00E07DDA"/>
    <w:rsid w:val="00E07EC6"/>
    <w:rsid w:val="00E10522"/>
    <w:rsid w:val="00E10D64"/>
    <w:rsid w:val="00E10EC2"/>
    <w:rsid w:val="00E11531"/>
    <w:rsid w:val="00E11AB9"/>
    <w:rsid w:val="00E11AFB"/>
    <w:rsid w:val="00E11C12"/>
    <w:rsid w:val="00E12017"/>
    <w:rsid w:val="00E1283C"/>
    <w:rsid w:val="00E12B58"/>
    <w:rsid w:val="00E12CD6"/>
    <w:rsid w:val="00E1309E"/>
    <w:rsid w:val="00E1385B"/>
    <w:rsid w:val="00E13AB7"/>
    <w:rsid w:val="00E14627"/>
    <w:rsid w:val="00E14FDD"/>
    <w:rsid w:val="00E15387"/>
    <w:rsid w:val="00E15A81"/>
    <w:rsid w:val="00E1609E"/>
    <w:rsid w:val="00E1697E"/>
    <w:rsid w:val="00E16DF5"/>
    <w:rsid w:val="00E16E6B"/>
    <w:rsid w:val="00E17106"/>
    <w:rsid w:val="00E1710A"/>
    <w:rsid w:val="00E1792B"/>
    <w:rsid w:val="00E17BA2"/>
    <w:rsid w:val="00E20B67"/>
    <w:rsid w:val="00E20C64"/>
    <w:rsid w:val="00E20E64"/>
    <w:rsid w:val="00E214D3"/>
    <w:rsid w:val="00E214E4"/>
    <w:rsid w:val="00E2187F"/>
    <w:rsid w:val="00E21AAD"/>
    <w:rsid w:val="00E2209A"/>
    <w:rsid w:val="00E221A3"/>
    <w:rsid w:val="00E222B1"/>
    <w:rsid w:val="00E22463"/>
    <w:rsid w:val="00E22634"/>
    <w:rsid w:val="00E22A28"/>
    <w:rsid w:val="00E22AF8"/>
    <w:rsid w:val="00E22C58"/>
    <w:rsid w:val="00E22FF7"/>
    <w:rsid w:val="00E234AF"/>
    <w:rsid w:val="00E236BA"/>
    <w:rsid w:val="00E23966"/>
    <w:rsid w:val="00E23A93"/>
    <w:rsid w:val="00E24710"/>
    <w:rsid w:val="00E249CE"/>
    <w:rsid w:val="00E24E35"/>
    <w:rsid w:val="00E259BA"/>
    <w:rsid w:val="00E25C7D"/>
    <w:rsid w:val="00E26239"/>
    <w:rsid w:val="00E262AD"/>
    <w:rsid w:val="00E26627"/>
    <w:rsid w:val="00E269D1"/>
    <w:rsid w:val="00E26A50"/>
    <w:rsid w:val="00E30009"/>
    <w:rsid w:val="00E30354"/>
    <w:rsid w:val="00E304C4"/>
    <w:rsid w:val="00E3096B"/>
    <w:rsid w:val="00E30B73"/>
    <w:rsid w:val="00E312F0"/>
    <w:rsid w:val="00E31737"/>
    <w:rsid w:val="00E324F9"/>
    <w:rsid w:val="00E326BD"/>
    <w:rsid w:val="00E32807"/>
    <w:rsid w:val="00E32896"/>
    <w:rsid w:val="00E32AD3"/>
    <w:rsid w:val="00E334AE"/>
    <w:rsid w:val="00E33654"/>
    <w:rsid w:val="00E33D3B"/>
    <w:rsid w:val="00E34003"/>
    <w:rsid w:val="00E3429D"/>
    <w:rsid w:val="00E34759"/>
    <w:rsid w:val="00E34C8E"/>
    <w:rsid w:val="00E34F7A"/>
    <w:rsid w:val="00E34F97"/>
    <w:rsid w:val="00E35330"/>
    <w:rsid w:val="00E35659"/>
    <w:rsid w:val="00E356A9"/>
    <w:rsid w:val="00E35E90"/>
    <w:rsid w:val="00E360BC"/>
    <w:rsid w:val="00E36236"/>
    <w:rsid w:val="00E3642F"/>
    <w:rsid w:val="00E3725D"/>
    <w:rsid w:val="00E375CA"/>
    <w:rsid w:val="00E37D94"/>
    <w:rsid w:val="00E401AF"/>
    <w:rsid w:val="00E408D8"/>
    <w:rsid w:val="00E40B36"/>
    <w:rsid w:val="00E412C5"/>
    <w:rsid w:val="00E4131B"/>
    <w:rsid w:val="00E4179F"/>
    <w:rsid w:val="00E41AE2"/>
    <w:rsid w:val="00E41ED1"/>
    <w:rsid w:val="00E42315"/>
    <w:rsid w:val="00E424C6"/>
    <w:rsid w:val="00E42635"/>
    <w:rsid w:val="00E42F05"/>
    <w:rsid w:val="00E4410D"/>
    <w:rsid w:val="00E443CD"/>
    <w:rsid w:val="00E44623"/>
    <w:rsid w:val="00E446EB"/>
    <w:rsid w:val="00E449F5"/>
    <w:rsid w:val="00E44E00"/>
    <w:rsid w:val="00E451D4"/>
    <w:rsid w:val="00E455BE"/>
    <w:rsid w:val="00E4609E"/>
    <w:rsid w:val="00E46114"/>
    <w:rsid w:val="00E46288"/>
    <w:rsid w:val="00E471E0"/>
    <w:rsid w:val="00E472CA"/>
    <w:rsid w:val="00E4740D"/>
    <w:rsid w:val="00E47736"/>
    <w:rsid w:val="00E47C7F"/>
    <w:rsid w:val="00E5043C"/>
    <w:rsid w:val="00E51584"/>
    <w:rsid w:val="00E51ABB"/>
    <w:rsid w:val="00E520D5"/>
    <w:rsid w:val="00E52A92"/>
    <w:rsid w:val="00E52DFF"/>
    <w:rsid w:val="00E53053"/>
    <w:rsid w:val="00E532A6"/>
    <w:rsid w:val="00E534D2"/>
    <w:rsid w:val="00E5360F"/>
    <w:rsid w:val="00E53B50"/>
    <w:rsid w:val="00E53C35"/>
    <w:rsid w:val="00E53CFF"/>
    <w:rsid w:val="00E54705"/>
    <w:rsid w:val="00E54A02"/>
    <w:rsid w:val="00E54D72"/>
    <w:rsid w:val="00E5573F"/>
    <w:rsid w:val="00E557EA"/>
    <w:rsid w:val="00E56013"/>
    <w:rsid w:val="00E56C5F"/>
    <w:rsid w:val="00E56FCA"/>
    <w:rsid w:val="00E57771"/>
    <w:rsid w:val="00E5792F"/>
    <w:rsid w:val="00E57EA9"/>
    <w:rsid w:val="00E602F1"/>
    <w:rsid w:val="00E604F6"/>
    <w:rsid w:val="00E60C55"/>
    <w:rsid w:val="00E60ED6"/>
    <w:rsid w:val="00E610DB"/>
    <w:rsid w:val="00E61549"/>
    <w:rsid w:val="00E618B4"/>
    <w:rsid w:val="00E61B19"/>
    <w:rsid w:val="00E61B64"/>
    <w:rsid w:val="00E61C50"/>
    <w:rsid w:val="00E62244"/>
    <w:rsid w:val="00E6249D"/>
    <w:rsid w:val="00E625D9"/>
    <w:rsid w:val="00E626F4"/>
    <w:rsid w:val="00E62800"/>
    <w:rsid w:val="00E62B4E"/>
    <w:rsid w:val="00E62C10"/>
    <w:rsid w:val="00E62C79"/>
    <w:rsid w:val="00E6372D"/>
    <w:rsid w:val="00E64124"/>
    <w:rsid w:val="00E64480"/>
    <w:rsid w:val="00E64AA9"/>
    <w:rsid w:val="00E64F51"/>
    <w:rsid w:val="00E654E2"/>
    <w:rsid w:val="00E65A13"/>
    <w:rsid w:val="00E65ABD"/>
    <w:rsid w:val="00E65C61"/>
    <w:rsid w:val="00E66465"/>
    <w:rsid w:val="00E66AA4"/>
    <w:rsid w:val="00E66B32"/>
    <w:rsid w:val="00E66CAE"/>
    <w:rsid w:val="00E67273"/>
    <w:rsid w:val="00E6757B"/>
    <w:rsid w:val="00E67CA6"/>
    <w:rsid w:val="00E67E99"/>
    <w:rsid w:val="00E67EBE"/>
    <w:rsid w:val="00E70A02"/>
    <w:rsid w:val="00E70CE0"/>
    <w:rsid w:val="00E7151E"/>
    <w:rsid w:val="00E721E9"/>
    <w:rsid w:val="00E722B7"/>
    <w:rsid w:val="00E72433"/>
    <w:rsid w:val="00E724F1"/>
    <w:rsid w:val="00E72733"/>
    <w:rsid w:val="00E72824"/>
    <w:rsid w:val="00E729E5"/>
    <w:rsid w:val="00E72A85"/>
    <w:rsid w:val="00E72B2B"/>
    <w:rsid w:val="00E72B79"/>
    <w:rsid w:val="00E72DCF"/>
    <w:rsid w:val="00E73D32"/>
    <w:rsid w:val="00E73EAF"/>
    <w:rsid w:val="00E740F8"/>
    <w:rsid w:val="00E74397"/>
    <w:rsid w:val="00E7446F"/>
    <w:rsid w:val="00E745F5"/>
    <w:rsid w:val="00E748D5"/>
    <w:rsid w:val="00E749AF"/>
    <w:rsid w:val="00E74B49"/>
    <w:rsid w:val="00E756FF"/>
    <w:rsid w:val="00E75A2C"/>
    <w:rsid w:val="00E75B56"/>
    <w:rsid w:val="00E7682E"/>
    <w:rsid w:val="00E76B1C"/>
    <w:rsid w:val="00E76DC4"/>
    <w:rsid w:val="00E76F10"/>
    <w:rsid w:val="00E779F9"/>
    <w:rsid w:val="00E77B36"/>
    <w:rsid w:val="00E800C2"/>
    <w:rsid w:val="00E8056A"/>
    <w:rsid w:val="00E8065B"/>
    <w:rsid w:val="00E80F47"/>
    <w:rsid w:val="00E814BD"/>
    <w:rsid w:val="00E819FD"/>
    <w:rsid w:val="00E81A80"/>
    <w:rsid w:val="00E81D98"/>
    <w:rsid w:val="00E81E9D"/>
    <w:rsid w:val="00E820CA"/>
    <w:rsid w:val="00E82A0D"/>
    <w:rsid w:val="00E82FC2"/>
    <w:rsid w:val="00E83030"/>
    <w:rsid w:val="00E83086"/>
    <w:rsid w:val="00E8321F"/>
    <w:rsid w:val="00E840AB"/>
    <w:rsid w:val="00E84178"/>
    <w:rsid w:val="00E84B9F"/>
    <w:rsid w:val="00E84C37"/>
    <w:rsid w:val="00E84DAB"/>
    <w:rsid w:val="00E852E0"/>
    <w:rsid w:val="00E854AB"/>
    <w:rsid w:val="00E8599F"/>
    <w:rsid w:val="00E85A8E"/>
    <w:rsid w:val="00E85DF4"/>
    <w:rsid w:val="00E86168"/>
    <w:rsid w:val="00E86218"/>
    <w:rsid w:val="00E86E31"/>
    <w:rsid w:val="00E871B4"/>
    <w:rsid w:val="00E8742D"/>
    <w:rsid w:val="00E90069"/>
    <w:rsid w:val="00E906D0"/>
    <w:rsid w:val="00E91253"/>
    <w:rsid w:val="00E9148B"/>
    <w:rsid w:val="00E91781"/>
    <w:rsid w:val="00E91817"/>
    <w:rsid w:val="00E918D7"/>
    <w:rsid w:val="00E91918"/>
    <w:rsid w:val="00E923EA"/>
    <w:rsid w:val="00E92975"/>
    <w:rsid w:val="00E92AE1"/>
    <w:rsid w:val="00E92BE7"/>
    <w:rsid w:val="00E932DE"/>
    <w:rsid w:val="00E93779"/>
    <w:rsid w:val="00E93C80"/>
    <w:rsid w:val="00E93ECE"/>
    <w:rsid w:val="00E93F57"/>
    <w:rsid w:val="00E94220"/>
    <w:rsid w:val="00E9422F"/>
    <w:rsid w:val="00E946E5"/>
    <w:rsid w:val="00E951EC"/>
    <w:rsid w:val="00E951F5"/>
    <w:rsid w:val="00E953C6"/>
    <w:rsid w:val="00E95A07"/>
    <w:rsid w:val="00E960AC"/>
    <w:rsid w:val="00E96D6D"/>
    <w:rsid w:val="00E96E52"/>
    <w:rsid w:val="00E96F49"/>
    <w:rsid w:val="00E97246"/>
    <w:rsid w:val="00E97A29"/>
    <w:rsid w:val="00EA0038"/>
    <w:rsid w:val="00EA01D1"/>
    <w:rsid w:val="00EA050E"/>
    <w:rsid w:val="00EA06AA"/>
    <w:rsid w:val="00EA0B54"/>
    <w:rsid w:val="00EA0D25"/>
    <w:rsid w:val="00EA1D4D"/>
    <w:rsid w:val="00EA246F"/>
    <w:rsid w:val="00EA2AD9"/>
    <w:rsid w:val="00EA2B52"/>
    <w:rsid w:val="00EA2BF2"/>
    <w:rsid w:val="00EA2CA3"/>
    <w:rsid w:val="00EA2CAF"/>
    <w:rsid w:val="00EA2DCB"/>
    <w:rsid w:val="00EA3106"/>
    <w:rsid w:val="00EA379F"/>
    <w:rsid w:val="00EA3C80"/>
    <w:rsid w:val="00EA3E63"/>
    <w:rsid w:val="00EA486F"/>
    <w:rsid w:val="00EA4E9D"/>
    <w:rsid w:val="00EA5114"/>
    <w:rsid w:val="00EA569C"/>
    <w:rsid w:val="00EA58C7"/>
    <w:rsid w:val="00EA611F"/>
    <w:rsid w:val="00EA6599"/>
    <w:rsid w:val="00EA6F43"/>
    <w:rsid w:val="00EA71C0"/>
    <w:rsid w:val="00EA7410"/>
    <w:rsid w:val="00EA7AC2"/>
    <w:rsid w:val="00EA7B9A"/>
    <w:rsid w:val="00EA7E45"/>
    <w:rsid w:val="00EA7E88"/>
    <w:rsid w:val="00EA7FC3"/>
    <w:rsid w:val="00EB0514"/>
    <w:rsid w:val="00EB0D11"/>
    <w:rsid w:val="00EB0FCF"/>
    <w:rsid w:val="00EB1A0D"/>
    <w:rsid w:val="00EB273F"/>
    <w:rsid w:val="00EB2B7D"/>
    <w:rsid w:val="00EB3338"/>
    <w:rsid w:val="00EB373D"/>
    <w:rsid w:val="00EB3860"/>
    <w:rsid w:val="00EB39C7"/>
    <w:rsid w:val="00EB3E17"/>
    <w:rsid w:val="00EB3ED7"/>
    <w:rsid w:val="00EB3FA1"/>
    <w:rsid w:val="00EB4214"/>
    <w:rsid w:val="00EB4533"/>
    <w:rsid w:val="00EB45EC"/>
    <w:rsid w:val="00EB4664"/>
    <w:rsid w:val="00EB4846"/>
    <w:rsid w:val="00EB49A1"/>
    <w:rsid w:val="00EB4FC3"/>
    <w:rsid w:val="00EB60AC"/>
    <w:rsid w:val="00EB6428"/>
    <w:rsid w:val="00EB6890"/>
    <w:rsid w:val="00EB6DD5"/>
    <w:rsid w:val="00EB6E1E"/>
    <w:rsid w:val="00EB72E5"/>
    <w:rsid w:val="00EB741A"/>
    <w:rsid w:val="00EB7622"/>
    <w:rsid w:val="00EB7CD8"/>
    <w:rsid w:val="00EC010E"/>
    <w:rsid w:val="00EC0E29"/>
    <w:rsid w:val="00EC119E"/>
    <w:rsid w:val="00EC170A"/>
    <w:rsid w:val="00EC1ABA"/>
    <w:rsid w:val="00EC1AC1"/>
    <w:rsid w:val="00EC1C6F"/>
    <w:rsid w:val="00EC255A"/>
    <w:rsid w:val="00EC264E"/>
    <w:rsid w:val="00EC277F"/>
    <w:rsid w:val="00EC27C4"/>
    <w:rsid w:val="00EC30C0"/>
    <w:rsid w:val="00EC3650"/>
    <w:rsid w:val="00EC39CE"/>
    <w:rsid w:val="00EC4BC5"/>
    <w:rsid w:val="00EC4EA0"/>
    <w:rsid w:val="00EC6103"/>
    <w:rsid w:val="00EC61C2"/>
    <w:rsid w:val="00EC62E3"/>
    <w:rsid w:val="00EC649A"/>
    <w:rsid w:val="00EC672F"/>
    <w:rsid w:val="00EC67B6"/>
    <w:rsid w:val="00EC6B8A"/>
    <w:rsid w:val="00EC6DB8"/>
    <w:rsid w:val="00EC74FD"/>
    <w:rsid w:val="00EC7B59"/>
    <w:rsid w:val="00EC7F38"/>
    <w:rsid w:val="00ED0336"/>
    <w:rsid w:val="00ED0616"/>
    <w:rsid w:val="00ED0D33"/>
    <w:rsid w:val="00ED15BA"/>
    <w:rsid w:val="00ED166E"/>
    <w:rsid w:val="00ED1842"/>
    <w:rsid w:val="00ED1977"/>
    <w:rsid w:val="00ED1CB8"/>
    <w:rsid w:val="00ED20F9"/>
    <w:rsid w:val="00ED285B"/>
    <w:rsid w:val="00ED2861"/>
    <w:rsid w:val="00ED2C96"/>
    <w:rsid w:val="00ED2CAA"/>
    <w:rsid w:val="00ED2F81"/>
    <w:rsid w:val="00ED3120"/>
    <w:rsid w:val="00ED3764"/>
    <w:rsid w:val="00ED3AC6"/>
    <w:rsid w:val="00ED3BC9"/>
    <w:rsid w:val="00ED490E"/>
    <w:rsid w:val="00ED496A"/>
    <w:rsid w:val="00ED4B74"/>
    <w:rsid w:val="00ED5559"/>
    <w:rsid w:val="00ED5701"/>
    <w:rsid w:val="00ED5CFC"/>
    <w:rsid w:val="00ED5F7B"/>
    <w:rsid w:val="00ED6059"/>
    <w:rsid w:val="00ED676C"/>
    <w:rsid w:val="00ED6A9D"/>
    <w:rsid w:val="00ED6B7A"/>
    <w:rsid w:val="00ED7398"/>
    <w:rsid w:val="00ED7742"/>
    <w:rsid w:val="00ED77DC"/>
    <w:rsid w:val="00EE0399"/>
    <w:rsid w:val="00EE0BF3"/>
    <w:rsid w:val="00EE0E45"/>
    <w:rsid w:val="00EE12FE"/>
    <w:rsid w:val="00EE138D"/>
    <w:rsid w:val="00EE145E"/>
    <w:rsid w:val="00EE1473"/>
    <w:rsid w:val="00EE167F"/>
    <w:rsid w:val="00EE1704"/>
    <w:rsid w:val="00EE1920"/>
    <w:rsid w:val="00EE1A5D"/>
    <w:rsid w:val="00EE1ADE"/>
    <w:rsid w:val="00EE1C91"/>
    <w:rsid w:val="00EE25A8"/>
    <w:rsid w:val="00EE2D4A"/>
    <w:rsid w:val="00EE34AD"/>
    <w:rsid w:val="00EE384C"/>
    <w:rsid w:val="00EE3B4E"/>
    <w:rsid w:val="00EE3E17"/>
    <w:rsid w:val="00EE40B0"/>
    <w:rsid w:val="00EE46B7"/>
    <w:rsid w:val="00EE476C"/>
    <w:rsid w:val="00EE4A98"/>
    <w:rsid w:val="00EE4D70"/>
    <w:rsid w:val="00EE588F"/>
    <w:rsid w:val="00EE5F74"/>
    <w:rsid w:val="00EE6084"/>
    <w:rsid w:val="00EE661A"/>
    <w:rsid w:val="00EE679B"/>
    <w:rsid w:val="00EE6846"/>
    <w:rsid w:val="00EE697E"/>
    <w:rsid w:val="00EE72A0"/>
    <w:rsid w:val="00EE72EB"/>
    <w:rsid w:val="00EE7561"/>
    <w:rsid w:val="00EE7D42"/>
    <w:rsid w:val="00EF01A9"/>
    <w:rsid w:val="00EF19B1"/>
    <w:rsid w:val="00EF1DB0"/>
    <w:rsid w:val="00EF21F0"/>
    <w:rsid w:val="00EF2293"/>
    <w:rsid w:val="00EF2299"/>
    <w:rsid w:val="00EF2546"/>
    <w:rsid w:val="00EF27C1"/>
    <w:rsid w:val="00EF2C92"/>
    <w:rsid w:val="00EF2E87"/>
    <w:rsid w:val="00EF3092"/>
    <w:rsid w:val="00EF3E41"/>
    <w:rsid w:val="00EF4A32"/>
    <w:rsid w:val="00EF4A6E"/>
    <w:rsid w:val="00EF5137"/>
    <w:rsid w:val="00EF51C6"/>
    <w:rsid w:val="00EF5323"/>
    <w:rsid w:val="00EF5734"/>
    <w:rsid w:val="00EF5F4A"/>
    <w:rsid w:val="00EF64A2"/>
    <w:rsid w:val="00EF6B6F"/>
    <w:rsid w:val="00EF7F44"/>
    <w:rsid w:val="00F00FB6"/>
    <w:rsid w:val="00F01EB6"/>
    <w:rsid w:val="00F024C7"/>
    <w:rsid w:val="00F02514"/>
    <w:rsid w:val="00F02731"/>
    <w:rsid w:val="00F02884"/>
    <w:rsid w:val="00F034A7"/>
    <w:rsid w:val="00F034B5"/>
    <w:rsid w:val="00F03575"/>
    <w:rsid w:val="00F0385A"/>
    <w:rsid w:val="00F039CB"/>
    <w:rsid w:val="00F03A5C"/>
    <w:rsid w:val="00F044D0"/>
    <w:rsid w:val="00F047C6"/>
    <w:rsid w:val="00F04953"/>
    <w:rsid w:val="00F04A64"/>
    <w:rsid w:val="00F050E3"/>
    <w:rsid w:val="00F053CA"/>
    <w:rsid w:val="00F0542A"/>
    <w:rsid w:val="00F059DA"/>
    <w:rsid w:val="00F05B64"/>
    <w:rsid w:val="00F05D78"/>
    <w:rsid w:val="00F05EF1"/>
    <w:rsid w:val="00F068A7"/>
    <w:rsid w:val="00F0726E"/>
    <w:rsid w:val="00F072E6"/>
    <w:rsid w:val="00F078A8"/>
    <w:rsid w:val="00F07D12"/>
    <w:rsid w:val="00F104FD"/>
    <w:rsid w:val="00F10A3C"/>
    <w:rsid w:val="00F110BB"/>
    <w:rsid w:val="00F11F73"/>
    <w:rsid w:val="00F1209D"/>
    <w:rsid w:val="00F126B0"/>
    <w:rsid w:val="00F12AAF"/>
    <w:rsid w:val="00F13114"/>
    <w:rsid w:val="00F13255"/>
    <w:rsid w:val="00F135EB"/>
    <w:rsid w:val="00F138FA"/>
    <w:rsid w:val="00F13933"/>
    <w:rsid w:val="00F14216"/>
    <w:rsid w:val="00F148F7"/>
    <w:rsid w:val="00F15402"/>
    <w:rsid w:val="00F165D1"/>
    <w:rsid w:val="00F1679D"/>
    <w:rsid w:val="00F175A4"/>
    <w:rsid w:val="00F1777A"/>
    <w:rsid w:val="00F179F7"/>
    <w:rsid w:val="00F17BCC"/>
    <w:rsid w:val="00F17EBE"/>
    <w:rsid w:val="00F2034E"/>
    <w:rsid w:val="00F2042F"/>
    <w:rsid w:val="00F208C2"/>
    <w:rsid w:val="00F209EE"/>
    <w:rsid w:val="00F20E32"/>
    <w:rsid w:val="00F20F7F"/>
    <w:rsid w:val="00F2102B"/>
    <w:rsid w:val="00F21B47"/>
    <w:rsid w:val="00F21F62"/>
    <w:rsid w:val="00F22106"/>
    <w:rsid w:val="00F22B44"/>
    <w:rsid w:val="00F2301C"/>
    <w:rsid w:val="00F23093"/>
    <w:rsid w:val="00F23389"/>
    <w:rsid w:val="00F237FA"/>
    <w:rsid w:val="00F23815"/>
    <w:rsid w:val="00F23A85"/>
    <w:rsid w:val="00F23D9A"/>
    <w:rsid w:val="00F240AD"/>
    <w:rsid w:val="00F2415B"/>
    <w:rsid w:val="00F24319"/>
    <w:rsid w:val="00F24B70"/>
    <w:rsid w:val="00F251F7"/>
    <w:rsid w:val="00F25255"/>
    <w:rsid w:val="00F25603"/>
    <w:rsid w:val="00F25630"/>
    <w:rsid w:val="00F258BA"/>
    <w:rsid w:val="00F25B61"/>
    <w:rsid w:val="00F25FC6"/>
    <w:rsid w:val="00F26375"/>
    <w:rsid w:val="00F2648B"/>
    <w:rsid w:val="00F26BD4"/>
    <w:rsid w:val="00F26E06"/>
    <w:rsid w:val="00F27294"/>
    <w:rsid w:val="00F274B3"/>
    <w:rsid w:val="00F275FA"/>
    <w:rsid w:val="00F27806"/>
    <w:rsid w:val="00F27BE9"/>
    <w:rsid w:val="00F27C37"/>
    <w:rsid w:val="00F27D1D"/>
    <w:rsid w:val="00F3032A"/>
    <w:rsid w:val="00F303B5"/>
    <w:rsid w:val="00F308AE"/>
    <w:rsid w:val="00F30FF1"/>
    <w:rsid w:val="00F31232"/>
    <w:rsid w:val="00F31336"/>
    <w:rsid w:val="00F31577"/>
    <w:rsid w:val="00F317A8"/>
    <w:rsid w:val="00F31960"/>
    <w:rsid w:val="00F31B7B"/>
    <w:rsid w:val="00F32198"/>
    <w:rsid w:val="00F324A8"/>
    <w:rsid w:val="00F3264C"/>
    <w:rsid w:val="00F32AA4"/>
    <w:rsid w:val="00F33168"/>
    <w:rsid w:val="00F337F1"/>
    <w:rsid w:val="00F33931"/>
    <w:rsid w:val="00F33DA8"/>
    <w:rsid w:val="00F33EB8"/>
    <w:rsid w:val="00F33FF4"/>
    <w:rsid w:val="00F342EC"/>
    <w:rsid w:val="00F345EB"/>
    <w:rsid w:val="00F35456"/>
    <w:rsid w:val="00F355CB"/>
    <w:rsid w:val="00F35B47"/>
    <w:rsid w:val="00F35C33"/>
    <w:rsid w:val="00F3600A"/>
    <w:rsid w:val="00F366CA"/>
    <w:rsid w:val="00F366E5"/>
    <w:rsid w:val="00F36A0F"/>
    <w:rsid w:val="00F36A48"/>
    <w:rsid w:val="00F37094"/>
    <w:rsid w:val="00F37472"/>
    <w:rsid w:val="00F37641"/>
    <w:rsid w:val="00F4021C"/>
    <w:rsid w:val="00F4033A"/>
    <w:rsid w:val="00F40E9D"/>
    <w:rsid w:val="00F40F09"/>
    <w:rsid w:val="00F4101F"/>
    <w:rsid w:val="00F4133D"/>
    <w:rsid w:val="00F414B9"/>
    <w:rsid w:val="00F417D3"/>
    <w:rsid w:val="00F426CF"/>
    <w:rsid w:val="00F42799"/>
    <w:rsid w:val="00F42A32"/>
    <w:rsid w:val="00F42EC1"/>
    <w:rsid w:val="00F43099"/>
    <w:rsid w:val="00F43519"/>
    <w:rsid w:val="00F43565"/>
    <w:rsid w:val="00F4358C"/>
    <w:rsid w:val="00F435B1"/>
    <w:rsid w:val="00F43F97"/>
    <w:rsid w:val="00F443C1"/>
    <w:rsid w:val="00F44BE2"/>
    <w:rsid w:val="00F44EAE"/>
    <w:rsid w:val="00F44F7E"/>
    <w:rsid w:val="00F45674"/>
    <w:rsid w:val="00F45EC4"/>
    <w:rsid w:val="00F460BF"/>
    <w:rsid w:val="00F46F5D"/>
    <w:rsid w:val="00F47277"/>
    <w:rsid w:val="00F4756A"/>
    <w:rsid w:val="00F47EB4"/>
    <w:rsid w:val="00F5016E"/>
    <w:rsid w:val="00F503DE"/>
    <w:rsid w:val="00F50472"/>
    <w:rsid w:val="00F50A47"/>
    <w:rsid w:val="00F51184"/>
    <w:rsid w:val="00F516E6"/>
    <w:rsid w:val="00F518AE"/>
    <w:rsid w:val="00F52496"/>
    <w:rsid w:val="00F52FF0"/>
    <w:rsid w:val="00F5353F"/>
    <w:rsid w:val="00F53715"/>
    <w:rsid w:val="00F53A90"/>
    <w:rsid w:val="00F53B23"/>
    <w:rsid w:val="00F53F8B"/>
    <w:rsid w:val="00F5453A"/>
    <w:rsid w:val="00F545F1"/>
    <w:rsid w:val="00F54B4B"/>
    <w:rsid w:val="00F5508B"/>
    <w:rsid w:val="00F55780"/>
    <w:rsid w:val="00F55991"/>
    <w:rsid w:val="00F55F51"/>
    <w:rsid w:val="00F568B2"/>
    <w:rsid w:val="00F56E58"/>
    <w:rsid w:val="00F57780"/>
    <w:rsid w:val="00F57AF6"/>
    <w:rsid w:val="00F60636"/>
    <w:rsid w:val="00F60989"/>
    <w:rsid w:val="00F60BA7"/>
    <w:rsid w:val="00F60EC6"/>
    <w:rsid w:val="00F61038"/>
    <w:rsid w:val="00F61739"/>
    <w:rsid w:val="00F619C8"/>
    <w:rsid w:val="00F626F0"/>
    <w:rsid w:val="00F62C3F"/>
    <w:rsid w:val="00F630FD"/>
    <w:rsid w:val="00F6442B"/>
    <w:rsid w:val="00F649C3"/>
    <w:rsid w:val="00F64D0F"/>
    <w:rsid w:val="00F6565C"/>
    <w:rsid w:val="00F66286"/>
    <w:rsid w:val="00F664B5"/>
    <w:rsid w:val="00F66BB5"/>
    <w:rsid w:val="00F67165"/>
    <w:rsid w:val="00F676B7"/>
    <w:rsid w:val="00F67BD1"/>
    <w:rsid w:val="00F67E4D"/>
    <w:rsid w:val="00F70080"/>
    <w:rsid w:val="00F70142"/>
    <w:rsid w:val="00F7032C"/>
    <w:rsid w:val="00F7034C"/>
    <w:rsid w:val="00F705A3"/>
    <w:rsid w:val="00F70C70"/>
    <w:rsid w:val="00F70EDC"/>
    <w:rsid w:val="00F71BEA"/>
    <w:rsid w:val="00F71C26"/>
    <w:rsid w:val="00F71D7C"/>
    <w:rsid w:val="00F7234C"/>
    <w:rsid w:val="00F726E0"/>
    <w:rsid w:val="00F7284E"/>
    <w:rsid w:val="00F72DD6"/>
    <w:rsid w:val="00F731F2"/>
    <w:rsid w:val="00F73BF9"/>
    <w:rsid w:val="00F73C17"/>
    <w:rsid w:val="00F73C49"/>
    <w:rsid w:val="00F73EDC"/>
    <w:rsid w:val="00F746F8"/>
    <w:rsid w:val="00F7492E"/>
    <w:rsid w:val="00F74C36"/>
    <w:rsid w:val="00F74CAE"/>
    <w:rsid w:val="00F755FE"/>
    <w:rsid w:val="00F75928"/>
    <w:rsid w:val="00F75B1A"/>
    <w:rsid w:val="00F75E63"/>
    <w:rsid w:val="00F75FA5"/>
    <w:rsid w:val="00F76186"/>
    <w:rsid w:val="00F762A0"/>
    <w:rsid w:val="00F764F3"/>
    <w:rsid w:val="00F76550"/>
    <w:rsid w:val="00F76759"/>
    <w:rsid w:val="00F76E09"/>
    <w:rsid w:val="00F77043"/>
    <w:rsid w:val="00F771FF"/>
    <w:rsid w:val="00F776E2"/>
    <w:rsid w:val="00F77C2B"/>
    <w:rsid w:val="00F805EA"/>
    <w:rsid w:val="00F80690"/>
    <w:rsid w:val="00F8076F"/>
    <w:rsid w:val="00F809D6"/>
    <w:rsid w:val="00F80E28"/>
    <w:rsid w:val="00F81641"/>
    <w:rsid w:val="00F81909"/>
    <w:rsid w:val="00F81FE8"/>
    <w:rsid w:val="00F825CC"/>
    <w:rsid w:val="00F8289E"/>
    <w:rsid w:val="00F83B31"/>
    <w:rsid w:val="00F847B6"/>
    <w:rsid w:val="00F84C50"/>
    <w:rsid w:val="00F84D7B"/>
    <w:rsid w:val="00F84ED3"/>
    <w:rsid w:val="00F85145"/>
    <w:rsid w:val="00F8525A"/>
    <w:rsid w:val="00F85630"/>
    <w:rsid w:val="00F85683"/>
    <w:rsid w:val="00F85B3B"/>
    <w:rsid w:val="00F86220"/>
    <w:rsid w:val="00F86CA7"/>
    <w:rsid w:val="00F86F50"/>
    <w:rsid w:val="00F86F7B"/>
    <w:rsid w:val="00F87496"/>
    <w:rsid w:val="00F87543"/>
    <w:rsid w:val="00F876B2"/>
    <w:rsid w:val="00F87E81"/>
    <w:rsid w:val="00F900A1"/>
    <w:rsid w:val="00F90252"/>
    <w:rsid w:val="00F908FB"/>
    <w:rsid w:val="00F90D0E"/>
    <w:rsid w:val="00F91617"/>
    <w:rsid w:val="00F916C1"/>
    <w:rsid w:val="00F9199D"/>
    <w:rsid w:val="00F92093"/>
    <w:rsid w:val="00F92128"/>
    <w:rsid w:val="00F924D3"/>
    <w:rsid w:val="00F92806"/>
    <w:rsid w:val="00F9300F"/>
    <w:rsid w:val="00F940E5"/>
    <w:rsid w:val="00F94154"/>
    <w:rsid w:val="00F941A7"/>
    <w:rsid w:val="00F94E6F"/>
    <w:rsid w:val="00F95612"/>
    <w:rsid w:val="00F95838"/>
    <w:rsid w:val="00F9607D"/>
    <w:rsid w:val="00F96546"/>
    <w:rsid w:val="00F967DA"/>
    <w:rsid w:val="00F96819"/>
    <w:rsid w:val="00F96ADD"/>
    <w:rsid w:val="00F96E2C"/>
    <w:rsid w:val="00F972CD"/>
    <w:rsid w:val="00F97D91"/>
    <w:rsid w:val="00FA01DA"/>
    <w:rsid w:val="00FA04FE"/>
    <w:rsid w:val="00FA1350"/>
    <w:rsid w:val="00FA1B62"/>
    <w:rsid w:val="00FA1CEC"/>
    <w:rsid w:val="00FA1E28"/>
    <w:rsid w:val="00FA2B2B"/>
    <w:rsid w:val="00FA2EDC"/>
    <w:rsid w:val="00FA30E9"/>
    <w:rsid w:val="00FA372E"/>
    <w:rsid w:val="00FA3978"/>
    <w:rsid w:val="00FA4272"/>
    <w:rsid w:val="00FA55EE"/>
    <w:rsid w:val="00FA5661"/>
    <w:rsid w:val="00FA5CDD"/>
    <w:rsid w:val="00FA6DAB"/>
    <w:rsid w:val="00FA7AD3"/>
    <w:rsid w:val="00FA7EAA"/>
    <w:rsid w:val="00FB065E"/>
    <w:rsid w:val="00FB0818"/>
    <w:rsid w:val="00FB191E"/>
    <w:rsid w:val="00FB2375"/>
    <w:rsid w:val="00FB2B02"/>
    <w:rsid w:val="00FB2BE7"/>
    <w:rsid w:val="00FB2C43"/>
    <w:rsid w:val="00FB2FB7"/>
    <w:rsid w:val="00FB358C"/>
    <w:rsid w:val="00FB3920"/>
    <w:rsid w:val="00FB45B5"/>
    <w:rsid w:val="00FB45D8"/>
    <w:rsid w:val="00FB5CC0"/>
    <w:rsid w:val="00FB5D91"/>
    <w:rsid w:val="00FB6B03"/>
    <w:rsid w:val="00FB7383"/>
    <w:rsid w:val="00FB75A8"/>
    <w:rsid w:val="00FB77B9"/>
    <w:rsid w:val="00FB78B8"/>
    <w:rsid w:val="00FC0354"/>
    <w:rsid w:val="00FC05B4"/>
    <w:rsid w:val="00FC07BD"/>
    <w:rsid w:val="00FC105D"/>
    <w:rsid w:val="00FC105E"/>
    <w:rsid w:val="00FC10E5"/>
    <w:rsid w:val="00FC22C8"/>
    <w:rsid w:val="00FC299E"/>
    <w:rsid w:val="00FC3AE8"/>
    <w:rsid w:val="00FC3CA2"/>
    <w:rsid w:val="00FC446F"/>
    <w:rsid w:val="00FC44B5"/>
    <w:rsid w:val="00FC4A9A"/>
    <w:rsid w:val="00FC5703"/>
    <w:rsid w:val="00FC7143"/>
    <w:rsid w:val="00FC76F2"/>
    <w:rsid w:val="00FC7C24"/>
    <w:rsid w:val="00FC7D72"/>
    <w:rsid w:val="00FD0B5E"/>
    <w:rsid w:val="00FD114B"/>
    <w:rsid w:val="00FD23E0"/>
    <w:rsid w:val="00FD2640"/>
    <w:rsid w:val="00FD281C"/>
    <w:rsid w:val="00FD28E2"/>
    <w:rsid w:val="00FD3205"/>
    <w:rsid w:val="00FD3C1D"/>
    <w:rsid w:val="00FD3C6D"/>
    <w:rsid w:val="00FD3D1D"/>
    <w:rsid w:val="00FD417B"/>
    <w:rsid w:val="00FD4321"/>
    <w:rsid w:val="00FD4370"/>
    <w:rsid w:val="00FD43C3"/>
    <w:rsid w:val="00FD46D2"/>
    <w:rsid w:val="00FD478E"/>
    <w:rsid w:val="00FD4FB1"/>
    <w:rsid w:val="00FD5613"/>
    <w:rsid w:val="00FD5F97"/>
    <w:rsid w:val="00FD6940"/>
    <w:rsid w:val="00FD6AD0"/>
    <w:rsid w:val="00FD6C58"/>
    <w:rsid w:val="00FD7078"/>
    <w:rsid w:val="00FD7108"/>
    <w:rsid w:val="00FD736A"/>
    <w:rsid w:val="00FD76A7"/>
    <w:rsid w:val="00FD7719"/>
    <w:rsid w:val="00FD79D6"/>
    <w:rsid w:val="00FE0514"/>
    <w:rsid w:val="00FE053C"/>
    <w:rsid w:val="00FE0789"/>
    <w:rsid w:val="00FE0921"/>
    <w:rsid w:val="00FE0BDF"/>
    <w:rsid w:val="00FE0DC0"/>
    <w:rsid w:val="00FE15DE"/>
    <w:rsid w:val="00FE19F7"/>
    <w:rsid w:val="00FE1C75"/>
    <w:rsid w:val="00FE2E24"/>
    <w:rsid w:val="00FE325D"/>
    <w:rsid w:val="00FE3356"/>
    <w:rsid w:val="00FE3467"/>
    <w:rsid w:val="00FE3544"/>
    <w:rsid w:val="00FE3AE4"/>
    <w:rsid w:val="00FE46A2"/>
    <w:rsid w:val="00FE4D0B"/>
    <w:rsid w:val="00FE4D23"/>
    <w:rsid w:val="00FE4D92"/>
    <w:rsid w:val="00FE54A9"/>
    <w:rsid w:val="00FE5DE8"/>
    <w:rsid w:val="00FE5F49"/>
    <w:rsid w:val="00FE5FDF"/>
    <w:rsid w:val="00FE6942"/>
    <w:rsid w:val="00FE6C5E"/>
    <w:rsid w:val="00FE6D5B"/>
    <w:rsid w:val="00FE6DC1"/>
    <w:rsid w:val="00FE6FB4"/>
    <w:rsid w:val="00FE70B8"/>
    <w:rsid w:val="00FE7232"/>
    <w:rsid w:val="00FE77AD"/>
    <w:rsid w:val="00FF00EB"/>
    <w:rsid w:val="00FF013F"/>
    <w:rsid w:val="00FF0438"/>
    <w:rsid w:val="00FF07D3"/>
    <w:rsid w:val="00FF0E10"/>
    <w:rsid w:val="00FF1520"/>
    <w:rsid w:val="00FF20D0"/>
    <w:rsid w:val="00FF2467"/>
    <w:rsid w:val="00FF248A"/>
    <w:rsid w:val="00FF24DD"/>
    <w:rsid w:val="00FF25B2"/>
    <w:rsid w:val="00FF27BC"/>
    <w:rsid w:val="00FF2BBD"/>
    <w:rsid w:val="00FF2FA9"/>
    <w:rsid w:val="00FF3833"/>
    <w:rsid w:val="00FF3C43"/>
    <w:rsid w:val="00FF3C9C"/>
    <w:rsid w:val="00FF4CCE"/>
    <w:rsid w:val="00FF4E4F"/>
    <w:rsid w:val="00FF532E"/>
    <w:rsid w:val="00FF537A"/>
    <w:rsid w:val="00FF6713"/>
    <w:rsid w:val="00FF6D7B"/>
    <w:rsid w:val="00FF6E00"/>
    <w:rsid w:val="00FF6FE5"/>
    <w:rsid w:val="00FF70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43EDDE"/>
  <w15:docId w15:val="{FBFB1AA8-2A3C-4EE6-B428-B3700BB98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5E6B3A"/>
    <w:pPr>
      <w:keepNext/>
      <w:keepLines/>
      <w:spacing w:before="40" w:after="0"/>
      <w:outlineLvl w:val="3"/>
    </w:pPr>
    <w:rPr>
      <w:rFonts w:asciiTheme="majorHAnsi" w:eastAsiaTheme="majorEastAsia" w:hAnsiTheme="majorHAnsi" w:cstheme="majorBidi"/>
      <w:i/>
      <w:iCs/>
      <w:color w:val="2E74B5" w:themeColor="accent1" w:themeShade="BF"/>
      <w:lang w:val="en-GB"/>
    </w:rPr>
  </w:style>
  <w:style w:type="paragraph" w:styleId="Heading5">
    <w:name w:val="heading 5"/>
    <w:basedOn w:val="Normal"/>
    <w:next w:val="Normal"/>
    <w:link w:val="Heading5Char"/>
    <w:uiPriority w:val="9"/>
    <w:qFormat/>
    <w:rsid w:val="00DF3F06"/>
    <w:pPr>
      <w:spacing w:before="240" w:beforeAutospacing="1" w:after="60" w:line="252"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BE5EEE"/>
    <w:pPr>
      <w:spacing w:before="240" w:after="60" w:line="276" w:lineRule="auto"/>
      <w:outlineLvl w:val="5"/>
    </w:pPr>
    <w:rPr>
      <w:rFonts w:ascii="Calibri" w:eastAsia="Times New Roman" w:hAnsi="Calibri" w:cs="Arial"/>
      <w:b/>
      <w:bCs/>
      <w:lang w:bidi="he-IL"/>
    </w:rPr>
  </w:style>
  <w:style w:type="paragraph" w:styleId="Heading7">
    <w:name w:val="heading 7"/>
    <w:basedOn w:val="Normal"/>
    <w:next w:val="Normal"/>
    <w:link w:val="Heading7Char"/>
    <w:uiPriority w:val="9"/>
    <w:qFormat/>
    <w:rsid w:val="00DF3F06"/>
    <w:pPr>
      <w:spacing w:before="240" w:beforeAutospacing="1" w:after="60" w:line="252"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qFormat/>
    <w:rsid w:val="00DF3F06"/>
    <w:pPr>
      <w:spacing w:before="240" w:beforeAutospacing="1" w:after="60" w:line="252"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DF3F06"/>
    <w:pPr>
      <w:spacing w:before="240" w:beforeAutospacing="1" w:after="60" w:line="252" w:lineRule="auto"/>
      <w:outlineLvl w:val="8"/>
    </w:pPr>
    <w:rPr>
      <w:rFonts w:ascii="Calibri Light" w:eastAsia="Times New Roman" w:hAnsi="Calibri Light"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link w:val="NormalWebChar"/>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qForma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qFormat/>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BE5EEE"/>
    <w:rPr>
      <w:rFonts w:ascii="Calibri" w:eastAsia="Times New Roman" w:hAnsi="Calibri" w:cs="Arial"/>
      <w:b/>
      <w:bCs/>
      <w:lang w:bidi="he-IL"/>
    </w:rPr>
  </w:style>
  <w:style w:type="character" w:customStyle="1" w:styleId="Heading4Char">
    <w:name w:val="Heading 4 Char"/>
    <w:basedOn w:val="DefaultParagraphFont"/>
    <w:link w:val="Heading4"/>
    <w:uiPriority w:val="9"/>
    <w:rsid w:val="005E6B3A"/>
    <w:rPr>
      <w:rFonts w:asciiTheme="majorHAnsi" w:eastAsiaTheme="majorEastAsia" w:hAnsiTheme="majorHAnsi" w:cstheme="majorBidi"/>
      <w:i/>
      <w:iCs/>
      <w:color w:val="2E74B5" w:themeColor="accent1" w:themeShade="BF"/>
      <w:lang w:val="en-GB"/>
    </w:rPr>
  </w:style>
  <w:style w:type="character" w:styleId="FollowedHyperlink">
    <w:name w:val="FollowedHyperlink"/>
    <w:basedOn w:val="DefaultParagraphFont"/>
    <w:uiPriority w:val="99"/>
    <w:semiHidden/>
    <w:unhideWhenUsed/>
    <w:rsid w:val="005E6B3A"/>
    <w:rPr>
      <w:color w:val="954F72" w:themeColor="followedHyperlink"/>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5E6B3A"/>
    <w:rPr>
      <w:rFonts w:ascii="Times New Roman" w:hAnsi="Times New Roman" w:cs="Times New Roman"/>
      <w:noProof/>
      <w:sz w:val="24"/>
    </w:rPr>
  </w:style>
  <w:style w:type="paragraph" w:styleId="Revision">
    <w:name w:val="Revision"/>
    <w:hidden/>
    <w:uiPriority w:val="99"/>
    <w:semiHidden/>
    <w:rsid w:val="005E6B3A"/>
    <w:pPr>
      <w:spacing w:after="0" w:line="240" w:lineRule="auto"/>
    </w:pPr>
    <w:rPr>
      <w:lang w:val="en-GB"/>
    </w:rPr>
  </w:style>
  <w:style w:type="paragraph" w:styleId="PlainText">
    <w:name w:val="Plain Text"/>
    <w:basedOn w:val="Normal"/>
    <w:link w:val="PlainTextChar"/>
    <w:uiPriority w:val="99"/>
    <w:unhideWhenUsed/>
    <w:rsid w:val="005E46CB"/>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Theme="minorHAnsi" w:cstheme="minorBidi"/>
      <w:color w:val="auto"/>
      <w:lang w:eastAsia="zh-CN"/>
    </w:rPr>
  </w:style>
  <w:style w:type="table" w:customStyle="1" w:styleId="GridTable1Light1">
    <w:name w:val="Grid Table 1 Light1"/>
    <w:basedOn w:val="TableNormal"/>
    <w:uiPriority w:val="46"/>
    <w:rsid w:val="004D2609"/>
    <w:pPr>
      <w:spacing w:after="0" w:line="240" w:lineRule="auto"/>
    </w:pPr>
    <w:rPr>
      <w:lang w:val="es-C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pPr>
      <w:spacing w:after="0" w:line="240" w:lineRule="auto"/>
    </w:pPr>
    <w:rPr>
      <w:lang w:val="pt-PT"/>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Lista6Colorida-Destaque31">
    <w:name w:val="Tabela de Lista 6 Colorida - Destaque 31"/>
    <w:basedOn w:val="TableNormal"/>
    <w:uiPriority w:val="51"/>
    <w:rsid w:val="008313F6"/>
    <w:pPr>
      <w:spacing w:after="0" w:line="240" w:lineRule="auto"/>
    </w:pPr>
    <w:rPr>
      <w:color w:val="7B7B7B" w:themeColor="accent3" w:themeShade="BF"/>
      <w:lang w:val="pt-PT"/>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iPriority w:val="35"/>
    <w:unhideWhenUsed/>
    <w:qFormat/>
    <w:rsid w:val="008313F6"/>
    <w:pPr>
      <w:spacing w:after="200" w:line="240" w:lineRule="auto"/>
    </w:pPr>
    <w:rPr>
      <w:i/>
      <w:iCs/>
      <w:color w:val="44546A" w:themeColor="text2"/>
      <w:sz w:val="18"/>
      <w:szCs w:val="18"/>
      <w:lang w:val="pt-PT"/>
    </w:rPr>
  </w:style>
  <w:style w:type="paragraph" w:styleId="TableofFigures">
    <w:name w:val="table of figures"/>
    <w:basedOn w:val="Normal"/>
    <w:next w:val="Normal"/>
    <w:uiPriority w:val="99"/>
    <w:unhideWhenUsed/>
    <w:rsid w:val="00C67522"/>
    <w:pPr>
      <w:spacing w:after="0" w:line="276" w:lineRule="auto"/>
    </w:pPr>
  </w:style>
  <w:style w:type="character" w:customStyle="1" w:styleId="text">
    <w:name w:val="text"/>
    <w:basedOn w:val="DefaultParagraphFont"/>
    <w:rsid w:val="00C67522"/>
  </w:style>
  <w:style w:type="character" w:customStyle="1" w:styleId="highlight1">
    <w:name w:val="highlight1"/>
    <w:basedOn w:val="DefaultParagraphFont"/>
    <w:rsid w:val="00F04A64"/>
    <w:rPr>
      <w:rFonts w:cs="Times New Roman"/>
      <w:shd w:val="clear" w:color="auto" w:fill="D6EBF9"/>
    </w:rPr>
  </w:style>
  <w:style w:type="character" w:customStyle="1" w:styleId="web-item2">
    <w:name w:val="web-item2"/>
    <w:basedOn w:val="DefaultParagraphFont"/>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0280"/>
    <w:rPr>
      <w:sz w:val="20"/>
      <w:szCs w:val="20"/>
    </w:rPr>
  </w:style>
  <w:style w:type="character" w:styleId="EndnoteReference">
    <w:name w:val="endnote reference"/>
    <w:basedOn w:val="DefaultParagraphFont"/>
    <w:uiPriority w:val="99"/>
    <w:semiHidden/>
    <w:unhideWhenUsed/>
    <w:rsid w:val="00B40280"/>
    <w:rPr>
      <w:vertAlign w:val="superscript"/>
    </w:rPr>
  </w:style>
  <w:style w:type="character" w:customStyle="1" w:styleId="Heading5Char">
    <w:name w:val="Heading 5 Char"/>
    <w:basedOn w:val="DefaultParagraphFont"/>
    <w:link w:val="Heading5"/>
    <w:uiPriority w:val="9"/>
    <w:rsid w:val="00DF3F06"/>
    <w:rPr>
      <w:rFonts w:ascii="Calibri" w:eastAsia="Times New Roman" w:hAnsi="Calibri" w:cs="Times New Roman"/>
      <w:b/>
      <w:bCs/>
      <w:i/>
      <w:iCs/>
      <w:sz w:val="26"/>
      <w:szCs w:val="26"/>
    </w:rPr>
  </w:style>
  <w:style w:type="character" w:customStyle="1" w:styleId="Heading7Char">
    <w:name w:val="Heading 7 Char"/>
    <w:basedOn w:val="DefaultParagraphFont"/>
    <w:link w:val="Heading7"/>
    <w:uiPriority w:val="9"/>
    <w:rsid w:val="00DF3F06"/>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DF3F06"/>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DF3F06"/>
    <w:rPr>
      <w:rFonts w:ascii="Calibri Light" w:eastAsia="Times New Roman" w:hAnsi="Calibri Light" w:cs="Times New Roman"/>
    </w:rPr>
  </w:style>
  <w:style w:type="table" w:customStyle="1" w:styleId="GridTable2-Accent51">
    <w:name w:val="Grid Table 2 - Accent 51"/>
    <w:basedOn w:val="TableNormal"/>
    <w:uiPriority w:val="47"/>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pPr>
      <w:spacing w:after="0" w:line="240" w:lineRule="auto"/>
    </w:pPr>
    <w:rPr>
      <w:rFonts w:ascii="Calibri" w:eastAsia="Calibri" w:hAnsi="Calibri" w:cs="Times New Roman"/>
      <w:color w:val="FFFFFF"/>
      <w:sz w:val="20"/>
      <w:szCs w:val="20"/>
      <w:lang w:val="en-IN" w:eastAsia="en-IN"/>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pPr>
      <w:spacing w:after="0" w:line="240" w:lineRule="auto"/>
    </w:pPr>
    <w:rPr>
      <w:rFonts w:ascii="Calibri" w:eastAsia="Calibri" w:hAnsi="Calibri" w:cs="Times New Roman"/>
      <w:color w:val="FFFFFF"/>
      <w:sz w:val="20"/>
      <w:szCs w:val="20"/>
      <w:lang w:val="en-IN" w:eastAsia="en-IN"/>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pPr>
      <w:spacing w:after="0" w:line="240" w:lineRule="auto"/>
    </w:pPr>
    <w:rPr>
      <w:rFonts w:ascii="Calibri" w:eastAsia="Calibri" w:hAnsi="Calibri" w:cs="Times New Roman"/>
      <w:sz w:val="20"/>
      <w:szCs w:val="20"/>
      <w:lang w:val="en-IN" w:eastAsia="en-I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pPr>
      <w:spacing w:after="0" w:line="240" w:lineRule="auto"/>
    </w:pPr>
    <w:rPr>
      <w:rFonts w:ascii="Calibri" w:eastAsia="Calibri" w:hAnsi="Calibri" w:cs="Times New Roman"/>
      <w:sz w:val="20"/>
      <w:szCs w:val="20"/>
      <w:lang w:val="en-IN" w:eastAsia="en-I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qFormat/>
    <w:rsid w:val="00DF3F06"/>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ascii="Calibri" w:eastAsia="Times New Roman" w:hAnsi="Calibri" w:cs="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ascii="Calibri" w:eastAsia="Times New Roman" w:hAnsi="Calibri" w:cs="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ascii="Calibri" w:eastAsia="Times New Roman" w:hAnsi="Calibri" w:cs="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ascii="Calibri" w:eastAsia="Times New Roman" w:hAnsi="Calibri" w:cs="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pPr>
      <w:spacing w:after="0" w:line="240" w:lineRule="auto"/>
    </w:pPr>
    <w:rPr>
      <w:rFonts w:ascii="Calibri" w:eastAsia="Calibri" w:hAnsi="Calibri" w:cs="Times New Roman"/>
      <w:sz w:val="20"/>
      <w:szCs w:val="20"/>
      <w:lang w:val="en-IN" w:eastAsia="en-I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pPr>
      <w:spacing w:after="0" w:line="240" w:lineRule="auto"/>
    </w:pPr>
    <w:rPr>
      <w:rFonts w:ascii="Calibri" w:eastAsia="Calibri" w:hAnsi="Calibri" w:cs="Times New Roman"/>
      <w:sz w:val="20"/>
      <w:szCs w:val="20"/>
      <w:lang w:val="en-IN" w:eastAsia="en-I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qFormat/>
    <w:rsid w:val="00E37D94"/>
    <w:pPr>
      <w:spacing w:before="520" w:after="460" w:line="500" w:lineRule="exact"/>
      <w:jc w:val="center"/>
    </w:pPr>
    <w:rPr>
      <w:rFonts w:ascii="Times New Roman" w:eastAsia="SimSun" w:hAnsi="Times New Roman" w:cs="Times New Roman"/>
      <w:b/>
      <w:sz w:val="40"/>
    </w:rPr>
  </w:style>
  <w:style w:type="paragraph" w:customStyle="1" w:styleId="02Author">
    <w:name w:val="02 Author"/>
    <w:basedOn w:val="Normal"/>
    <w:next w:val="Normal"/>
    <w:qFormat/>
    <w:rsid w:val="00542F1E"/>
    <w:pPr>
      <w:spacing w:before="360" w:after="200" w:line="240" w:lineRule="auto"/>
      <w:jc w:val="center"/>
    </w:pPr>
    <w:rPr>
      <w:rFonts w:ascii="Times New Roman" w:eastAsia="SimSun" w:hAnsi="Times New Roman" w:cs="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qFormat/>
    <w:rsid w:val="00E72B79"/>
    <w:pPr>
      <w:spacing w:after="0" w:line="240" w:lineRule="auto"/>
      <w:jc w:val="both"/>
    </w:pPr>
    <w:rPr>
      <w:rFonts w:ascii="Times New Roman" w:hAnsi="Times New Roman"/>
      <w:spacing w:val="-8"/>
    </w:rPr>
  </w:style>
  <w:style w:type="paragraph" w:customStyle="1" w:styleId="20Heading1">
    <w:name w:val="20 Heading 1"/>
    <w:basedOn w:val="08Body"/>
    <w:qFormat/>
    <w:rsid w:val="00E72B79"/>
    <w:pPr>
      <w:spacing w:before="360" w:after="200"/>
    </w:pPr>
    <w:rPr>
      <w:b/>
      <w:sz w:val="28"/>
      <w:szCs w:val="28"/>
    </w:rPr>
  </w:style>
  <w:style w:type="paragraph" w:customStyle="1" w:styleId="07KeyWords">
    <w:name w:val="07 Key Words"/>
    <w:basedOn w:val="Normal"/>
    <w:next w:val="08Body"/>
    <w:qFormat/>
    <w:rsid w:val="00E72B79"/>
    <w:pPr>
      <w:spacing w:before="320" w:after="240" w:line="240" w:lineRule="auto"/>
      <w:ind w:left="318" w:right="318"/>
      <w:jc w:val="both"/>
    </w:pPr>
    <w:rPr>
      <w:rFonts w:ascii="Times New Roman" w:eastAsia="SimSun" w:hAnsi="Times New Roman" w:cs="Times New Roman"/>
      <w:i/>
      <w:spacing w:val="-2"/>
      <w:sz w:val="20"/>
    </w:rPr>
  </w:style>
  <w:style w:type="paragraph" w:customStyle="1" w:styleId="21Heading2">
    <w:name w:val="21 Heading 2"/>
    <w:basedOn w:val="09BodyIndent"/>
    <w:qFormat/>
    <w:rsid w:val="00E72B79"/>
    <w:pPr>
      <w:spacing w:before="220" w:after="100"/>
      <w:ind w:firstLine="0"/>
    </w:pPr>
    <w:rPr>
      <w:b/>
      <w:sz w:val="24"/>
    </w:rPr>
  </w:style>
  <w:style w:type="paragraph" w:customStyle="1" w:styleId="19FigureMulti-LinesCaption">
    <w:name w:val="19 Figure Multi-Lines Caption"/>
    <w:basedOn w:val="Normal"/>
    <w:next w:val="08Body"/>
    <w:qFormat/>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qForma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s="Times New Roman"/>
      <w:color w:val="000000"/>
      <w:spacing w:val="-1"/>
      <w:sz w:val="20"/>
      <w:szCs w:val="20"/>
      <w:lang w:eastAsia="zh-CN"/>
    </w:rPr>
  </w:style>
  <w:style w:type="paragraph" w:customStyle="1" w:styleId="15TableHeading">
    <w:name w:val="15 Table Heading"/>
    <w:basedOn w:val="09BodyIndent"/>
    <w:qFormat/>
    <w:rsid w:val="00E72B79"/>
    <w:pPr>
      <w:ind w:firstLine="0"/>
      <w:jc w:val="center"/>
    </w:pPr>
    <w:rPr>
      <w:sz w:val="16"/>
      <w:szCs w:val="18"/>
    </w:rPr>
  </w:style>
  <w:style w:type="paragraph" w:customStyle="1" w:styleId="13Reference">
    <w:name w:val="13 Reference"/>
    <w:basedOn w:val="Normal"/>
    <w:qFormat/>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qFormat/>
    <w:rsid w:val="00E72B79"/>
    <w:pPr>
      <w:ind w:firstLine="0"/>
      <w:jc w:val="center"/>
    </w:pPr>
    <w:rPr>
      <w:sz w:val="16"/>
      <w:szCs w:val="18"/>
    </w:rPr>
  </w:style>
  <w:style w:type="paragraph" w:customStyle="1" w:styleId="09BodyIndent">
    <w:name w:val="09 Body Indent"/>
    <w:basedOn w:val="08Body"/>
    <w:link w:val="09BodyIndentChar"/>
    <w:qFormat/>
    <w:rsid w:val="00E72B79"/>
    <w:pPr>
      <w:autoSpaceDE w:val="0"/>
      <w:autoSpaceDN w:val="0"/>
      <w:adjustRightInd w:val="0"/>
      <w:ind w:firstLine="210"/>
    </w:pPr>
    <w:rPr>
      <w:rFonts w:eastAsia="Malgun Gothic"/>
      <w:spacing w:val="0"/>
    </w:rPr>
  </w:style>
  <w:style w:type="table" w:customStyle="1" w:styleId="TaulukkoRuudukko">
    <w:name w:val="Taulukko Ruudukko"/>
    <w:basedOn w:val="TableNormal"/>
    <w:uiPriority w:val="39"/>
    <w:rsid w:val="00A04FB9"/>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Default"/>
    <w:next w:val="Default"/>
    <w:uiPriority w:val="99"/>
    <w:rsid w:val="00E62C79"/>
    <w:pPr>
      <w:spacing w:line="200" w:lineRule="atLeast"/>
    </w:pPr>
    <w:rPr>
      <w:rFonts w:ascii="Palatino" w:eastAsia="Calibri" w:hAnsi="Palatino" w:cs="Times New Roman"/>
      <w:color w:val="auto"/>
      <w:lang w:val="pt-BR"/>
    </w:rPr>
  </w:style>
  <w:style w:type="table" w:customStyle="1" w:styleId="Tablaconcuadrcula1">
    <w:name w:val="Tabla con cuadrícula1"/>
    <w:basedOn w:val="TableNormal"/>
    <w:next w:val="TableGrid"/>
    <w:uiPriority w:val="39"/>
    <w:rsid w:val="00E1710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detableau">
    <w:name w:val="Contenu de tableau"/>
    <w:basedOn w:val="Normal"/>
    <w:qFormat/>
    <w:rsid w:val="000404A5"/>
    <w:pPr>
      <w:widowControl w:val="0"/>
      <w:suppressLineNumbers/>
      <w:spacing w:after="0" w:line="240" w:lineRule="auto"/>
    </w:pPr>
    <w:rPr>
      <w:rFonts w:ascii="Liberation Serif" w:eastAsia="SimSun" w:hAnsi="Liberation Serif" w:cs="Mangal"/>
      <w:sz w:val="24"/>
      <w:szCs w:val="24"/>
      <w:lang w:eastAsia="zh-CN" w:bidi="hi-IN"/>
    </w:rPr>
  </w:style>
  <w:style w:type="character" w:customStyle="1" w:styleId="ListParagraphChar">
    <w:name w:val="List Paragraph Char"/>
    <w:basedOn w:val="DefaultParagraphFont"/>
    <w:link w:val="ListParagraph"/>
    <w:uiPriority w:val="1"/>
    <w:rsid w:val="00787FA6"/>
  </w:style>
  <w:style w:type="paragraph" w:customStyle="1" w:styleId="Head1">
    <w:name w:val="Head1"/>
    <w:basedOn w:val="Normal"/>
    <w:link w:val="Head1Char"/>
    <w:qFormat/>
    <w:rsid w:val="00787FA6"/>
    <w:pPr>
      <w:spacing w:before="120" w:after="0" w:line="480" w:lineRule="auto"/>
    </w:pPr>
    <w:rPr>
      <w:rFonts w:ascii="Times New Roman" w:eastAsiaTheme="minorEastAsia" w:hAnsi="Times New Roman" w:cs="Times New Roman"/>
      <w:b/>
      <w:caps/>
      <w:sz w:val="24"/>
      <w:szCs w:val="24"/>
    </w:rPr>
  </w:style>
  <w:style w:type="character" w:customStyle="1" w:styleId="Head1Char">
    <w:name w:val="Head1 Char"/>
    <w:basedOn w:val="DefaultParagraphFont"/>
    <w:link w:val="Head1"/>
    <w:rsid w:val="00787FA6"/>
    <w:rPr>
      <w:rFonts w:ascii="Times New Roman" w:eastAsiaTheme="minorEastAsia" w:hAnsi="Times New Roman" w:cs="Times New Roman"/>
      <w:b/>
      <w:caps/>
      <w:sz w:val="24"/>
      <w:szCs w:val="24"/>
    </w:rPr>
  </w:style>
  <w:style w:type="table" w:customStyle="1" w:styleId="PlainTable21">
    <w:name w:val="Plain Table 21"/>
    <w:basedOn w:val="TableNormal"/>
    <w:uiPriority w:val="42"/>
    <w:rsid w:val="00AA65BD"/>
    <w:pPr>
      <w:spacing w:after="0" w:line="240" w:lineRule="auto"/>
    </w:pPr>
    <w:rPr>
      <w:lang w:val="el-G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rmal1">
    <w:name w:val="Normal1"/>
    <w:rsid w:val="00C40BAD"/>
    <w:rPr>
      <w:rFonts w:ascii="Calibri" w:eastAsia="Calibri" w:hAnsi="Calibri" w:cs="Calibri"/>
    </w:rPr>
  </w:style>
  <w:style w:type="paragraph" w:styleId="Bibliography">
    <w:name w:val="Bibliography"/>
    <w:basedOn w:val="Normal"/>
    <w:next w:val="Normal"/>
    <w:uiPriority w:val="37"/>
    <w:semiHidden/>
    <w:unhideWhenUsed/>
    <w:rsid w:val="00304CA5"/>
  </w:style>
  <w:style w:type="character" w:customStyle="1" w:styleId="nlm-surname">
    <w:name w:val="nlm-surname"/>
    <w:basedOn w:val="DefaultParagraphFont"/>
    <w:rsid w:val="00410ED2"/>
  </w:style>
  <w:style w:type="table" w:customStyle="1" w:styleId="TableGridLight2">
    <w:name w:val="Table Grid Light2"/>
    <w:basedOn w:val="TableNormal"/>
    <w:uiPriority w:val="40"/>
    <w:rsid w:val="00A416A2"/>
    <w:pPr>
      <w:spacing w:after="0" w:line="240" w:lineRule="auto"/>
    </w:pPr>
    <w:rPr>
      <w:lang w:val="el-G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1">
    <w:name w:val="Pa1"/>
    <w:basedOn w:val="Normal"/>
    <w:next w:val="Normal"/>
    <w:uiPriority w:val="99"/>
    <w:rsid w:val="00850AF7"/>
    <w:pPr>
      <w:autoSpaceDE w:val="0"/>
      <w:autoSpaceDN w:val="0"/>
      <w:adjustRightInd w:val="0"/>
      <w:spacing w:after="0" w:line="221" w:lineRule="atLeast"/>
    </w:pPr>
    <w:rPr>
      <w:rFonts w:ascii="Gill Sans MT" w:hAnsi="Gill Sans MT"/>
      <w:sz w:val="24"/>
      <w:szCs w:val="24"/>
      <w:lang w:val="el-GR"/>
    </w:rPr>
  </w:style>
  <w:style w:type="character" w:customStyle="1" w:styleId="UnresolvedMention1">
    <w:name w:val="Unresolved Mention1"/>
    <w:basedOn w:val="DefaultParagraphFont"/>
    <w:uiPriority w:val="99"/>
    <w:semiHidden/>
    <w:unhideWhenUsed/>
    <w:rsid w:val="00C9746B"/>
    <w:rPr>
      <w:color w:val="605E5C"/>
      <w:shd w:val="clear" w:color="auto" w:fill="E1DFDD"/>
    </w:rPr>
  </w:style>
  <w:style w:type="paragraph" w:customStyle="1" w:styleId="Standard">
    <w:name w:val="Standard"/>
    <w:rsid w:val="001D3C34"/>
    <w:pPr>
      <w:suppressAutoHyphens/>
      <w:autoSpaceDN w:val="0"/>
      <w:textAlignment w:val="baseline"/>
    </w:pPr>
    <w:rPr>
      <w:rFonts w:ascii="Calibri" w:eastAsia="Calibri" w:hAnsi="Calibri" w:cs="F"/>
      <w:lang w:val="pl-PL"/>
    </w:rPr>
  </w:style>
  <w:style w:type="table" w:customStyle="1" w:styleId="TableGridLight3">
    <w:name w:val="Table Grid Light3"/>
    <w:basedOn w:val="TableNormal"/>
    <w:uiPriority w:val="40"/>
    <w:rsid w:val="009A13AA"/>
    <w:pPr>
      <w:spacing w:after="0" w:line="240" w:lineRule="auto"/>
    </w:pPr>
    <w:rPr>
      <w:lang w:val="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ormalWebChar">
    <w:name w:val="Normal (Web) Char"/>
    <w:basedOn w:val="DefaultParagraphFont"/>
    <w:link w:val="NormalWeb"/>
    <w:uiPriority w:val="99"/>
    <w:rsid w:val="00484F9E"/>
    <w:rPr>
      <w:rFonts w:ascii="Times New Roman" w:eastAsiaTheme="minorEastAsia" w:hAnsi="Times New Roman" w:cs="Times New Roman"/>
      <w:sz w:val="24"/>
      <w:szCs w:val="24"/>
    </w:rPr>
  </w:style>
  <w:style w:type="paragraph" w:styleId="BodyTextIndent2">
    <w:name w:val="Body Text Indent 2"/>
    <w:basedOn w:val="Normal"/>
    <w:link w:val="BodyTextIndent2Char"/>
    <w:uiPriority w:val="99"/>
    <w:semiHidden/>
    <w:unhideWhenUsed/>
    <w:rsid w:val="00685C11"/>
    <w:pPr>
      <w:spacing w:after="120" w:line="480" w:lineRule="auto"/>
      <w:ind w:left="283"/>
    </w:pPr>
  </w:style>
  <w:style w:type="character" w:customStyle="1" w:styleId="BodyTextIndent2Char">
    <w:name w:val="Body Text Indent 2 Char"/>
    <w:basedOn w:val="DefaultParagraphFont"/>
    <w:link w:val="BodyTextIndent2"/>
    <w:uiPriority w:val="99"/>
    <w:semiHidden/>
    <w:rsid w:val="00685C11"/>
  </w:style>
  <w:style w:type="character" w:styleId="UnresolvedMention">
    <w:name w:val="Unresolved Mention"/>
    <w:basedOn w:val="DefaultParagraphFont"/>
    <w:uiPriority w:val="99"/>
    <w:semiHidden/>
    <w:unhideWhenUsed/>
    <w:rsid w:val="008A6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6782">
      <w:bodyDiv w:val="1"/>
      <w:marLeft w:val="0"/>
      <w:marRight w:val="0"/>
      <w:marTop w:val="0"/>
      <w:marBottom w:val="0"/>
      <w:divBdr>
        <w:top w:val="none" w:sz="0" w:space="0" w:color="auto"/>
        <w:left w:val="none" w:sz="0" w:space="0" w:color="auto"/>
        <w:bottom w:val="none" w:sz="0" w:space="0" w:color="auto"/>
        <w:right w:val="none" w:sz="0" w:space="0" w:color="auto"/>
      </w:divBdr>
    </w:div>
    <w:div w:id="24066286">
      <w:bodyDiv w:val="1"/>
      <w:marLeft w:val="0"/>
      <w:marRight w:val="0"/>
      <w:marTop w:val="0"/>
      <w:marBottom w:val="0"/>
      <w:divBdr>
        <w:top w:val="none" w:sz="0" w:space="0" w:color="auto"/>
        <w:left w:val="none" w:sz="0" w:space="0" w:color="auto"/>
        <w:bottom w:val="none" w:sz="0" w:space="0" w:color="auto"/>
        <w:right w:val="none" w:sz="0" w:space="0" w:color="auto"/>
      </w:divBdr>
    </w:div>
    <w:div w:id="42757668">
      <w:bodyDiv w:val="1"/>
      <w:marLeft w:val="0"/>
      <w:marRight w:val="0"/>
      <w:marTop w:val="0"/>
      <w:marBottom w:val="0"/>
      <w:divBdr>
        <w:top w:val="none" w:sz="0" w:space="0" w:color="auto"/>
        <w:left w:val="none" w:sz="0" w:space="0" w:color="auto"/>
        <w:bottom w:val="none" w:sz="0" w:space="0" w:color="auto"/>
        <w:right w:val="none" w:sz="0" w:space="0" w:color="auto"/>
      </w:divBdr>
    </w:div>
    <w:div w:id="55981690">
      <w:bodyDiv w:val="1"/>
      <w:marLeft w:val="0"/>
      <w:marRight w:val="0"/>
      <w:marTop w:val="0"/>
      <w:marBottom w:val="0"/>
      <w:divBdr>
        <w:top w:val="none" w:sz="0" w:space="0" w:color="auto"/>
        <w:left w:val="none" w:sz="0" w:space="0" w:color="auto"/>
        <w:bottom w:val="none" w:sz="0" w:space="0" w:color="auto"/>
        <w:right w:val="none" w:sz="0" w:space="0" w:color="auto"/>
      </w:divBdr>
    </w:div>
    <w:div w:id="60301245">
      <w:bodyDiv w:val="1"/>
      <w:marLeft w:val="0"/>
      <w:marRight w:val="0"/>
      <w:marTop w:val="0"/>
      <w:marBottom w:val="0"/>
      <w:divBdr>
        <w:top w:val="none" w:sz="0" w:space="0" w:color="auto"/>
        <w:left w:val="none" w:sz="0" w:space="0" w:color="auto"/>
        <w:bottom w:val="none" w:sz="0" w:space="0" w:color="auto"/>
        <w:right w:val="none" w:sz="0" w:space="0" w:color="auto"/>
      </w:divBdr>
    </w:div>
    <w:div w:id="85999846">
      <w:bodyDiv w:val="1"/>
      <w:marLeft w:val="0"/>
      <w:marRight w:val="0"/>
      <w:marTop w:val="0"/>
      <w:marBottom w:val="0"/>
      <w:divBdr>
        <w:top w:val="none" w:sz="0" w:space="0" w:color="auto"/>
        <w:left w:val="none" w:sz="0" w:space="0" w:color="auto"/>
        <w:bottom w:val="none" w:sz="0" w:space="0" w:color="auto"/>
        <w:right w:val="none" w:sz="0" w:space="0" w:color="auto"/>
      </w:divBdr>
    </w:div>
    <w:div w:id="162859554">
      <w:bodyDiv w:val="1"/>
      <w:marLeft w:val="0"/>
      <w:marRight w:val="0"/>
      <w:marTop w:val="0"/>
      <w:marBottom w:val="0"/>
      <w:divBdr>
        <w:top w:val="none" w:sz="0" w:space="0" w:color="auto"/>
        <w:left w:val="none" w:sz="0" w:space="0" w:color="auto"/>
        <w:bottom w:val="none" w:sz="0" w:space="0" w:color="auto"/>
        <w:right w:val="none" w:sz="0" w:space="0" w:color="auto"/>
      </w:divBdr>
    </w:div>
    <w:div w:id="165442303">
      <w:bodyDiv w:val="1"/>
      <w:marLeft w:val="0"/>
      <w:marRight w:val="0"/>
      <w:marTop w:val="0"/>
      <w:marBottom w:val="0"/>
      <w:divBdr>
        <w:top w:val="none" w:sz="0" w:space="0" w:color="auto"/>
        <w:left w:val="none" w:sz="0" w:space="0" w:color="auto"/>
        <w:bottom w:val="none" w:sz="0" w:space="0" w:color="auto"/>
        <w:right w:val="none" w:sz="0" w:space="0" w:color="auto"/>
      </w:divBdr>
    </w:div>
    <w:div w:id="194588054">
      <w:bodyDiv w:val="1"/>
      <w:marLeft w:val="0"/>
      <w:marRight w:val="0"/>
      <w:marTop w:val="0"/>
      <w:marBottom w:val="0"/>
      <w:divBdr>
        <w:top w:val="none" w:sz="0" w:space="0" w:color="auto"/>
        <w:left w:val="none" w:sz="0" w:space="0" w:color="auto"/>
        <w:bottom w:val="none" w:sz="0" w:space="0" w:color="auto"/>
        <w:right w:val="none" w:sz="0" w:space="0" w:color="auto"/>
      </w:divBdr>
    </w:div>
    <w:div w:id="195044983">
      <w:bodyDiv w:val="1"/>
      <w:marLeft w:val="0"/>
      <w:marRight w:val="0"/>
      <w:marTop w:val="0"/>
      <w:marBottom w:val="0"/>
      <w:divBdr>
        <w:top w:val="none" w:sz="0" w:space="0" w:color="auto"/>
        <w:left w:val="none" w:sz="0" w:space="0" w:color="auto"/>
        <w:bottom w:val="none" w:sz="0" w:space="0" w:color="auto"/>
        <w:right w:val="none" w:sz="0" w:space="0" w:color="auto"/>
      </w:divBdr>
    </w:div>
    <w:div w:id="229074803">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92829525">
      <w:bodyDiv w:val="1"/>
      <w:marLeft w:val="0"/>
      <w:marRight w:val="0"/>
      <w:marTop w:val="0"/>
      <w:marBottom w:val="0"/>
      <w:divBdr>
        <w:top w:val="none" w:sz="0" w:space="0" w:color="auto"/>
        <w:left w:val="none" w:sz="0" w:space="0" w:color="auto"/>
        <w:bottom w:val="none" w:sz="0" w:space="0" w:color="auto"/>
        <w:right w:val="none" w:sz="0" w:space="0" w:color="auto"/>
      </w:divBdr>
    </w:div>
    <w:div w:id="295918968">
      <w:bodyDiv w:val="1"/>
      <w:marLeft w:val="0"/>
      <w:marRight w:val="0"/>
      <w:marTop w:val="0"/>
      <w:marBottom w:val="0"/>
      <w:divBdr>
        <w:top w:val="none" w:sz="0" w:space="0" w:color="auto"/>
        <w:left w:val="none" w:sz="0" w:space="0" w:color="auto"/>
        <w:bottom w:val="none" w:sz="0" w:space="0" w:color="auto"/>
        <w:right w:val="none" w:sz="0" w:space="0" w:color="auto"/>
      </w:divBdr>
    </w:div>
    <w:div w:id="306472624">
      <w:bodyDiv w:val="1"/>
      <w:marLeft w:val="0"/>
      <w:marRight w:val="0"/>
      <w:marTop w:val="0"/>
      <w:marBottom w:val="0"/>
      <w:divBdr>
        <w:top w:val="none" w:sz="0" w:space="0" w:color="auto"/>
        <w:left w:val="none" w:sz="0" w:space="0" w:color="auto"/>
        <w:bottom w:val="none" w:sz="0" w:space="0" w:color="auto"/>
        <w:right w:val="none" w:sz="0" w:space="0" w:color="auto"/>
      </w:divBdr>
    </w:div>
    <w:div w:id="309134487">
      <w:bodyDiv w:val="1"/>
      <w:marLeft w:val="0"/>
      <w:marRight w:val="0"/>
      <w:marTop w:val="0"/>
      <w:marBottom w:val="0"/>
      <w:divBdr>
        <w:top w:val="none" w:sz="0" w:space="0" w:color="auto"/>
        <w:left w:val="none" w:sz="0" w:space="0" w:color="auto"/>
        <w:bottom w:val="none" w:sz="0" w:space="0" w:color="auto"/>
        <w:right w:val="none" w:sz="0" w:space="0" w:color="auto"/>
      </w:divBdr>
    </w:div>
    <w:div w:id="309791941">
      <w:bodyDiv w:val="1"/>
      <w:marLeft w:val="0"/>
      <w:marRight w:val="0"/>
      <w:marTop w:val="0"/>
      <w:marBottom w:val="0"/>
      <w:divBdr>
        <w:top w:val="none" w:sz="0" w:space="0" w:color="auto"/>
        <w:left w:val="none" w:sz="0" w:space="0" w:color="auto"/>
        <w:bottom w:val="none" w:sz="0" w:space="0" w:color="auto"/>
        <w:right w:val="none" w:sz="0" w:space="0" w:color="auto"/>
      </w:divBdr>
    </w:div>
    <w:div w:id="333994355">
      <w:bodyDiv w:val="1"/>
      <w:marLeft w:val="0"/>
      <w:marRight w:val="0"/>
      <w:marTop w:val="0"/>
      <w:marBottom w:val="0"/>
      <w:divBdr>
        <w:top w:val="none" w:sz="0" w:space="0" w:color="auto"/>
        <w:left w:val="none" w:sz="0" w:space="0" w:color="auto"/>
        <w:bottom w:val="none" w:sz="0" w:space="0" w:color="auto"/>
        <w:right w:val="none" w:sz="0" w:space="0" w:color="auto"/>
      </w:divBdr>
    </w:div>
    <w:div w:id="337003608">
      <w:bodyDiv w:val="1"/>
      <w:marLeft w:val="0"/>
      <w:marRight w:val="0"/>
      <w:marTop w:val="0"/>
      <w:marBottom w:val="0"/>
      <w:divBdr>
        <w:top w:val="none" w:sz="0" w:space="0" w:color="auto"/>
        <w:left w:val="none" w:sz="0" w:space="0" w:color="auto"/>
        <w:bottom w:val="none" w:sz="0" w:space="0" w:color="auto"/>
        <w:right w:val="none" w:sz="0" w:space="0" w:color="auto"/>
      </w:divBdr>
    </w:div>
    <w:div w:id="363405422">
      <w:bodyDiv w:val="1"/>
      <w:marLeft w:val="0"/>
      <w:marRight w:val="0"/>
      <w:marTop w:val="0"/>
      <w:marBottom w:val="0"/>
      <w:divBdr>
        <w:top w:val="none" w:sz="0" w:space="0" w:color="auto"/>
        <w:left w:val="none" w:sz="0" w:space="0" w:color="auto"/>
        <w:bottom w:val="none" w:sz="0" w:space="0" w:color="auto"/>
        <w:right w:val="none" w:sz="0" w:space="0" w:color="auto"/>
      </w:divBdr>
    </w:div>
    <w:div w:id="379407189">
      <w:bodyDiv w:val="1"/>
      <w:marLeft w:val="0"/>
      <w:marRight w:val="0"/>
      <w:marTop w:val="0"/>
      <w:marBottom w:val="0"/>
      <w:divBdr>
        <w:top w:val="none" w:sz="0" w:space="0" w:color="auto"/>
        <w:left w:val="none" w:sz="0" w:space="0" w:color="auto"/>
        <w:bottom w:val="none" w:sz="0" w:space="0" w:color="auto"/>
        <w:right w:val="none" w:sz="0" w:space="0" w:color="auto"/>
      </w:divBdr>
    </w:div>
    <w:div w:id="392972530">
      <w:bodyDiv w:val="1"/>
      <w:marLeft w:val="0"/>
      <w:marRight w:val="0"/>
      <w:marTop w:val="0"/>
      <w:marBottom w:val="0"/>
      <w:divBdr>
        <w:top w:val="none" w:sz="0" w:space="0" w:color="auto"/>
        <w:left w:val="none" w:sz="0" w:space="0" w:color="auto"/>
        <w:bottom w:val="none" w:sz="0" w:space="0" w:color="auto"/>
        <w:right w:val="none" w:sz="0" w:space="0" w:color="auto"/>
      </w:divBdr>
    </w:div>
    <w:div w:id="402291825">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13090723">
      <w:bodyDiv w:val="1"/>
      <w:marLeft w:val="0"/>
      <w:marRight w:val="0"/>
      <w:marTop w:val="0"/>
      <w:marBottom w:val="0"/>
      <w:divBdr>
        <w:top w:val="none" w:sz="0" w:space="0" w:color="auto"/>
        <w:left w:val="none" w:sz="0" w:space="0" w:color="auto"/>
        <w:bottom w:val="none" w:sz="0" w:space="0" w:color="auto"/>
        <w:right w:val="none" w:sz="0" w:space="0" w:color="auto"/>
      </w:divBdr>
    </w:div>
    <w:div w:id="423456866">
      <w:bodyDiv w:val="1"/>
      <w:marLeft w:val="0"/>
      <w:marRight w:val="0"/>
      <w:marTop w:val="0"/>
      <w:marBottom w:val="0"/>
      <w:divBdr>
        <w:top w:val="none" w:sz="0" w:space="0" w:color="auto"/>
        <w:left w:val="none" w:sz="0" w:space="0" w:color="auto"/>
        <w:bottom w:val="none" w:sz="0" w:space="0" w:color="auto"/>
        <w:right w:val="none" w:sz="0" w:space="0" w:color="auto"/>
      </w:divBdr>
    </w:div>
    <w:div w:id="450590084">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5145">
      <w:bodyDiv w:val="1"/>
      <w:marLeft w:val="0"/>
      <w:marRight w:val="0"/>
      <w:marTop w:val="0"/>
      <w:marBottom w:val="0"/>
      <w:divBdr>
        <w:top w:val="none" w:sz="0" w:space="0" w:color="auto"/>
        <w:left w:val="none" w:sz="0" w:space="0" w:color="auto"/>
        <w:bottom w:val="none" w:sz="0" w:space="0" w:color="auto"/>
        <w:right w:val="none" w:sz="0" w:space="0" w:color="auto"/>
      </w:divBdr>
    </w:div>
    <w:div w:id="500587366">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12190589">
      <w:bodyDiv w:val="1"/>
      <w:marLeft w:val="0"/>
      <w:marRight w:val="0"/>
      <w:marTop w:val="0"/>
      <w:marBottom w:val="0"/>
      <w:divBdr>
        <w:top w:val="none" w:sz="0" w:space="0" w:color="auto"/>
        <w:left w:val="none" w:sz="0" w:space="0" w:color="auto"/>
        <w:bottom w:val="none" w:sz="0" w:space="0" w:color="auto"/>
        <w:right w:val="none" w:sz="0" w:space="0" w:color="auto"/>
      </w:divBdr>
    </w:div>
    <w:div w:id="517937197">
      <w:bodyDiv w:val="1"/>
      <w:marLeft w:val="0"/>
      <w:marRight w:val="0"/>
      <w:marTop w:val="0"/>
      <w:marBottom w:val="0"/>
      <w:divBdr>
        <w:top w:val="none" w:sz="0" w:space="0" w:color="auto"/>
        <w:left w:val="none" w:sz="0" w:space="0" w:color="auto"/>
        <w:bottom w:val="none" w:sz="0" w:space="0" w:color="auto"/>
        <w:right w:val="none" w:sz="0" w:space="0" w:color="auto"/>
      </w:divBdr>
    </w:div>
    <w:div w:id="523059678">
      <w:bodyDiv w:val="1"/>
      <w:marLeft w:val="0"/>
      <w:marRight w:val="0"/>
      <w:marTop w:val="0"/>
      <w:marBottom w:val="0"/>
      <w:divBdr>
        <w:top w:val="none" w:sz="0" w:space="0" w:color="auto"/>
        <w:left w:val="none" w:sz="0" w:space="0" w:color="auto"/>
        <w:bottom w:val="none" w:sz="0" w:space="0" w:color="auto"/>
        <w:right w:val="none" w:sz="0" w:space="0" w:color="auto"/>
      </w:divBdr>
    </w:div>
    <w:div w:id="525798143">
      <w:bodyDiv w:val="1"/>
      <w:marLeft w:val="0"/>
      <w:marRight w:val="0"/>
      <w:marTop w:val="0"/>
      <w:marBottom w:val="0"/>
      <w:divBdr>
        <w:top w:val="none" w:sz="0" w:space="0" w:color="auto"/>
        <w:left w:val="none" w:sz="0" w:space="0" w:color="auto"/>
        <w:bottom w:val="none" w:sz="0" w:space="0" w:color="auto"/>
        <w:right w:val="none" w:sz="0" w:space="0" w:color="auto"/>
      </w:divBdr>
    </w:div>
    <w:div w:id="544373615">
      <w:bodyDiv w:val="1"/>
      <w:marLeft w:val="0"/>
      <w:marRight w:val="0"/>
      <w:marTop w:val="0"/>
      <w:marBottom w:val="0"/>
      <w:divBdr>
        <w:top w:val="none" w:sz="0" w:space="0" w:color="auto"/>
        <w:left w:val="none" w:sz="0" w:space="0" w:color="auto"/>
        <w:bottom w:val="none" w:sz="0" w:space="0" w:color="auto"/>
        <w:right w:val="none" w:sz="0" w:space="0" w:color="auto"/>
      </w:divBdr>
    </w:div>
    <w:div w:id="547838629">
      <w:bodyDiv w:val="1"/>
      <w:marLeft w:val="0"/>
      <w:marRight w:val="0"/>
      <w:marTop w:val="0"/>
      <w:marBottom w:val="0"/>
      <w:divBdr>
        <w:top w:val="none" w:sz="0" w:space="0" w:color="auto"/>
        <w:left w:val="none" w:sz="0" w:space="0" w:color="auto"/>
        <w:bottom w:val="none" w:sz="0" w:space="0" w:color="auto"/>
        <w:right w:val="none" w:sz="0" w:space="0" w:color="auto"/>
      </w:divBdr>
    </w:div>
    <w:div w:id="599990881">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3828020">
      <w:bodyDiv w:val="1"/>
      <w:marLeft w:val="0"/>
      <w:marRight w:val="0"/>
      <w:marTop w:val="0"/>
      <w:marBottom w:val="0"/>
      <w:divBdr>
        <w:top w:val="none" w:sz="0" w:space="0" w:color="auto"/>
        <w:left w:val="none" w:sz="0" w:space="0" w:color="auto"/>
        <w:bottom w:val="none" w:sz="0" w:space="0" w:color="auto"/>
        <w:right w:val="none" w:sz="0" w:space="0" w:color="auto"/>
      </w:divBdr>
    </w:div>
    <w:div w:id="615677098">
      <w:bodyDiv w:val="1"/>
      <w:marLeft w:val="0"/>
      <w:marRight w:val="0"/>
      <w:marTop w:val="0"/>
      <w:marBottom w:val="0"/>
      <w:divBdr>
        <w:top w:val="none" w:sz="0" w:space="0" w:color="auto"/>
        <w:left w:val="none" w:sz="0" w:space="0" w:color="auto"/>
        <w:bottom w:val="none" w:sz="0" w:space="0" w:color="auto"/>
        <w:right w:val="none" w:sz="0" w:space="0" w:color="auto"/>
      </w:divBdr>
    </w:div>
    <w:div w:id="616987087">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32365540">
      <w:bodyDiv w:val="1"/>
      <w:marLeft w:val="0"/>
      <w:marRight w:val="0"/>
      <w:marTop w:val="0"/>
      <w:marBottom w:val="0"/>
      <w:divBdr>
        <w:top w:val="none" w:sz="0" w:space="0" w:color="auto"/>
        <w:left w:val="none" w:sz="0" w:space="0" w:color="auto"/>
        <w:bottom w:val="none" w:sz="0" w:space="0" w:color="auto"/>
        <w:right w:val="none" w:sz="0" w:space="0" w:color="auto"/>
      </w:divBdr>
    </w:div>
    <w:div w:id="637566427">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96468555">
      <w:bodyDiv w:val="1"/>
      <w:marLeft w:val="0"/>
      <w:marRight w:val="0"/>
      <w:marTop w:val="0"/>
      <w:marBottom w:val="0"/>
      <w:divBdr>
        <w:top w:val="none" w:sz="0" w:space="0" w:color="auto"/>
        <w:left w:val="none" w:sz="0" w:space="0" w:color="auto"/>
        <w:bottom w:val="none" w:sz="0" w:space="0" w:color="auto"/>
        <w:right w:val="none" w:sz="0" w:space="0" w:color="auto"/>
      </w:divBdr>
    </w:div>
    <w:div w:id="721370308">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85657456">
      <w:bodyDiv w:val="1"/>
      <w:marLeft w:val="0"/>
      <w:marRight w:val="0"/>
      <w:marTop w:val="0"/>
      <w:marBottom w:val="0"/>
      <w:divBdr>
        <w:top w:val="none" w:sz="0" w:space="0" w:color="auto"/>
        <w:left w:val="none" w:sz="0" w:space="0" w:color="auto"/>
        <w:bottom w:val="none" w:sz="0" w:space="0" w:color="auto"/>
        <w:right w:val="none" w:sz="0" w:space="0" w:color="auto"/>
      </w:divBdr>
    </w:div>
    <w:div w:id="813529735">
      <w:bodyDiv w:val="1"/>
      <w:marLeft w:val="0"/>
      <w:marRight w:val="0"/>
      <w:marTop w:val="0"/>
      <w:marBottom w:val="0"/>
      <w:divBdr>
        <w:top w:val="none" w:sz="0" w:space="0" w:color="auto"/>
        <w:left w:val="none" w:sz="0" w:space="0" w:color="auto"/>
        <w:bottom w:val="none" w:sz="0" w:space="0" w:color="auto"/>
        <w:right w:val="none" w:sz="0" w:space="0" w:color="auto"/>
      </w:divBdr>
    </w:div>
    <w:div w:id="816263239">
      <w:bodyDiv w:val="1"/>
      <w:marLeft w:val="0"/>
      <w:marRight w:val="0"/>
      <w:marTop w:val="0"/>
      <w:marBottom w:val="0"/>
      <w:divBdr>
        <w:top w:val="none" w:sz="0" w:space="0" w:color="auto"/>
        <w:left w:val="none" w:sz="0" w:space="0" w:color="auto"/>
        <w:bottom w:val="none" w:sz="0" w:space="0" w:color="auto"/>
        <w:right w:val="none" w:sz="0" w:space="0" w:color="auto"/>
      </w:divBdr>
    </w:div>
    <w:div w:id="817067379">
      <w:bodyDiv w:val="1"/>
      <w:marLeft w:val="0"/>
      <w:marRight w:val="0"/>
      <w:marTop w:val="0"/>
      <w:marBottom w:val="0"/>
      <w:divBdr>
        <w:top w:val="none" w:sz="0" w:space="0" w:color="auto"/>
        <w:left w:val="none" w:sz="0" w:space="0" w:color="auto"/>
        <w:bottom w:val="none" w:sz="0" w:space="0" w:color="auto"/>
        <w:right w:val="none" w:sz="0" w:space="0" w:color="auto"/>
      </w:divBdr>
    </w:div>
    <w:div w:id="839271580">
      <w:bodyDiv w:val="1"/>
      <w:marLeft w:val="0"/>
      <w:marRight w:val="0"/>
      <w:marTop w:val="0"/>
      <w:marBottom w:val="0"/>
      <w:divBdr>
        <w:top w:val="none" w:sz="0" w:space="0" w:color="auto"/>
        <w:left w:val="none" w:sz="0" w:space="0" w:color="auto"/>
        <w:bottom w:val="none" w:sz="0" w:space="0" w:color="auto"/>
        <w:right w:val="none" w:sz="0" w:space="0" w:color="auto"/>
      </w:divBdr>
    </w:div>
    <w:div w:id="842091894">
      <w:bodyDiv w:val="1"/>
      <w:marLeft w:val="0"/>
      <w:marRight w:val="0"/>
      <w:marTop w:val="0"/>
      <w:marBottom w:val="0"/>
      <w:divBdr>
        <w:top w:val="none" w:sz="0" w:space="0" w:color="auto"/>
        <w:left w:val="none" w:sz="0" w:space="0" w:color="auto"/>
        <w:bottom w:val="none" w:sz="0" w:space="0" w:color="auto"/>
        <w:right w:val="none" w:sz="0" w:space="0" w:color="auto"/>
      </w:divBdr>
    </w:div>
    <w:div w:id="844781313">
      <w:bodyDiv w:val="1"/>
      <w:marLeft w:val="0"/>
      <w:marRight w:val="0"/>
      <w:marTop w:val="0"/>
      <w:marBottom w:val="0"/>
      <w:divBdr>
        <w:top w:val="none" w:sz="0" w:space="0" w:color="auto"/>
        <w:left w:val="none" w:sz="0" w:space="0" w:color="auto"/>
        <w:bottom w:val="none" w:sz="0" w:space="0" w:color="auto"/>
        <w:right w:val="none" w:sz="0" w:space="0" w:color="auto"/>
      </w:divBdr>
    </w:div>
    <w:div w:id="861552265">
      <w:bodyDiv w:val="1"/>
      <w:marLeft w:val="0"/>
      <w:marRight w:val="0"/>
      <w:marTop w:val="0"/>
      <w:marBottom w:val="0"/>
      <w:divBdr>
        <w:top w:val="none" w:sz="0" w:space="0" w:color="auto"/>
        <w:left w:val="none" w:sz="0" w:space="0" w:color="auto"/>
        <w:bottom w:val="none" w:sz="0" w:space="0" w:color="auto"/>
        <w:right w:val="none" w:sz="0" w:space="0" w:color="auto"/>
      </w:divBdr>
    </w:div>
    <w:div w:id="871498940">
      <w:bodyDiv w:val="1"/>
      <w:marLeft w:val="0"/>
      <w:marRight w:val="0"/>
      <w:marTop w:val="0"/>
      <w:marBottom w:val="0"/>
      <w:divBdr>
        <w:top w:val="none" w:sz="0" w:space="0" w:color="auto"/>
        <w:left w:val="none" w:sz="0" w:space="0" w:color="auto"/>
        <w:bottom w:val="none" w:sz="0" w:space="0" w:color="auto"/>
        <w:right w:val="none" w:sz="0" w:space="0" w:color="auto"/>
      </w:divBdr>
    </w:div>
    <w:div w:id="881672798">
      <w:bodyDiv w:val="1"/>
      <w:marLeft w:val="0"/>
      <w:marRight w:val="0"/>
      <w:marTop w:val="0"/>
      <w:marBottom w:val="0"/>
      <w:divBdr>
        <w:top w:val="none" w:sz="0" w:space="0" w:color="auto"/>
        <w:left w:val="none" w:sz="0" w:space="0" w:color="auto"/>
        <w:bottom w:val="none" w:sz="0" w:space="0" w:color="auto"/>
        <w:right w:val="none" w:sz="0" w:space="0" w:color="auto"/>
      </w:divBdr>
    </w:div>
    <w:div w:id="888036644">
      <w:bodyDiv w:val="1"/>
      <w:marLeft w:val="0"/>
      <w:marRight w:val="0"/>
      <w:marTop w:val="0"/>
      <w:marBottom w:val="0"/>
      <w:divBdr>
        <w:top w:val="none" w:sz="0" w:space="0" w:color="auto"/>
        <w:left w:val="none" w:sz="0" w:space="0" w:color="auto"/>
        <w:bottom w:val="none" w:sz="0" w:space="0" w:color="auto"/>
        <w:right w:val="none" w:sz="0" w:space="0" w:color="auto"/>
      </w:divBdr>
    </w:div>
    <w:div w:id="890648994">
      <w:bodyDiv w:val="1"/>
      <w:marLeft w:val="0"/>
      <w:marRight w:val="0"/>
      <w:marTop w:val="0"/>
      <w:marBottom w:val="0"/>
      <w:divBdr>
        <w:top w:val="none" w:sz="0" w:space="0" w:color="auto"/>
        <w:left w:val="none" w:sz="0" w:space="0" w:color="auto"/>
        <w:bottom w:val="none" w:sz="0" w:space="0" w:color="auto"/>
        <w:right w:val="none" w:sz="0" w:space="0" w:color="auto"/>
      </w:divBdr>
    </w:div>
    <w:div w:id="904528424">
      <w:bodyDiv w:val="1"/>
      <w:marLeft w:val="0"/>
      <w:marRight w:val="0"/>
      <w:marTop w:val="0"/>
      <w:marBottom w:val="0"/>
      <w:divBdr>
        <w:top w:val="none" w:sz="0" w:space="0" w:color="auto"/>
        <w:left w:val="none" w:sz="0" w:space="0" w:color="auto"/>
        <w:bottom w:val="none" w:sz="0" w:space="0" w:color="auto"/>
        <w:right w:val="none" w:sz="0" w:space="0" w:color="auto"/>
      </w:divBdr>
    </w:div>
    <w:div w:id="908153627">
      <w:bodyDiv w:val="1"/>
      <w:marLeft w:val="0"/>
      <w:marRight w:val="0"/>
      <w:marTop w:val="0"/>
      <w:marBottom w:val="0"/>
      <w:divBdr>
        <w:top w:val="none" w:sz="0" w:space="0" w:color="auto"/>
        <w:left w:val="none" w:sz="0" w:space="0" w:color="auto"/>
        <w:bottom w:val="none" w:sz="0" w:space="0" w:color="auto"/>
        <w:right w:val="none" w:sz="0" w:space="0" w:color="auto"/>
      </w:divBdr>
    </w:div>
    <w:div w:id="970791309">
      <w:bodyDiv w:val="1"/>
      <w:marLeft w:val="0"/>
      <w:marRight w:val="0"/>
      <w:marTop w:val="0"/>
      <w:marBottom w:val="0"/>
      <w:divBdr>
        <w:top w:val="none" w:sz="0" w:space="0" w:color="auto"/>
        <w:left w:val="none" w:sz="0" w:space="0" w:color="auto"/>
        <w:bottom w:val="none" w:sz="0" w:space="0" w:color="auto"/>
        <w:right w:val="none" w:sz="0" w:space="0" w:color="auto"/>
      </w:divBdr>
    </w:div>
    <w:div w:id="97972394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302971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06247701">
      <w:bodyDiv w:val="1"/>
      <w:marLeft w:val="0"/>
      <w:marRight w:val="0"/>
      <w:marTop w:val="0"/>
      <w:marBottom w:val="0"/>
      <w:divBdr>
        <w:top w:val="none" w:sz="0" w:space="0" w:color="auto"/>
        <w:left w:val="none" w:sz="0" w:space="0" w:color="auto"/>
        <w:bottom w:val="none" w:sz="0" w:space="0" w:color="auto"/>
        <w:right w:val="none" w:sz="0" w:space="0" w:color="auto"/>
      </w:divBdr>
    </w:div>
    <w:div w:id="1011564109">
      <w:bodyDiv w:val="1"/>
      <w:marLeft w:val="0"/>
      <w:marRight w:val="0"/>
      <w:marTop w:val="0"/>
      <w:marBottom w:val="0"/>
      <w:divBdr>
        <w:top w:val="none" w:sz="0" w:space="0" w:color="auto"/>
        <w:left w:val="none" w:sz="0" w:space="0" w:color="auto"/>
        <w:bottom w:val="none" w:sz="0" w:space="0" w:color="auto"/>
        <w:right w:val="none" w:sz="0" w:space="0" w:color="auto"/>
      </w:divBdr>
    </w:div>
    <w:div w:id="1027870707">
      <w:bodyDiv w:val="1"/>
      <w:marLeft w:val="0"/>
      <w:marRight w:val="0"/>
      <w:marTop w:val="0"/>
      <w:marBottom w:val="0"/>
      <w:divBdr>
        <w:top w:val="none" w:sz="0" w:space="0" w:color="auto"/>
        <w:left w:val="none" w:sz="0" w:space="0" w:color="auto"/>
        <w:bottom w:val="none" w:sz="0" w:space="0" w:color="auto"/>
        <w:right w:val="none" w:sz="0" w:space="0" w:color="auto"/>
      </w:divBdr>
    </w:div>
    <w:div w:id="1052120686">
      <w:bodyDiv w:val="1"/>
      <w:marLeft w:val="0"/>
      <w:marRight w:val="0"/>
      <w:marTop w:val="0"/>
      <w:marBottom w:val="0"/>
      <w:divBdr>
        <w:top w:val="none" w:sz="0" w:space="0" w:color="auto"/>
        <w:left w:val="none" w:sz="0" w:space="0" w:color="auto"/>
        <w:bottom w:val="none" w:sz="0" w:space="0" w:color="auto"/>
        <w:right w:val="none" w:sz="0" w:space="0" w:color="auto"/>
      </w:divBdr>
    </w:div>
    <w:div w:id="105547414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9116104">
      <w:bodyDiv w:val="1"/>
      <w:marLeft w:val="0"/>
      <w:marRight w:val="0"/>
      <w:marTop w:val="0"/>
      <w:marBottom w:val="0"/>
      <w:divBdr>
        <w:top w:val="none" w:sz="0" w:space="0" w:color="auto"/>
        <w:left w:val="none" w:sz="0" w:space="0" w:color="auto"/>
        <w:bottom w:val="none" w:sz="0" w:space="0" w:color="auto"/>
        <w:right w:val="none" w:sz="0" w:space="0" w:color="auto"/>
      </w:divBdr>
    </w:div>
    <w:div w:id="1095899435">
      <w:bodyDiv w:val="1"/>
      <w:marLeft w:val="0"/>
      <w:marRight w:val="0"/>
      <w:marTop w:val="0"/>
      <w:marBottom w:val="0"/>
      <w:divBdr>
        <w:top w:val="none" w:sz="0" w:space="0" w:color="auto"/>
        <w:left w:val="none" w:sz="0" w:space="0" w:color="auto"/>
        <w:bottom w:val="none" w:sz="0" w:space="0" w:color="auto"/>
        <w:right w:val="none" w:sz="0" w:space="0" w:color="auto"/>
      </w:divBdr>
      <w:divsChild>
        <w:div w:id="560947807">
          <w:marLeft w:val="0"/>
          <w:marRight w:val="0"/>
          <w:marTop w:val="0"/>
          <w:marBottom w:val="0"/>
          <w:divBdr>
            <w:top w:val="none" w:sz="0" w:space="0" w:color="auto"/>
            <w:left w:val="none" w:sz="0" w:space="0" w:color="auto"/>
            <w:bottom w:val="none" w:sz="0" w:space="0" w:color="auto"/>
            <w:right w:val="none" w:sz="0" w:space="0" w:color="auto"/>
          </w:divBdr>
          <w:divsChild>
            <w:div w:id="496843497">
              <w:marLeft w:val="0"/>
              <w:marRight w:val="0"/>
              <w:marTop w:val="0"/>
              <w:marBottom w:val="0"/>
              <w:divBdr>
                <w:top w:val="none" w:sz="0" w:space="0" w:color="auto"/>
                <w:left w:val="none" w:sz="0" w:space="0" w:color="auto"/>
                <w:bottom w:val="none" w:sz="0" w:space="0" w:color="auto"/>
                <w:right w:val="none" w:sz="0" w:space="0" w:color="auto"/>
              </w:divBdr>
              <w:divsChild>
                <w:div w:id="646319306">
                  <w:marLeft w:val="0"/>
                  <w:marRight w:val="0"/>
                  <w:marTop w:val="0"/>
                  <w:marBottom w:val="0"/>
                  <w:divBdr>
                    <w:top w:val="none" w:sz="0" w:space="0" w:color="auto"/>
                    <w:left w:val="none" w:sz="0" w:space="0" w:color="auto"/>
                    <w:bottom w:val="none" w:sz="0" w:space="0" w:color="auto"/>
                    <w:right w:val="none" w:sz="0" w:space="0" w:color="auto"/>
                  </w:divBdr>
                  <w:divsChild>
                    <w:div w:id="1734428575">
                      <w:marLeft w:val="0"/>
                      <w:marRight w:val="0"/>
                      <w:marTop w:val="0"/>
                      <w:marBottom w:val="0"/>
                      <w:divBdr>
                        <w:top w:val="none" w:sz="0" w:space="0" w:color="auto"/>
                        <w:left w:val="none" w:sz="0" w:space="0" w:color="auto"/>
                        <w:bottom w:val="none" w:sz="0" w:space="0" w:color="auto"/>
                        <w:right w:val="none" w:sz="0" w:space="0" w:color="auto"/>
                      </w:divBdr>
                      <w:divsChild>
                        <w:div w:id="978462455">
                          <w:marLeft w:val="60"/>
                          <w:marRight w:val="0"/>
                          <w:marTop w:val="0"/>
                          <w:marBottom w:val="0"/>
                          <w:divBdr>
                            <w:top w:val="none" w:sz="0" w:space="0" w:color="auto"/>
                            <w:left w:val="none" w:sz="0" w:space="0" w:color="auto"/>
                            <w:bottom w:val="none" w:sz="0" w:space="0" w:color="auto"/>
                            <w:right w:val="none" w:sz="0" w:space="0" w:color="auto"/>
                          </w:divBdr>
                          <w:divsChild>
                            <w:div w:id="1436750657">
                              <w:marLeft w:val="0"/>
                              <w:marRight w:val="0"/>
                              <w:marTop w:val="0"/>
                              <w:marBottom w:val="0"/>
                              <w:divBdr>
                                <w:top w:val="none" w:sz="0" w:space="0" w:color="auto"/>
                                <w:left w:val="none" w:sz="0" w:space="0" w:color="auto"/>
                                <w:bottom w:val="none" w:sz="0" w:space="0" w:color="auto"/>
                                <w:right w:val="none" w:sz="0" w:space="0" w:color="auto"/>
                              </w:divBdr>
                              <w:divsChild>
                                <w:div w:id="47193149">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05350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09748469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08618798">
      <w:bodyDiv w:val="1"/>
      <w:marLeft w:val="0"/>
      <w:marRight w:val="0"/>
      <w:marTop w:val="0"/>
      <w:marBottom w:val="0"/>
      <w:divBdr>
        <w:top w:val="none" w:sz="0" w:space="0" w:color="auto"/>
        <w:left w:val="none" w:sz="0" w:space="0" w:color="auto"/>
        <w:bottom w:val="none" w:sz="0" w:space="0" w:color="auto"/>
        <w:right w:val="none" w:sz="0" w:space="0" w:color="auto"/>
      </w:divBdr>
    </w:div>
    <w:div w:id="1111820008">
      <w:bodyDiv w:val="1"/>
      <w:marLeft w:val="0"/>
      <w:marRight w:val="0"/>
      <w:marTop w:val="0"/>
      <w:marBottom w:val="0"/>
      <w:divBdr>
        <w:top w:val="none" w:sz="0" w:space="0" w:color="auto"/>
        <w:left w:val="none" w:sz="0" w:space="0" w:color="auto"/>
        <w:bottom w:val="none" w:sz="0" w:space="0" w:color="auto"/>
        <w:right w:val="none" w:sz="0" w:space="0" w:color="auto"/>
      </w:divBdr>
    </w:div>
    <w:div w:id="1111969826">
      <w:bodyDiv w:val="1"/>
      <w:marLeft w:val="0"/>
      <w:marRight w:val="0"/>
      <w:marTop w:val="0"/>
      <w:marBottom w:val="0"/>
      <w:divBdr>
        <w:top w:val="none" w:sz="0" w:space="0" w:color="auto"/>
        <w:left w:val="none" w:sz="0" w:space="0" w:color="auto"/>
        <w:bottom w:val="none" w:sz="0" w:space="0" w:color="auto"/>
        <w:right w:val="none" w:sz="0" w:space="0" w:color="auto"/>
      </w:divBdr>
    </w:div>
    <w:div w:id="1115442407">
      <w:bodyDiv w:val="1"/>
      <w:marLeft w:val="0"/>
      <w:marRight w:val="0"/>
      <w:marTop w:val="0"/>
      <w:marBottom w:val="0"/>
      <w:divBdr>
        <w:top w:val="none" w:sz="0" w:space="0" w:color="auto"/>
        <w:left w:val="none" w:sz="0" w:space="0" w:color="auto"/>
        <w:bottom w:val="none" w:sz="0" w:space="0" w:color="auto"/>
        <w:right w:val="none" w:sz="0" w:space="0" w:color="auto"/>
      </w:divBdr>
    </w:div>
    <w:div w:id="1117796609">
      <w:bodyDiv w:val="1"/>
      <w:marLeft w:val="0"/>
      <w:marRight w:val="0"/>
      <w:marTop w:val="0"/>
      <w:marBottom w:val="0"/>
      <w:divBdr>
        <w:top w:val="none" w:sz="0" w:space="0" w:color="auto"/>
        <w:left w:val="none" w:sz="0" w:space="0" w:color="auto"/>
        <w:bottom w:val="none" w:sz="0" w:space="0" w:color="auto"/>
        <w:right w:val="none" w:sz="0" w:space="0" w:color="auto"/>
      </w:divBdr>
    </w:div>
    <w:div w:id="1183016148">
      <w:bodyDiv w:val="1"/>
      <w:marLeft w:val="0"/>
      <w:marRight w:val="0"/>
      <w:marTop w:val="0"/>
      <w:marBottom w:val="0"/>
      <w:divBdr>
        <w:top w:val="none" w:sz="0" w:space="0" w:color="auto"/>
        <w:left w:val="none" w:sz="0" w:space="0" w:color="auto"/>
        <w:bottom w:val="none" w:sz="0" w:space="0" w:color="auto"/>
        <w:right w:val="none" w:sz="0" w:space="0" w:color="auto"/>
      </w:divBdr>
    </w:div>
    <w:div w:id="1185826432">
      <w:bodyDiv w:val="1"/>
      <w:marLeft w:val="0"/>
      <w:marRight w:val="0"/>
      <w:marTop w:val="0"/>
      <w:marBottom w:val="0"/>
      <w:divBdr>
        <w:top w:val="none" w:sz="0" w:space="0" w:color="auto"/>
        <w:left w:val="none" w:sz="0" w:space="0" w:color="auto"/>
        <w:bottom w:val="none" w:sz="0" w:space="0" w:color="auto"/>
        <w:right w:val="none" w:sz="0" w:space="0" w:color="auto"/>
      </w:divBdr>
    </w:div>
    <w:div w:id="1201943816">
      <w:bodyDiv w:val="1"/>
      <w:marLeft w:val="0"/>
      <w:marRight w:val="0"/>
      <w:marTop w:val="0"/>
      <w:marBottom w:val="0"/>
      <w:divBdr>
        <w:top w:val="none" w:sz="0" w:space="0" w:color="auto"/>
        <w:left w:val="none" w:sz="0" w:space="0" w:color="auto"/>
        <w:bottom w:val="none" w:sz="0" w:space="0" w:color="auto"/>
        <w:right w:val="none" w:sz="0" w:space="0" w:color="auto"/>
      </w:divBdr>
    </w:div>
    <w:div w:id="1217350018">
      <w:bodyDiv w:val="1"/>
      <w:marLeft w:val="0"/>
      <w:marRight w:val="0"/>
      <w:marTop w:val="0"/>
      <w:marBottom w:val="0"/>
      <w:divBdr>
        <w:top w:val="none" w:sz="0" w:space="0" w:color="auto"/>
        <w:left w:val="none" w:sz="0" w:space="0" w:color="auto"/>
        <w:bottom w:val="none" w:sz="0" w:space="0" w:color="auto"/>
        <w:right w:val="none" w:sz="0" w:space="0" w:color="auto"/>
      </w:divBdr>
    </w:div>
    <w:div w:id="1217469339">
      <w:bodyDiv w:val="1"/>
      <w:marLeft w:val="0"/>
      <w:marRight w:val="0"/>
      <w:marTop w:val="0"/>
      <w:marBottom w:val="0"/>
      <w:divBdr>
        <w:top w:val="none" w:sz="0" w:space="0" w:color="auto"/>
        <w:left w:val="none" w:sz="0" w:space="0" w:color="auto"/>
        <w:bottom w:val="none" w:sz="0" w:space="0" w:color="auto"/>
        <w:right w:val="none" w:sz="0" w:space="0" w:color="auto"/>
      </w:divBdr>
    </w:div>
    <w:div w:id="1218129219">
      <w:bodyDiv w:val="1"/>
      <w:marLeft w:val="0"/>
      <w:marRight w:val="0"/>
      <w:marTop w:val="0"/>
      <w:marBottom w:val="0"/>
      <w:divBdr>
        <w:top w:val="none" w:sz="0" w:space="0" w:color="auto"/>
        <w:left w:val="none" w:sz="0" w:space="0" w:color="auto"/>
        <w:bottom w:val="none" w:sz="0" w:space="0" w:color="auto"/>
        <w:right w:val="none" w:sz="0" w:space="0" w:color="auto"/>
      </w:divBdr>
    </w:div>
    <w:div w:id="1230963512">
      <w:bodyDiv w:val="1"/>
      <w:marLeft w:val="0"/>
      <w:marRight w:val="0"/>
      <w:marTop w:val="0"/>
      <w:marBottom w:val="0"/>
      <w:divBdr>
        <w:top w:val="none" w:sz="0" w:space="0" w:color="auto"/>
        <w:left w:val="none" w:sz="0" w:space="0" w:color="auto"/>
        <w:bottom w:val="none" w:sz="0" w:space="0" w:color="auto"/>
        <w:right w:val="none" w:sz="0" w:space="0" w:color="auto"/>
      </w:divBdr>
    </w:div>
    <w:div w:id="1248731438">
      <w:bodyDiv w:val="1"/>
      <w:marLeft w:val="0"/>
      <w:marRight w:val="0"/>
      <w:marTop w:val="0"/>
      <w:marBottom w:val="0"/>
      <w:divBdr>
        <w:top w:val="none" w:sz="0" w:space="0" w:color="auto"/>
        <w:left w:val="none" w:sz="0" w:space="0" w:color="auto"/>
        <w:bottom w:val="none" w:sz="0" w:space="0" w:color="auto"/>
        <w:right w:val="none" w:sz="0" w:space="0" w:color="auto"/>
      </w:divBdr>
    </w:div>
    <w:div w:id="1251114958">
      <w:bodyDiv w:val="1"/>
      <w:marLeft w:val="0"/>
      <w:marRight w:val="0"/>
      <w:marTop w:val="0"/>
      <w:marBottom w:val="0"/>
      <w:divBdr>
        <w:top w:val="none" w:sz="0" w:space="0" w:color="auto"/>
        <w:left w:val="none" w:sz="0" w:space="0" w:color="auto"/>
        <w:bottom w:val="none" w:sz="0" w:space="0" w:color="auto"/>
        <w:right w:val="none" w:sz="0" w:space="0" w:color="auto"/>
      </w:divBdr>
    </w:div>
    <w:div w:id="1262910167">
      <w:bodyDiv w:val="1"/>
      <w:marLeft w:val="0"/>
      <w:marRight w:val="0"/>
      <w:marTop w:val="0"/>
      <w:marBottom w:val="0"/>
      <w:divBdr>
        <w:top w:val="none" w:sz="0" w:space="0" w:color="auto"/>
        <w:left w:val="none" w:sz="0" w:space="0" w:color="auto"/>
        <w:bottom w:val="none" w:sz="0" w:space="0" w:color="auto"/>
        <w:right w:val="none" w:sz="0" w:space="0" w:color="auto"/>
      </w:divBdr>
    </w:div>
    <w:div w:id="1275795602">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6528127">
      <w:bodyDiv w:val="1"/>
      <w:marLeft w:val="0"/>
      <w:marRight w:val="0"/>
      <w:marTop w:val="0"/>
      <w:marBottom w:val="0"/>
      <w:divBdr>
        <w:top w:val="none" w:sz="0" w:space="0" w:color="auto"/>
        <w:left w:val="none" w:sz="0" w:space="0" w:color="auto"/>
        <w:bottom w:val="none" w:sz="0" w:space="0" w:color="auto"/>
        <w:right w:val="none" w:sz="0" w:space="0" w:color="auto"/>
      </w:divBdr>
    </w:div>
    <w:div w:id="1312520376">
      <w:bodyDiv w:val="1"/>
      <w:marLeft w:val="0"/>
      <w:marRight w:val="0"/>
      <w:marTop w:val="0"/>
      <w:marBottom w:val="0"/>
      <w:divBdr>
        <w:top w:val="none" w:sz="0" w:space="0" w:color="auto"/>
        <w:left w:val="none" w:sz="0" w:space="0" w:color="auto"/>
        <w:bottom w:val="none" w:sz="0" w:space="0" w:color="auto"/>
        <w:right w:val="none" w:sz="0" w:space="0" w:color="auto"/>
      </w:divBdr>
    </w:div>
    <w:div w:id="1320964735">
      <w:bodyDiv w:val="1"/>
      <w:marLeft w:val="0"/>
      <w:marRight w:val="0"/>
      <w:marTop w:val="0"/>
      <w:marBottom w:val="0"/>
      <w:divBdr>
        <w:top w:val="none" w:sz="0" w:space="0" w:color="auto"/>
        <w:left w:val="none" w:sz="0" w:space="0" w:color="auto"/>
        <w:bottom w:val="none" w:sz="0" w:space="0" w:color="auto"/>
        <w:right w:val="none" w:sz="0" w:space="0" w:color="auto"/>
      </w:divBdr>
    </w:div>
    <w:div w:id="1328940230">
      <w:bodyDiv w:val="1"/>
      <w:marLeft w:val="0"/>
      <w:marRight w:val="0"/>
      <w:marTop w:val="0"/>
      <w:marBottom w:val="0"/>
      <w:divBdr>
        <w:top w:val="none" w:sz="0" w:space="0" w:color="auto"/>
        <w:left w:val="none" w:sz="0" w:space="0" w:color="auto"/>
        <w:bottom w:val="none" w:sz="0" w:space="0" w:color="auto"/>
        <w:right w:val="none" w:sz="0" w:space="0" w:color="auto"/>
      </w:divBdr>
    </w:div>
    <w:div w:id="1345942444">
      <w:bodyDiv w:val="1"/>
      <w:marLeft w:val="0"/>
      <w:marRight w:val="0"/>
      <w:marTop w:val="0"/>
      <w:marBottom w:val="0"/>
      <w:divBdr>
        <w:top w:val="none" w:sz="0" w:space="0" w:color="auto"/>
        <w:left w:val="none" w:sz="0" w:space="0" w:color="auto"/>
        <w:bottom w:val="none" w:sz="0" w:space="0" w:color="auto"/>
        <w:right w:val="none" w:sz="0" w:space="0" w:color="auto"/>
      </w:divBdr>
    </w:div>
    <w:div w:id="1355423116">
      <w:bodyDiv w:val="1"/>
      <w:marLeft w:val="0"/>
      <w:marRight w:val="0"/>
      <w:marTop w:val="0"/>
      <w:marBottom w:val="0"/>
      <w:divBdr>
        <w:top w:val="none" w:sz="0" w:space="0" w:color="auto"/>
        <w:left w:val="none" w:sz="0" w:space="0" w:color="auto"/>
        <w:bottom w:val="none" w:sz="0" w:space="0" w:color="auto"/>
        <w:right w:val="none" w:sz="0" w:space="0" w:color="auto"/>
      </w:divBdr>
    </w:div>
    <w:div w:id="1358315580">
      <w:bodyDiv w:val="1"/>
      <w:marLeft w:val="0"/>
      <w:marRight w:val="0"/>
      <w:marTop w:val="0"/>
      <w:marBottom w:val="0"/>
      <w:divBdr>
        <w:top w:val="none" w:sz="0" w:space="0" w:color="auto"/>
        <w:left w:val="none" w:sz="0" w:space="0" w:color="auto"/>
        <w:bottom w:val="none" w:sz="0" w:space="0" w:color="auto"/>
        <w:right w:val="none" w:sz="0" w:space="0" w:color="auto"/>
      </w:divBdr>
    </w:div>
    <w:div w:id="1365709953">
      <w:bodyDiv w:val="1"/>
      <w:marLeft w:val="0"/>
      <w:marRight w:val="0"/>
      <w:marTop w:val="0"/>
      <w:marBottom w:val="0"/>
      <w:divBdr>
        <w:top w:val="none" w:sz="0" w:space="0" w:color="auto"/>
        <w:left w:val="none" w:sz="0" w:space="0" w:color="auto"/>
        <w:bottom w:val="none" w:sz="0" w:space="0" w:color="auto"/>
        <w:right w:val="none" w:sz="0" w:space="0" w:color="auto"/>
      </w:divBdr>
    </w:div>
    <w:div w:id="1391267175">
      <w:bodyDiv w:val="1"/>
      <w:marLeft w:val="0"/>
      <w:marRight w:val="0"/>
      <w:marTop w:val="0"/>
      <w:marBottom w:val="0"/>
      <w:divBdr>
        <w:top w:val="none" w:sz="0" w:space="0" w:color="auto"/>
        <w:left w:val="none" w:sz="0" w:space="0" w:color="auto"/>
        <w:bottom w:val="none" w:sz="0" w:space="0" w:color="auto"/>
        <w:right w:val="none" w:sz="0" w:space="0" w:color="auto"/>
      </w:divBdr>
      <w:divsChild>
        <w:div w:id="1700543331">
          <w:marLeft w:val="0"/>
          <w:marRight w:val="0"/>
          <w:marTop w:val="0"/>
          <w:marBottom w:val="0"/>
          <w:divBdr>
            <w:top w:val="none" w:sz="0" w:space="0" w:color="auto"/>
            <w:left w:val="none" w:sz="0" w:space="0" w:color="auto"/>
            <w:bottom w:val="none" w:sz="0" w:space="0" w:color="auto"/>
            <w:right w:val="none" w:sz="0" w:space="0" w:color="auto"/>
          </w:divBdr>
        </w:div>
        <w:div w:id="1415012939">
          <w:marLeft w:val="0"/>
          <w:marRight w:val="0"/>
          <w:marTop w:val="0"/>
          <w:marBottom w:val="0"/>
          <w:divBdr>
            <w:top w:val="none" w:sz="0" w:space="0" w:color="auto"/>
            <w:left w:val="none" w:sz="0" w:space="0" w:color="auto"/>
            <w:bottom w:val="none" w:sz="0" w:space="0" w:color="auto"/>
            <w:right w:val="none" w:sz="0" w:space="0" w:color="auto"/>
          </w:divBdr>
        </w:div>
        <w:div w:id="1930231967">
          <w:marLeft w:val="0"/>
          <w:marRight w:val="0"/>
          <w:marTop w:val="0"/>
          <w:marBottom w:val="0"/>
          <w:divBdr>
            <w:top w:val="none" w:sz="0" w:space="0" w:color="auto"/>
            <w:left w:val="none" w:sz="0" w:space="0" w:color="auto"/>
            <w:bottom w:val="none" w:sz="0" w:space="0" w:color="auto"/>
            <w:right w:val="none" w:sz="0" w:space="0" w:color="auto"/>
          </w:divBdr>
        </w:div>
      </w:divsChild>
    </w:div>
    <w:div w:id="1421100465">
      <w:bodyDiv w:val="1"/>
      <w:marLeft w:val="0"/>
      <w:marRight w:val="0"/>
      <w:marTop w:val="0"/>
      <w:marBottom w:val="0"/>
      <w:divBdr>
        <w:top w:val="none" w:sz="0" w:space="0" w:color="auto"/>
        <w:left w:val="none" w:sz="0" w:space="0" w:color="auto"/>
        <w:bottom w:val="none" w:sz="0" w:space="0" w:color="auto"/>
        <w:right w:val="none" w:sz="0" w:space="0" w:color="auto"/>
      </w:divBdr>
    </w:div>
    <w:div w:id="1431588579">
      <w:bodyDiv w:val="1"/>
      <w:marLeft w:val="0"/>
      <w:marRight w:val="0"/>
      <w:marTop w:val="0"/>
      <w:marBottom w:val="0"/>
      <w:divBdr>
        <w:top w:val="none" w:sz="0" w:space="0" w:color="auto"/>
        <w:left w:val="none" w:sz="0" w:space="0" w:color="auto"/>
        <w:bottom w:val="none" w:sz="0" w:space="0" w:color="auto"/>
        <w:right w:val="none" w:sz="0" w:space="0" w:color="auto"/>
      </w:divBdr>
    </w:div>
    <w:div w:id="1459835865">
      <w:bodyDiv w:val="1"/>
      <w:marLeft w:val="0"/>
      <w:marRight w:val="0"/>
      <w:marTop w:val="0"/>
      <w:marBottom w:val="0"/>
      <w:divBdr>
        <w:top w:val="none" w:sz="0" w:space="0" w:color="auto"/>
        <w:left w:val="none" w:sz="0" w:space="0" w:color="auto"/>
        <w:bottom w:val="none" w:sz="0" w:space="0" w:color="auto"/>
        <w:right w:val="none" w:sz="0" w:space="0" w:color="auto"/>
      </w:divBdr>
    </w:div>
    <w:div w:id="1482577727">
      <w:bodyDiv w:val="1"/>
      <w:marLeft w:val="0"/>
      <w:marRight w:val="0"/>
      <w:marTop w:val="0"/>
      <w:marBottom w:val="0"/>
      <w:divBdr>
        <w:top w:val="none" w:sz="0" w:space="0" w:color="auto"/>
        <w:left w:val="none" w:sz="0" w:space="0" w:color="auto"/>
        <w:bottom w:val="none" w:sz="0" w:space="0" w:color="auto"/>
        <w:right w:val="none" w:sz="0" w:space="0" w:color="auto"/>
      </w:divBdr>
    </w:div>
    <w:div w:id="1489243874">
      <w:bodyDiv w:val="1"/>
      <w:marLeft w:val="0"/>
      <w:marRight w:val="0"/>
      <w:marTop w:val="0"/>
      <w:marBottom w:val="0"/>
      <w:divBdr>
        <w:top w:val="none" w:sz="0" w:space="0" w:color="auto"/>
        <w:left w:val="none" w:sz="0" w:space="0" w:color="auto"/>
        <w:bottom w:val="none" w:sz="0" w:space="0" w:color="auto"/>
        <w:right w:val="none" w:sz="0" w:space="0" w:color="auto"/>
      </w:divBdr>
    </w:div>
    <w:div w:id="1493257128">
      <w:bodyDiv w:val="1"/>
      <w:marLeft w:val="0"/>
      <w:marRight w:val="0"/>
      <w:marTop w:val="0"/>
      <w:marBottom w:val="0"/>
      <w:divBdr>
        <w:top w:val="none" w:sz="0" w:space="0" w:color="auto"/>
        <w:left w:val="none" w:sz="0" w:space="0" w:color="auto"/>
        <w:bottom w:val="none" w:sz="0" w:space="0" w:color="auto"/>
        <w:right w:val="none" w:sz="0" w:space="0" w:color="auto"/>
      </w:divBdr>
    </w:div>
    <w:div w:id="1523126405">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36696766">
      <w:bodyDiv w:val="1"/>
      <w:marLeft w:val="0"/>
      <w:marRight w:val="0"/>
      <w:marTop w:val="0"/>
      <w:marBottom w:val="0"/>
      <w:divBdr>
        <w:top w:val="none" w:sz="0" w:space="0" w:color="auto"/>
        <w:left w:val="none" w:sz="0" w:space="0" w:color="auto"/>
        <w:bottom w:val="none" w:sz="0" w:space="0" w:color="auto"/>
        <w:right w:val="none" w:sz="0" w:space="0" w:color="auto"/>
      </w:divBdr>
    </w:div>
    <w:div w:id="1539774697">
      <w:bodyDiv w:val="1"/>
      <w:marLeft w:val="0"/>
      <w:marRight w:val="0"/>
      <w:marTop w:val="0"/>
      <w:marBottom w:val="0"/>
      <w:divBdr>
        <w:top w:val="none" w:sz="0" w:space="0" w:color="auto"/>
        <w:left w:val="none" w:sz="0" w:space="0" w:color="auto"/>
        <w:bottom w:val="none" w:sz="0" w:space="0" w:color="auto"/>
        <w:right w:val="none" w:sz="0" w:space="0" w:color="auto"/>
      </w:divBdr>
    </w:div>
    <w:div w:id="1542014520">
      <w:bodyDiv w:val="1"/>
      <w:marLeft w:val="0"/>
      <w:marRight w:val="0"/>
      <w:marTop w:val="0"/>
      <w:marBottom w:val="0"/>
      <w:divBdr>
        <w:top w:val="none" w:sz="0" w:space="0" w:color="auto"/>
        <w:left w:val="none" w:sz="0" w:space="0" w:color="auto"/>
        <w:bottom w:val="none" w:sz="0" w:space="0" w:color="auto"/>
        <w:right w:val="none" w:sz="0" w:space="0" w:color="auto"/>
      </w:divBdr>
    </w:div>
    <w:div w:id="1554384538">
      <w:bodyDiv w:val="1"/>
      <w:marLeft w:val="0"/>
      <w:marRight w:val="0"/>
      <w:marTop w:val="0"/>
      <w:marBottom w:val="0"/>
      <w:divBdr>
        <w:top w:val="none" w:sz="0" w:space="0" w:color="auto"/>
        <w:left w:val="none" w:sz="0" w:space="0" w:color="auto"/>
        <w:bottom w:val="none" w:sz="0" w:space="0" w:color="auto"/>
        <w:right w:val="none" w:sz="0" w:space="0" w:color="auto"/>
      </w:divBdr>
    </w:div>
    <w:div w:id="1554925996">
      <w:bodyDiv w:val="1"/>
      <w:marLeft w:val="0"/>
      <w:marRight w:val="0"/>
      <w:marTop w:val="0"/>
      <w:marBottom w:val="0"/>
      <w:divBdr>
        <w:top w:val="none" w:sz="0" w:space="0" w:color="auto"/>
        <w:left w:val="none" w:sz="0" w:space="0" w:color="auto"/>
        <w:bottom w:val="none" w:sz="0" w:space="0" w:color="auto"/>
        <w:right w:val="none" w:sz="0" w:space="0" w:color="auto"/>
      </w:divBdr>
    </w:div>
    <w:div w:id="1567496655">
      <w:bodyDiv w:val="1"/>
      <w:marLeft w:val="0"/>
      <w:marRight w:val="0"/>
      <w:marTop w:val="0"/>
      <w:marBottom w:val="0"/>
      <w:divBdr>
        <w:top w:val="none" w:sz="0" w:space="0" w:color="auto"/>
        <w:left w:val="none" w:sz="0" w:space="0" w:color="auto"/>
        <w:bottom w:val="none" w:sz="0" w:space="0" w:color="auto"/>
        <w:right w:val="none" w:sz="0" w:space="0" w:color="auto"/>
      </w:divBdr>
    </w:div>
    <w:div w:id="1567572463">
      <w:bodyDiv w:val="1"/>
      <w:marLeft w:val="0"/>
      <w:marRight w:val="0"/>
      <w:marTop w:val="0"/>
      <w:marBottom w:val="0"/>
      <w:divBdr>
        <w:top w:val="none" w:sz="0" w:space="0" w:color="auto"/>
        <w:left w:val="none" w:sz="0" w:space="0" w:color="auto"/>
        <w:bottom w:val="none" w:sz="0" w:space="0" w:color="auto"/>
        <w:right w:val="none" w:sz="0" w:space="0" w:color="auto"/>
      </w:divBdr>
    </w:div>
    <w:div w:id="1577745013">
      <w:bodyDiv w:val="1"/>
      <w:marLeft w:val="0"/>
      <w:marRight w:val="0"/>
      <w:marTop w:val="0"/>
      <w:marBottom w:val="0"/>
      <w:divBdr>
        <w:top w:val="none" w:sz="0" w:space="0" w:color="auto"/>
        <w:left w:val="none" w:sz="0" w:space="0" w:color="auto"/>
        <w:bottom w:val="none" w:sz="0" w:space="0" w:color="auto"/>
        <w:right w:val="none" w:sz="0" w:space="0" w:color="auto"/>
      </w:divBdr>
    </w:div>
    <w:div w:id="1577784807">
      <w:bodyDiv w:val="1"/>
      <w:marLeft w:val="0"/>
      <w:marRight w:val="0"/>
      <w:marTop w:val="0"/>
      <w:marBottom w:val="0"/>
      <w:divBdr>
        <w:top w:val="none" w:sz="0" w:space="0" w:color="auto"/>
        <w:left w:val="none" w:sz="0" w:space="0" w:color="auto"/>
        <w:bottom w:val="none" w:sz="0" w:space="0" w:color="auto"/>
        <w:right w:val="none" w:sz="0" w:space="0" w:color="auto"/>
      </w:divBdr>
    </w:div>
    <w:div w:id="1604804358">
      <w:bodyDiv w:val="1"/>
      <w:marLeft w:val="0"/>
      <w:marRight w:val="0"/>
      <w:marTop w:val="0"/>
      <w:marBottom w:val="0"/>
      <w:divBdr>
        <w:top w:val="none" w:sz="0" w:space="0" w:color="auto"/>
        <w:left w:val="none" w:sz="0" w:space="0" w:color="auto"/>
        <w:bottom w:val="none" w:sz="0" w:space="0" w:color="auto"/>
        <w:right w:val="none" w:sz="0" w:space="0" w:color="auto"/>
      </w:divBdr>
    </w:div>
    <w:div w:id="1608465287">
      <w:bodyDiv w:val="1"/>
      <w:marLeft w:val="0"/>
      <w:marRight w:val="0"/>
      <w:marTop w:val="0"/>
      <w:marBottom w:val="0"/>
      <w:divBdr>
        <w:top w:val="none" w:sz="0" w:space="0" w:color="auto"/>
        <w:left w:val="none" w:sz="0" w:space="0" w:color="auto"/>
        <w:bottom w:val="none" w:sz="0" w:space="0" w:color="auto"/>
        <w:right w:val="none" w:sz="0" w:space="0" w:color="auto"/>
      </w:divBdr>
    </w:div>
    <w:div w:id="1613395676">
      <w:bodyDiv w:val="1"/>
      <w:marLeft w:val="0"/>
      <w:marRight w:val="0"/>
      <w:marTop w:val="0"/>
      <w:marBottom w:val="0"/>
      <w:divBdr>
        <w:top w:val="none" w:sz="0" w:space="0" w:color="auto"/>
        <w:left w:val="none" w:sz="0" w:space="0" w:color="auto"/>
        <w:bottom w:val="none" w:sz="0" w:space="0" w:color="auto"/>
        <w:right w:val="none" w:sz="0" w:space="0" w:color="auto"/>
      </w:divBdr>
    </w:div>
    <w:div w:id="1630671974">
      <w:bodyDiv w:val="1"/>
      <w:marLeft w:val="0"/>
      <w:marRight w:val="0"/>
      <w:marTop w:val="0"/>
      <w:marBottom w:val="0"/>
      <w:divBdr>
        <w:top w:val="none" w:sz="0" w:space="0" w:color="auto"/>
        <w:left w:val="none" w:sz="0" w:space="0" w:color="auto"/>
        <w:bottom w:val="none" w:sz="0" w:space="0" w:color="auto"/>
        <w:right w:val="none" w:sz="0" w:space="0" w:color="auto"/>
      </w:divBdr>
    </w:div>
    <w:div w:id="1647516149">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56642085">
      <w:bodyDiv w:val="1"/>
      <w:marLeft w:val="0"/>
      <w:marRight w:val="0"/>
      <w:marTop w:val="0"/>
      <w:marBottom w:val="0"/>
      <w:divBdr>
        <w:top w:val="none" w:sz="0" w:space="0" w:color="auto"/>
        <w:left w:val="none" w:sz="0" w:space="0" w:color="auto"/>
        <w:bottom w:val="none" w:sz="0" w:space="0" w:color="auto"/>
        <w:right w:val="none" w:sz="0" w:space="0" w:color="auto"/>
      </w:divBdr>
    </w:div>
    <w:div w:id="1681275198">
      <w:bodyDiv w:val="1"/>
      <w:marLeft w:val="0"/>
      <w:marRight w:val="0"/>
      <w:marTop w:val="0"/>
      <w:marBottom w:val="0"/>
      <w:divBdr>
        <w:top w:val="none" w:sz="0" w:space="0" w:color="auto"/>
        <w:left w:val="none" w:sz="0" w:space="0" w:color="auto"/>
        <w:bottom w:val="none" w:sz="0" w:space="0" w:color="auto"/>
        <w:right w:val="none" w:sz="0" w:space="0" w:color="auto"/>
      </w:divBdr>
    </w:div>
    <w:div w:id="1736320637">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7804934">
      <w:bodyDiv w:val="1"/>
      <w:marLeft w:val="0"/>
      <w:marRight w:val="0"/>
      <w:marTop w:val="0"/>
      <w:marBottom w:val="0"/>
      <w:divBdr>
        <w:top w:val="none" w:sz="0" w:space="0" w:color="auto"/>
        <w:left w:val="none" w:sz="0" w:space="0" w:color="auto"/>
        <w:bottom w:val="none" w:sz="0" w:space="0" w:color="auto"/>
        <w:right w:val="none" w:sz="0" w:space="0" w:color="auto"/>
      </w:divBdr>
    </w:div>
    <w:div w:id="1782721268">
      <w:bodyDiv w:val="1"/>
      <w:marLeft w:val="0"/>
      <w:marRight w:val="0"/>
      <w:marTop w:val="0"/>
      <w:marBottom w:val="0"/>
      <w:divBdr>
        <w:top w:val="none" w:sz="0" w:space="0" w:color="auto"/>
        <w:left w:val="none" w:sz="0" w:space="0" w:color="auto"/>
        <w:bottom w:val="none" w:sz="0" w:space="0" w:color="auto"/>
        <w:right w:val="none" w:sz="0" w:space="0" w:color="auto"/>
      </w:divBdr>
    </w:div>
    <w:div w:id="1784616003">
      <w:bodyDiv w:val="1"/>
      <w:marLeft w:val="0"/>
      <w:marRight w:val="0"/>
      <w:marTop w:val="0"/>
      <w:marBottom w:val="0"/>
      <w:divBdr>
        <w:top w:val="none" w:sz="0" w:space="0" w:color="auto"/>
        <w:left w:val="none" w:sz="0" w:space="0" w:color="auto"/>
        <w:bottom w:val="none" w:sz="0" w:space="0" w:color="auto"/>
        <w:right w:val="none" w:sz="0" w:space="0" w:color="auto"/>
      </w:divBdr>
    </w:div>
    <w:div w:id="1794906809">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7527744">
      <w:bodyDiv w:val="1"/>
      <w:marLeft w:val="0"/>
      <w:marRight w:val="0"/>
      <w:marTop w:val="0"/>
      <w:marBottom w:val="0"/>
      <w:divBdr>
        <w:top w:val="none" w:sz="0" w:space="0" w:color="auto"/>
        <w:left w:val="none" w:sz="0" w:space="0" w:color="auto"/>
        <w:bottom w:val="none" w:sz="0" w:space="0" w:color="auto"/>
        <w:right w:val="none" w:sz="0" w:space="0" w:color="auto"/>
      </w:divBdr>
    </w:div>
    <w:div w:id="1816294066">
      <w:bodyDiv w:val="1"/>
      <w:marLeft w:val="0"/>
      <w:marRight w:val="0"/>
      <w:marTop w:val="0"/>
      <w:marBottom w:val="0"/>
      <w:divBdr>
        <w:top w:val="none" w:sz="0" w:space="0" w:color="auto"/>
        <w:left w:val="none" w:sz="0" w:space="0" w:color="auto"/>
        <w:bottom w:val="none" w:sz="0" w:space="0" w:color="auto"/>
        <w:right w:val="none" w:sz="0" w:space="0" w:color="auto"/>
      </w:divBdr>
    </w:div>
    <w:div w:id="1824545367">
      <w:bodyDiv w:val="1"/>
      <w:marLeft w:val="0"/>
      <w:marRight w:val="0"/>
      <w:marTop w:val="0"/>
      <w:marBottom w:val="0"/>
      <w:divBdr>
        <w:top w:val="none" w:sz="0" w:space="0" w:color="auto"/>
        <w:left w:val="none" w:sz="0" w:space="0" w:color="auto"/>
        <w:bottom w:val="none" w:sz="0" w:space="0" w:color="auto"/>
        <w:right w:val="none" w:sz="0" w:space="0" w:color="auto"/>
      </w:divBdr>
    </w:div>
    <w:div w:id="1837568291">
      <w:bodyDiv w:val="1"/>
      <w:marLeft w:val="0"/>
      <w:marRight w:val="0"/>
      <w:marTop w:val="0"/>
      <w:marBottom w:val="0"/>
      <w:divBdr>
        <w:top w:val="none" w:sz="0" w:space="0" w:color="auto"/>
        <w:left w:val="none" w:sz="0" w:space="0" w:color="auto"/>
        <w:bottom w:val="none" w:sz="0" w:space="0" w:color="auto"/>
        <w:right w:val="none" w:sz="0" w:space="0" w:color="auto"/>
      </w:divBdr>
    </w:div>
    <w:div w:id="188228315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17737692">
      <w:bodyDiv w:val="1"/>
      <w:marLeft w:val="0"/>
      <w:marRight w:val="0"/>
      <w:marTop w:val="0"/>
      <w:marBottom w:val="0"/>
      <w:divBdr>
        <w:top w:val="none" w:sz="0" w:space="0" w:color="auto"/>
        <w:left w:val="none" w:sz="0" w:space="0" w:color="auto"/>
        <w:bottom w:val="none" w:sz="0" w:space="0" w:color="auto"/>
        <w:right w:val="none" w:sz="0" w:space="0" w:color="auto"/>
      </w:divBdr>
    </w:div>
    <w:div w:id="1918594874">
      <w:bodyDiv w:val="1"/>
      <w:marLeft w:val="0"/>
      <w:marRight w:val="0"/>
      <w:marTop w:val="0"/>
      <w:marBottom w:val="0"/>
      <w:divBdr>
        <w:top w:val="none" w:sz="0" w:space="0" w:color="auto"/>
        <w:left w:val="none" w:sz="0" w:space="0" w:color="auto"/>
        <w:bottom w:val="none" w:sz="0" w:space="0" w:color="auto"/>
        <w:right w:val="none" w:sz="0" w:space="0" w:color="auto"/>
      </w:divBdr>
    </w:div>
    <w:div w:id="1952273524">
      <w:bodyDiv w:val="1"/>
      <w:marLeft w:val="0"/>
      <w:marRight w:val="0"/>
      <w:marTop w:val="0"/>
      <w:marBottom w:val="0"/>
      <w:divBdr>
        <w:top w:val="none" w:sz="0" w:space="0" w:color="auto"/>
        <w:left w:val="none" w:sz="0" w:space="0" w:color="auto"/>
        <w:bottom w:val="none" w:sz="0" w:space="0" w:color="auto"/>
        <w:right w:val="none" w:sz="0" w:space="0" w:color="auto"/>
      </w:divBdr>
    </w:div>
    <w:div w:id="1952667057">
      <w:bodyDiv w:val="1"/>
      <w:marLeft w:val="0"/>
      <w:marRight w:val="0"/>
      <w:marTop w:val="0"/>
      <w:marBottom w:val="0"/>
      <w:divBdr>
        <w:top w:val="none" w:sz="0" w:space="0" w:color="auto"/>
        <w:left w:val="none" w:sz="0" w:space="0" w:color="auto"/>
        <w:bottom w:val="none" w:sz="0" w:space="0" w:color="auto"/>
        <w:right w:val="none" w:sz="0" w:space="0" w:color="auto"/>
      </w:divBdr>
    </w:div>
    <w:div w:id="1965306932">
      <w:bodyDiv w:val="1"/>
      <w:marLeft w:val="0"/>
      <w:marRight w:val="0"/>
      <w:marTop w:val="0"/>
      <w:marBottom w:val="0"/>
      <w:divBdr>
        <w:top w:val="none" w:sz="0" w:space="0" w:color="auto"/>
        <w:left w:val="none" w:sz="0" w:space="0" w:color="auto"/>
        <w:bottom w:val="none" w:sz="0" w:space="0" w:color="auto"/>
        <w:right w:val="none" w:sz="0" w:space="0" w:color="auto"/>
      </w:divBdr>
    </w:div>
    <w:div w:id="1977029286">
      <w:bodyDiv w:val="1"/>
      <w:marLeft w:val="0"/>
      <w:marRight w:val="0"/>
      <w:marTop w:val="0"/>
      <w:marBottom w:val="0"/>
      <w:divBdr>
        <w:top w:val="none" w:sz="0" w:space="0" w:color="auto"/>
        <w:left w:val="none" w:sz="0" w:space="0" w:color="auto"/>
        <w:bottom w:val="none" w:sz="0" w:space="0" w:color="auto"/>
        <w:right w:val="none" w:sz="0" w:space="0" w:color="auto"/>
      </w:divBdr>
    </w:div>
    <w:div w:id="1985891477">
      <w:bodyDiv w:val="1"/>
      <w:marLeft w:val="0"/>
      <w:marRight w:val="0"/>
      <w:marTop w:val="0"/>
      <w:marBottom w:val="0"/>
      <w:divBdr>
        <w:top w:val="none" w:sz="0" w:space="0" w:color="auto"/>
        <w:left w:val="none" w:sz="0" w:space="0" w:color="auto"/>
        <w:bottom w:val="none" w:sz="0" w:space="0" w:color="auto"/>
        <w:right w:val="none" w:sz="0" w:space="0" w:color="auto"/>
      </w:divBdr>
    </w:div>
    <w:div w:id="1991253345">
      <w:bodyDiv w:val="1"/>
      <w:marLeft w:val="0"/>
      <w:marRight w:val="0"/>
      <w:marTop w:val="0"/>
      <w:marBottom w:val="0"/>
      <w:divBdr>
        <w:top w:val="none" w:sz="0" w:space="0" w:color="auto"/>
        <w:left w:val="none" w:sz="0" w:space="0" w:color="auto"/>
        <w:bottom w:val="none" w:sz="0" w:space="0" w:color="auto"/>
        <w:right w:val="none" w:sz="0" w:space="0" w:color="auto"/>
      </w:divBdr>
    </w:div>
    <w:div w:id="2025595543">
      <w:bodyDiv w:val="1"/>
      <w:marLeft w:val="0"/>
      <w:marRight w:val="0"/>
      <w:marTop w:val="0"/>
      <w:marBottom w:val="0"/>
      <w:divBdr>
        <w:top w:val="none" w:sz="0" w:space="0" w:color="auto"/>
        <w:left w:val="none" w:sz="0" w:space="0" w:color="auto"/>
        <w:bottom w:val="none" w:sz="0" w:space="0" w:color="auto"/>
        <w:right w:val="none" w:sz="0" w:space="0" w:color="auto"/>
      </w:divBdr>
    </w:div>
    <w:div w:id="2030134426">
      <w:bodyDiv w:val="1"/>
      <w:marLeft w:val="0"/>
      <w:marRight w:val="0"/>
      <w:marTop w:val="0"/>
      <w:marBottom w:val="0"/>
      <w:divBdr>
        <w:top w:val="none" w:sz="0" w:space="0" w:color="auto"/>
        <w:left w:val="none" w:sz="0" w:space="0" w:color="auto"/>
        <w:bottom w:val="none" w:sz="0" w:space="0" w:color="auto"/>
        <w:right w:val="none" w:sz="0" w:space="0" w:color="auto"/>
      </w:divBdr>
    </w:div>
    <w:div w:id="2043826942">
      <w:bodyDiv w:val="1"/>
      <w:marLeft w:val="0"/>
      <w:marRight w:val="0"/>
      <w:marTop w:val="0"/>
      <w:marBottom w:val="0"/>
      <w:divBdr>
        <w:top w:val="none" w:sz="0" w:space="0" w:color="auto"/>
        <w:left w:val="none" w:sz="0" w:space="0" w:color="auto"/>
        <w:bottom w:val="none" w:sz="0" w:space="0" w:color="auto"/>
        <w:right w:val="none" w:sz="0" w:space="0" w:color="auto"/>
      </w:divBdr>
    </w:div>
    <w:div w:id="2046638442">
      <w:bodyDiv w:val="1"/>
      <w:marLeft w:val="0"/>
      <w:marRight w:val="0"/>
      <w:marTop w:val="0"/>
      <w:marBottom w:val="0"/>
      <w:divBdr>
        <w:top w:val="none" w:sz="0" w:space="0" w:color="auto"/>
        <w:left w:val="none" w:sz="0" w:space="0" w:color="auto"/>
        <w:bottom w:val="none" w:sz="0" w:space="0" w:color="auto"/>
        <w:right w:val="none" w:sz="0" w:space="0" w:color="auto"/>
      </w:divBdr>
    </w:div>
    <w:div w:id="2055736419">
      <w:bodyDiv w:val="1"/>
      <w:marLeft w:val="0"/>
      <w:marRight w:val="0"/>
      <w:marTop w:val="0"/>
      <w:marBottom w:val="0"/>
      <w:divBdr>
        <w:top w:val="none" w:sz="0" w:space="0" w:color="auto"/>
        <w:left w:val="none" w:sz="0" w:space="0" w:color="auto"/>
        <w:bottom w:val="none" w:sz="0" w:space="0" w:color="auto"/>
        <w:right w:val="none" w:sz="0" w:space="0" w:color="auto"/>
      </w:divBdr>
    </w:div>
    <w:div w:id="2056391874">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6903262">
      <w:bodyDiv w:val="1"/>
      <w:marLeft w:val="0"/>
      <w:marRight w:val="0"/>
      <w:marTop w:val="0"/>
      <w:marBottom w:val="0"/>
      <w:divBdr>
        <w:top w:val="none" w:sz="0" w:space="0" w:color="auto"/>
        <w:left w:val="none" w:sz="0" w:space="0" w:color="auto"/>
        <w:bottom w:val="none" w:sz="0" w:space="0" w:color="auto"/>
        <w:right w:val="none" w:sz="0" w:space="0" w:color="auto"/>
      </w:divBdr>
    </w:div>
    <w:div w:id="2087871216">
      <w:bodyDiv w:val="1"/>
      <w:marLeft w:val="0"/>
      <w:marRight w:val="0"/>
      <w:marTop w:val="0"/>
      <w:marBottom w:val="0"/>
      <w:divBdr>
        <w:top w:val="none" w:sz="0" w:space="0" w:color="auto"/>
        <w:left w:val="none" w:sz="0" w:space="0" w:color="auto"/>
        <w:bottom w:val="none" w:sz="0" w:space="0" w:color="auto"/>
        <w:right w:val="none" w:sz="0" w:space="0" w:color="auto"/>
      </w:divBdr>
    </w:div>
    <w:div w:id="2103916159">
      <w:bodyDiv w:val="1"/>
      <w:marLeft w:val="0"/>
      <w:marRight w:val="0"/>
      <w:marTop w:val="0"/>
      <w:marBottom w:val="0"/>
      <w:divBdr>
        <w:top w:val="none" w:sz="0" w:space="0" w:color="auto"/>
        <w:left w:val="none" w:sz="0" w:space="0" w:color="auto"/>
        <w:bottom w:val="none" w:sz="0" w:space="0" w:color="auto"/>
        <w:right w:val="none" w:sz="0" w:space="0" w:color="auto"/>
      </w:divBdr>
    </w:div>
    <w:div w:id="2118676811">
      <w:bodyDiv w:val="1"/>
      <w:marLeft w:val="0"/>
      <w:marRight w:val="0"/>
      <w:marTop w:val="0"/>
      <w:marBottom w:val="0"/>
      <w:divBdr>
        <w:top w:val="none" w:sz="0" w:space="0" w:color="auto"/>
        <w:left w:val="none" w:sz="0" w:space="0" w:color="auto"/>
        <w:bottom w:val="none" w:sz="0" w:space="0" w:color="auto"/>
        <w:right w:val="none" w:sz="0" w:space="0" w:color="auto"/>
      </w:divBdr>
    </w:div>
    <w:div w:id="2127505619">
      <w:bodyDiv w:val="1"/>
      <w:marLeft w:val="0"/>
      <w:marRight w:val="0"/>
      <w:marTop w:val="0"/>
      <w:marBottom w:val="0"/>
      <w:divBdr>
        <w:top w:val="none" w:sz="0" w:space="0" w:color="auto"/>
        <w:left w:val="none" w:sz="0" w:space="0" w:color="auto"/>
        <w:bottom w:val="none" w:sz="0" w:space="0" w:color="auto"/>
        <w:right w:val="none" w:sz="0" w:space="0" w:color="auto"/>
      </w:divBdr>
    </w:div>
    <w:div w:id="213937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0B794-7670-4BDA-B440-23D296353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5535</Words>
  <Characters>31550</Characters>
  <Application>Microsoft Office Word</Application>
  <DocSecurity>0</DocSecurity>
  <Lines>262</Lines>
  <Paragraphs>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Air spaces in patients diagnosed with COVID-19 pneumonitis- a rare complication</vt:lpstr>
      <vt:lpstr/>
    </vt:vector>
  </TitlesOfParts>
  <Company>Microsoft</Company>
  <LinksUpToDate>false</LinksUpToDate>
  <CharactersWithSpaces>37011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spaces in patients diagnosed with COVID-19 pneumonitis- a rare complication</dc:title>
  <dc:creator>Katarzyna Zimna</dc:creator>
  <cp:keywords>COVID-19; pneumatocele</cp:keywords>
  <cp:lastModifiedBy>t21617</cp:lastModifiedBy>
  <cp:revision>22</cp:revision>
  <cp:lastPrinted>2022-10-17T09:09:00Z</cp:lastPrinted>
  <dcterms:created xsi:type="dcterms:W3CDTF">2026-07-07T05:19:00Z</dcterms:created>
  <dcterms:modified xsi:type="dcterms:W3CDTF">2026-08-17T09:32:00Z</dcterms:modified>
</cp:coreProperties>
</file>