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7CF20" w14:textId="77777777" w:rsidR="00FE782D" w:rsidRDefault="00000000">
      <w:pPr>
        <w:spacing w:after="173" w:line="259" w:lineRule="auto"/>
        <w:ind w:left="6783" w:firstLine="0"/>
        <w:jc w:val="left"/>
      </w:pPr>
      <w:r>
        <w:rPr>
          <w:noProof/>
          <w:sz w:val="22"/>
          <w:szCs w:val="22"/>
        </w:rPr>
        <mc:AlternateContent>
          <mc:Choice Requires="wpg">
            <w:drawing>
              <wp:inline distT="0" distB="0" distL="0" distR="0" wp14:anchorId="6BFE59D6" wp14:editId="17C95437">
                <wp:extent cx="1575303" cy="366665"/>
                <wp:effectExtent l="0" t="0" r="0" b="0"/>
                <wp:docPr id="1" name="Group 1"/>
                <wp:cNvGraphicFramePr/>
                <a:graphic xmlns:a="http://schemas.openxmlformats.org/drawingml/2006/main">
                  <a:graphicData uri="http://schemas.microsoft.com/office/word/2010/wordprocessingGroup">
                    <wpg:wgp>
                      <wpg:cNvGrpSpPr/>
                      <wpg:grpSpPr>
                        <a:xfrm>
                          <a:off x="0" y="0"/>
                          <a:ext cx="1575303" cy="366665"/>
                          <a:chOff x="4558325" y="3596650"/>
                          <a:chExt cx="1575350" cy="366700"/>
                        </a:xfrm>
                      </wpg:grpSpPr>
                      <wpg:grpSp>
                        <wpg:cNvPr id="633946684" name="Group 633946684"/>
                        <wpg:cNvGrpSpPr/>
                        <wpg:grpSpPr>
                          <a:xfrm>
                            <a:off x="4558349" y="3596668"/>
                            <a:ext cx="1575303" cy="366665"/>
                            <a:chOff x="0" y="0"/>
                            <a:chExt cx="1655445" cy="477520"/>
                          </a:xfrm>
                        </wpg:grpSpPr>
                        <wps:wsp>
                          <wps:cNvPr id="63254524" name="Rectangle 63254524"/>
                          <wps:cNvSpPr/>
                          <wps:spPr>
                            <a:xfrm>
                              <a:off x="0" y="0"/>
                              <a:ext cx="1655425" cy="477500"/>
                            </a:xfrm>
                            <a:prstGeom prst="rect">
                              <a:avLst/>
                            </a:prstGeom>
                            <a:noFill/>
                            <a:ln>
                              <a:noFill/>
                            </a:ln>
                          </wps:spPr>
                          <wps:txbx>
                            <w:txbxContent>
                              <w:p w14:paraId="41A4DD15" w14:textId="77777777" w:rsidR="006C2487" w:rsidRDefault="006C2487">
                                <w:pPr>
                                  <w:spacing w:after="0" w:line="240" w:lineRule="auto"/>
                                  <w:ind w:left="0" w:firstLine="0"/>
                                  <w:jc w:val="left"/>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rotWithShape="1">
                            <a:blip r:embed="rId7">
                              <a:alphaModFix/>
                            </a:blip>
                            <a:srcRect/>
                            <a:stretch/>
                          </pic:blipFill>
                          <pic:spPr>
                            <a:xfrm>
                              <a:off x="0" y="0"/>
                              <a:ext cx="896620" cy="477520"/>
                            </a:xfrm>
                            <a:prstGeom prst="rect">
                              <a:avLst/>
                            </a:prstGeom>
                            <a:noFill/>
                            <a:ln>
                              <a:noFill/>
                            </a:ln>
                          </pic:spPr>
                        </pic:pic>
                        <pic:pic xmlns:pic="http://schemas.openxmlformats.org/drawingml/2006/picture">
                          <pic:nvPicPr>
                            <pic:cNvPr id="5" name="Shape 5"/>
                            <pic:cNvPicPr preferRelativeResize="0"/>
                          </pic:nvPicPr>
                          <pic:blipFill rotWithShape="1">
                            <a:blip r:embed="rId8">
                              <a:alphaModFix/>
                            </a:blip>
                            <a:srcRect/>
                            <a:stretch/>
                          </pic:blipFill>
                          <pic:spPr>
                            <a:xfrm>
                              <a:off x="926465" y="50"/>
                              <a:ext cx="728980" cy="414096"/>
                            </a:xfrm>
                            <a:prstGeom prst="rect">
                              <a:avLst/>
                            </a:prstGeom>
                            <a:noFill/>
                            <a:ln>
                              <a:noFill/>
                            </a:ln>
                          </pic:spPr>
                        </pic:pic>
                      </wpg:grpSp>
                    </wpg:wgp>
                  </a:graphicData>
                </a:graphic>
              </wp:inline>
            </w:drawing>
          </mc:Choice>
          <mc:Fallback>
            <w:pict>
              <v:group w14:anchorId="6BFE59D6" id="Group 1" o:spid="_x0000_s1026" style="width:124.05pt;height:28.85pt;mso-position-horizontal-relative:char;mso-position-vertical-relative:line" coordorigin="45583,35966" coordsize="15753,36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iZI5aQMAAIoKAAAOAAAAZHJzL2Uyb0RvYy54bWzUVttu2zgQfS+w/0Dw&#10;vZEtS7ItxC4WmyYo0EuQ7qLPNEVZxEokS9KX7NfvDCnJrrPYpt0L0ACRNRQ1POfwzFDXr45dS/bC&#10;OqnVik6vJpQIxXUl1XZFf/v19uWCEueZqlirlVjRR+Hoq/VPL64PphSpbnRbCUsgiXLlwaxo470p&#10;k8TxRnTMXWkjFDyste2Yh9Buk8qyA2Tv2iSdTIrkoG1lrObCORi9iQ/pOuSva8H9h7p2wpN2RQGb&#10;D1cbrhu8JutrVm4tM43kPQz2HSg6JhUsOqa6YZ6RnZVPUnWSW+107a+47hJd15KLwAHYTCcXbO6s&#10;3pnAZVsetmaUCaS90Om70/L3+ztrPpp7C0oczBa0CBFyOda2w19ASY5BssdRMnH0hMPgNJ/ns8mM&#10;Eg7PZgX85VFT3oDw+FqW54tZmlOCE/IlTOhV583r8yQwPCSZT8KUZICQfAFsDCJgYHBviaxWtJjN&#10;lllRLDJKFOvAbEE/chruKX4D5wA+W57AF4tI7/n8gdZJtjPORZ5nGciCwmXzeZ7+PWcoD3dygPtn&#10;DvjYMCOCsVx5rl+aZ3k6yvcA1cPUthUgYf8kKBjeGS3jSgfuebZfkDa6YaB9sdWsNNb5O6E7gjcr&#10;agFEqCy2f+s8rA+uGKbgokrfyraFcVa26osBmIgjYJ4BIt754+bYs9jo6hGs4wy/lbDWW+b8PbNQ&#10;/lNKDtASVtR93jErKGnfKFB8OQ3I/Xlgz4PNecAUbzR0Gu4tJTH4xYfOE1H+vPO6loER4opgeriw&#10;1etrI3kJ/33Vw92TPf96d4S3/A4ZxA7bPStHx+zvO/MSGpRhXm5kK/1jaLawDwhK7e8lxy3H4GSf&#10;0TfBXSTDQhlm4HzYUFEL+yBayLoXD8LJP6BIo+2f5N200uDOEqv9J+mbkBS3BtXDhz0lUPSiF/6F&#10;KrHP3mi+64Ty8eCwAYdWrpHGUWJL0W0EdBH7poqLsNY07J2ubiUaBtyEq+LqznIsjeA5563wvMEJ&#10;SGFAHZl/S2EsoDNCCxjr4qIdnEz/r9UF4o0IA3QII2q4+WE8B40ktvrouXD2IC905Y/luTQ2uf/K&#10;c8u0yOBoxqNoOH+HI2yeLpaLwXnTbLIssHLHw/d/ct7pjA89MHzwBBT9xxl+UZ3HYdbpE3L9JwAA&#10;AP//AwBQSwMECgAAAAAAAAAhAONem0gcMAAAHDAAABQAAABkcnMvbWVkaWEvaW1hZ2UxLnBuZ4lQ&#10;TkcNChoKAAAADUlIRFIAAADFAAAAaAgGAAAAQbo0wAAAAAFzUkdCAK7OHOkAAAAEZ0FNQQAAsY8L&#10;/GEFAAAACXBIWXMAAA7DAAAOwwHHb6hkAAAvsUlEQVR4Xu18CZxVxZV31b33rf1eL9DN0kCzbwoo&#10;IKgsYgQRo0ZRITEmmkTFcfsyM+YbY0zM+OVzSRy3uC/RKBqjiIqKKBBkp9m7bWi2buh939/+7lJz&#10;zuUd5vL69QLqmMzc/89j3Vu36lTVqbPVfbdhNmzYsGHDhg0bNmzYsGHDhg0bNmzYsGHDhg0bNmzY&#10;sGHDhg0bNmzYsGHDhg0bNmzYsGHjWwZP0DeGb5T5/2KQXEWitHFqsOplb3TUKuevLHPbKE4fKDtT&#10;fosWLeLLli2juq42xUiUCNtYTgbKTc57rtxf0VzvY07dzXSVs1A4wsLtISZzJ4sJnT39/QC0S5Yj&#10;ybKnstewjaK3eFfIgyu3ZbQMkZ1yc1+/poUz4nHdzwRPE0J4mS48XJKCfXY++HnjsmVqohduSDIh&#10;rNf/E0B61Ls1zREKm7TKmzF+cHYwLoYLjZ8hBB8LXAYziWcKwdI5MzIZlzKZ0CNgBlWSxMsNTa/l&#10;RmS7Ur59d3zrxlb25Qch4EayJEKjSa5DUNkjbKPoBUDpZeWJ4ssNIe4AifUDsTth8xzMEG4mCTdn&#10;kgdErggjvtGz46EbwsuW4WaZXS2Em0VkrUf6RwDqilVfeqM7uFZsd3yN//KO25s3ZmyYO+Zywecw&#10;3TgTHMkAaOE2mwkD/necrQRWwHhiCLASAwBcdMaFKjS9humRtVLl4RX6lueKWGF+GFpZ5YukJ0qr&#10;jHsl78So3zis4+A1ThZB9T1O9FuDEBIYxEzNYE9zbkyUFYeUeNIJWiS0wfXuL26K7fmCjII2h0hL&#10;lNbNIln8vQD3hLMFTznYGTP9aYP1/lGW1h/UMptpehZTQFMN3s6FCDItGpKjLXWehrLa9udvj0I/&#10;61pofYKNWiA77nhgvKa7fySYvJBLfCjKVVaU09Y/XdM0pserWWvzn5VNL7yvbl7eDNUoXyuR/LGk&#10;ufUo79OeVDc4LlQrfvlJBlP1TLa/rJl99nO0aivIIKwlXX+rgAjB/a8eGR9sj/+RG3wWk5giAxKP&#10;O0ELd2xxvLrkDvVIAa4R10CGgOkUUtxSRxvV4yadJpL3NtVeW+s4GzVKZje/M0Jy8vlCOOeBAIZC&#10;REyHlXjguRPIAQrtgFKCZ6owRAeUdcLQC+W68j/rH/9iHyspicFz2kPDe/u76ZERY+5gknIj59JA&#10;iAAK1HcCKLmAKCCO77ykQ9oEBYhaCKUr4zF0XQhNbWZttW/Lq59aqu36DA2DZI1EskcZW51RtzJP&#10;OVhvgUrDL2Qy++HuTFbHRzMHy2Oy82wY388UaRwXbDSEwAg0DUBobJECLQ/rD3xnB3Y1GfzX5Gii&#10;WFrpW8WkNwrS9je5LtUNbT7E8gis4Tuy0zkx8bgTtI7mHcprP71bO3oY12w1CFQU9KR0bd2or2ut&#10;uJcyW/Kik7Wu1ZgYLLMx8zOZQ/HjiO5+mTmqJmcLLmVDyxxoLkuR4Bfab2buZnN+7lHmLZ6ku33X&#10;CllaAOngULB9NIJeQddAO5lWJjXVPKGse2Z1fPvKDqyXf/72eCN39K+Ywz1Plk9WbMMAhTZ0FfUC&#10;HGY1iwdrRSTYwOPRODMgCkhckTz+vobbN4p5MkZBmuWD0NJJX3UdjEmNVcol+U9rL//zOhAtOiR0&#10;PlZCedN+oKxJ11LitIwCjEE6Z22rv6Co+gKdSzdwXUyBSWfBE8wNwRMI9KZckuUT/PV4PCi1Vv5E&#10;f+iyL+CWFMGqGMnX1ObbAxg9u/AnLubMltMmjUwLD5jxgux0L0w87QTe3rjbeO5Hv9HrytEocANw&#10;Q9AI8B6NggifIeE6U21Qt+vOeG1vJov06RMKtPcBSWcJh5zFYmpfUKQ+MGWvEm94R1Z8GVEp7Rec&#10;86nALg5JegZ6XbgG4jIoYxWPtP9OKd29VR0786fM4byeS0quJKMnPx21gIQ/FjnKD297wHjljnzp&#10;9pemiqHTfsUdzjNADzqlnLoWbxLh9vVSReE6XvDpMf3Inghrq0NZoO5ITHYpzOsH1zotU8z+ySWs&#10;/5jLZbenj9k5Cboa16DvGvHibU+xxtIWqCKZkzMiwyCZd+uMusyPu8LUXcKrPH5ofsH+hpcNwd9U&#10;JPla2aGMAGFmweI9UDpQCFaDIIhgC4ZhH1AakBcIjMgkDMkoDNOYLPTtgkOs2/B6nK15LDp5ZAYI&#10;laNAu4RqGBLsNq4L14mEazPTDiBMG2iNKHckeerUqdZ7Wrf1/gTMA/+LpbPaW10rOiIdyzVF+qvB&#10;5TeFLv4sFMczkKX/DgzjFiPKBunxWC6XxRmwN4Nkh2M4eP4+kIakw5nIC6UL2LkEV6bFx89+jjk8&#10;/yo7XHmwZ4qhQ1KiqhFdjbUBNQO1G5oaxVqYwPGJpARMVXLkiqzcWfJl/zxJDJ78C+ZwnJlsEAZ4&#10;dj0eaWbVB//Elt77gvHynYX6zk/RIBQmy17mzUxj/mwvy+znggihGA01EX4of6eIh2oSLFJBZmlZ&#10;Z0M/cMwnZE/yx7WSflll3CW6fZgM2BRFfrL4Goh7/x9C7MhUik/Q49EWsMOg0NUQjBIF9fLw4k0P&#10;GUv/dTc+ThB5U7JkCnNI5EG79ZrfMHB9piD9P74jIzjxppdkl/dq80kKaM01hdJzP3rEaKpBL4Vr&#10;QU8VViZc6BTDpzjZwPFukTkojXnTMpjHkw6rD7sb97wffvKf0LvROq2ldf1i165dyvSNnoUg93cS&#10;dZ0AXrNZqj5wi3A40kW/kfeDso9IPDoJoPj4JkfnXEYnxiEN0ZimNbJoqIhF2op5R1MlC7a0QFqj&#10;sqwhQ0XO0AuYL2smUxQvBJOTFJ2ga6om2ht38HikjuXkXQkGiIp4EiBjiEmBxo+kTa++Z7TWgl91&#10;u5nH62Z9BmWJ9P6ZzJ8FssnMYC5fpnB7Mxh3uLniSGMu9xDZ6fEn2HQCRgvx8m23skNbquEWowPu&#10;AaZSSBShSddQt7rUr1MyCuXJg9PAkfwR+EwHp9JJMOgFhKrVi2DTaqnu4G7WWNaiNDVEdREy9Ky8&#10;DLbrg6OsrgzfzKAxoNLgBK2TRcJn36ZRmDJZAgr40tLKNOZzZDBV9mX1UbLalOwHZIfnIrNVCuiB&#10;1nJW8eV65nR7mDfDx9yg/A64VpxO2FyPkCTYYBk8GPfCqhzCUHc6ju28WX1uSRV0t66XrrFEWZgy&#10;AKOQe2MUytGdd+mSnC6GTb4HjGJ44lFKwJ5pIhoqFU0V69mezzexg+urWJ15WMZxURZIsnz23Bz9&#10;kn/5Ac/Ju0J2ODHSdwKMbUB+3wipmlN2p6HX7gRoo7JI+5dwGFCZLMHZ0+mHbA7kIyvma24sOURV&#10;LjlS6ZgJM2KZr2nhYA7XENGFpquQPt3JSrdiRKH0CQ0C9Q2vkUjHutWvXhvFLiEc0x/fdw9wuA88&#10;AIalTgDv0woCfUN+5afLtbY2rKKQhcDBcTLW6EA5n9Uw/juMgjY7GWZ93nPleU1qeF5EVWcJzseD&#10;yAcySYbDqaHI4FiPN00N8JbmfEFG3coW2wk1tlsp+Pg27a8PoHej9eLaSU50bT5799135R9UjF8o&#10;ORx/hfuUgHSnle/97N/As6aLcbN/DpEtL/GoE3Q9boiOll3SmmdfNLYsI8O0klX+kjT/jpFi7s/+&#10;HRS+a55qXIDR9FqvuoIpRw5jo9LjOylMZfGXCqF2sHi0UUSDjTzS1iwCLc28ta6Zt9d38K3vHNaD&#10;LWgIVqMgwnusR2eMsk1e3wn0evITP2nL2new8gnIT29MVHWCFmzbL61+7hFjwxt1cGs1CJwAbq7V&#10;GIjQILDEemv6RJPtNGmAdd54bV0c3bMlL76ofKYv8FU0l/mY0+P1uv2+cDQEXlrygZ/uKzM54mg5&#10;sCP64HX1bNIkh3zds+cbSvqPYfvncC4NgA1xmiki/Yj0NcI0ili4QF7/yt366pfRu9G6adPIQeC9&#10;qaRDhw6VK+9ccZXkdL8N9ymhx2JtfMfy+02jmHTxP8lu/+DEoyQI2K/2cmn9q88aa146YlYcHx/H&#10;ojkQmfvhPOfy7PjVv35UScs8E+5PC+arV3Ms+E+LR6AiKDQ1JOlaAA4bAcivAhACQkyNt7JYpJXH&#10;g21SsLmdt9a0G+0NMRYKGHqkXUCKx1ggwFkcr4PmfgNIXqRXZBgUKbCedOyrG4X33X0DtHrlj4bB&#10;FiWqOsF8+/LaXY/oxwpwQlaDwImQQdDkrMZgNQgYAYcA2rFSYtP6cNZnHGethVIfpyy1pMU09mmL&#10;YFXv0cJOGIEFYtGiRfLyab+9UchiJtyPgPNQNudKHyb0bFPJQdUhh/5caav9tevzDyrCi2+5UTi8&#10;94EhZH6VH5XMFFIHKXFDx59lZdmJB+xOMI0i2rFPXvn4b/Sty8koaEOthHWmYvbaKLa89aBwef1s&#10;8ndvkr3pgxKPToKuxTVWW7qRv3Lza0ZbM46DsqQ50J5gPe2NppxzZZZ25S+fUNKzpsP9KcP0/rFo&#10;OytY+VfWUtnEQ4EYi4fDLBwIs1BriLfXBVm0PQL7EtfhkINdEsTkiTOzxNiLRsrt9W3GoXVtenVl&#10;HBaLj1DPaL9I1/ABGQUSXiNZ9YwM4rSNgnt+v3lgVEl/Slac1ybqOkEHo+Av3/SoUXkYJ4W8cXBc&#10;HE0SrdY6wRMCz7vtl46KfvOGSL7McYw5hkOcHAiiyAEuWUzga15QNEloEuNh0Lk2iP21LBYrcASq&#10;S9XyfQ1s2QP0sZi5yHn33OP6YuD1LxuGdDnov/ukzwYS0MMd70qNR141soYtYGkZt8oS5PtfISro&#10;4WCbaDy2l4c72pkBeUTumAnclz0+VTphKki47QD/4KEHjT2raqEK5YTysG4klliHz7TBgwfLNXd9&#10;dJXk9v4F7lNCj0fb+frXfy88aT429YqfyN6M3MSjk6DHIhFWWbRKPH3De3CLMsMxrApF4+M91quO&#10;OYvT1Ut/+Yri8Z4L9ymBvxsk/yZhBYwbZvtWL+OrX9hh1B3DPSNDRCJ9QML5GHCw59L1vz9PjJlx&#10;I3N5hoHBNDM1ClEk3Cjaao5KjSVHjdJ9tezIF3WsvZ3645xJlrgOvKd1IF9c7wldSUa3+fFJUKM9&#10;aoswdMgCDfSMwFeWmOyRmTcT3znjBGiix8s+o5nzp4/myA9smMP/sPeZypHX7eEZA/KF5P6LkJQH&#10;ISm/C7hcB+napeBsL5adzktkxXUZuOBruSTfrHjS7ue+jGXagHHL+dTL/yDdt+pqdub8bOCNh0DX&#10;to0bXYaqm+vrOgUSPiN9yA+Y238zbGTCICB11XUBYR5S7rgK58EoeFUVlFiDKIDr6BIi3FotvXbH&#10;O+KFmz7gnzzxBe9obUg8Sg0D5qfF8XxmfX1Lr3Ax/USiifco/xMQhgS8rX07A+IkeG3cDwQqBykK&#10;GScZBToyPKyGpJxBqAR4nxJwpoScTA3q8Rj2TQ2U8xkXfU/Mu2O6NHZKH+ZwUyTlTHbKzOlXWNZg&#10;Nxt7XpZj0W8m8Ps+v1dMnPcAc/smyA63X/b4hsnp2ZPlnLz5fPjUW8WUhXfzqZeNV0IhUnwinAMZ&#10;Ca4JjY/2L6UxEHoraMnz209zo+mDn+g2UgSaD4mCTz9kTJG4LytD+PviGxinVHdkh7H0nr9BkxAb&#10;NMiQr7h/lDHkrAWQ917IuDwc8nd8t5/yt43ewMCcRYPoYWiHed2RF41Nf9ruDlVEYze+8SQIfUGX&#10;LwYi4WNMln3gyXPAwxnAqIPrsSYRizaweKQJQjt4Jch7UckkyS2yh85UfJmjE91PAubKoq22WHrm&#10;+qeN1oaolDvGK37w8GKWO3pOl5Ei2HRYWfHw4+qe1fVQhZuHSohkKiEQRVbcXH3JkiXyK8NvuUry&#10;+t+C+5QwI8W6Vx8Tbq+PTV/4Y4gUEHE7Q4+FA+zIzk/Ey7d+BLeoLD2Nr2X+7Hd92sdf8SfZ6Z4L&#10;950ARqGJUHMJD4XaWf+8aSD3lE7XTDFj0SCLdNSySHudCLbWcS3ewRwuJryZ6dyb0Y95/EO4y53L&#10;uARRvrNegLMSTFUbWdW+18WKR1eziiL8FZ2iTrKBYB0SPkdCdOnguo8Ut7/rcz2zb5TyWOH0WNrg&#10;C4Hd0MST1PCkj+Izrvu//PxrfsEmzr2FDzv7Ot5/5KUia9AQxZMuu666ayi/ZentxujznwdjuRMs&#10;fxIIzg/GAJlL8sLJmKHs9kcj05oU2enIlt2eGWLAyAf4/LtuYCPm5IHQ0ON2DYdzGBhFX/yBSrTW&#10;bmDFXzxvLPvd/eK3F/xaPHjJE+LRhW+IJ7//nnjquvelZf++gkXbMM1JiRPnkGA7Cl8AX8G4ThvQ&#10;JcCr4h5YCflYCUElXEn4Y1T3MLQexz0OjoJFQgUhhUGvikSKhGTWxTKyNYimXW8GnqMioUa27/N1&#10;LNhR3VVkxc81ZK/PL/fNHSMPHn+BMm7GYjZu1k1s5LSblCHjF0P9hbLXP1KSHZ5kgzCjuBoLsVDH&#10;dr531SPijbs+BYNAA8Z2tJZURGtFdL0GQPdGMWLM3fGY8Tc4Mb4vZOmPXJEnJ56kBCg4qLcCa3Zy&#10;fCWJBMPDZCXFuP7hi+Ln3vAoT+9/Bzwf2pUX0c2fVHVVj8XbIP+s0aPhCj0aa0MPqKuY06i4wC7B&#10;Ha6hLHPQT6LjL75SMN3HDHGSUK0wFRnfchzZ+Z709j2viTfuzme7P0aPQ7+EYiqD4R28UrsGZ5tu&#10;hQkQzJ+J4+lgyBqTunktaxo65GuyF9McBLa1GgXhxPXurBEOpvCUnv8E8Ee4owWNqD2Jmp6AEyHF&#10;sRoFGQnVG9zj61b2EPVlbhiq2PLOEVa48kPWXn8IImKv5oF70d0LDlMvVDVqhDoKWemu56Tlv3nM&#10;+Ot9e+EcgfNPpOwnZEVrovkT0f5RmRLdGwWXhoEC54ECD4QJ42cclP+lBmw07AVkM6phgP4axwXC&#10;Rb/h88XYWfeC9U8CHp28Nzg2XY9Fm/Rg6y7RUL6MHc5/ShSselhsfushsfalh/jaZ+4VW99+WFTt&#10;X85aardD6G/HMRLdT4L50ZisDGRZg77HFNdAEFOXgjbDeMORnfyT/9hslO6NQkzGuSGRkFF4uIY4&#10;cylRcAo9bLBpNInN4EZ3RgRnJc4Uh5P5MlKmdgCcN83dLEsyZ/aFEDTbrEkBOPsYkJJUsZoDeIDt&#10;LayKQkQKlEz4/+Nld2ivD4uPH93F1jz/Fqs7lq8HWqvwnAE6oaJ+mG3M3x8SZIWpQxrojxrHiABO&#10;sUEPNO0TdeUfieK1j7K373tQPH/Tar1gHf4QRq/9k40hsQcnrq2DJA3YGeSlUoGz+bddBUp8duK+&#10;R4A3D4uOukOsraGEtdYcYIGGQ8zhTVPSs0aAsqbO6zU1yoIt+fzwpj9LKx55X6x8Zodct6eGB9vj&#10;PB5lvLEiwos+axJF6+tZ/gdFUuOhIpbRr4P5cgZJDpc/weYkYMgVXM7ksuTDdCNVToow4tEQL960&#10;Vmx/vwJurYK1pg9mTi1nZBtiyjUXSO60kXCfEkYkUM93vL9FRIIqz8iW2cR5ZzI/rD3l+PhOAsaK&#10;dByTD2yoEgK/lT7hpU+kLEBYL9y3Pds33HfE3RB0rwB+KVMozCtYWcGn0s4PSsXo8wayIWeeLcHh&#10;NPH4JEDbOGutPQSR8SDc4hhIdDDFkq6RTMVyzL7aq3n6L4S9TCkDIQyDhdvL2Oa/7ILzmSEqi1vZ&#10;nk/2SM1leyCKVDE1Vg/R0yHUSIfQjSh+BCXisRD+PgFlm1DDzUY4UM1CrYel9rrdovbgOl78xcfu&#10;bW+szNqz7EvPl6urIhXFlCohyAis+4XzxnOEeQ4CorVhW6Ju0b1RzLv1AtgsB6y1VGjxcvwgDYwk&#10;PfG8E0Sg+aj0yX+8Lr54fSfbvLSAD52cznLHnSc5nCk3EbxHQNQf/Vxa9eRS47PnyuDskc4X3H6+&#10;mHnDd+FMMl+Mm3EhO/PCGWLKFWOkgaMNcayoTtQe6ZAbKqrEqHP6SunZ4xKsOgHmCbojO7oyCISI&#10;dDSwQ1t3sqO7mxJVJGASLBqEefiU+w/SjclXXiS5PCkP2gjTKHYmjEIHrz3x4mEss/9YnEiiyUmA&#10;xM7F0rLTRb9hYYnpUWFwzTwPQJ4AKSB3XPD9dP+iu4er8++er/Yd+UvucHwPojZ+UNkZ4GFFW1Mh&#10;3/LWaqPqQJCPm5XLBo2dKDk9KffLNIoW0ygO4C0QGSEpFikZKpTVKC4H1cgFA4iC3oeFroWFGm0B&#10;pa5l0WAlqyspYntWHsb2QBrT4jHYsxZW8NlhdnRnIdu39m+srHAzqz2cz9qri6SSXZv4sd2bxP4N&#10;61nB6nXsyzWbWcGqbWLHsgKWv/yIKN7S2MeIyvMumHWd0+mMVVRU4EsJnI+Of9qSnp4uZWaC/5Pl&#10;eCwWs74YwLmTUZjzB0L0aBRdKgxAYv9v03hXrCUcW/5ah+PC+QO1odMehhQIhJIaWlNFkfTykmeN&#10;urKwlDs2Tdzy/J0sPecM82yRAlpj+Vbp/YdeNoo3tEiTLxlozL/9Wp49bAYklxhVuCRL0I/jpwNw&#10;gAsc5oWfvmK89+AeeCbznz0zVz5r3r0mo9OE3lJbytb/6S2x4U38RZeMgQwBBUxvY2Kuyec544uf&#10;fgzW/z24Twnzg8Bnr3/UaK5FHjr/4cPnsbMvuUV2eVN+8owwz0hqPAwH1GphxFsgzHEuu5yQAkIi&#10;p2Qw7uwDIkjj3Pz6uMv90sOBKr7l7ReMTx5Hz8/5934xmZ2/qOvfKaLBVlZWtEo8/1P8nQIVB50A&#10;vXkKAtH6sd40mMG/fcxf4527GMJ7lqxFmpVwS2u8vkRjTfWctdUcp5oDqt5ciwqJQGUkR2NVUASm&#10;PcmEoDWeUN6BAwf65s+f/281NTWr1qxZszkjI0M+55xzxmRlZeF3XeArHEYoFNq/YcOGze3t7Thv&#10;ihI4D9OAgJAfEo3fJWgiqXH/7IOxB6+sYQc/jPJAEw3QLdxOt7kYMWPxBObx53ZlEJA2Gby2ZJ9y&#10;bEeIpaV5xbnXzOLZebNlp8ub8PKmQSBkB76/dvcR6f0zsKtJrh6+r4HcxFBVFXLTrj2DdCLnJ4Eh&#10;bxImGQhSLK1/ZpTJUo/rBxAvxgtXFbNo6JiuxZBXSmAwk91pPpbedwzPGHAe9/c7V07vO0VOy5gi&#10;O9NGwtkjC2R4/HOTZEB0gIwpqrfV7eGb3njGWP08GsTx8TnOFZIUNR4HChtqNGCosVYjFmnWQ+1V&#10;LNRxTLTV4vdOx+X5X4RrpDVYiVU9cHdwWOlnbxsfPfKi+odL3488cuUm/bW7C/SP/3BQ3/RmmV60&#10;rgYMohWaklNBwvONSaC84X79+onc3FyG15ZnobPOOit99uzZoxYsWHDOwoUL51566aUzRo8ejfsd&#10;gSgQlSRJhz6x/v37M3h2NRjKHDCEw01NTZvr6ur+VlpaWggGgXuF+0dzJpl1rytJ6N4ojuP4AJJi&#10;CqZ7yCKqxgxIGxkbMmEEfvabeNAZEHdZuCUQj0SY5M1wMWca5L5KyoM8elMRDZRK29/bBbdCzs2V&#10;WdaQLlMnhB6NBKBPvTAECqkn4NqsikFGgaV5HfX7gU/3f09hAt+3HYcw9m9s5tuXL4UoUNLTWxjY&#10;ePPtS3dvYKyAQ3VcD3WUs2N7XpOev+Eh49OnD7B4hBRa56GWZtZYuUXUHl4mju19ke3f8Hu2+e1f&#10;sU8fv5t/+NCv+PL7H5VXP7YN2tIaUU5EJAergSDE0Zd+GWX578E5MIh9sA22JweCih4dNWqUY9Kk&#10;Sf4RI0YY06dP7zNjxoyciy++eOTixYuvBKVfOHfu3BtB8c8fMGAARqEgGIkKBjC6b9++adFo9Bgo&#10;+wF4Ngv6Xow80YA457qiKDGv1xuCew1SKS8YyNShQ4dekJOTkwdGk8ogrFEIieq6RXdnCgQyMUmZ&#10;9l2/njP8YklxdqmMRjhYx/d+lM/CHRo7d/FU8H55cChL+VsBnE84wzPIwY1lRltTXPLnREXWAFm4&#10;PDmwIkUYegz/FkPEwpWsqfJzadvSvxo7PmmAqOJg1z50ERsw9ntgfCnza/w1mjWVb4ExGPf4csDL&#10;plynEWpr4OWF+1j5l3imQIGaBgCEm4WE10iac+wUWR1y/uWS4hgP9ylx4kwRDiIvVChdHMmvk/oM&#10;qmS+vlwozgxYNoRSOGHjVyv46UkvAAalCU0Ng5dvgfNKiWiu2soObvtArH35PfbZH/eJQBsZKyoD&#10;KmpcVO+vZ8X5e9mXq3eyPSuKxO6PS1xHdzRM8AufP1ATbjq4t1lEIpQa4bqta8bSNJQ+ffrwyy67&#10;LO3MM88UxcXFZNjSj370o0kTJkwY0tjY2OrxeKQrrrjisvHjx48AY5g0aNCgwT6fT4f1dUDdD0Hp&#10;F4JCVwUCgQJQ+sNut1sG5Z4LZ4GSw4cP16DCg4LrUJ8GZ4R+aWlpA1wu1wjsD2NuhGdKXl7edyDw&#10;79+6detBiAxfAr8iONOUA7X7/f6Z8Py7zc3N+RAtcO4Ikm0qGWMdGXondH/Q/q+SKzOv9emZg+ZL&#10;cjdKEQal2PvxNhZo1diU7w5nGTkjQIlSHrLxAGw4XA4ej5aL8qJWd+3+JqO8oEhpPPKFobEDrK2+&#10;kNcUr+b5774nrfqPLcbBnW3y0NE+tujBS9jwc34C8bd/qkM0vmZlkbZSvmXZhyJ31HDuzcztyihE&#10;PNzGju0tAqNohFtULDICUg4k0yM6x09S1LxZl4GRnwH3KXHcKD7YLMIBMgpT4UTxhhq5en++7HDt&#10;NlyeCNhqmOtg9JoKhq/rYCD49wBxocVCQo11mAfXSLBBRMPVRqC5hLdU72J1BzdIxZtX8a1vfS59&#10;9lS+sWdVJWs8GsUUCoD/w/FIufH1cgjkEGDhtiDEuQgzjBjoa9bZZ599ByhsoKWlpSwcDpveFbyt&#10;ExS8HzwfAmXO4MGDY6B4AVDCOHj0kZC7/wCUtHXPnj0oJ75kyRIXeOt7wVuPA8ezA5SZQVRYAsYx&#10;OxgMroB266qrq0tAYWPAG3/9liG9eWzt2rXlYASNEydO7At9pmuaVrR///7KRYsWXQFjXBSPx4vb&#10;2tp2QUpUCmnWZOAdKSoq2giGqQCf+cB7OzyrBgPNgfEd0LYNjEOAcU2EudYCr52wJpQBRQUrUEZE&#10;CCo7oadIcQL+2d/3x3wDwCi6VQqIFB9vMzpaVClzoMryJkwSssPflUcUiiODDRo/lOedJan4JurQ&#10;1iajviwg7/u8lO/55CA/uLHSUFtiYsxF/fhl/zpXXPDTG1jOiAVccUKenTrN0MPtlXzHh2/x/KWl&#10;YtrV07s1imiwhZcVFoqyQowUpmdMlGQQSFinuyZMVdTB511uXT/ocxyUOg5RLQIKHebhtjJ34cc7&#10;tKBpFJRamIoqWmvDRtHfqh0l+duNqoPbpdbSrUp9yVYYez2vKtok1x/eysr35fNju7fIBzZvYrs/&#10;+UJsf3892/XhNrb9wwK264MScWBTvWgoiwr8xug4sDwxBhAqORLl9HhNBo4pSjqkJQth3oeqqqoO&#10;gNKql1xyyXljxoyZBYaC/1JJFLx0P0hHrjnjjDN8HR0dRWPHjp0AnvxaUOC9ADyDyJDWoE5eA3wY&#10;eOcN8FwFvpeAEoPOH14BitwKHluDiKFAlJgNz+P79u1bBYaI8+QwDzcY0Bwwgl0wZuOwYcN+DX0b&#10;wBDXwL0P+p0L/EcB/3LgtQsMRgZDnQxp1UHg0QD9R4EhjIF06ywwCi/MYcuOHTvW1NbW4rpJL6xK&#10;j9dECOuzTkipWEkw8zH3fR8MjGWOeAIOwtccr+4MrbmmQPrTLU8Y1aVh2elkxs/f+RnrN3IeXKdM&#10;oRDmR2RCjzEtBl6to5QFmo5BGNGY0+NjTl82HNZHwnV/WAdmYl3MFw+cqsbUeB3f9vaLxkePHZAy&#10;M13GbUvv5H2HToWDesp/mUJvqz/C17+61PjidXwtiYqDSkTf/RCZSpU79ypn7SX33Ssk51TJMCIw&#10;5YAcj7dpgZYAb28M8o7aEDta1GjsXIYfAaLQUVmJJykm1uEzlCkaKsqFPgBEwjrycta10oYmk5mi&#10;AZFhEOFYNB4+N9vDAXU4eNxnQbneASVaCbn/GaC0/6e1tfWNnTt3bgMjwNzdgOjwM1C26WAE/wSR&#10;5Rzoezt44MfffPPNzXDNzz33XC8cjJ+H68ChQ4d+B8qtQpR5EpT4WGFh4QvAqx3bTZ482Td16tT7&#10;gaeybt26eyBaoBykK6+8cjSkRHeBgr++cuXKwquvvnoupFPzoV0mePyyWCy2HiJCE8wnlJ+fj3+b&#10;w/GNExgaXDIDriW4tsoAgdcIvCe5EJEckOg59e+E3kQKs6NywQ/SdXfWgu4jRbAWzhTbRKBVBQ9q&#10;SB5fCxs4Kls4PAMgWqQ84OBbFeCpSIorTfKmD5YyB0xk/pwJ3Js1Fs4DebLLnY59u/q9ATZCF9FI&#10;C6QSq/mKh18yNr6FP8Qx7nTKYtq107g3YxBGCvODPXwVhWmLroZFLBpmoY4qXrKzUFTtp39Iy6pQ&#10;uIGkZHrg2EEtfcL0Q7Ga/R+Kjcs/YbtXrzM2Lt/Jdry5n+1YUSaK1tSImmL6KA15EQ8iq6IiTyyJ&#10;rPc0ByqTr4kXRQQijAzWe2pLfHV8wwMR4TK4LoD8/ggYxDRIgYaD/n2wa9euesj39UgkooMynw0i&#10;GwJKvBK88SBoMw2U9QAoax2kNT5IX6ZDOvV94FMP3n0TtBXZ2dnfgcjTUlFRUdDQ0IBjS8BfgdQn&#10;HfgeAkM5AtEGqhmDrAdSSFEIRlcG1ypEg3JIudaWlJSsAiPbDG2rYOwWiGb4atjcdxj7hBLDNSk2&#10;KXeqa6RUhkClySsVuvC8ndCrr2S15tq90p9uNiMF3BrM42HS+dfnGjMWX8Uz+s/ksuKSZDSO3g6b&#10;GubnGZoWh4sW0dG4Xzq8YYOx7pVi1tKIUjc9rezxyMbPXriSZQ3Ef40O8vVogEdCHSwC7ibQ0sE7&#10;GgJGVXETO7qthQWDuImoeKhoOHeMEKRcqFj4DIWLQP7k3fHtGp6ZsKTvpHBxKHCcC/K1EtbhpiCQ&#10;DxL2QeeERJ+XmGtIEG0ebSQSbTRtOvJFonrrNfXn119//Ug4yL4CyvkmpDkfDRkyZBakSzeDR35j&#10;27Zt27HRlClTRoIi/xgUeQdEhrdnz56dC+nVTeCV0kEZD4E398B1DHyRDEbQCJHhU0hfVOg3HspG&#10;4IPnDhwT547jU4mguaQCtqOSyAq6J55WkEysa6ZrJLrGEp8RpUQy865wCkZxy+NGdclxoziuTJpz&#10;5FSPOu/Wc9nA8XNZmm8EHNszGOdyb18/InT8vUFAWgVpi4h2lPHm6v28ZPeXxu4VFay+FJXZClMA&#10;8uBxbj0aizMV07OQzvBPIdFb6fhnAebfWlgFTYqLhmD1wlZlRkGSIlPqg4SGYU19aAOwH3l5vEai&#10;DcF2SGQQycaA1wTaQCxpHljSOHSdTNQPwW+++eYRkBa9Bp7/9e3bt6+AvNwDHn4epC7nwXMvKHkr&#10;RAQ8D+yFyPElHJZx/QLOC+lgGJnQT4aoEjhw4EA7GAiuqydY50uEsM4LQeulEp+THHB9DCKTG8bE&#10;a5SlA+Yug+EaYKQCUjEZ5q3DQTwEcyfFT5YFzQPLboGD9ganYxS0AAr3Gjvv6hxpzKyxot/Q8Syt&#10;70jm8AxisuSGWYCCSQ40FPxFF9rCIUGPMkONwjkB3560iWh7I2+rrxY1hytY6a4aVrq9A3MnaEtr&#10;oAVjHSkjESkjAoVOimjti21ovmgUWFqjBLZBwj7IAw3DSqTYCGxH87CW1s1BPlYipbASAdtTSUR8&#10;uqpDUGnyu/POOyeAyJ4Hemrjxo1rDx48aIBBuOC8IEHU8EAapMBhFXTPVD4riI8VyWMQrPU4HwRe&#10;E0+8xvmgU0G5YBsnpFroXJjb7eZwxhF+v1+Bs4oB6RlGbQ7nn3Q0UgTcW+Us5eXl4efZxrFjx7At&#10;8kSQLBDJsuoWVsF3hx6NAn8bEO21u6SXb33KqD2KRmFVMiS8Pz5hT7qL+bKd8pBRmWLg2H7Mk5XF&#10;uHCAknMGbJgExqFHNBYKRBn+3W5TWdiorQizeBAFS4uyLhIXTcqHSozjWo3C2o+MgpQQgc+wDbXH&#10;/sQDeVrHwj7Ul4zLqtAIbEcbQXPDkuqssPazzskKax+8pnvkh+jqOf4eJC1ZsmQ4KNsEiAQXAXng&#10;PPEwpEb4xg3nTkaNYyNZQXys/Ak0DhHyQljlxeBM4gI9FmB4qLBU78JDOJwp8Mygjh071gfz4keO&#10;HEGFxzUpI0eO9IBR6JWVlea5YvDgwT44Y6CzoqzAkfjuScA5hvad5Hti/ERJcuoVUm1AKoBRfDgg&#10;7h9+v8HlmczQApDPB5kai7BYOCLUsMpC7RGptqTC+OjhIhaPkzJZPS9eYx1NEIWI3oIIPYVVwayb&#10;RAtE0IKRDxHyJcEQ0XhIqJQE5E3jEJAftkGy9sES+dP4WGL/VISgkuaYihBUIpL79gbW/la+nZAw&#10;CvzSeQ6kG0fxh681a9agQWAfa5QjmRAvWjeSlJWVhXvEUMExZcG3QRBRDPDquLdixIgRXvTwQKjE&#10;J+SNCo/KDV6c6jm0dYIye+FwjYaiTpw40Q39OBirAUYkoL0MqRpGCg0MAQ2FQyTx1NTUkKPCA7zU&#10;0tJC+4RztO4TAu8J1voe0duNkIbOmeOsu/DewUY85mX1xwzWuE+w4p1MrTiiQIoDB00N82oUMPHE&#10;CeMiyLppQSQw2gjsgwJP3iDkQ4qL17RBCFww8qES+eJ4ySU+w5L6Ih+iZKOw8iSiegSNjcD+1hJB&#10;19Z2CLynuuRnPcHK/1T7WuGZN2+eEwzCDWmJ++jRo5H6+npKQ5wQRdz9+vVzgMKb48FBWofn6Mxw&#10;zzicKdKgCSsrK8M6HQ7nmLK4QYm1UCgURGOA+zQ0mMbGRvyWiWSHb6A8+LnH5s2bKVIgFPD8noTC&#10;417hPGg/zH5gHAoc3JEPPsd5oY7QnuI9nzp1Ku0N2717N41JY1B5yrAKvTtgO5w0KSwdLvGtCxHW&#10;kVHghEg5KX1KNgpzYUBkCFaDwLFoTCwRtEhaPCkwKb7VCKzPsG2ygGhsQjJvLBHUN1X/ZCTXUZ/k&#10;vt8GTKXLyclxQ1qSAUahNTQ0YIqLHhcVnoMXxr0xQOHxNwEnnitAKcNwzcFgvInUxowKyAsUPQ2i&#10;hwHKiHwEKnlHRwfD3zqQDxCCgzG6ISII8OrYl+ppr80xsQJAe4L8SZZ4jc/RADDCGMuWLUuWJ90n&#10;1582cGK9AU04mRA0cSRcpNUQKEpYIwUSKa5ViekZtiMiPsQrFV9rPY1hNRKam5Wsc05ug8+s1Fuc&#10;br+vCtqHHoEHakhbHKDwGnh5lJMTf3UuLy9HRUY5qoA4pEcGGIoIBoP4NwrG8OHDMX2JwCEc+5gy&#10;gzYcjQuuUeYGGAP3+XwGRAuUJwMlFtDegDZYh/8OF347Zcol8Yz2KVnudE/7YtYhr0T/ZPra0VuB&#10;khGQ50ZLR7KmPUjEDyeLi7IqPJbWhRJMLwaUPAbCWlr7kOBIMCeEZ6kjOlWcTp9vArT2VEiWRyrg&#10;82Q5OmbNmuWFqIDKik7EDamRA9IqjAK4N8TTPD8AsA32xXtUftxPAtZhe+yHwH1DEA8scT9Sgdr8&#10;XaI7wScD25LCYmlNdai0AgVCRkClVWkJNAcsrUTAa6ugrSUiFU+s+0eEdd1WdFVvhXX9qYA80HFh&#10;2ovyQQXHPcM6vCflNgHeXIfUCOskTF0S11a50px6GvcfDr0RthXYnshqIGQQxI+U1KqwdI2g0grq&#10;SyUh+d7al3gjUvH8NoHzPpU5WdeZvGaCtb4r3t2NSUaAbcgIaB+t+0PKfyrz/x+DroTfHbAPEcJa&#10;IpEgsSRCWK+7A/FDYHsyOGvf3vD5NmCduxXdzTe5TyoeyXXd8etOTiRLBCr+qfD9X4OuNrE36Gkz&#10;ScD/CIKmuZ/OXL+KDJPRW17J87SV+WvE17mh/4joav29VbLk/sn3qfhQXaqxk9tb29iK/9+ErpTi&#10;7wmnO8dUSnSqvHqjiF3xtJX4HxR/70aRPD/rvVXpsP50lDCZfzIPW7H/F+LvzSi6M4JTwekos20A&#10;Nkx83UbRk+ftCr01Bmt9V7y7G9NWfBs94usyilPhY1XMVP1OdU7Iz1Z2G18bvqpRfF1G1RVQ2VON&#10;YRuBjW8M34RRUJ1VcW0ltmHDhg0bNmzYsGHDhg0bNmzYsGHDhg0bNmzYsGHDhg0bNmzYsGHDhg0b&#10;NmzYsGHDhg0bNmzYsGHDhg0bNmzYsGHDhg0bNmzYsGHDhg0bNmzYsGHDhg0bNmzYsGHDhg0bNmzY&#10;sGHDhg0bNmzYsGHDhg0bNmzYsGHDhg0bNmzYsGHDhg0b/6PB2H8CyNkGUgjMm50AAAAASUVORK5C&#10;YIJQSwMECgAAAAAAAAAhACcuLrjAJQAAwCUAABQAAABkcnMvbWVkaWEvaW1hZ2UyLnBuZ4lQTkcN&#10;ChoKAAAADUlIRFIAAACgAAAAWggGAAAAP8ZdUgAAAAFzUkdCAK7OHOkAAAAEZ0FNQQAAsY8L/GEF&#10;AAAACXBIWXMAAA7DAAAOwwHHb6hkAAAlVUlEQVR4Xu18CZhU5Znu17UvTe8r3Q000CyCLIIQQVyi&#10;kkETzSKY0WxmMXOvN04m3jvJTJLJPHcm8yRzvZNHM3NnYhYnk8RJUKNxI0FHMVERZROkoRtodnrf&#10;u6uqq6vOd9/3nDpNdVHNJkGW8+LvWevUOf///u/3fv/5q8WBg/cSOamlAwfvGqpaGIlEprhcrqLU&#10;rskej2cKlnncyMnJmcD1RCLxQCAQeNLcx/85cJAOEMnN5fr1632hUMiF4q6rq3O3trb6xo0bV+N2&#10;u1mWmCeLLAHJ7PVTxd0g479zxSHgJQwQraS/v7/U5/PNSO2aAWLNADlyU9sVKGGcx+1cEK3c3Pvu&#10;4RDwYgII4kuthqlSIIq3uLjYNzAwEMZ6FULieJQreQIafoFhGFVer3e8+Yn3Bg4BL0S0tLSUh8Ph&#10;cijWnNSuOVAsrgetTaH34nqASxyzvdj5BoeA7yVef/11kzDwVYUlJSUBhMEAvBX3Fcbj8XI0TgXK&#10;XJ4DzIHCVUCxzlb4Ox/gEPBcoL29fTwM/HiQZ2Fq1wKEQq7bIZPeiutmgWLZ3utih0PA08HWrVvD&#10;XM6dO7ccvioXHiqcl5cXTqlVCUopykyeA7XisgTeq5TbDrLCIWA2dHZ21gSDwRqQ56rUrqugWFz3&#10;WJumUnGIwg2i4TSPrWQOTg8XNwEbGxvNgc/KykqOV+VBsfICgQCX1XhwGvMiLDlASkwBmYpApvPV&#10;sF+MuDgICOJMikajE0Ge61K7roFiXZtaJ/h8I88IMjqKf37g/CIgiFSYWp2MUphMJguhVoUw75MT&#10;iUQ+9uXjhvkah6jB+fkgHfc7uDDxxyMgyOHCwr1mzRrXihUr6Je85gEsBwcH4a9yJrjdvqWpfXyN&#10;Y687uHTw7gkIopVgwVc4JbFYrBgXLEGIS73GMXJlqCNXBttzNdpdIbFe8bjcFZKMiSSiIskEbH0A&#10;ulYjEsZlvPhIuAyXsrnq4CLH8QQEobzNzc0FMO7mkEN/f38IIbAK5r0KYdB8jQNcCcWy19OgIkN9&#10;KK0iRzaKHNog0rZLpO+wSKQzdU4aXBBJw8C3QyD9IN+4SpG8KgRgWLkJSDrDiLY+DolRTB2gslDF&#10;qfo6P1zTu8XxBISK3QpyPQAiFnMb66eQFQ6LHHhFZNezINx2EO4oSNiP+oLCnS5yeCsgXF6FSPnl&#10;IpOWicxeiV1mQntpwOhBlQ5ghR0UdbvnNyJdO61WykW9lMxHB73VPPUCR1YF/AwWj1hbJwLULgKl&#10;O/yayFsPizS/ndp/CnB5LKIZSatHj4UcNIAfxKucI3L1/aj4uXCVfL15IQHPN4zOONQrEkd0SMB+&#10;uP1Q9nHWs3FpW47YAZEN3xbp3GHVkQvnDYGMrIc4rhHtwOeHRIpniiz+GtKw26zPXbg4UwKCOA2/&#10;FtnyHyLtCLFUu0yw0tyoWHq6ShCneCq8HsIrw8dwJFWhaJSO3SItUM0YKjoZT304A7wWP7/0PpEp&#10;y89DNcTzSMhaTUeiXaTxMZGDL4p04zljXQgpQVayRcJyKNm026FmH7HO79ks8rvP49wGEBPPOOH9&#10;Iou+hXUEoeYXRLb/WOToG1BB1OPsT4vMAwkvbHtyBgQcbEYv/R4I+DzW0SMzwaSieApC59Ui1Uhs&#10;yy+zkgsvezq9SyZA5p4mhPCXRfa+hAreCkJDKbIp48QlIgs+C494CzZGbvmPiyE8I5853mYpWe40&#10;+NvfiewHIXr24pF88K7VIlWwCjPvEAlwBAkdqR1EefWb6GDvoA6uQJr2pyIVsM0RXGvnL/G8ICU7&#10;7uQVINJ/FynF59MJWDgdJENTzEKnIzoYaf6P9blceOVZnxKZ/3UcuDgIeGpP0VMv8pvPibz9n9nJ&#10;VzRJ5Jb/K3LHUwiZfyNSC7UKoXG8BTiYjXwE9hfUicwBsW76e5GFd6PycR0mKJloxfe3IjwZWRT3&#10;tIAwxsZu+JHI618ReRGN+cZfwmv9DF7rLRyHQtnYBwV76R6RZz8u8gKI8sInQCKQccqHrOKCyh9+&#10;VWQjnrsRUSGOhKsLnehNkKV1E/oXPFwcCsljL+O7fv/XKfJB8c0wnI8qyJL1cx9V0obpjS9enJyA&#10;7ajMl/43QsEWq1JHgIoJFkKZQJw7nxap+5hVsWamdhrIgecZhzA7HwSvWQQlIWkzQGWMIKyxnAmi&#10;SI52/gvIhJD3PEj3zk+Q5h9E2W+FShLkxf8Ghf8rkJxJAFSYtoC+jcNG3rDItf+EsIiOMhPnzfsz&#10;KNjNOA/Vx6Elqt0AvoOhliS1QRsy6UbU0f8SueGH6KCvi3wW1uVDUEKqX9H7UieeAFTa3PEiZfNg&#10;aRbjMxz5unhIeWICxlvQQAi5+/5g+Zd0hOBPZqFBr/sHkIZjeO8S/hIQEBVcABXMBMPyAMg3eCYE&#10;BKFe+ZLIa+hEHVBRhvGP/l5k+WqRDyP818GLBeC7GFYPIaPvh2djKLVhDhVBrUphKWw1d3HJ+qBd&#10;ABnyaqzwyEy1dLbVqcyhKXjdfhCzj34XoXTjd0We+qjIMwjLe9BpaUMI+sPxsBmzEQ1IzNoPWPuJ&#10;ggWIKv8o8hGo5/vhvSfifi8ZAjahgXaBgJqqKBteVNjk60WWoGefzRBB9fOOle2ywTM6wUkBxT4K&#10;sjXDlyVAxLwJIMgsiyBMcEiuEIjPrJMgsfhs6baBz07l3fQQCPoc6gQhdfM/o15AYJ5fBb879cNQ&#10;f5AwD8nF4r8Tuf4BdE74uHA5iA3y7futSBtCP79rwZdFbntG5Apk9/b35CK7XYbQfTVUdiqSDH96&#10;J0T9cmw/B/XCe76IyEeMTUBFaGnehgo8kNqRhnw05HhUts9+hXuWcNb9DsgzjBDKoQ2C4TQCD8uw&#10;yRIFOQ5D3Rk+gyAHE4oQQ1y6N8M9kYQMr29+G17uz0EoJCOF8K9XIVO95VGoFOeYpu49iEx12hdA&#10;KJD0JoTaFfDFtzwLUiK/W/C36LhQvyJOdibR08HtLJ7wIsfYBOwH8aJMOLJkpf4QCt9UnO+AalRB&#10;qSciKcqDqvQjUdgGL/YMwvAzyEIfQ6jrRSY+9TaRa74jMhfqNAJUjSawwDIEi7HoGyK3QgFvB2Fv&#10;BaE+8AuRy/8Cx81xewdniBHJOW4Ypns7TPm/IeS8hLMQKjh4Gi5FuEAZD1/CEJxv/5rvLOEAQtWb&#10;D2MJs56JOpDofUgAyu25oqcDeLoWhOL+I9a4I982eBB2mYWXzQFPa1PnpWHHgyLb/x0E3SdSghD5&#10;Maie9fvqCwSwK3xODoJH0cl68BzmsFK/5TlrrsVzMQlKRYdzi1MYB0ymwpU5go9MjEMDnABsLunT&#10;0nxSVuDzbOwYKiA+CEOOymCFcAzMDot8B5wLdeH1mFEfAEm2/Ezk4PrUNdLwrgh4BuiCb+xFlkyE&#10;cZ9lCM8nscznBAm0SR/uq++QlXHHUafM0plxT7wJLToO+5A87oZXbYA9YBsWTLFsE8dk2QZ8Dz/5&#10;T0DCD+KC5ysBTwcKs89JB3zYDvjGo1uwbEQDIuQNoJL4XnME+EpzMgITG6xTiYJIPphVx0BOXoME&#10;zcS5JuC5QhydNBGxOjp9KV85UqEYcdzmvBAAahaBJWpE2N+31lIxe6zQD1Lx7QmHahZ9EySDl63/&#10;f8i4kdAMdYN4k+E970Nnn47P4LoutAU/6wNhA3zdfyETMAKC1T9phWnOfIkyvIE8ZzIZ4WS4IAnI&#10;RAdqRHKZ73/TfgvOsLj3eWTWL6Kjglx828LBbZLNj2hQgcRmLp53HGxODHX79r/Av/7IUrtFfyky&#10;ARaIndgkIz6XNw1LjqHi84d+AwuBSHLkNYvUzNY98O28PtvGfGt1mcgSJEX588zbOcd4FwSMQena&#10;t4rsfNp6hXY6Y3McRmBlMARkDu2cDO85AeEjGe6GYSfsRgwiNNtIYn/vHqj/y2j4Vy2/ydplo7Px&#10;y5D5Lv4uduCzTY+DUP8KX4bzSy9HMvN5KBiy525EjSaOu66xVKoGJLv+exY5OTPmbfhje2IDX3MG&#10;kQBxfDYHhdtMpMqWYhtWaRjtQgvE8+NQwiRUth2+fj+8bBuiVN5EkeU/ABHfk/o8QwLuQ+Vs/g+R&#10;5s2WpxtrRgtDCKdVFcLcF+JB6fUo/3y7wELyRUHklndEOtEIVE1z/xjXI8pnoaFWicz7YmrHOUIU&#10;5r3hVyKtG9HZWi0C8l45M4UNyN84DcPcb4FC7YTnYtgrQNib9UmQ4QqLJFQmF8Mqzu1603pX3IxE&#10;i8eKoEShcnwOZOGoA/0dh3zGwbNVw3dehXN9ICdJR/9G5RyEqjIx5H0chV/egbbkWOYCZOVz0IyM&#10;RrwfhnMOjvOe+w6CgCAeRwLyJ0FFvyoy6aO4znsy9HM6BIRn4BuETT+G4iFccCbLcUTBZcahEjkB&#10;oQo9qgxkKUIjcLaz60TDNbg2zTRn1hxGRR74A1QADTA8hGPo1engGGEJwsycj4vMh2KczphZEg03&#10;AEXieB/fTgxxnWTCfiZDxQhzJYvQWfi2I5VotK2D4oBgfH9LtatG1liFrDEAMhhoeIbJaigU8cbX&#10;QdLVFnH4yuwmVGOu/aO7DOz5qUWOzvpUqL0SREDyEMJ1g6Uo9GW4PslIVSvE9fh9XQ0o8NYkHrf5&#10;Xe3swDtBTqgbQ/ZihNRc1Hsr6rEJismsNwQCMonkm6ZAPtoFbVOC4npPf1JzqgQEQepRsa8jDPSg&#10;0TJJwXDKoZll6HnTP4Jt+BNW0JmApB5ChW3Cfe1E5fWix2Z8nZmwcHoWJz4UnYZ3eRuh7x1cl8pL&#10;U843IlRpeiR2APqk6mvQgFCFkqtBTpDj919DNo5wSnPPGSicApXtTUQC9/xfMPl8jcdnoGqtMP/0&#10;XXb0vS3yGojCAXDO+i5FaK69Gd+DKMF33rQ3zVBJkmf+vSKz77bubzeueQAJCH0ff9LA+6DSkniV&#10;6Dyhuoy6R+XZr0/NAf6M+35vcQoEpHnegs1tv7TUIh1uqEYhHv7ylSKX3YFeexbeBduI4bt2PwtV&#10;gUdiFp0J9uIZHxK57q9AolMZBEYjtKFBc9BoLqwPozHpjaIIlZ0gQ9NvkUyhsQuhrnwXO+tLULMf&#10;Wn6rC8pcMltk4VegUnjWrIB9eP2vLd/G8BaG4tRcZw2Au0GIQb4LBsk5zHTF31gf6YDaH4HCdoDo&#10;UXg1zpOkV+Rn2UGoyAX4XqrVSJYK1TMQGdjps81BvLBwEgIqHvblb0CJnrEaKh3MuGoRjpb8OcJN&#10;lp+H2KAa0KxTdewhFxcK38OaM6NPMKYWBwmZ5Lz4Les66eBnGabugpFn5ndSgHScgrXj55bicTY3&#10;vVMep4tBgeiNuM/0bZ9Gp7of58HrbnoQSgSi+OHfKqAwC/C8DGX0au0gLj0sfRQ94BAI1vScRcKW&#10;t6x7pMJS4ejvyheITL0VJD9BfV1aOAkB+bJ9E7xKLyo2HSTNbBjXxchGC9g7swENzulJe9Agh6A8&#10;PWhgm8Qc6+Mv4abcgAb5E5BgDJ9E9EF9VoMQnE0yahoYwPv4FAhaynewJwLIy3l+a+/Bs8BbUs2Y&#10;HNThGTggvhkk28tO1obnwb3YBDSgSIdAQs7la4fvMvBMDP8kLJWK45bMUGehHkb+zhA7GtSVYTQO&#10;n8lwSAL6oNiuC16xzipisdjngsHgT7ieQUB9RHphalfD8/TB86VPwWKjV0MJlv8devLlqZ0Z4IyT&#10;+v8UWQ+TzbCdOYXLBocYOI9wAb4ynGX6FcFE4ak/szLlzIFpDmR/CmG6BFnmCYGQdfQlqPmXcT+w&#10;FJxtw/l0HPKIoVNwmhWnzNPEc/ZyHcJsFTpGOvhDISYwpt9FiMzhWJuDdCSTyQT4k4CqxbDEIodZ&#10;JEOXge1WwzA4VoeGFA/Wdw8NDT1fUFCAdD6TgMMdj8i6b1uDy/RKNmhifUgwOHN5OkJJTpYerWjE&#10;LVDVN+HdOHfvZKhD5rfoizDQMP3ZENkn8qu7oKBMEtIUkETIRVi76wkQIss73ExQlTo3gYivgo9Q&#10;pgC8GP1ewRwoGTwkDT77CUMmx+tO+orx0kQiwXeAJhrBFYY0SL0MgmzNOGYeIAGxoGntxzlsNAP7&#10;uM1iV6zh9/thgGUzjmkaAaOfgRo8Ik//DzTYXpxmXdQEPU0+ssFbQa5S+JlsGNgjsuEHSFp+hUaF&#10;xzoROOeO5Fv4BaxnSSR475zy9BTOMf1jGvjqafbtItciCbmUfrJ5FgHFGgJB4iAAfIjkYD2CdaoY&#10;BMog0UiwBhQq1j6UQzgesgv203eMcCcFbrMrj1kILvH9fwiHw9twrTQCDrR+RvoaH5FnEa76kRWm&#10;NzzNd8EEkQ+DgGOFX4aqTVDAjT9GvxhDAamkDHsMvVeg+BHSsqF1g8h/IQHhD5XSwdBbNFXkNoT4&#10;Qvi54+rAgQ2oEjyQ2er1LperAyTqRYP3Yfsw1m1VYiNzQJUeJ4ljVCwqFQsq2wRJY2MUoexCZNvv&#10;drvNJQg3an8kEtlQVFRUP5qAURCQCvgcCMgfmI8iIO6Vsy1u+R48Ev+UC+89C/jbi4MIdY3IBvmG&#10;g++Gk7ADNOP8ywdV8FlTVyDsMnkY4xrd26xpYPW/OV798iqttyFXIfs8H2amnCOATCRIFA3WhSXb&#10;jOFvGO2eBJl6sOzDMXgW8+8WHkaDH8V20OPxBHEc4WYkU8qGUeRIL0S2/SwkVyax7HKiz6EYAwMD&#10;W0pLS3ePJiBDcGeDpYBdMObmYGcamAW+716RefBlfBswJuA9+doogTBsvl4DicxhCc7yQDFfuI8B&#10;vp5a/32RA3yJnhHGmUDM/pjI1d/AdVinFxeGh/k+zwRlvx1t2Onz+fqQMR5AY/tBJDSA2WtZgaa/&#10;QiHYhlQsuy3TG5tI3zbLWAQZS7GgoIzN9uf4vaOO24WfZ0GSMWpf+vUAo7+/f0dFRcX+DAIiCYm3&#10;PCKvPYh85TEYdmS06WD4DMGvLUJmOv2DSATGyF7PBMwy639p+UcOPmeO/THpIPHnIXMOlKZ2nr+A&#10;YrHyBlMlAiXqRCPQT/WhMQewHER989USFasFDcFMEb1T/FjnMlOx2Hhsq5GGzCyEvZ7Z6PY2icRt&#10;ksk+Zn9urM/Y2+gMo4iVrdjXylbSjhm9vb27q6qqDh9PQA7DcN7Zr5EcMBHhCH0mmEVO/wBC4R0i&#10;Fe9yJkUUGe6mR9Dnf24RPpN4BMcNl92P70TiYSZU5w+gWnxVsxF114JlB5Y9aLS9IFwYjUzDDu9h&#10;qhYr3iYQl3axG2XMQmTbzxIIBBQKmXV/NBpN35dVtYLBIP3YqH2hUGjUvhN9P5Gbm6sIqSP7uA2F&#10;G9keN26cuU2k9hl5eXn8oVFrFgKmBqIPwMO9AR/Gv/vCcJoJzozmDJfqK0UmLLHG1vijcg66msgc&#10;ysDzc3B2sE3MHzm14bqc9cw/zTHWn/fgRIYpNyJZ+Zw18+SP6PmgWPRUxBFUCm+IP+6lYnWjxLCP&#10;lcDskIrVhn1d2MeQ6EstM3sGK9rGSGOkl7QGOa6kq48d/uxjJ/pcqhi2WvE63JeuZCzcj2cetc/e&#10;z3Pt70BHMs9LLbHr+O8HTHLzHC7RKUeOkcyDg4Pp5xJGe3t78/Tp0zvHJiCx+wmR7Y+L+afWsimh&#10;DZKFwyos/O1sUS24AgJy7I4+jkkIZ9BwYJqDwUxMsimdCdyOPwxSQ1n5pzjs2SangVRl8wvsLzEr&#10;yFwxDIY9KhYzRBJsJ85vQiPnojLMgv3pQwyZy5HKHKsQ2fazXKCKZRZ7Oz8/3+jp6THXCwoKtLu7&#10;e9RxFG7Yda/FxcXa0cHgYB3nsbKysg7UNUhxrGJ5ZDQBiZ4GkT2/szLS9nprn3mdk8CefTEm0TLA&#10;85klc9LptJutV2a+sd84oDfaL6hpZHtBpEGv1xuJx+McbqBB56g8M0MqVhdKDxrZh8anYtHE24qV&#10;/jD2ullR6YXItp8l0yulK9aJPmcXqJVhe6szUay0/cSo46rH1Mgsw1HcEP7zBAyPx4t9nhHFyqZW&#10;6cts+zKXfr9/pCMR7FjsHJmYOHEih4RMVTsxAU3gehxe2bYazf0KSLkftrrLUjj7+OmAimlmxYhc&#10;wUJJFtQmZPbtCfeMFUPJZJD3w/TXVAA0JL1VG+5t5DUOCkmXi8oPYT9/NJGpWLwhe9usjLEKkW0/&#10;CxuXsMmUXkiyDJIcp1gMgyRHNjLZ+4j0Y+nFPmaHQXv/aNJZ4dEikRUCWUziRTpAuF71aMwYHmxT&#10;GehWbzymcUU2G8xTCdeqFPJdvFfVSzJa35mebBBcklgE1Zvr9rFs5KJKU2FZbyxUWBQDyml+bvfu&#10;3VpXV0dbYw5znAIB08BfYUVAxu491kQD/vCIv3rjXw5gmGXINf+yAS7LNynmbBilYnWYxPP4dxuB&#10;4p6coto+KZs5mCyZ1QLlU/GXS064ICqekBvn96vLl4DlS0LAqFQstqnkQ2QuRxUicx8bDUszPKcT&#10;gMVWLGAUiTLPs7fTGyjzHLtkuwcWnp9OpnRy8RgJBauVOkY/lXYdboBQEunUUNAw4j1HdDiOUIp7&#10;UW9AvaHxGg9NArHC6htoUd3xc4337gVrcP1QAE+HZbRLfd1NiprV/MuWaUv1p7Vi7nJtbm421Yog&#10;qUgiG1RF1g8VkqHZJhWXNTU1unXrVp03b55JrLa2Nl26dKmuXbtWly9frqtXr9ZVq1bpmjVrdMWK&#10;FceeBU0BAnJ5mgQEUGF8hcNXOYPmNWJHIxKPJnVowDCaXukwWrZ3Ses7Ddrf7ElGI01D0chhsCns&#10;d2lQvcFQjtvrFV84x5xCjlp2ecNi+AtzXAVV6s6vVS2uVXfBBHXlg5jBIoW3NG+a4DJbo3OffZwV&#10;k36MyPKZUWSzvVXqPOw6diy9ENn2s4w+doxk+Hb2QIQ9j/mdtmKhV2mCY8kglHd4EGSKoJFRqT0g&#10;Fa/lwTN5SyFOpdge0njLOpXmzSAUSAgyqTGovmhApacRhOrUWLhG/ZNvUZl1m0bhyyr2ParNyVyt&#10;nFSqXR34HnwmcmAH8vXHNdgrOjh+ohpXfENDsz44QiybXMhSTa9HUrHeWlpatLCwUOfOnavr16/X&#10;q666yiQVnkeoditXrhx53lSxYa7bZMuGEQIidt+NXmBOkUEFMQskaPz4R5452j6AwmEHqJHhQSUk&#10;oXzu4QMbo8ah9cnkkS1GTv8Rt8QG3EYy6nYlEQZyQIikwWmACkWzJMbAzWDbhWrl0lzjEhUuiKou&#10;X65KbqW6SqdpYNIyTZZNR6hAuAhYEp6mWPbDnrCkFMv8ahKMISTTtGeEOWLU8fTtE+2nZKEmVeJx&#10;9IKIehHwhvFdoVBQB7krVIkOFVaNw7gPHFY99JZK526oGKrXje+PIaQZqI8QCBNDx5t2q2rJIuyP&#10;qv/AExodRFj1FYOYHg1UTNDIoQbVg0+r7t+Dh8D3z/mC6rQ71QhCzZq3qNGzE2Wb5oLcPR3NWh0o&#10;1C27tuuEmQu0PbhEE+G5uvRzU3DP1xkkVkNDg5aXl2eqFQuRvn5CUp0ORggIGZ6FDGgxSNiPBkui&#10;oSvQYDlobJp26/WFYYjBGSWdjTJ84E0xDr2q0r5bjQFkOclBdZvEwE1mkgs3qznwKC40ggEiuHI0&#10;mUiqC+cnQUzus86HSiFv4JpymV+p7op56qpdor6pNxiSOx4NEBwJg1mUbWRfNoLYJf1YOvmIDDLC&#10;Q4FXCZBKUaJxbJG8IBqULVQyBSEqjvDn1eEeWNXuRvV279Q4SdUPslCpgvBMBtSscDII9XHcu1eH&#10;9rwCV/tLle569RdXaLR4rlbkzYJiebTSn9QjHW0aSAxrpPJqfK7KvIb271OjZbeGeg9pf3eHGgFs&#10;72vU3PZ+zSudoPk3LDZ2t1ymydqbtOXoUY0//SVdHmrV1V2iq8KiD70met/8lbrpq4W64P4GlXVQ&#10;VAv2s47gbJHrVGASELWac/To0emQ2cUgXol55NiNoaCRkUElW97Wofq1IgdeRs89IBofRLzCf2wO&#10;U8V8IBaWbhcqrQDb49QdCsPj5arLnQspBKnA0aTGVKNI/fvbcD5CTgLkHYY/8xqaiMUtQpKYuKa6&#10;oAR55SrVV6r78jvUXT5H3eMKcU+41qh7tMg3ijwpMhHWtu2xzD34XpRhEAqmHUwzvAj33lCJ6Xu8&#10;3mGQqtsklbRuAwH2475AQjP8JdQXrtKhWZ+EWk9UbYevOvyMauNz6o/stfaBVDH4W39eCZ4/TyOD&#10;MPuTr1bZvkZ0509Um97WoJeh8Eo1fFPg/gs0gR5sdO7VXP+g1gTRYYPF2n35Xdq4s1nzj/5KWza+&#10;roU9CN21qHoQq6FdtDwouuKzCIHdN6o8+iiIVaayCk/72GN2PbCRzeX5iBECHj58eGpBQcEChKii&#10;dFVxG/Af7XvU2POCJhue12TbToQMNhr+5UDRQBTN8arbH1ZXbjkUa7aR5B8CYtgMl2mwpMbgbJoh&#10;EMEtyB553QRMPBo/ETmIijugSGZU2mCYe+E5eltTjYxemCIiYrcGfAGNTbpO3QvvVE/VIvUECmju&#10;Ru4TxYzLXmR0psdKeS2qlRdh0CsdOtgOEg11a4HmabeXSutRb2c99jVrnN9ZuEDlshUKy4V7elW1&#10;/gX1t74G0evQoaI6Laueqy1JdiKE8rw6lfk4txNhc9uDKjt/rYPNXar5ohNv+kdtKr5CkS1oyAhq&#10;ZZ+hO1GnRjips7qf1q2Pf0fDHWIk+0VnVJfq2qBLl0+r1vW7WvWqzYd1zRGQar75TLLpxnt0waMP&#10;q9wLkq0ySUVYS7NfnVvFOtsYISCM5qRwODwHYbjQHMtBeJTkgJE88IYmN/5ckwd/r8lIX4p4MO7h&#10;kA5RrQJF6h4/V921y1Qq56gUT1G3qX4+XPY4lSK4NMlCwzvAQc1YpyZ6Dqu0bNHh+uc0cXQrfNKA&#10;BqF+0WS/SUCTiC6veqbfrDJnlebVvd8I5ZfoSQZFoVwg+P5ntbhhjXZEDkDpoEhFNVhCRaMDWhbZ&#10;rC17D2pFSb42192llR/7e+1uapLO3/6FBnb9wfJWk5eovu9+nYikqMmAB0PdGCGodSJgGD0Hdda+&#10;76usfU5lpugGkCdxw490aTxP1+bHkA1+0soG6+v1oaIiva8SPrD7uypf3KSyEvf4WKpecM8XMpHO&#10;FCMEROPVwFvNgAfMN4cZBto12fhbTb6zWhNHUFkIwSOKBD/nDqIBaxaqp+5m1eqFUIRqTUIF7ca3&#10;w5+V7dExqbnM9Fz8fgBZDUJeb6cOd2xR2fyYent26GArVJHJDIinMS7xmQCU9YoPqHfB3eotrMHn&#10;SXTrOzOXfn9MoxtWq7z+AFKoVg2UFmqkbLlqxQzzutr6DrwYTHwcuRGJtvATGpp9j/btfEoTG//J&#10;qPaL5kdFu5d+VTtyr9U2ZIf2MANH+ON792pD/fNavuGnumIc6qZQdBO++P6Ga3XduntxD2Z2SKDT&#10;MhBam5ci0cbCCAEPHjxYCfWrAwlzGaaGtvxC5e0nNAH/Y4ZENH7AlasxTv8vm6KembeoZ+6d6s6H&#10;P5MAKzTjNQ5IFgWhzLErhET4m1BJhWnaxZunBaVV2RWLQw6djarrHrDMeqRfc5KSkxyG2fTjBDcy&#10;27qbDJn7eZk4YZE24xOVtbV65MgR8zrpmAjSbd/2lBqbHtJQ16AmQtD1kmqddeU1Km+9pjK+RDc8&#10;uUkTfaJHq0RjE+boJ//0J7r6F9/RVb9+XB+Czb2PKoUwKF9EGMQ1zfu0yHRJKtbZxggBm5qayvLz&#10;8ye63cPhxDvP6vCbP4UvQygciiEJQw44hLb3eAwPwyyyqeDMj+owTDI/zlFuKxQOazyOrLBtn8Zb&#10;N4FIO5CsHIV69ViKE8pTX2gyFGgmwvUCHVdcqzFktOmj6xxtR4aigR2rtXPdD1X3QwVBOlOhuKRa&#10;TZutxoxPa6j2Bq2bP98kX19fnzB75/NwYHTXrl2GOX6F+0nsf0Lju7rwHY9Lw2YYd4TJATzDykIk&#10;Dw8fHwpNggGkmbni4I+GEQJiUdzV1VWpPQ3B+DNf01DfbiPe36FxMwTilCQao2Sahq68W2XGXeaI&#10;O2F9PPUKp/8IVGut6qYnVZvrdWioXfzhfIS/Xo0OgzgoDIPGcBDydL3qNfeqESgcGXlPf43T99bL&#10;Gm980KgaqteuZtG8CtH2w6ItMO7xaqhV7Sf0suu/bBLeHr/KGBS1YaQRiuOBDs4jWC0DgHz5g/u3&#10;lXn2Pu8b2vwj1R4oBl+MIVul8qjbp76l96r/sju1bPZCc3S8oqJi5DVOpPOIRnY/p/rCP6vRe/iY&#10;WkE5qV5GDKVINARP1YNy2ftv0S2Vt+t1H75cN2xogy885q/M1zhfWan1mx/XIqhVJTLCyfBXCx+2&#10;iLV6teiqVRbxzZtPwQmJFx5GCKi6Onf3up4C/xvf9+ne7ccUKxdLECniKdLAbV9XY+piKFUR9YrE&#10;M7NZhD81Dm3Qnlef0aq2x7XpqOiEctGGg1Ar+Ks4/VUPSNclurdWtP5x0a6posv+AWFwJZIES7Hs&#10;kkIOPNYoJXNwESKNgN8KvPmkPxxc922PAcNuK1YSasVSteByTdz0TSOZN0G7usx3wuYsB/v9YMPv&#10;fqCbu36qy1qQNUKtHoValdFbAavpr/AvFQkJh1gOTKQR8FrPz/6nzx84+EKOqVZQqr3PQ60QSruQ&#10;DS4DmSbf+ANdcM895ukZxQRCIBcOuRycPhBJc1auFPdKa+oTf71CNh3TLAcOHDhw4MCBAwcOHDhw&#10;4MCBAwcOHDhw4MCBAwcOHDhw4MCBAwcOHDhw4MCBAwcOHDhw4MCBAwcOHDhw4MCBAwcOHDhw4MCB&#10;g3MLkf8P33IYjw9AaG4AAAAASUVORK5CYIJQSwMEFAAGAAgAAAAhAGo66izcAAAABAEAAA8AAABk&#10;cnMvZG93bnJldi54bWxMj0FrwkAQhe8F/8Mygre6idYqMRsRsT1JoVoovY3ZMQlmZ0N2TeK/77aX&#10;9jLweI/3vkk3g6lFR62rLCuIpxEI4tzqigsFH6eXxxUI55E11pZJwZ0cbLLRQ4qJtj2/U3f0hQgl&#10;7BJUUHrfJFK6vCSDbmob4uBdbGvQB9kWUrfYh3JTy1kUPUuDFYeFEhvalZRfjzej4LXHfjuP993h&#10;etndv06Lt89DTEpNxsN2DcLT4P/C8IMf0CELTGd7Y+1ErSA84n9v8GZPqxjEWcFiuQSZpfI/fPYN&#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lYmS&#10;OWkDAACKCgAADgAAAAAAAAAAAAAAAAA6AgAAZHJzL2Uyb0RvYy54bWxQSwECLQAKAAAAAAAAACEA&#10;416bSBwwAAAcMAAAFAAAAAAAAAAAAAAAAADPBQAAZHJzL21lZGlhL2ltYWdlMS5wbmdQSwECLQAK&#10;AAAAAAAAACEAJy4uuMAlAADAJQAAFAAAAAAAAAAAAAAAAAAdNgAAZHJzL21lZGlhL2ltYWdlMi5w&#10;bmdQSwECLQAUAAYACAAAACEAajrqLNwAAAAEAQAADwAAAAAAAAAAAAAAAAAPXAAAZHJzL2Rvd25y&#10;ZXYueG1sUEsBAi0AFAAGAAgAAAAhAC5s8ADFAAAApQEAABkAAAAAAAAAAAAAAAAAGF0AAGRycy9f&#10;cmVscy9lMm9Eb2MueG1sLnJlbHNQSwUGAAAAAAcABwC+AQAAFF4AAAAA&#10;">
                <v:group id="Group 633946684" o:spid="_x0000_s1027" style="position:absolute;left:45583;top:35966;width:15753;height:3667" coordsize="16554,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sKzywAAAOIAAAAPAAAAZHJzL2Rvd25yZXYueG1sRI9Ba8JA&#10;FITvhf6H5RW81U0aGzR1FRFbPEihKoi3R/aZBLNvQ3abxH/fFQoeh5n5hpkvB1OLjlpXWVYQjyMQ&#10;xLnVFRcKjofP1ykI55E11pZJwY0cLBfPT3PMtO35h7q9L0SAsMtQQel9k0np8pIMurFtiIN3sa1B&#10;H2RbSN1iH+Cmlm9RlEqDFYeFEhtal5Rf979GwVeP/SqJN93uelnfzof379MuJqVGL8PqA4SnwT/C&#10;/+2tVpAmyWySptMJ3C+FOyAXfwAAAP//AwBQSwECLQAUAAYACAAAACEA2+H2y+4AAACFAQAAEwAA&#10;AAAAAAAAAAAAAAAAAAAAW0NvbnRlbnRfVHlwZXNdLnhtbFBLAQItABQABgAIAAAAIQBa9CxbvwAA&#10;ABUBAAALAAAAAAAAAAAAAAAAAB8BAABfcmVscy8ucmVsc1BLAQItABQABgAIAAAAIQAd4sKzywAA&#10;AOIAAAAPAAAAAAAAAAAAAAAAAAcCAABkcnMvZG93bnJldi54bWxQSwUGAAAAAAMAAwC3AAAA/wIA&#10;AAAA&#10;">
                  <v:rect id="Rectangle 63254524" o:spid="_x0000_s1028" style="position:absolute;width:16554;height:47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xFDyAAAAOEAAAAPAAAAZHJzL2Rvd25yZXYueG1sRI/BTsMw&#10;EETvSP0Ha5F6ow5uGkGoW5UKpNITpHzAEi9xRLwOsdumf4+RkDiOZuaNZrkeXSdONITWs4bbWQaC&#10;uPam5UbD++H55g5EiMgGO8+k4UIB1qvJ1RJL48/8RqcqNiJBOJSowcbYl1KG2pLDMPM9cfI+/eAw&#10;Jjk00gx4TnDXSZVlhXTYclqw2NPWUv1VHZ2G19yTelLhsWrcvR0/DvuXbyy0nl6PmwcQkcb4H/5r&#10;74yGYq4W+ULl8PsovQG5+gEAAP//AwBQSwECLQAUAAYACAAAACEA2+H2y+4AAACFAQAAEwAAAAAA&#10;AAAAAAAAAAAAAAAAW0NvbnRlbnRfVHlwZXNdLnhtbFBLAQItABQABgAIAAAAIQBa9CxbvwAAABUB&#10;AAALAAAAAAAAAAAAAAAAAB8BAABfcmVscy8ucmVsc1BLAQItABQABgAIAAAAIQBWaxFDyAAAAOEA&#10;AAAPAAAAAAAAAAAAAAAAAAcCAABkcnMvZG93bnJldi54bWxQSwUGAAAAAAMAAwC3AAAA/AIAAAAA&#10;" filled="f" stroked="f">
                    <v:textbox inset="2.53958mm,2.53958mm,2.53958mm,2.53958mm">
                      <w:txbxContent>
                        <w:p w14:paraId="41A4DD15" w14:textId="77777777" w:rsidR="006C2487" w:rsidRDefault="006C2487">
                          <w:pPr>
                            <w:spacing w:after="0" w:line="240" w:lineRule="auto"/>
                            <w:ind w:left="0" w:firstLine="0"/>
                            <w:jc w:val="left"/>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29" type="#_x0000_t75" style="position:absolute;width:8966;height:477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l3/wwAAANoAAAAPAAAAZHJzL2Rvd25yZXYueG1sRI9BawIx&#10;FITvBf9DeIK3mq1YrVujFFEQqgfXotfH5nV3283LkkRd/70RBI/DzHzDTOetqcWZnK8sK3jrJyCI&#10;c6srLhT87FevHyB8QNZYWyYFV/Iwn3Vepphqe+EdnbNQiAhhn6KCMoQmldLnJRn0fdsQR+/XOoMh&#10;SldI7fAS4aaWgyQZSYMVx4USG1qUlP9nJ6Pgbz/a4M6YTL9vj8vmeviejA9OqV63/foEEagNz/Cj&#10;vdYKhnC/Em+AnN0AAAD//wMAUEsBAi0AFAAGAAgAAAAhANvh9svuAAAAhQEAABMAAAAAAAAAAAAA&#10;AAAAAAAAAFtDb250ZW50X1R5cGVzXS54bWxQSwECLQAUAAYACAAAACEAWvQsW78AAAAVAQAACwAA&#10;AAAAAAAAAAAAAAAfAQAAX3JlbHMvLnJlbHNQSwECLQAUAAYACAAAACEAls5d/8MAAADaAAAADwAA&#10;AAAAAAAAAAAAAAAHAgAAZHJzL2Rvd25yZXYueG1sUEsFBgAAAAADAAMAtwAAAPcCAAAAAA==&#10;">
                    <v:imagedata r:id="rId9" o:title=""/>
                  </v:shape>
                  <v:shape id="Shape 5" o:spid="_x0000_s1030" type="#_x0000_t75" style="position:absolute;left:9264;width:7290;height:414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bB4xQAAANoAAAAPAAAAZHJzL2Rvd25yZXYueG1sRI9Ba8JA&#10;FITvgv9heYIXqRuFShtdRYVKD4LUSvD4yL5mQ7Nv0+xqor++KxR6HGbmG2ax6mwlrtT40rGCyTgB&#10;QZw7XXKh4PT59vQCwgdkjZVjUnAjD6tlv7fAVLuWP+h6DIWIEPYpKjAh1KmUPjdk0Y9dTRy9L9dY&#10;DFE2hdQNthFuKzlNkpm0WHJcMFjT1lD+fbxYBSPMTu15O9ofzGZ/v//sss3sNVNqOOjWcxCBuvAf&#10;/mu/awXP8LgSb4Bc/gIAAP//AwBQSwECLQAUAAYACAAAACEA2+H2y+4AAACFAQAAEwAAAAAAAAAA&#10;AAAAAAAAAAAAW0NvbnRlbnRfVHlwZXNdLnhtbFBLAQItABQABgAIAAAAIQBa9CxbvwAAABUBAAAL&#10;AAAAAAAAAAAAAAAAAB8BAABfcmVscy8ucmVsc1BLAQItABQABgAIAAAAIQDnsbB4xQAAANoAAAAP&#10;AAAAAAAAAAAAAAAAAAcCAABkcnMvZG93bnJldi54bWxQSwUGAAAAAAMAAwC3AAAA+QIAAAAA&#10;">
                    <v:imagedata r:id="rId10" o:title=""/>
                  </v:shape>
                </v:group>
                <w10:anchorlock/>
              </v:group>
            </w:pict>
          </mc:Fallback>
        </mc:AlternateContent>
      </w:r>
    </w:p>
    <w:p w14:paraId="0711F0F8" w14:textId="122ADCCF" w:rsidR="00FE782D" w:rsidRDefault="00000000">
      <w:pPr>
        <w:shd w:val="clear" w:color="auto" w:fill="4F7A31"/>
        <w:tabs>
          <w:tab w:val="center" w:pos="9630"/>
        </w:tabs>
        <w:spacing w:after="0" w:line="259" w:lineRule="auto"/>
        <w:ind w:left="239" w:firstLine="0"/>
        <w:jc w:val="left"/>
      </w:pPr>
      <w:r>
        <w:rPr>
          <w:b/>
          <w:bCs/>
          <w:color w:val="FFFFFF"/>
          <w:sz w:val="28"/>
          <w:szCs w:val="28"/>
        </w:rPr>
        <w:t>Re</w:t>
      </w:r>
      <w:r w:rsidR="00A42EEB">
        <w:rPr>
          <w:b/>
          <w:bCs/>
          <w:color w:val="FFFFFF"/>
          <w:sz w:val="28"/>
          <w:szCs w:val="28"/>
        </w:rPr>
        <w:t xml:space="preserve">view </w:t>
      </w:r>
      <w:r>
        <w:rPr>
          <w:b/>
          <w:bCs/>
          <w:color w:val="FFFFFF"/>
          <w:sz w:val="28"/>
          <w:szCs w:val="28"/>
        </w:rPr>
        <w:t>Article</w:t>
      </w:r>
    </w:p>
    <w:p w14:paraId="5656149D" w14:textId="77777777" w:rsidR="00FE782D" w:rsidRDefault="00000000">
      <w:pPr>
        <w:spacing w:after="0" w:line="259" w:lineRule="auto"/>
        <w:ind w:left="89" w:firstLine="0"/>
        <w:jc w:val="left"/>
      </w:pPr>
      <w:r>
        <w:rPr>
          <w:b/>
          <w:bCs/>
        </w:rPr>
        <w:t xml:space="preserve"> </w:t>
      </w:r>
    </w:p>
    <w:p w14:paraId="3F619F8E" w14:textId="77777777" w:rsidR="00FE782D" w:rsidRDefault="00FE782D">
      <w:pPr>
        <w:pStyle w:val="Heading1"/>
        <w:ind w:firstLine="187"/>
      </w:pPr>
    </w:p>
    <w:p w14:paraId="1F32E03B" w14:textId="2D5CD9D8" w:rsidR="00FE782D" w:rsidRDefault="00A42EEB">
      <w:pPr>
        <w:pStyle w:val="Heading1"/>
        <w:ind w:firstLine="187"/>
        <w:rPr>
          <w:b w:val="0"/>
          <w:bCs w:val="0"/>
          <w:sz w:val="22"/>
          <w:szCs w:val="22"/>
        </w:rPr>
      </w:pPr>
      <w:r w:rsidRPr="00A42EEB">
        <w:t>Pediatric Autoimmune Neuropsychiatric Disorders Associated with Streptococcal Infections (PANDAS): Autoimmune Mechanisms, Diagnostic Controversies, and Therapeutic Implications</w:t>
      </w:r>
    </w:p>
    <w:p w14:paraId="7DD10282" w14:textId="77777777" w:rsidR="00FE782D" w:rsidRDefault="00FE782D">
      <w:pPr>
        <w:spacing w:after="0" w:line="360" w:lineRule="auto"/>
        <w:ind w:left="142" w:firstLine="0"/>
        <w:rPr>
          <w:b/>
          <w:bCs/>
          <w:sz w:val="22"/>
          <w:szCs w:val="22"/>
        </w:rPr>
      </w:pPr>
    </w:p>
    <w:p w14:paraId="5DC64E73" w14:textId="1C4E2FEC" w:rsidR="00FE782D" w:rsidRDefault="00A42EEB">
      <w:pPr>
        <w:spacing w:after="0" w:line="360" w:lineRule="auto"/>
        <w:ind w:left="142" w:firstLine="0"/>
        <w:rPr>
          <w:b/>
          <w:bCs/>
          <w:sz w:val="22"/>
          <w:szCs w:val="22"/>
        </w:rPr>
      </w:pPr>
      <w:r w:rsidRPr="00A42EEB">
        <w:rPr>
          <w:b/>
          <w:bCs/>
          <w:sz w:val="22"/>
          <w:szCs w:val="22"/>
        </w:rPr>
        <w:t>Victoria Lynne and Devendra K. Agrawal</w:t>
      </w:r>
      <w:r w:rsidRPr="00A42EEB">
        <w:rPr>
          <w:b/>
          <w:bCs/>
          <w:sz w:val="22"/>
          <w:szCs w:val="22"/>
          <w:vertAlign w:val="superscript"/>
        </w:rPr>
        <w:t>*</w:t>
      </w:r>
    </w:p>
    <w:p w14:paraId="7F40AF70" w14:textId="77777777" w:rsidR="00A42EEB" w:rsidRDefault="00A42EEB">
      <w:pPr>
        <w:spacing w:after="0" w:line="360" w:lineRule="auto"/>
        <w:ind w:left="142" w:firstLine="0"/>
        <w:rPr>
          <w:b/>
          <w:bCs/>
          <w:sz w:val="22"/>
          <w:szCs w:val="22"/>
        </w:rPr>
      </w:pPr>
    </w:p>
    <w:p w14:paraId="2C079B6E" w14:textId="5FE61E42" w:rsidR="00FE782D" w:rsidRDefault="00A42EEB" w:rsidP="00A42EEB">
      <w:pPr>
        <w:spacing w:after="0" w:line="360" w:lineRule="auto"/>
        <w:ind w:left="142" w:firstLine="0"/>
      </w:pPr>
      <w:r w:rsidRPr="00A42EEB">
        <w:t>Department of Translational Research, College of Osteopathic Medicine of the Pacific, Western University of Health Sciences, Pomona, California 91766, USA</w:t>
      </w:r>
    </w:p>
    <w:p w14:paraId="6960C045" w14:textId="77777777" w:rsidR="00A42EEB" w:rsidRDefault="00A42EEB" w:rsidP="00A42EEB">
      <w:pPr>
        <w:spacing w:after="0" w:line="360" w:lineRule="auto"/>
        <w:ind w:left="142" w:firstLine="0"/>
      </w:pPr>
    </w:p>
    <w:p w14:paraId="3AE2A720" w14:textId="24BA46B1" w:rsidR="00FE782D" w:rsidRDefault="00000000">
      <w:pPr>
        <w:spacing w:after="0" w:line="374" w:lineRule="auto"/>
        <w:ind w:left="142" w:firstLine="0"/>
        <w:rPr>
          <w:sz w:val="22"/>
          <w:szCs w:val="22"/>
        </w:rPr>
      </w:pPr>
      <w:r>
        <w:rPr>
          <w:b/>
          <w:bCs/>
          <w:color w:val="006FC0"/>
          <w:sz w:val="22"/>
          <w:szCs w:val="22"/>
          <w:vertAlign w:val="superscript"/>
        </w:rPr>
        <w:t>*</w:t>
      </w:r>
      <w:r>
        <w:rPr>
          <w:b/>
          <w:bCs/>
          <w:color w:val="006FC0"/>
          <w:sz w:val="22"/>
          <w:szCs w:val="22"/>
        </w:rPr>
        <w:t xml:space="preserve">Corresponding Author: </w:t>
      </w:r>
      <w:r w:rsidR="00A42EEB" w:rsidRPr="00A42EEB">
        <w:t>Devendra K. Agrawal, Department of Translational Research, College of Osteopathic Medicine of the Pacific, Western University of Health Sciences, Pomona, California 91766, USA</w:t>
      </w:r>
      <w:r>
        <w:t>.</w:t>
      </w:r>
    </w:p>
    <w:p w14:paraId="24323A23" w14:textId="77777777" w:rsidR="00FE782D" w:rsidRDefault="00FE782D">
      <w:pPr>
        <w:spacing w:after="0" w:line="374" w:lineRule="auto"/>
        <w:ind w:left="142" w:firstLine="0"/>
        <w:rPr>
          <w:b/>
          <w:bCs/>
          <w:color w:val="0070C0"/>
        </w:rPr>
      </w:pPr>
    </w:p>
    <w:p w14:paraId="35ED1D71" w14:textId="40455144" w:rsidR="00FE782D" w:rsidRDefault="00000000">
      <w:pPr>
        <w:spacing w:after="0" w:line="374" w:lineRule="auto"/>
        <w:ind w:left="142" w:firstLine="0"/>
      </w:pPr>
      <w:r>
        <w:rPr>
          <w:b/>
          <w:bCs/>
          <w:color w:val="0070C0"/>
        </w:rPr>
        <w:t xml:space="preserve">Received: </w:t>
      </w:r>
      <w:r w:rsidR="001D7F03">
        <w:t>29</w:t>
      </w:r>
      <w:r>
        <w:t xml:space="preserve"> June 2026; </w:t>
      </w:r>
      <w:r>
        <w:rPr>
          <w:b/>
          <w:bCs/>
          <w:color w:val="0070C0"/>
        </w:rPr>
        <w:t xml:space="preserve">Accepted: </w:t>
      </w:r>
      <w:r w:rsidR="001D7F03">
        <w:t>06</w:t>
      </w:r>
      <w:r>
        <w:t xml:space="preserve"> Ju</w:t>
      </w:r>
      <w:r w:rsidR="001D7F03">
        <w:t>ly</w:t>
      </w:r>
      <w:r>
        <w:t xml:space="preserve"> 2026; </w:t>
      </w:r>
      <w:r>
        <w:rPr>
          <w:b/>
          <w:bCs/>
          <w:color w:val="0070C0"/>
        </w:rPr>
        <w:t xml:space="preserve">Published: </w:t>
      </w:r>
      <w:r w:rsidR="001D7F03">
        <w:t>1</w:t>
      </w:r>
      <w:r w:rsidR="002E50D4">
        <w:t>4</w:t>
      </w:r>
      <w:r>
        <w:t xml:space="preserve"> Ju</w:t>
      </w:r>
      <w:r w:rsidR="001D7F03">
        <w:t>ly</w:t>
      </w:r>
      <w:r>
        <w:t xml:space="preserve"> 2026</w:t>
      </w:r>
    </w:p>
    <w:p w14:paraId="648F51E3" w14:textId="77777777" w:rsidR="00FE782D" w:rsidRDefault="00FE782D">
      <w:pPr>
        <w:spacing w:after="0" w:line="374" w:lineRule="auto"/>
        <w:ind w:left="142" w:firstLine="0"/>
      </w:pPr>
    </w:p>
    <w:p w14:paraId="6945697F" w14:textId="0260DA86" w:rsidR="00FE782D" w:rsidRDefault="00000000">
      <w:pPr>
        <w:spacing w:after="0" w:line="374" w:lineRule="auto"/>
        <w:ind w:left="142" w:firstLine="0"/>
      </w:pPr>
      <w:r>
        <w:rPr>
          <w:b/>
          <w:bCs/>
          <w:color w:val="0070C0"/>
        </w:rPr>
        <w:t>Citation:</w:t>
      </w:r>
      <w:r>
        <w:rPr>
          <w:color w:val="0070C0"/>
        </w:rPr>
        <w:t xml:space="preserve"> </w:t>
      </w:r>
      <w:r w:rsidR="008E3035" w:rsidRPr="008E3035">
        <w:t>Victoria Lynne, Devendra K. Agrawal. Pediatric Autoimmune Neuropsychiatric Disorders Associated with Streptococcal Infections (PANDAS): Autoimmune Mechanisms, Diagnostic Controversies, and Therapeutic Implications</w:t>
      </w:r>
      <w:r>
        <w:t>. Journal of Pediatrics, Perinatology and Child Health 10 (2026): 1</w:t>
      </w:r>
      <w:r w:rsidR="008E3035">
        <w:t>3</w:t>
      </w:r>
      <w:r>
        <w:t>8-1</w:t>
      </w:r>
      <w:r w:rsidR="00110235">
        <w:t>58</w:t>
      </w:r>
      <w:r>
        <w:t>.</w:t>
      </w:r>
    </w:p>
    <w:p w14:paraId="26ED2CE4" w14:textId="77777777" w:rsidR="00FE782D" w:rsidRDefault="00000000">
      <w:pPr>
        <w:spacing w:after="0" w:line="360" w:lineRule="auto"/>
        <w:ind w:left="284" w:firstLine="0"/>
      </w:pPr>
      <w:r>
        <w:rPr>
          <w:sz w:val="10"/>
          <w:szCs w:val="10"/>
        </w:rPr>
        <w:t xml:space="preserve"> </w:t>
      </w:r>
    </w:p>
    <w:p w14:paraId="73DFF50D" w14:textId="77777777" w:rsidR="00FE782D" w:rsidRDefault="00000000">
      <w:pPr>
        <w:pStyle w:val="Heading2"/>
        <w:ind w:left="0" w:firstLine="0"/>
      </w:pPr>
      <w:bookmarkStart w:id="0" w:name="_ukt0govcjbfi" w:colFirst="0" w:colLast="0"/>
      <w:bookmarkEnd w:id="0"/>
      <w:r>
        <w:t xml:space="preserve">Abstract </w:t>
      </w:r>
    </w:p>
    <w:p w14:paraId="538DE0D2" w14:textId="123C0401" w:rsidR="008E3035" w:rsidRDefault="008E3035" w:rsidP="008E3035">
      <w:pPr>
        <w:pStyle w:val="BodyText"/>
        <w:spacing w:line="360" w:lineRule="auto"/>
        <w:ind w:firstLine="0"/>
        <w:contextualSpacing/>
        <w:mirrorIndents/>
        <w:rPr>
          <w:rFonts w:ascii="Times New Roman" w:hAnsi="Times New Roman" w:cs="Times New Roman"/>
          <w:spacing w:val="-2"/>
          <w:sz w:val="20"/>
          <w:szCs w:val="20"/>
        </w:rPr>
      </w:pPr>
      <w:r w:rsidRPr="00F3339D">
        <w:rPr>
          <w:rFonts w:ascii="Times New Roman" w:hAnsi="Times New Roman" w:cs="Times New Roman"/>
          <w:sz w:val="20"/>
          <w:szCs w:val="20"/>
        </w:rPr>
        <w:t xml:space="preserve">Pediatric Autoimmune Neuropsychiatric Disorders Associated with Streptococcal Infections (PANDAS) is a proposed postinfectious neuroimmune syndrome characterized by the abrupt onset of obsessive-compulsive disorder, tic disorders, and associated neuropsychiatric symptoms temporally associated with Group A beta-hemolytic Streptococcus infection. Since its initial description by Swedo and colleagues in 1998, PANDAS has generated notable scientific interest and controversy. Increasing evidence from immunology, neuroimaging, epidemiology, and translational neuroscience suggests that infection-triggered autoimmune processes may contribute to neuropsychiatric symptom development in a subset of pediatric patients. However, significant uncertainty remains regarding diagnostic validity, biomarker reproducibility, pathophysiologic mechanisms, and optimal treatment strategies. This review carefully evaluates current evidence regarding the epidemiology, immunopathogenesis, clinical manifestations, diagnosis, treatment, prognosis, and controversies surrounding PANDAS and related Pediatric Acute-Onset Neuropsychiatric Syndrome (PANS). Relevant literature published from 1998 through May 2026 was critically reviewed. Recent publications from 2021-2026 were incorporated </w:t>
      </w:r>
      <w:r w:rsidRPr="00F3339D">
        <w:rPr>
          <w:rFonts w:ascii="Times New Roman" w:hAnsi="Times New Roman" w:cs="Times New Roman"/>
          <w:sz w:val="20"/>
          <w:szCs w:val="20"/>
        </w:rPr>
        <w:lastRenderedPageBreak/>
        <w:t>to update</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evidence</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on</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clinical</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guidance,</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neuroimaging,</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immune</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biomarkers,</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autoimmune</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comorbidity,</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and IVIG outcomes. Evidence supporting the PANDAS construct includes epidemiologic associations with streptococcal infection, parallels with Sydenham chorea, identification of antineuronal antibodies, neuroimaging</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abnormalities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involving</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basal</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ganglia</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structures,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translational</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animal</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models,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selective responsiveness to immunomodulatory therapies. Conversely, substantial concerns remain regarding inconsistent biomarker replication, methodological heterogeneity, diagnostic overlap with primary psychiatric disorders, and the absence of universally accepted diagnostic tests. Current evidence supports the biologic plausibility of infection-triggered neuroimmune neuropsychiatric syndromes in a subset</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pediatric</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patients.</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However,</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the</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specificity</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the</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PANDAS</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construct,</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the</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boundaries</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between PANDAS and Pediatric Acute-Onset Neuropsychiatric Syndrome, and the identification of immune-responsive</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subgroups</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remain</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incompletely</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defined.</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Future</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multicenter</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prospective</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studies</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 xml:space="preserve">incorporating standardized diagnostic criteria, advanced immunophenotyping, neuroimaging, genomics, and longitudinal outcome measures are required to clarify disease mechanisms and optimize patient </w:t>
      </w:r>
      <w:r w:rsidRPr="00F3339D">
        <w:rPr>
          <w:rFonts w:ascii="Times New Roman" w:hAnsi="Times New Roman" w:cs="Times New Roman"/>
          <w:spacing w:val="-2"/>
          <w:sz w:val="20"/>
          <w:szCs w:val="20"/>
        </w:rPr>
        <w:t>management.</w:t>
      </w:r>
    </w:p>
    <w:p w14:paraId="7645DE90" w14:textId="77777777" w:rsidR="008E3035" w:rsidRPr="00D92D6F" w:rsidRDefault="008E3035" w:rsidP="008E3035">
      <w:pPr>
        <w:pStyle w:val="BodyText"/>
        <w:spacing w:line="360" w:lineRule="auto"/>
        <w:ind w:firstLine="0"/>
        <w:contextualSpacing/>
        <w:mirrorIndents/>
        <w:rPr>
          <w:rFonts w:ascii="Times New Roman" w:hAnsi="Times New Roman" w:cs="Times New Roman"/>
          <w:spacing w:val="-2"/>
          <w:sz w:val="10"/>
          <w:szCs w:val="10"/>
        </w:rPr>
      </w:pPr>
    </w:p>
    <w:p w14:paraId="2BE571A7" w14:textId="3C9C609D"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D92D6F">
        <w:rPr>
          <w:rFonts w:ascii="Times New Roman" w:hAnsi="Times New Roman" w:cs="Times New Roman"/>
          <w:b/>
          <w:color w:val="0070C0"/>
          <w:sz w:val="20"/>
          <w:szCs w:val="20"/>
        </w:rPr>
        <w:t>Keywords</w:t>
      </w:r>
      <w:r w:rsidRPr="00D92D6F">
        <w:rPr>
          <w:rFonts w:ascii="Times New Roman" w:hAnsi="Times New Roman" w:cs="Times New Roman"/>
          <w:color w:val="0070C0"/>
          <w:sz w:val="20"/>
          <w:szCs w:val="20"/>
        </w:rPr>
        <w:t xml:space="preserve">: </w:t>
      </w:r>
      <w:r w:rsidRPr="00F3339D">
        <w:rPr>
          <w:rFonts w:ascii="Times New Roman" w:hAnsi="Times New Roman" w:cs="Times New Roman"/>
          <w:sz w:val="20"/>
          <w:szCs w:val="20"/>
        </w:rPr>
        <w:t>Autoimmune encephalitis; Group A Streptococcus; Molecular mimicry; Neuroinflammation; Obsessive-compulsive disorder; Pediatric Autoimmune Neuropsychiatric Disorders Associated with Streptococcal Infections (PANDAS); Pediatric Acute-Onset Neuropsychiatric Syndrome (PANS); Pediatric neuropsychiatry; Tic disorders</w:t>
      </w:r>
    </w:p>
    <w:p w14:paraId="1029ED8C" w14:textId="77777777" w:rsidR="008E3035" w:rsidRPr="00D92D6F" w:rsidRDefault="008E3035" w:rsidP="008E3035">
      <w:pPr>
        <w:pStyle w:val="BodyText"/>
        <w:spacing w:line="360" w:lineRule="auto"/>
        <w:ind w:firstLine="0"/>
        <w:contextualSpacing/>
        <w:mirrorIndents/>
        <w:rPr>
          <w:rFonts w:ascii="Times New Roman" w:hAnsi="Times New Roman" w:cs="Times New Roman"/>
          <w:sz w:val="10"/>
          <w:szCs w:val="10"/>
        </w:rPr>
      </w:pPr>
    </w:p>
    <w:p w14:paraId="51D5B32D" w14:textId="073FF980" w:rsidR="008E3035" w:rsidRPr="00D92D6F" w:rsidRDefault="00D92D6F" w:rsidP="008E3035">
      <w:pPr>
        <w:pStyle w:val="Heading1"/>
        <w:spacing w:line="360" w:lineRule="auto"/>
        <w:ind w:left="0" w:firstLine="0"/>
        <w:contextualSpacing/>
        <w:mirrorIndents/>
        <w:jc w:val="both"/>
        <w:rPr>
          <w:color w:val="0070C0"/>
          <w:sz w:val="22"/>
          <w:szCs w:val="22"/>
        </w:rPr>
      </w:pPr>
      <w:r w:rsidRPr="00D92D6F">
        <w:rPr>
          <w:color w:val="0070C0"/>
          <w:spacing w:val="-2"/>
          <w:sz w:val="22"/>
          <w:szCs w:val="22"/>
        </w:rPr>
        <w:t xml:space="preserve">1. </w:t>
      </w:r>
      <w:r w:rsidR="008E3035" w:rsidRPr="00D92D6F">
        <w:rPr>
          <w:color w:val="0070C0"/>
          <w:spacing w:val="-2"/>
          <w:sz w:val="22"/>
          <w:szCs w:val="22"/>
        </w:rPr>
        <w:t>Introduction</w:t>
      </w:r>
    </w:p>
    <w:p w14:paraId="0E47B033"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The interaction between infectious disease and neuropsychiatric symptomatology has intrigued clinicians for more than a century. Historical observations linking streptococcal infections to Sydenham chorea [1,2], rheumatic fever, and behavioral disturbances provided early evidence that immune responses to infection can influence central nervous system function. These observations ultimately formed</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the</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conceptual</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foundation</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for</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Pediatric</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Autoimmune</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Neuropsychiatric</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Disorders</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Associated</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with Streptococcal Infections (PANDAS), a syndrome proposed to explain the abrupt onset of obsessive-compulsive and tic symptoms following streptococcal infection.</w:t>
      </w:r>
    </w:p>
    <w:p w14:paraId="25A0C3FD" w14:textId="77777777" w:rsidR="008D64F1" w:rsidRPr="008D64F1" w:rsidRDefault="008D64F1" w:rsidP="008E3035">
      <w:pPr>
        <w:pStyle w:val="BodyText"/>
        <w:spacing w:line="360" w:lineRule="auto"/>
        <w:ind w:firstLine="0"/>
        <w:contextualSpacing/>
        <w:mirrorIndents/>
        <w:rPr>
          <w:rFonts w:ascii="Times New Roman" w:hAnsi="Times New Roman" w:cs="Times New Roman"/>
          <w:sz w:val="10"/>
          <w:szCs w:val="10"/>
        </w:rPr>
      </w:pPr>
    </w:p>
    <w:p w14:paraId="6F3F48C0"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PANDAS was formally described in 1998 by Swedo and colleagues [3], who identified children with abrupt</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onset</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obsessive-compulsive</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disorder</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(OCD)</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or</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tic</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disorders</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temporally</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associated</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with</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Group A beta-hemolytic Streptococcus infection (GAS) infection. Unlike conventional childhood OCD, which often develops gradually, reported onset in PANDAS was sudden, sometimes over days or hours, and frequently</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accompanied</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by</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severe</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anxiety,</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compulsive</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rituals,</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emotional</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instability,</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motor</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abnormalities, and functional decline.</w:t>
      </w:r>
    </w:p>
    <w:p w14:paraId="387E25D1" w14:textId="77777777" w:rsidR="008D64F1" w:rsidRPr="008D64F1" w:rsidRDefault="008D64F1" w:rsidP="008E3035">
      <w:pPr>
        <w:pStyle w:val="BodyText"/>
        <w:spacing w:line="360" w:lineRule="auto"/>
        <w:ind w:firstLine="0"/>
        <w:contextualSpacing/>
        <w:mirrorIndents/>
        <w:rPr>
          <w:rFonts w:ascii="Times New Roman" w:hAnsi="Times New Roman" w:cs="Times New Roman"/>
          <w:sz w:val="10"/>
          <w:szCs w:val="10"/>
        </w:rPr>
      </w:pPr>
    </w:p>
    <w:p w14:paraId="69D6DEBD" w14:textId="71280420"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The proposed biologic basis of PANDAS emerged from parallels with Sydenham chorea [1,2], the neurologic manifestation of acute rheumatic fever. In Sydenham chorea, antibodies generated against streptococcal</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antigens</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cross-react</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with</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host</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neuronal</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tissue</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through</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molecular</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mimicry</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[4,5],</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resulting</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in basal ganglia dysfunction and characteristic neurologic manifestations. Investigators hypothesized that a similar autoimmune process might contribute to the abrupt neuropsychiatric symptoms observed in children meeting PANDAS criteria.</w:t>
      </w:r>
    </w:p>
    <w:p w14:paraId="20D6F2A9" w14:textId="77777777" w:rsidR="008D64F1" w:rsidRPr="008D64F1" w:rsidRDefault="008D64F1" w:rsidP="008E3035">
      <w:pPr>
        <w:pStyle w:val="BodyText"/>
        <w:spacing w:line="360" w:lineRule="auto"/>
        <w:ind w:firstLine="0"/>
        <w:contextualSpacing/>
        <w:mirrorIndents/>
        <w:rPr>
          <w:rFonts w:ascii="Times New Roman" w:hAnsi="Times New Roman" w:cs="Times New Roman"/>
          <w:sz w:val="10"/>
          <w:szCs w:val="10"/>
        </w:rPr>
      </w:pPr>
    </w:p>
    <w:p w14:paraId="732BF590"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Over</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the</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subsequent</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two</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decades,</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increasing</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attention</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has</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been</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directed</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toward</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infection-triggered neuroimmune</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interactions.</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Research</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has</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explored</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molecular</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mimicry,</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antineuronal</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antibodies,</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 xml:space="preserve">cytokine dysregulation, blood-brain barrier dysfunction, microglial activation, and neuroinflammation as potential contributors to symptom development [6,7]. </w:t>
      </w:r>
      <w:r w:rsidRPr="00F3339D">
        <w:rPr>
          <w:rFonts w:ascii="Times New Roman" w:hAnsi="Times New Roman" w:cs="Times New Roman"/>
          <w:sz w:val="20"/>
          <w:szCs w:val="20"/>
        </w:rPr>
        <w:lastRenderedPageBreak/>
        <w:t>Simultaneously, substantial controversy has emerged regarding diagnostic validity, causality, and treatment. While some clinicians regard PANDAS as a legitimate autoimmune neuropsychiatric disorder [1,8], others argue that available evidence remains insufficient to distinguish the syndrome from naturally fluctuating psychiatric illness [9].</w:t>
      </w:r>
    </w:p>
    <w:p w14:paraId="78F87248" w14:textId="77777777" w:rsidR="00A5331D" w:rsidRPr="00A5331D" w:rsidRDefault="00A5331D" w:rsidP="008E3035">
      <w:pPr>
        <w:pStyle w:val="BodyText"/>
        <w:spacing w:line="360" w:lineRule="auto"/>
        <w:ind w:firstLine="0"/>
        <w:contextualSpacing/>
        <w:mirrorIndents/>
        <w:rPr>
          <w:rFonts w:ascii="Times New Roman" w:hAnsi="Times New Roman" w:cs="Times New Roman"/>
          <w:sz w:val="10"/>
          <w:szCs w:val="10"/>
        </w:rPr>
      </w:pPr>
    </w:p>
    <w:p w14:paraId="78788DA5"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The debate has been further complicated by the development of Pediatric Acute-Onset Neuropsychiatric Syndrome (PANS), a broader diagnostic framework encompassing acute-onset OCD and related neuropsychiatric symptoms regardless of infectious trigger. This expansion reflects growing recognition</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that</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multiple</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infectious,</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inflammatory,</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possibly</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autoimmune</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mechanisms</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may</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contribute to abrupt psychiatric deterioration in children [6,7].</w:t>
      </w:r>
    </w:p>
    <w:p w14:paraId="3DF1F684" w14:textId="77777777" w:rsidR="008E3035" w:rsidRPr="00A5331D" w:rsidRDefault="008E3035" w:rsidP="008E3035">
      <w:pPr>
        <w:pStyle w:val="BodyText"/>
        <w:spacing w:line="360" w:lineRule="auto"/>
        <w:ind w:firstLine="0"/>
        <w:contextualSpacing/>
        <w:mirrorIndents/>
        <w:rPr>
          <w:rFonts w:ascii="Times New Roman" w:hAnsi="Times New Roman" w:cs="Times New Roman"/>
          <w:sz w:val="10"/>
          <w:szCs w:val="10"/>
        </w:rPr>
      </w:pPr>
    </w:p>
    <w:p w14:paraId="0DA97D42"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Given</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the</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implications</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for</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psychiatry,</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neurology,</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immunology,</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infectious</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disease,</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pediatrics,</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this review evaluates the evolution of the PANDAS concept, epidemiology, proposed mechanisms, clinical manifestations, diagnostic approaches, treatment, controversies, and future research priorities.</w:t>
      </w:r>
    </w:p>
    <w:p w14:paraId="3A3716EE" w14:textId="77777777" w:rsidR="008E3035" w:rsidRPr="00A5331D" w:rsidRDefault="008E3035" w:rsidP="008E3035">
      <w:pPr>
        <w:pStyle w:val="BodyText"/>
        <w:spacing w:line="360" w:lineRule="auto"/>
        <w:ind w:firstLine="0"/>
        <w:contextualSpacing/>
        <w:mirrorIndents/>
        <w:rPr>
          <w:rFonts w:ascii="Times New Roman" w:hAnsi="Times New Roman" w:cs="Times New Roman"/>
          <w:sz w:val="10"/>
          <w:szCs w:val="10"/>
        </w:rPr>
      </w:pPr>
    </w:p>
    <w:p w14:paraId="6E778D03" w14:textId="253DD084" w:rsidR="008E3035" w:rsidRPr="00A5331D" w:rsidRDefault="00A5331D" w:rsidP="008E3035">
      <w:pPr>
        <w:pStyle w:val="Heading1"/>
        <w:spacing w:line="360" w:lineRule="auto"/>
        <w:ind w:left="0" w:firstLine="0"/>
        <w:contextualSpacing/>
        <w:mirrorIndents/>
        <w:jc w:val="both"/>
        <w:rPr>
          <w:color w:val="0070C0"/>
          <w:sz w:val="22"/>
          <w:szCs w:val="22"/>
        </w:rPr>
      </w:pPr>
      <w:r w:rsidRPr="00A5331D">
        <w:rPr>
          <w:color w:val="0070C0"/>
          <w:spacing w:val="-2"/>
          <w:sz w:val="22"/>
          <w:szCs w:val="22"/>
        </w:rPr>
        <w:t xml:space="preserve">2. </w:t>
      </w:r>
      <w:r w:rsidR="008E3035" w:rsidRPr="00A5331D">
        <w:rPr>
          <w:color w:val="0070C0"/>
          <w:spacing w:val="-2"/>
          <w:sz w:val="22"/>
          <w:szCs w:val="22"/>
        </w:rPr>
        <w:t>Methods</w:t>
      </w:r>
    </w:p>
    <w:p w14:paraId="7B69A326"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This comprehensive narrative review synthesizes current evidence regarding PANDAS and the broader PANS framework, with emphasis on historical development, epidemiology, immunopathogenesis, clinical presentation, diagnosis, treatment, controversies, and future research priorities. Relevant literature was identified through PubMed/MEDLINE and Google Scholar. Searches covered January 1998 through May 2026 and combined terms related to PANDAS, PANS, pediatric acute-onset OCD, tic disorders, Group A Streptococcus, Sydenham chorea, molecular mimicry, antineuronal antibodies, basal ganglia, neuroinflammation, cytokines, Th17 cells, blood-brain barrier dysfunction, microbiome mechanisms, neuroimaging, antibiotics, corticosteroids, intravenous immunoglobulin, plasma exchange, and immunotherapy.</w:t>
      </w:r>
    </w:p>
    <w:p w14:paraId="5B01AD13" w14:textId="77777777" w:rsidR="00A5331D" w:rsidRPr="00A5331D" w:rsidRDefault="00A5331D" w:rsidP="008E3035">
      <w:pPr>
        <w:pStyle w:val="BodyText"/>
        <w:spacing w:line="360" w:lineRule="auto"/>
        <w:ind w:firstLine="0"/>
        <w:contextualSpacing/>
        <w:mirrorIndents/>
        <w:rPr>
          <w:rFonts w:ascii="Times New Roman" w:hAnsi="Times New Roman" w:cs="Times New Roman"/>
          <w:sz w:val="10"/>
          <w:szCs w:val="10"/>
        </w:rPr>
      </w:pPr>
    </w:p>
    <w:p w14:paraId="1EA4DAC6"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Since</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this</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review</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was</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intended</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to</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provide</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a</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comprehensive</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overview</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the</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field</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rather</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than</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a</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formal systematic review or meta-analysis, literature selection emphasized relevance, scientific impact, methodological rigor, and historical importance. Priority was given to landmark PANDAS publications, prospective cohort studies, case-control investigations, randomized controlled trials, translational immunologic research, and case reports. Findings were synthesized narratively. Emphasis was placed on areas of agreement, conflicting evidence, diagnostic controversies, treatment controversies, methodological limitations, and emerging research directions.</w:t>
      </w:r>
    </w:p>
    <w:p w14:paraId="35699C0C" w14:textId="77777777" w:rsidR="008E3035" w:rsidRPr="00A5331D" w:rsidRDefault="008E3035" w:rsidP="008E3035">
      <w:pPr>
        <w:pStyle w:val="BodyText"/>
        <w:spacing w:line="360" w:lineRule="auto"/>
        <w:ind w:firstLine="0"/>
        <w:contextualSpacing/>
        <w:mirrorIndents/>
        <w:rPr>
          <w:rFonts w:ascii="Times New Roman" w:hAnsi="Times New Roman" w:cs="Times New Roman"/>
          <w:sz w:val="10"/>
          <w:szCs w:val="10"/>
        </w:rPr>
      </w:pPr>
    </w:p>
    <w:p w14:paraId="2F944217" w14:textId="15581704" w:rsidR="008E3035" w:rsidRPr="00F3339D" w:rsidRDefault="00A5331D" w:rsidP="008E3035">
      <w:pPr>
        <w:pStyle w:val="Heading1"/>
        <w:spacing w:line="360" w:lineRule="auto"/>
        <w:ind w:left="0" w:firstLine="0"/>
        <w:contextualSpacing/>
        <w:mirrorIndents/>
        <w:jc w:val="both"/>
        <w:rPr>
          <w:sz w:val="20"/>
          <w:szCs w:val="20"/>
        </w:rPr>
      </w:pPr>
      <w:r>
        <w:rPr>
          <w:sz w:val="20"/>
          <w:szCs w:val="20"/>
        </w:rPr>
        <w:t xml:space="preserve">2.1 </w:t>
      </w:r>
      <w:r w:rsidR="008E3035" w:rsidRPr="00F3339D">
        <w:rPr>
          <w:sz w:val="20"/>
          <w:szCs w:val="20"/>
        </w:rPr>
        <w:t>Limitations</w:t>
      </w:r>
      <w:r w:rsidR="008E3035" w:rsidRPr="00F3339D">
        <w:rPr>
          <w:spacing w:val="-6"/>
          <w:sz w:val="20"/>
          <w:szCs w:val="20"/>
        </w:rPr>
        <w:t xml:space="preserve"> </w:t>
      </w:r>
      <w:r w:rsidR="008E3035" w:rsidRPr="00F3339D">
        <w:rPr>
          <w:sz w:val="20"/>
          <w:szCs w:val="20"/>
        </w:rPr>
        <w:t>in</w:t>
      </w:r>
      <w:r w:rsidR="008E3035" w:rsidRPr="00F3339D">
        <w:rPr>
          <w:spacing w:val="-5"/>
          <w:sz w:val="20"/>
          <w:szCs w:val="20"/>
        </w:rPr>
        <w:t xml:space="preserve"> </w:t>
      </w:r>
      <w:r w:rsidR="008E3035" w:rsidRPr="00F3339D">
        <w:rPr>
          <w:sz w:val="20"/>
          <w:szCs w:val="20"/>
        </w:rPr>
        <w:t>the</w:t>
      </w:r>
      <w:r w:rsidR="008E3035" w:rsidRPr="00F3339D">
        <w:rPr>
          <w:spacing w:val="-5"/>
          <w:sz w:val="20"/>
          <w:szCs w:val="20"/>
        </w:rPr>
        <w:t xml:space="preserve"> </w:t>
      </w:r>
      <w:r w:rsidR="008E3035" w:rsidRPr="00F3339D">
        <w:rPr>
          <w:spacing w:val="-2"/>
          <w:sz w:val="20"/>
          <w:szCs w:val="20"/>
        </w:rPr>
        <w:t>Methods</w:t>
      </w:r>
    </w:p>
    <w:p w14:paraId="65B83C01"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The literature is characterized by substantial heterogeneity in diagnostic criteria, study design, patient selection, laboratory methodology, and outcome assessment. Because this manuscript is a narrative review rather than a formal systematic review, publication selection was not governed by predefined PRISMA criteria and quantitative meta-analysis was not performed. Conclusions should therefore be interpreted within an evolving and sometimes conflicting evidence base.</w:t>
      </w:r>
    </w:p>
    <w:p w14:paraId="67E2CF6C" w14:textId="77777777" w:rsidR="008E3035" w:rsidRPr="00494BC9" w:rsidRDefault="008E3035" w:rsidP="008E3035">
      <w:pPr>
        <w:pStyle w:val="BodyText"/>
        <w:spacing w:line="360" w:lineRule="auto"/>
        <w:ind w:firstLine="0"/>
        <w:contextualSpacing/>
        <w:mirrorIndents/>
        <w:rPr>
          <w:rFonts w:ascii="Times New Roman" w:hAnsi="Times New Roman" w:cs="Times New Roman"/>
          <w:sz w:val="10"/>
          <w:szCs w:val="10"/>
        </w:rPr>
      </w:pPr>
    </w:p>
    <w:p w14:paraId="033C5301" w14:textId="73E28680" w:rsidR="008E3035" w:rsidRPr="00461EDC" w:rsidRDefault="00461EDC" w:rsidP="008E3035">
      <w:pPr>
        <w:pStyle w:val="Heading1"/>
        <w:spacing w:line="360" w:lineRule="auto"/>
        <w:ind w:left="0" w:firstLine="0"/>
        <w:contextualSpacing/>
        <w:mirrorIndents/>
        <w:jc w:val="both"/>
        <w:rPr>
          <w:color w:val="0070C0"/>
          <w:sz w:val="22"/>
          <w:szCs w:val="22"/>
        </w:rPr>
      </w:pPr>
      <w:r w:rsidRPr="00461EDC">
        <w:rPr>
          <w:color w:val="0070C0"/>
          <w:sz w:val="22"/>
          <w:szCs w:val="22"/>
        </w:rPr>
        <w:t>3.</w:t>
      </w:r>
      <w:r w:rsidR="00494BC9" w:rsidRPr="00461EDC">
        <w:rPr>
          <w:color w:val="0070C0"/>
          <w:sz w:val="22"/>
          <w:szCs w:val="22"/>
        </w:rPr>
        <w:t xml:space="preserve"> </w:t>
      </w:r>
      <w:r w:rsidR="008E3035" w:rsidRPr="00461EDC">
        <w:rPr>
          <w:color w:val="0070C0"/>
          <w:sz w:val="22"/>
          <w:szCs w:val="22"/>
        </w:rPr>
        <w:t>Historical</w:t>
      </w:r>
      <w:r w:rsidR="008E3035" w:rsidRPr="00461EDC">
        <w:rPr>
          <w:color w:val="0070C0"/>
          <w:spacing w:val="-6"/>
          <w:sz w:val="22"/>
          <w:szCs w:val="22"/>
        </w:rPr>
        <w:t xml:space="preserve"> </w:t>
      </w:r>
      <w:r w:rsidR="008E3035" w:rsidRPr="00461EDC">
        <w:rPr>
          <w:color w:val="0070C0"/>
          <w:sz w:val="22"/>
          <w:szCs w:val="22"/>
        </w:rPr>
        <w:t>Evolution</w:t>
      </w:r>
      <w:r w:rsidR="008E3035" w:rsidRPr="00461EDC">
        <w:rPr>
          <w:color w:val="0070C0"/>
          <w:spacing w:val="-6"/>
          <w:sz w:val="22"/>
          <w:szCs w:val="22"/>
        </w:rPr>
        <w:t xml:space="preserve"> </w:t>
      </w:r>
      <w:r w:rsidR="008E3035" w:rsidRPr="00461EDC">
        <w:rPr>
          <w:color w:val="0070C0"/>
          <w:sz w:val="22"/>
          <w:szCs w:val="22"/>
        </w:rPr>
        <w:t>of</w:t>
      </w:r>
      <w:r w:rsidR="008E3035" w:rsidRPr="00461EDC">
        <w:rPr>
          <w:color w:val="0070C0"/>
          <w:spacing w:val="-6"/>
          <w:sz w:val="22"/>
          <w:szCs w:val="22"/>
        </w:rPr>
        <w:t xml:space="preserve"> </w:t>
      </w:r>
      <w:r w:rsidR="008E3035" w:rsidRPr="00461EDC">
        <w:rPr>
          <w:color w:val="0070C0"/>
          <w:sz w:val="22"/>
          <w:szCs w:val="22"/>
        </w:rPr>
        <w:t>the</w:t>
      </w:r>
      <w:r w:rsidR="008E3035" w:rsidRPr="00461EDC">
        <w:rPr>
          <w:color w:val="0070C0"/>
          <w:spacing w:val="-6"/>
          <w:sz w:val="22"/>
          <w:szCs w:val="22"/>
        </w:rPr>
        <w:t xml:space="preserve"> </w:t>
      </w:r>
      <w:r w:rsidR="008E3035" w:rsidRPr="00461EDC">
        <w:rPr>
          <w:color w:val="0070C0"/>
          <w:sz w:val="22"/>
          <w:szCs w:val="22"/>
        </w:rPr>
        <w:t>PANDAS</w:t>
      </w:r>
      <w:r w:rsidR="008E3035" w:rsidRPr="00461EDC">
        <w:rPr>
          <w:color w:val="0070C0"/>
          <w:spacing w:val="-6"/>
          <w:sz w:val="22"/>
          <w:szCs w:val="22"/>
        </w:rPr>
        <w:t xml:space="preserve"> </w:t>
      </w:r>
      <w:r w:rsidR="008E3035" w:rsidRPr="00461EDC">
        <w:rPr>
          <w:color w:val="0070C0"/>
          <w:spacing w:val="-2"/>
          <w:sz w:val="22"/>
          <w:szCs w:val="22"/>
        </w:rPr>
        <w:t>Concept</w:t>
      </w:r>
    </w:p>
    <w:p w14:paraId="3FB3AB71" w14:textId="455DEF70"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The origins of the PANDAS hypothesis are deeply rooted in observations of Sydenham chorea [1,2].</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Long</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recognized</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as</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a</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poststreptococcal</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autoimmune</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disorder,</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Sydenham</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chorea</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is</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characterized</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by involuntary movements, emotional lability, obsessive-compulsive symptoms, and basal ganglia dysfunction</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occurring</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weeks</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to</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months</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after</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streptococcal</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infection.</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The</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established</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autoimmune</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nature</w:t>
      </w:r>
      <w:r>
        <w:rPr>
          <w:rFonts w:ascii="Times New Roman" w:hAnsi="Times New Roman" w:cs="Times New Roman"/>
          <w:sz w:val="20"/>
          <w:szCs w:val="20"/>
        </w:rPr>
        <w:t xml:space="preserve"> </w:t>
      </w:r>
      <w:r w:rsidRPr="00F3339D">
        <w:rPr>
          <w:rFonts w:ascii="Times New Roman" w:hAnsi="Times New Roman" w:cs="Times New Roman"/>
          <w:sz w:val="20"/>
          <w:szCs w:val="20"/>
        </w:rPr>
        <w:t xml:space="preserve">of Sydenham chorea provided a biologically plausible framework for considering </w:t>
      </w:r>
      <w:r w:rsidRPr="00F3339D">
        <w:rPr>
          <w:rFonts w:ascii="Times New Roman" w:hAnsi="Times New Roman" w:cs="Times New Roman"/>
          <w:sz w:val="20"/>
          <w:szCs w:val="20"/>
        </w:rPr>
        <w:lastRenderedPageBreak/>
        <w:t>whether other neuropsychiatric syndromes might similarly arise from aberrant immune responses.</w:t>
      </w:r>
    </w:p>
    <w:p w14:paraId="1CE52EF1" w14:textId="77777777" w:rsidR="001F17A9" w:rsidRPr="001F17A9" w:rsidRDefault="001F17A9" w:rsidP="008E3035">
      <w:pPr>
        <w:pStyle w:val="BodyText"/>
        <w:spacing w:line="360" w:lineRule="auto"/>
        <w:ind w:firstLine="0"/>
        <w:contextualSpacing/>
        <w:mirrorIndents/>
        <w:rPr>
          <w:rFonts w:ascii="Times New Roman" w:hAnsi="Times New Roman" w:cs="Times New Roman"/>
          <w:sz w:val="10"/>
          <w:szCs w:val="10"/>
        </w:rPr>
      </w:pPr>
    </w:p>
    <w:p w14:paraId="6AC4E531"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In 1998, Swedo and colleagues [3] proposed five working diagnostic criteria for PANDAS: (</w:t>
      </w:r>
      <w:proofErr w:type="spellStart"/>
      <w:r w:rsidRPr="00F3339D">
        <w:rPr>
          <w:rFonts w:ascii="Times New Roman" w:hAnsi="Times New Roman" w:cs="Times New Roman"/>
          <w:sz w:val="20"/>
          <w:szCs w:val="20"/>
        </w:rPr>
        <w:t>i</w:t>
      </w:r>
      <w:proofErr w:type="spellEnd"/>
      <w:r w:rsidRPr="00F3339D">
        <w:rPr>
          <w:rFonts w:ascii="Times New Roman" w:hAnsi="Times New Roman" w:cs="Times New Roman"/>
          <w:sz w:val="20"/>
          <w:szCs w:val="20"/>
        </w:rPr>
        <w:t>) Presence of OCD and/or tic disorder, (ii) Pediatric onset, (iii) Episodic symptom course, (iv) Temporal relationship with GAS infection, and (v) Neurologic abnormalities including motor hyperactivity or choreiform movements. The original publication generated considerable interest because it suggested that a subset of childhood psychiatric disorders might have a treatable immunologic basis [3].</w:t>
      </w:r>
    </w:p>
    <w:p w14:paraId="69F09BC8" w14:textId="77777777" w:rsidR="00043FB9" w:rsidRPr="00043FB9" w:rsidRDefault="00043FB9" w:rsidP="008E3035">
      <w:pPr>
        <w:pStyle w:val="BodyText"/>
        <w:spacing w:line="360" w:lineRule="auto"/>
        <w:ind w:firstLine="0"/>
        <w:contextualSpacing/>
        <w:mirrorIndents/>
        <w:rPr>
          <w:rFonts w:ascii="Times New Roman" w:hAnsi="Times New Roman" w:cs="Times New Roman"/>
          <w:sz w:val="10"/>
          <w:szCs w:val="10"/>
        </w:rPr>
      </w:pPr>
    </w:p>
    <w:p w14:paraId="1E996C28" w14:textId="03CF8682"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Subsequent epidemiologic, immunologic, and neuroimaging studies reported associations with streptococcal</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exposure,</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antineuronal</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antibodies,</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basal</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ganglia</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circuitry</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abnormalities,</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but</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replication has been inconsistent [9,10].</w:t>
      </w:r>
    </w:p>
    <w:p w14:paraId="4FC496AA" w14:textId="77777777" w:rsidR="00043FB9" w:rsidRPr="00043FB9" w:rsidRDefault="00043FB9" w:rsidP="008E3035">
      <w:pPr>
        <w:pStyle w:val="BodyText"/>
        <w:spacing w:line="360" w:lineRule="auto"/>
        <w:ind w:firstLine="0"/>
        <w:contextualSpacing/>
        <w:mirrorIndents/>
        <w:rPr>
          <w:rFonts w:ascii="Times New Roman" w:hAnsi="Times New Roman" w:cs="Times New Roman"/>
          <w:sz w:val="10"/>
          <w:szCs w:val="10"/>
        </w:rPr>
      </w:pPr>
    </w:p>
    <w:p w14:paraId="7ED70EF9"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Recognition that acute neuropsychiatric deterioration may follow triggers other than GAS led to the broader</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PANS</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framework,</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introduced</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in</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2012,</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which</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emphasizes</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abrupt-onset</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OCD</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or</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restrictive</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eating accompanied by additional neuropsychiatric symptoms [11].</w:t>
      </w:r>
    </w:p>
    <w:p w14:paraId="54CA7FA7" w14:textId="77777777" w:rsidR="00043FB9" w:rsidRPr="00043FB9" w:rsidRDefault="00043FB9" w:rsidP="008E3035">
      <w:pPr>
        <w:pStyle w:val="BodyText"/>
        <w:spacing w:line="360" w:lineRule="auto"/>
        <w:ind w:firstLine="0"/>
        <w:contextualSpacing/>
        <w:mirrorIndents/>
        <w:rPr>
          <w:rFonts w:ascii="Times New Roman" w:hAnsi="Times New Roman" w:cs="Times New Roman"/>
          <w:sz w:val="10"/>
          <w:szCs w:val="10"/>
        </w:rPr>
      </w:pPr>
    </w:p>
    <w:p w14:paraId="1B665B7F"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The transition from PANDAS to PANS reflects an important conceptual shift. Whereas PANDAS focuses on a specific infectious trigger, PANS emphasizes a broader syndrome potentially arising from multiple</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infectious,</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inflammatory,</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metabolic,</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or</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autoimmune</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mechanisms</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[8,11].</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This</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evolution</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highlights growing recognition of the complex relationship between immunity and neuropsychiatric function.</w:t>
      </w:r>
    </w:p>
    <w:p w14:paraId="40D0E67C" w14:textId="77777777" w:rsidR="008E3035" w:rsidRPr="00043FB9" w:rsidRDefault="008E3035" w:rsidP="008E3035">
      <w:pPr>
        <w:pStyle w:val="BodyText"/>
        <w:spacing w:line="360" w:lineRule="auto"/>
        <w:ind w:firstLine="0"/>
        <w:contextualSpacing/>
        <w:mirrorIndents/>
        <w:rPr>
          <w:rFonts w:ascii="Times New Roman" w:hAnsi="Times New Roman" w:cs="Times New Roman"/>
          <w:sz w:val="10"/>
          <w:szCs w:val="10"/>
        </w:rPr>
      </w:pPr>
    </w:p>
    <w:p w14:paraId="29270A99" w14:textId="24A96153" w:rsidR="008E3035" w:rsidRPr="00F3339D" w:rsidRDefault="00461EDC" w:rsidP="008E3035">
      <w:pPr>
        <w:pStyle w:val="Heading1"/>
        <w:spacing w:line="360" w:lineRule="auto"/>
        <w:ind w:left="0" w:firstLine="0"/>
        <w:contextualSpacing/>
        <w:mirrorIndents/>
        <w:jc w:val="both"/>
        <w:rPr>
          <w:sz w:val="20"/>
          <w:szCs w:val="20"/>
        </w:rPr>
      </w:pPr>
      <w:r>
        <w:rPr>
          <w:spacing w:val="-2"/>
          <w:sz w:val="20"/>
          <w:szCs w:val="20"/>
        </w:rPr>
        <w:t>3.1</w:t>
      </w:r>
      <w:r w:rsidR="00043FB9">
        <w:rPr>
          <w:spacing w:val="-2"/>
          <w:sz w:val="20"/>
          <w:szCs w:val="20"/>
        </w:rPr>
        <w:t xml:space="preserve"> </w:t>
      </w:r>
      <w:r w:rsidR="008E3035" w:rsidRPr="00F3339D">
        <w:rPr>
          <w:spacing w:val="-2"/>
          <w:sz w:val="20"/>
          <w:szCs w:val="20"/>
        </w:rPr>
        <w:t>Epidemiology</w:t>
      </w:r>
    </w:p>
    <w:p w14:paraId="59CE6A78" w14:textId="21708FC9"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Determining the true epidemiology of PANDAS remains challenging because of diagnostic uncertainty, evolving definitions, and the absence of validated biomarkers [9</w:t>
      </w:r>
      <w:r w:rsidR="003D6553">
        <w:rPr>
          <w:rFonts w:ascii="Times New Roman" w:hAnsi="Times New Roman" w:cs="Times New Roman"/>
          <w:sz w:val="20"/>
          <w:szCs w:val="20"/>
        </w:rPr>
        <w:t>-</w:t>
      </w:r>
      <w:r w:rsidRPr="00F3339D">
        <w:rPr>
          <w:rFonts w:ascii="Times New Roman" w:hAnsi="Times New Roman" w:cs="Times New Roman"/>
          <w:sz w:val="20"/>
          <w:szCs w:val="20"/>
        </w:rPr>
        <w:t>11]. Consequently, estimates of prevalence and incidence vary substantially across studies [9,12].</w:t>
      </w:r>
    </w:p>
    <w:p w14:paraId="5E434DC9" w14:textId="77777777" w:rsidR="00043FB9" w:rsidRPr="00043FB9" w:rsidRDefault="00043FB9" w:rsidP="008E3035">
      <w:pPr>
        <w:pStyle w:val="BodyText"/>
        <w:spacing w:line="360" w:lineRule="auto"/>
        <w:ind w:firstLine="0"/>
        <w:contextualSpacing/>
        <w:mirrorIndents/>
        <w:rPr>
          <w:rFonts w:ascii="Times New Roman" w:hAnsi="Times New Roman" w:cs="Times New Roman"/>
          <w:sz w:val="10"/>
          <w:szCs w:val="10"/>
        </w:rPr>
      </w:pPr>
    </w:p>
    <w:p w14:paraId="5ED76418"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Available evidence suggests that PANDAS primarily affects children between approximately three years of age and puberty, with peak onset occurring near six to eight years of age [3,8,13]. This age distribution parallels periods of increased streptococcal exposure and ongoing neurodevelopment of cortico-</w:t>
      </w:r>
      <w:proofErr w:type="spellStart"/>
      <w:r w:rsidRPr="00F3339D">
        <w:rPr>
          <w:rFonts w:ascii="Times New Roman" w:hAnsi="Times New Roman" w:cs="Times New Roman"/>
          <w:sz w:val="20"/>
          <w:szCs w:val="20"/>
        </w:rPr>
        <w:t>striato</w:t>
      </w:r>
      <w:proofErr w:type="spellEnd"/>
      <w:r w:rsidRPr="00F3339D">
        <w:rPr>
          <w:rFonts w:ascii="Times New Roman" w:hAnsi="Times New Roman" w:cs="Times New Roman"/>
          <w:sz w:val="20"/>
          <w:szCs w:val="20"/>
        </w:rPr>
        <w:t>-</w:t>
      </w:r>
      <w:proofErr w:type="spellStart"/>
      <w:r w:rsidRPr="00F3339D">
        <w:rPr>
          <w:rFonts w:ascii="Times New Roman" w:hAnsi="Times New Roman" w:cs="Times New Roman"/>
          <w:sz w:val="20"/>
          <w:szCs w:val="20"/>
        </w:rPr>
        <w:t>thalamo</w:t>
      </w:r>
      <w:proofErr w:type="spellEnd"/>
      <w:r w:rsidRPr="00F3339D">
        <w:rPr>
          <w:rFonts w:ascii="Times New Roman" w:hAnsi="Times New Roman" w:cs="Times New Roman"/>
          <w:sz w:val="20"/>
          <w:szCs w:val="20"/>
        </w:rPr>
        <w:t>-cortical circuitry. The apparent restriction to childhood has been cited as indirect support for developmental susceptibility factors, including age-dependent immune responses and neuroplasticity [1].</w:t>
      </w:r>
    </w:p>
    <w:p w14:paraId="03721242" w14:textId="77777777" w:rsidR="00043FB9" w:rsidRPr="00043FB9" w:rsidRDefault="00043FB9" w:rsidP="008E3035">
      <w:pPr>
        <w:pStyle w:val="BodyText"/>
        <w:spacing w:line="360" w:lineRule="auto"/>
        <w:ind w:firstLine="0"/>
        <w:contextualSpacing/>
        <w:mirrorIndents/>
        <w:rPr>
          <w:rFonts w:ascii="Times New Roman" w:hAnsi="Times New Roman" w:cs="Times New Roman"/>
          <w:sz w:val="10"/>
          <w:szCs w:val="10"/>
        </w:rPr>
      </w:pPr>
    </w:p>
    <w:p w14:paraId="0827D925"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Most cohorts demonstrate a male predominance, with reported male-to-female ratios ranging from approximately</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2:1</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to</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3:1</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[3,13,14].</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This</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sex</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distribution</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resembles</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that</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observed</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in</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childhood-onset</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OCD and tic disorders but differs from many classical autoimmune diseases, which typically exhibit female predominance. The reasons for this discrepancy remain uncertain but may involve developmental, hormonal, genetic, or neurobiological influences [15].</w:t>
      </w:r>
    </w:p>
    <w:p w14:paraId="3C490F00" w14:textId="7BC20D8B" w:rsidR="008E3035" w:rsidRPr="00043FB9" w:rsidRDefault="008E3035" w:rsidP="008E3035">
      <w:pPr>
        <w:pStyle w:val="BodyText"/>
        <w:spacing w:line="360" w:lineRule="auto"/>
        <w:ind w:firstLine="0"/>
        <w:contextualSpacing/>
        <w:mirrorIndents/>
        <w:rPr>
          <w:rFonts w:ascii="Times New Roman" w:hAnsi="Times New Roman" w:cs="Times New Roman"/>
          <w:sz w:val="10"/>
          <w:szCs w:val="10"/>
        </w:rPr>
      </w:pPr>
    </w:p>
    <w:p w14:paraId="2692A18C"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Familial aggregation studies have identified increased prevalence of autoimmune disorders, OCD, tic</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disorders,</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rheumatic</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fever</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among</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relatives</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affected</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children.</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Such</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findings</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raise</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the</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possibility that genetic susceptibility influences both immune regulation and neuropsychiatric vulnerability [16,17]. However, the specific genetic factors underlying this susceptibility remain poorly defined.</w:t>
      </w:r>
    </w:p>
    <w:p w14:paraId="2574DDE0" w14:textId="77777777" w:rsidR="00043FB9" w:rsidRPr="00043FB9" w:rsidRDefault="00043FB9" w:rsidP="008E3035">
      <w:pPr>
        <w:pStyle w:val="BodyText"/>
        <w:spacing w:line="360" w:lineRule="auto"/>
        <w:ind w:firstLine="0"/>
        <w:contextualSpacing/>
        <w:mirrorIndents/>
        <w:rPr>
          <w:rFonts w:ascii="Times New Roman" w:hAnsi="Times New Roman" w:cs="Times New Roman"/>
          <w:sz w:val="10"/>
          <w:szCs w:val="10"/>
        </w:rPr>
      </w:pPr>
    </w:p>
    <w:p w14:paraId="624C366C"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More recent cohort data further support the need to distinguish familial autoimmune vulnerability from</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disease-specific</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lastRenderedPageBreak/>
        <w:t>causality.</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A</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2024</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cohort</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study</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children</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with</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PANS</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reported</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evidence</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immune activation and subsequent autoimmune disease development in a subset of patients, suggesting that PANS populations may include children with broader inflammatory or autoimmune predisposition rather than a single uniform poststreptococcal mechanism [18].</w:t>
      </w:r>
    </w:p>
    <w:p w14:paraId="70CFDE62" w14:textId="77777777" w:rsidR="00043FB9" w:rsidRPr="00043FB9" w:rsidRDefault="00043FB9" w:rsidP="008E3035">
      <w:pPr>
        <w:pStyle w:val="BodyText"/>
        <w:spacing w:line="360" w:lineRule="auto"/>
        <w:ind w:firstLine="0"/>
        <w:contextualSpacing/>
        <w:mirrorIndents/>
        <w:rPr>
          <w:rFonts w:ascii="Times New Roman" w:hAnsi="Times New Roman" w:cs="Times New Roman"/>
          <w:sz w:val="10"/>
          <w:szCs w:val="10"/>
        </w:rPr>
      </w:pPr>
    </w:p>
    <w:p w14:paraId="20D0C0C7"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Several case-control and administrative database studies have reported increased odds of recent GAS exposure among children with OCD or tic disorders, including studies by Mell and Leslie and colleagues [19,20].</w:t>
      </w:r>
    </w:p>
    <w:p w14:paraId="3BC2B7FF" w14:textId="77777777" w:rsidR="00043FB9" w:rsidRPr="00043FB9" w:rsidRDefault="00043FB9" w:rsidP="008E3035">
      <w:pPr>
        <w:pStyle w:val="BodyText"/>
        <w:spacing w:line="360" w:lineRule="auto"/>
        <w:ind w:firstLine="0"/>
        <w:contextualSpacing/>
        <w:mirrorIndents/>
        <w:rPr>
          <w:rFonts w:ascii="Times New Roman" w:hAnsi="Times New Roman" w:cs="Times New Roman"/>
          <w:sz w:val="10"/>
          <w:szCs w:val="10"/>
        </w:rPr>
      </w:pPr>
    </w:p>
    <w:p w14:paraId="03804938"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Because streptococcal infections and asymptomatic GAS carriage are common in childhood, temporal association alone does not establish causality [9,20,21].</w:t>
      </w:r>
    </w:p>
    <w:p w14:paraId="44D53257" w14:textId="77777777" w:rsidR="00043FB9" w:rsidRPr="00043FB9" w:rsidRDefault="00043FB9" w:rsidP="008E3035">
      <w:pPr>
        <w:pStyle w:val="BodyText"/>
        <w:spacing w:line="360" w:lineRule="auto"/>
        <w:ind w:firstLine="0"/>
        <w:contextualSpacing/>
        <w:mirrorIndents/>
        <w:rPr>
          <w:rFonts w:ascii="Times New Roman" w:hAnsi="Times New Roman" w:cs="Times New Roman"/>
          <w:sz w:val="10"/>
          <w:szCs w:val="10"/>
        </w:rPr>
      </w:pPr>
    </w:p>
    <w:p w14:paraId="6B85A249" w14:textId="3D211753"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Longitudinal</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studies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are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mixed:</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some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report</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associations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between</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new</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GAS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infections</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symptom exacerbations, whereas others do not. Differences in diagnostic criteria, infection ascertainment, outcome measures, and follow-up likely contribute to these discrepancies [19</w:t>
      </w:r>
      <w:r w:rsidR="003D6553">
        <w:rPr>
          <w:rFonts w:ascii="Times New Roman" w:hAnsi="Times New Roman" w:cs="Times New Roman"/>
          <w:sz w:val="20"/>
          <w:szCs w:val="20"/>
        </w:rPr>
        <w:t>-</w:t>
      </w:r>
      <w:r w:rsidRPr="00F3339D">
        <w:rPr>
          <w:rFonts w:ascii="Times New Roman" w:hAnsi="Times New Roman" w:cs="Times New Roman"/>
          <w:sz w:val="20"/>
          <w:szCs w:val="20"/>
        </w:rPr>
        <w:t>22].</w:t>
      </w:r>
    </w:p>
    <w:p w14:paraId="0AC4DD3F" w14:textId="77777777" w:rsidR="00043FB9" w:rsidRPr="00043FB9" w:rsidRDefault="00043FB9" w:rsidP="008E3035">
      <w:pPr>
        <w:pStyle w:val="BodyText"/>
        <w:spacing w:line="360" w:lineRule="auto"/>
        <w:ind w:firstLine="0"/>
        <w:contextualSpacing/>
        <w:mirrorIndents/>
        <w:rPr>
          <w:rFonts w:ascii="Times New Roman" w:hAnsi="Times New Roman" w:cs="Times New Roman"/>
          <w:sz w:val="10"/>
          <w:szCs w:val="10"/>
        </w:rPr>
      </w:pPr>
    </w:p>
    <w:p w14:paraId="00AFCC86"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An</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additional</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challenge</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involves</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distinguishing</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active</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infection</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from</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asymptomatic</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carriage.</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Positive throat cultures may reflect colonization rather than clinically meaningful infection. Because immune responses rather than bacterial presence are presumed to drive symptom development, accurately characterizing infectious exposure remains difficult [21,23,24].</w:t>
      </w:r>
    </w:p>
    <w:p w14:paraId="68107349" w14:textId="77777777" w:rsidR="00043FB9" w:rsidRPr="00043FB9" w:rsidRDefault="00043FB9" w:rsidP="008E3035">
      <w:pPr>
        <w:pStyle w:val="BodyText"/>
        <w:spacing w:line="360" w:lineRule="auto"/>
        <w:ind w:firstLine="0"/>
        <w:contextualSpacing/>
        <w:mirrorIndents/>
        <w:rPr>
          <w:rFonts w:ascii="Times New Roman" w:hAnsi="Times New Roman" w:cs="Times New Roman"/>
          <w:sz w:val="10"/>
          <w:szCs w:val="10"/>
        </w:rPr>
      </w:pPr>
    </w:p>
    <w:p w14:paraId="7345E9D9" w14:textId="5E602FD4"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Several factors may explain the inconsistent epidemiologic findings reported across studies. First, streptococcal</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infections</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are</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extremely</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common</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during</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childhood,</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increasing</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the</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likelihood</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coincidental temporal associations. Second, studies differ substantially in their methods of confirming infection, ranging from throat cultures and serologic testing to administrative database coding. Third, diagnostic definitions of PANDAS and PANS vary considerably across investigations, resulting in heterogeneous study populations. Fourth, some studies assess first onset whereas others examine symptom exacerbations, which may represent biologically distinct outcomes. Consequently, epidemiologic evidence is best interpreted as supporting an association between infection and neuropsychiatric symptom exacerbation in a subset of susceptible children rather than establishing a uniform causal relationship across all patients [19</w:t>
      </w:r>
      <w:r w:rsidR="003D6553">
        <w:rPr>
          <w:rFonts w:ascii="Times New Roman" w:hAnsi="Times New Roman" w:cs="Times New Roman"/>
          <w:sz w:val="20"/>
          <w:szCs w:val="20"/>
        </w:rPr>
        <w:t>-</w:t>
      </w:r>
      <w:r w:rsidRPr="00F3339D">
        <w:rPr>
          <w:rFonts w:ascii="Times New Roman" w:hAnsi="Times New Roman" w:cs="Times New Roman"/>
          <w:sz w:val="20"/>
          <w:szCs w:val="20"/>
        </w:rPr>
        <w:t>21].</w:t>
      </w:r>
    </w:p>
    <w:p w14:paraId="4D9CA36F" w14:textId="77777777" w:rsidR="008E3035" w:rsidRPr="00043FB9" w:rsidRDefault="008E3035" w:rsidP="008E3035">
      <w:pPr>
        <w:pStyle w:val="BodyText"/>
        <w:spacing w:line="360" w:lineRule="auto"/>
        <w:ind w:firstLine="0"/>
        <w:contextualSpacing/>
        <w:mirrorIndents/>
        <w:rPr>
          <w:rFonts w:ascii="Times New Roman" w:hAnsi="Times New Roman" w:cs="Times New Roman"/>
          <w:sz w:val="10"/>
          <w:szCs w:val="10"/>
        </w:rPr>
      </w:pPr>
    </w:p>
    <w:p w14:paraId="065F5C16" w14:textId="6886CA73" w:rsidR="008E3035" w:rsidRPr="00F3339D" w:rsidRDefault="00461EDC" w:rsidP="008E3035">
      <w:pPr>
        <w:pStyle w:val="Heading1"/>
        <w:spacing w:line="360" w:lineRule="auto"/>
        <w:ind w:left="0" w:firstLine="0"/>
        <w:contextualSpacing/>
        <w:mirrorIndents/>
        <w:jc w:val="both"/>
        <w:rPr>
          <w:sz w:val="20"/>
          <w:szCs w:val="20"/>
        </w:rPr>
      </w:pPr>
      <w:r>
        <w:rPr>
          <w:sz w:val="20"/>
          <w:szCs w:val="20"/>
        </w:rPr>
        <w:t>3.2</w:t>
      </w:r>
      <w:r w:rsidR="00043FB9">
        <w:rPr>
          <w:sz w:val="20"/>
          <w:szCs w:val="20"/>
        </w:rPr>
        <w:t xml:space="preserve"> </w:t>
      </w:r>
      <w:r w:rsidR="008E3035" w:rsidRPr="00F3339D">
        <w:rPr>
          <w:sz w:val="20"/>
          <w:szCs w:val="20"/>
        </w:rPr>
        <w:t>Immunopathogenesis</w:t>
      </w:r>
      <w:r w:rsidR="008E3035" w:rsidRPr="00F3339D">
        <w:rPr>
          <w:spacing w:val="-10"/>
          <w:sz w:val="20"/>
          <w:szCs w:val="20"/>
        </w:rPr>
        <w:t xml:space="preserve"> </w:t>
      </w:r>
      <w:r w:rsidR="008E3035" w:rsidRPr="00F3339D">
        <w:rPr>
          <w:sz w:val="20"/>
          <w:szCs w:val="20"/>
        </w:rPr>
        <w:t>of</w:t>
      </w:r>
      <w:r w:rsidR="008E3035" w:rsidRPr="00F3339D">
        <w:rPr>
          <w:spacing w:val="-10"/>
          <w:sz w:val="20"/>
          <w:szCs w:val="20"/>
        </w:rPr>
        <w:t xml:space="preserve"> </w:t>
      </w:r>
      <w:r w:rsidR="008E3035" w:rsidRPr="00F3339D">
        <w:rPr>
          <w:spacing w:val="-2"/>
          <w:sz w:val="20"/>
          <w:szCs w:val="20"/>
        </w:rPr>
        <w:t>PANDAS</w:t>
      </w:r>
    </w:p>
    <w:p w14:paraId="135C7117" w14:textId="6A6E8A9E"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The</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proposed</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pathophysiology</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Pediatric</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Autoimmune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Neuropsychiatric</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Disorders</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Associated</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with Streptococcal Infections (PANDAS) centers on the hypothesis that Group A beta-hemolytic Streptococcus (GAS) infection initiates an aberrant immune response that subsequently targets components of the central nervous system. Although definitive mechanistic proof remains elusive, the conceptual framework underlying PANDAS is supported by decades of research into postinfectious autoimmune diseases, particularly acute rheumatic fever and Sydenham chorea</w:t>
      </w:r>
      <w:r w:rsidR="00D71E70">
        <w:rPr>
          <w:rFonts w:ascii="Times New Roman" w:hAnsi="Times New Roman" w:cs="Times New Roman"/>
          <w:sz w:val="20"/>
          <w:szCs w:val="20"/>
        </w:rPr>
        <w:t xml:space="preserve"> </w:t>
      </w:r>
      <w:r w:rsidRPr="00F3339D">
        <w:rPr>
          <w:rFonts w:ascii="Times New Roman" w:hAnsi="Times New Roman" w:cs="Times New Roman"/>
          <w:sz w:val="20"/>
          <w:szCs w:val="20"/>
        </w:rPr>
        <w:t>(</w:t>
      </w:r>
      <w:r w:rsidRPr="00043FB9">
        <w:rPr>
          <w:rFonts w:ascii="Times New Roman" w:hAnsi="Times New Roman" w:cs="Times New Roman"/>
          <w:bCs/>
          <w:sz w:val="20"/>
          <w:szCs w:val="20"/>
        </w:rPr>
        <w:t>Figure 1</w:t>
      </w:r>
      <w:r w:rsidRPr="00F3339D">
        <w:rPr>
          <w:rFonts w:ascii="Times New Roman" w:hAnsi="Times New Roman" w:cs="Times New Roman"/>
          <w:sz w:val="20"/>
          <w:szCs w:val="20"/>
        </w:rPr>
        <w:t>)</w:t>
      </w:r>
      <w:r w:rsidR="00D71E70">
        <w:rPr>
          <w:rFonts w:ascii="Times New Roman" w:hAnsi="Times New Roman" w:cs="Times New Roman"/>
          <w:sz w:val="20"/>
          <w:szCs w:val="20"/>
        </w:rPr>
        <w:t xml:space="preserve"> </w:t>
      </w:r>
      <w:r w:rsidR="00D71E70" w:rsidRPr="00F3339D">
        <w:rPr>
          <w:rFonts w:ascii="Times New Roman" w:hAnsi="Times New Roman" w:cs="Times New Roman"/>
          <w:sz w:val="20"/>
          <w:szCs w:val="20"/>
        </w:rPr>
        <w:t>[1,2]</w:t>
      </w:r>
      <w:r w:rsidRPr="00F3339D">
        <w:rPr>
          <w:rFonts w:ascii="Times New Roman" w:hAnsi="Times New Roman" w:cs="Times New Roman"/>
          <w:sz w:val="20"/>
          <w:szCs w:val="20"/>
        </w:rPr>
        <w:t>.</w:t>
      </w:r>
    </w:p>
    <w:p w14:paraId="64FF27CC" w14:textId="77777777" w:rsidR="00043FB9" w:rsidRPr="00043FB9" w:rsidRDefault="00043FB9" w:rsidP="008E3035">
      <w:pPr>
        <w:pStyle w:val="BodyText"/>
        <w:spacing w:line="360" w:lineRule="auto"/>
        <w:ind w:firstLine="0"/>
        <w:contextualSpacing/>
        <w:mirrorIndents/>
        <w:rPr>
          <w:rFonts w:ascii="Times New Roman" w:hAnsi="Times New Roman" w:cs="Times New Roman"/>
          <w:sz w:val="10"/>
          <w:szCs w:val="10"/>
        </w:rPr>
      </w:pPr>
    </w:p>
    <w:p w14:paraId="5C6B4291"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Unlike conventional psychiatric disorders, which are generally conceptualized within neurodevelopmental, neurochemical, or psychosocial frameworks, PANDAS proposes that immune-mediated disruption of neural circuits contributes directly to symptom emergence. The syndrome therefore occupies a unique position at the intersection of psychiatry, immunology, neurology, and infectious disease. Current models suggest that disease expression results from interactions among infectious exposure, host genetic susceptibility, immune dysregulation, blood-brain barrier dysfunction, and neuroinflammatory processes affecting cortico-</w:t>
      </w:r>
      <w:proofErr w:type="spellStart"/>
      <w:r w:rsidRPr="00F3339D">
        <w:rPr>
          <w:rFonts w:ascii="Times New Roman" w:hAnsi="Times New Roman" w:cs="Times New Roman"/>
          <w:sz w:val="20"/>
          <w:szCs w:val="20"/>
        </w:rPr>
        <w:t>striato</w:t>
      </w:r>
      <w:proofErr w:type="spellEnd"/>
      <w:r w:rsidRPr="00F3339D">
        <w:rPr>
          <w:rFonts w:ascii="Times New Roman" w:hAnsi="Times New Roman" w:cs="Times New Roman"/>
          <w:sz w:val="20"/>
          <w:szCs w:val="20"/>
        </w:rPr>
        <w:t>-</w:t>
      </w:r>
      <w:proofErr w:type="spellStart"/>
      <w:r w:rsidRPr="00F3339D">
        <w:rPr>
          <w:rFonts w:ascii="Times New Roman" w:hAnsi="Times New Roman" w:cs="Times New Roman"/>
          <w:sz w:val="20"/>
          <w:szCs w:val="20"/>
        </w:rPr>
        <w:t>thalamo</w:t>
      </w:r>
      <w:proofErr w:type="spellEnd"/>
      <w:r w:rsidRPr="00F3339D">
        <w:rPr>
          <w:rFonts w:ascii="Times New Roman" w:hAnsi="Times New Roman" w:cs="Times New Roman"/>
          <w:sz w:val="20"/>
          <w:szCs w:val="20"/>
        </w:rPr>
        <w:t>-cortical (CSTC) circuitry [6,7].</w:t>
      </w:r>
    </w:p>
    <w:p w14:paraId="33F097CF" w14:textId="77777777" w:rsidR="00043FB9" w:rsidRPr="00043FB9" w:rsidRDefault="00043FB9" w:rsidP="008E3035">
      <w:pPr>
        <w:pStyle w:val="BodyText"/>
        <w:spacing w:line="360" w:lineRule="auto"/>
        <w:ind w:firstLine="0"/>
        <w:contextualSpacing/>
        <w:mirrorIndents/>
        <w:rPr>
          <w:rFonts w:ascii="Times New Roman" w:hAnsi="Times New Roman" w:cs="Times New Roman"/>
          <w:sz w:val="10"/>
          <w:szCs w:val="10"/>
        </w:rPr>
      </w:pPr>
    </w:p>
    <w:p w14:paraId="19E58BE5" w14:textId="20196269"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The</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basal</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ganglia</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have</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emerged</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as</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a</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central</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neuroanatomical</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target</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in</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PANDAS</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 xml:space="preserve">pathophysiology. These structures play </w:t>
      </w:r>
      <w:r w:rsidRPr="00F3339D">
        <w:rPr>
          <w:rFonts w:ascii="Times New Roman" w:hAnsi="Times New Roman" w:cs="Times New Roman"/>
          <w:sz w:val="20"/>
          <w:szCs w:val="20"/>
        </w:rPr>
        <w:lastRenderedPageBreak/>
        <w:t xml:space="preserve">critical roles in motor control, habit formation, emotional regulation, reward processing, and executive function. Dysfunction of CSTC pathways has long been implicated in obsessive-compulsive disorder and tic disorders [25,26]. Consequently, autoimmune-mediated disruption of basal ganglia function provides a biologically plausible explanation for the abrupt onset of obsessive-compulsive symptoms, motor abnormalities, emotional lability, and behavioral dysregulation observed in affected children </w:t>
      </w:r>
      <w:r w:rsidRPr="00043FB9">
        <w:rPr>
          <w:rFonts w:ascii="Times New Roman" w:hAnsi="Times New Roman" w:cs="Times New Roman"/>
          <w:sz w:val="20"/>
          <w:szCs w:val="20"/>
        </w:rPr>
        <w:t>(Figure 1)</w:t>
      </w:r>
      <w:r w:rsidR="00D71E70">
        <w:rPr>
          <w:rFonts w:ascii="Times New Roman" w:hAnsi="Times New Roman" w:cs="Times New Roman"/>
          <w:sz w:val="20"/>
          <w:szCs w:val="20"/>
        </w:rPr>
        <w:t xml:space="preserve"> </w:t>
      </w:r>
      <w:r w:rsidR="00D71E70" w:rsidRPr="00F3339D">
        <w:rPr>
          <w:rFonts w:ascii="Times New Roman" w:hAnsi="Times New Roman" w:cs="Times New Roman"/>
          <w:sz w:val="20"/>
          <w:szCs w:val="20"/>
        </w:rPr>
        <w:t>[1,4,5]</w:t>
      </w:r>
      <w:r w:rsidRPr="00043FB9">
        <w:rPr>
          <w:rFonts w:ascii="Times New Roman" w:hAnsi="Times New Roman" w:cs="Times New Roman"/>
          <w:sz w:val="20"/>
          <w:szCs w:val="20"/>
        </w:rPr>
        <w:t>.</w:t>
      </w:r>
    </w:p>
    <w:p w14:paraId="23D9E00A" w14:textId="77777777" w:rsidR="00043FB9" w:rsidRPr="00043FB9" w:rsidRDefault="00043FB9" w:rsidP="008E3035">
      <w:pPr>
        <w:pStyle w:val="BodyText"/>
        <w:spacing w:line="360" w:lineRule="auto"/>
        <w:ind w:firstLine="0"/>
        <w:contextualSpacing/>
        <w:mirrorIndents/>
        <w:rPr>
          <w:rFonts w:ascii="Times New Roman" w:hAnsi="Times New Roman" w:cs="Times New Roman"/>
          <w:sz w:val="10"/>
          <w:szCs w:val="10"/>
        </w:rPr>
      </w:pPr>
    </w:p>
    <w:p w14:paraId="277BA747" w14:textId="77777777" w:rsidR="00043FB9" w:rsidRDefault="00043FB9" w:rsidP="00043FB9">
      <w:pPr>
        <w:pStyle w:val="BodyText"/>
        <w:spacing w:line="360" w:lineRule="auto"/>
        <w:ind w:firstLine="0"/>
        <w:contextualSpacing/>
        <w:mirrorIndents/>
        <w:jc w:val="center"/>
        <w:rPr>
          <w:rFonts w:ascii="Times New Roman" w:hAnsi="Times New Roman" w:cs="Times New Roman"/>
          <w:sz w:val="20"/>
          <w:szCs w:val="20"/>
        </w:rPr>
      </w:pPr>
      <w:r w:rsidRPr="00F3339D">
        <w:rPr>
          <w:rFonts w:ascii="Times New Roman" w:hAnsi="Times New Roman" w:cs="Times New Roman"/>
          <w:noProof/>
          <w:sz w:val="20"/>
          <w:szCs w:val="20"/>
        </w:rPr>
        <w:drawing>
          <wp:inline distT="0" distB="0" distL="0" distR="0" wp14:anchorId="5043DB8D" wp14:editId="5979E07D">
            <wp:extent cx="5109883" cy="2523157"/>
            <wp:effectExtent l="0" t="0" r="0" b="0"/>
            <wp:docPr id="143264328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1" cstate="print"/>
                    <a:stretch>
                      <a:fillRect/>
                    </a:stretch>
                  </pic:blipFill>
                  <pic:spPr>
                    <a:xfrm>
                      <a:off x="0" y="0"/>
                      <a:ext cx="5112915" cy="2524654"/>
                    </a:xfrm>
                    <a:prstGeom prst="rect">
                      <a:avLst/>
                    </a:prstGeom>
                  </pic:spPr>
                </pic:pic>
              </a:graphicData>
            </a:graphic>
          </wp:inline>
        </w:drawing>
      </w:r>
    </w:p>
    <w:p w14:paraId="4DCD18F9" w14:textId="77777777" w:rsidR="00043FB9" w:rsidRPr="00F3339D" w:rsidRDefault="00043FB9" w:rsidP="00043FB9">
      <w:pPr>
        <w:pStyle w:val="BodyText"/>
        <w:spacing w:line="360" w:lineRule="auto"/>
        <w:ind w:firstLine="0"/>
        <w:contextualSpacing/>
        <w:mirrorIndents/>
        <w:rPr>
          <w:rFonts w:ascii="Times New Roman" w:hAnsi="Times New Roman" w:cs="Times New Roman"/>
          <w:sz w:val="20"/>
          <w:szCs w:val="20"/>
        </w:rPr>
      </w:pPr>
      <w:r w:rsidRPr="00043FB9">
        <w:rPr>
          <w:rFonts w:ascii="Times New Roman" w:hAnsi="Times New Roman" w:cs="Times New Roman"/>
          <w:b/>
          <w:color w:val="0070C0"/>
          <w:sz w:val="20"/>
          <w:szCs w:val="20"/>
        </w:rPr>
        <w:t>Figure</w:t>
      </w:r>
      <w:r w:rsidRPr="00043FB9">
        <w:rPr>
          <w:rFonts w:ascii="Times New Roman" w:hAnsi="Times New Roman" w:cs="Times New Roman"/>
          <w:b/>
          <w:color w:val="0070C0"/>
          <w:spacing w:val="-16"/>
          <w:sz w:val="20"/>
          <w:szCs w:val="20"/>
        </w:rPr>
        <w:t xml:space="preserve"> </w:t>
      </w:r>
      <w:r w:rsidRPr="00043FB9">
        <w:rPr>
          <w:rFonts w:ascii="Times New Roman" w:hAnsi="Times New Roman" w:cs="Times New Roman"/>
          <w:b/>
          <w:color w:val="0070C0"/>
          <w:sz w:val="20"/>
          <w:szCs w:val="20"/>
        </w:rPr>
        <w:t>1:</w:t>
      </w:r>
      <w:r w:rsidRPr="00043FB9">
        <w:rPr>
          <w:rFonts w:ascii="Times New Roman" w:hAnsi="Times New Roman" w:cs="Times New Roman"/>
          <w:color w:val="0070C0"/>
          <w:spacing w:val="-15"/>
          <w:sz w:val="20"/>
          <w:szCs w:val="20"/>
        </w:rPr>
        <w:t xml:space="preserve"> </w:t>
      </w:r>
      <w:r w:rsidRPr="00F3339D">
        <w:rPr>
          <w:rFonts w:ascii="Times New Roman" w:hAnsi="Times New Roman" w:cs="Times New Roman"/>
          <w:sz w:val="20"/>
          <w:szCs w:val="20"/>
        </w:rPr>
        <w:t>Maladaptive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immune</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response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in</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the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underlying</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pathophysiology</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PANDAS:</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Key</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mechanistic features.</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CaMKII,</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calcium/calmodulin-dependent</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protein</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kinase</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II;</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OCD,</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obsessive</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compulsive</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disorder; PANDAS, pediatric autoimmune neuropsychiatric disorders associated with streptococcal infections.</w:t>
      </w:r>
    </w:p>
    <w:p w14:paraId="30722ED6" w14:textId="77777777" w:rsidR="00043FB9" w:rsidRPr="00043FB9" w:rsidRDefault="00043FB9" w:rsidP="008E3035">
      <w:pPr>
        <w:pStyle w:val="BodyText"/>
        <w:spacing w:line="360" w:lineRule="auto"/>
        <w:ind w:firstLine="0"/>
        <w:contextualSpacing/>
        <w:mirrorIndents/>
        <w:rPr>
          <w:rFonts w:ascii="Times New Roman" w:hAnsi="Times New Roman" w:cs="Times New Roman"/>
          <w:sz w:val="10"/>
          <w:szCs w:val="10"/>
        </w:rPr>
      </w:pPr>
    </w:p>
    <w:p w14:paraId="7A246C57" w14:textId="647A0901" w:rsidR="008E3035" w:rsidRPr="00F3339D" w:rsidRDefault="00461EDC" w:rsidP="008E3035">
      <w:pPr>
        <w:pStyle w:val="Heading1"/>
        <w:spacing w:line="360" w:lineRule="auto"/>
        <w:ind w:left="0" w:firstLine="0"/>
        <w:contextualSpacing/>
        <w:mirrorIndents/>
        <w:jc w:val="both"/>
        <w:rPr>
          <w:sz w:val="20"/>
          <w:szCs w:val="20"/>
        </w:rPr>
      </w:pPr>
      <w:r>
        <w:rPr>
          <w:sz w:val="20"/>
          <w:szCs w:val="20"/>
        </w:rPr>
        <w:t>3.3</w:t>
      </w:r>
      <w:r w:rsidR="00043FB9">
        <w:rPr>
          <w:sz w:val="20"/>
          <w:szCs w:val="20"/>
        </w:rPr>
        <w:t xml:space="preserve"> </w:t>
      </w:r>
      <w:r w:rsidR="008E3035" w:rsidRPr="00F3339D">
        <w:rPr>
          <w:sz w:val="20"/>
          <w:szCs w:val="20"/>
        </w:rPr>
        <w:t>Molecular</w:t>
      </w:r>
      <w:r w:rsidR="008E3035" w:rsidRPr="00F3339D">
        <w:rPr>
          <w:spacing w:val="-9"/>
          <w:sz w:val="20"/>
          <w:szCs w:val="20"/>
        </w:rPr>
        <w:t xml:space="preserve"> </w:t>
      </w:r>
      <w:r w:rsidR="008E3035" w:rsidRPr="00F3339D">
        <w:rPr>
          <w:spacing w:val="-2"/>
          <w:sz w:val="20"/>
          <w:szCs w:val="20"/>
        </w:rPr>
        <w:t>Mimicry</w:t>
      </w:r>
    </w:p>
    <w:p w14:paraId="625D2D14"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Molecular mimicry [1,4] remains the leading mechanistic hypothesis. In this process, structural similarities</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between</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microbial</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antigens</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host</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proteins</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produce</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immune</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cross-reactivity,</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as</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classically described in acute rheumatic fever.</w:t>
      </w:r>
    </w:p>
    <w:p w14:paraId="2B9752A0"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In</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PANDAS,</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GAS</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antigens</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are</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proposed</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to</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share</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homology</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with</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neuronal</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proteins</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in</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basal</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ganglia circuits,</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allowing</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antibodies</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generated</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during</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infection</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to</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cross-react</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with</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neuronal</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targets</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in</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susceptible individuals [4,5].</w:t>
      </w:r>
    </w:p>
    <w:p w14:paraId="748EF674" w14:textId="77777777" w:rsidR="008E3035" w:rsidRPr="00043FB9" w:rsidRDefault="008E3035" w:rsidP="008E3035">
      <w:pPr>
        <w:pStyle w:val="BodyText"/>
        <w:spacing w:line="360" w:lineRule="auto"/>
        <w:ind w:firstLine="0"/>
        <w:contextualSpacing/>
        <w:mirrorIndents/>
        <w:rPr>
          <w:rFonts w:ascii="Times New Roman" w:hAnsi="Times New Roman" w:cs="Times New Roman"/>
          <w:sz w:val="10"/>
          <w:szCs w:val="10"/>
        </w:rPr>
      </w:pPr>
    </w:p>
    <w:p w14:paraId="2B91A538"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 xml:space="preserve">Cunningham and colleagues advanced this hypothesis by identifying cross-reactive antibodies to </w:t>
      </w:r>
      <w:proofErr w:type="spellStart"/>
      <w:r w:rsidRPr="00F3339D">
        <w:rPr>
          <w:rFonts w:ascii="Times New Roman" w:hAnsi="Times New Roman" w:cs="Times New Roman"/>
          <w:sz w:val="20"/>
          <w:szCs w:val="20"/>
        </w:rPr>
        <w:t>lysoganglioside</w:t>
      </w:r>
      <w:proofErr w:type="spellEnd"/>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GM1,</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tubulin,</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dopamine</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receptors,</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suggesting</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a</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biologic</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link</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between</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streptococcal immunity and altered neuronal signaling [5].</w:t>
      </w:r>
    </w:p>
    <w:p w14:paraId="202E3C1C" w14:textId="77777777" w:rsidR="00043FB9" w:rsidRPr="00043FB9" w:rsidRDefault="00043FB9" w:rsidP="008E3035">
      <w:pPr>
        <w:pStyle w:val="BodyText"/>
        <w:spacing w:line="360" w:lineRule="auto"/>
        <w:ind w:firstLine="0"/>
        <w:contextualSpacing/>
        <w:mirrorIndents/>
        <w:rPr>
          <w:rFonts w:ascii="Times New Roman" w:hAnsi="Times New Roman" w:cs="Times New Roman"/>
          <w:sz w:val="10"/>
          <w:szCs w:val="10"/>
        </w:rPr>
      </w:pPr>
    </w:p>
    <w:p w14:paraId="0D7C3089" w14:textId="77777777" w:rsidR="008E3035" w:rsidRDefault="008E3035" w:rsidP="008E3035">
      <w:pPr>
        <w:pStyle w:val="BodyText"/>
        <w:spacing w:line="360" w:lineRule="auto"/>
        <w:ind w:firstLine="0"/>
        <w:contextualSpacing/>
        <w:mirrorIndents/>
        <w:rPr>
          <w:rFonts w:ascii="Times New Roman" w:hAnsi="Times New Roman" w:cs="Times New Roman"/>
          <w:spacing w:val="-2"/>
          <w:sz w:val="20"/>
          <w:szCs w:val="20"/>
        </w:rPr>
      </w:pPr>
      <w:r w:rsidRPr="00F3339D">
        <w:rPr>
          <w:rFonts w:ascii="Times New Roman" w:hAnsi="Times New Roman" w:cs="Times New Roman"/>
          <w:sz w:val="20"/>
          <w:szCs w:val="20"/>
        </w:rPr>
        <w:t>However, the molecular mimicry hypothesis should not be viewed as definitively established. Although biologically plausible, many studies demonstrating antibody cross-reactivity involve relatively small samples and frequently originate from specialized referral centers. Furthermore, the presence of cross-reactive</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antibodies</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does</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not</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necessarily</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prove</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pathogenicity.</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Similar</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antibodies</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have</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 xml:space="preserve">occasionally been identified in individuals without neuropsychiatric symptoms, raising important questions regarding </w:t>
      </w:r>
      <w:r w:rsidRPr="00F3339D">
        <w:rPr>
          <w:rFonts w:ascii="Times New Roman" w:hAnsi="Times New Roman" w:cs="Times New Roman"/>
          <w:spacing w:val="-2"/>
          <w:sz w:val="20"/>
          <w:szCs w:val="20"/>
        </w:rPr>
        <w:t>specificity.</w:t>
      </w:r>
    </w:p>
    <w:p w14:paraId="20E510AE" w14:textId="77777777" w:rsidR="00043FB9" w:rsidRPr="00043FB9" w:rsidRDefault="00043FB9" w:rsidP="008E3035">
      <w:pPr>
        <w:pStyle w:val="BodyText"/>
        <w:spacing w:line="360" w:lineRule="auto"/>
        <w:ind w:firstLine="0"/>
        <w:contextualSpacing/>
        <w:mirrorIndents/>
        <w:rPr>
          <w:rFonts w:ascii="Times New Roman" w:hAnsi="Times New Roman" w:cs="Times New Roman"/>
          <w:sz w:val="10"/>
          <w:szCs w:val="10"/>
        </w:rPr>
      </w:pPr>
    </w:p>
    <w:p w14:paraId="705EAD6A"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Thus, molecular mimicry likely contributes in some patients but is unlikely to explain all PANDAS/PANS presentations.</w:t>
      </w:r>
    </w:p>
    <w:p w14:paraId="7B2FBDCE"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A key interpretive issue is that molecular mimicry provides biologic plausibility but not diagnostic specificity.</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Similar</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lastRenderedPageBreak/>
        <w:t>postinfectious</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mechanisms</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may</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operate</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across</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several</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neuroimmune</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disorders,</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and the presence of cross-reactive antibodies does not by itself demonstrate disease causation. Stronger causal inference will require longitudinal studies showing that specific immune responses precede symptom</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onset,</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correlate</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with</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disease</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activity,</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access</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relevant</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neural</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targets,</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diminish</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with</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clinical improvement [9,10,12].</w:t>
      </w:r>
    </w:p>
    <w:p w14:paraId="5E9A5022" w14:textId="77777777" w:rsidR="008E3035" w:rsidRPr="00043FB9" w:rsidRDefault="008E3035" w:rsidP="008E3035">
      <w:pPr>
        <w:pStyle w:val="BodyText"/>
        <w:spacing w:line="360" w:lineRule="auto"/>
        <w:ind w:firstLine="0"/>
        <w:contextualSpacing/>
        <w:mirrorIndents/>
        <w:rPr>
          <w:rFonts w:ascii="Times New Roman" w:hAnsi="Times New Roman" w:cs="Times New Roman"/>
          <w:sz w:val="10"/>
          <w:szCs w:val="10"/>
        </w:rPr>
      </w:pPr>
    </w:p>
    <w:p w14:paraId="26C18C2A" w14:textId="4018AA67" w:rsidR="008E3035" w:rsidRPr="00F3339D" w:rsidRDefault="00461EDC" w:rsidP="008E3035">
      <w:pPr>
        <w:pStyle w:val="Heading1"/>
        <w:spacing w:line="360" w:lineRule="auto"/>
        <w:ind w:left="0" w:firstLine="0"/>
        <w:contextualSpacing/>
        <w:mirrorIndents/>
        <w:jc w:val="both"/>
        <w:rPr>
          <w:sz w:val="20"/>
          <w:szCs w:val="20"/>
        </w:rPr>
      </w:pPr>
      <w:r>
        <w:rPr>
          <w:sz w:val="20"/>
          <w:szCs w:val="20"/>
        </w:rPr>
        <w:t xml:space="preserve">3.4 </w:t>
      </w:r>
      <w:r w:rsidR="008E3035" w:rsidRPr="00F3339D">
        <w:rPr>
          <w:sz w:val="20"/>
          <w:szCs w:val="20"/>
        </w:rPr>
        <w:t>Antineuronal</w:t>
      </w:r>
      <w:r w:rsidR="008E3035" w:rsidRPr="00F3339D">
        <w:rPr>
          <w:spacing w:val="-12"/>
          <w:sz w:val="20"/>
          <w:szCs w:val="20"/>
        </w:rPr>
        <w:t xml:space="preserve"> </w:t>
      </w:r>
      <w:r w:rsidR="008E3035" w:rsidRPr="00F3339D">
        <w:rPr>
          <w:spacing w:val="-2"/>
          <w:sz w:val="20"/>
          <w:szCs w:val="20"/>
        </w:rPr>
        <w:t>Antibodies</w:t>
      </w:r>
    </w:p>
    <w:p w14:paraId="6A2AED9D"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One of the most extensively studied aspects of PANDAS involves the identification of antibodies directed against neuronal antigens. These antibodies have been proposed as both mechanistic contributors and potential biomarkers of disease [5,10,27,28].</w:t>
      </w:r>
    </w:p>
    <w:p w14:paraId="59A594ED" w14:textId="77777777" w:rsidR="00043FB9" w:rsidRPr="00043FB9" w:rsidRDefault="00043FB9" w:rsidP="008E3035">
      <w:pPr>
        <w:pStyle w:val="BodyText"/>
        <w:spacing w:line="360" w:lineRule="auto"/>
        <w:ind w:firstLine="0"/>
        <w:contextualSpacing/>
        <w:mirrorIndents/>
        <w:rPr>
          <w:rFonts w:ascii="Times New Roman" w:hAnsi="Times New Roman" w:cs="Times New Roman"/>
          <w:sz w:val="10"/>
          <w:szCs w:val="10"/>
        </w:rPr>
      </w:pPr>
    </w:p>
    <w:p w14:paraId="0BEA8F62"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 xml:space="preserve">Reported targets include dopamine D1 and D2 receptors, </w:t>
      </w:r>
      <w:proofErr w:type="spellStart"/>
      <w:r w:rsidRPr="00F3339D">
        <w:rPr>
          <w:rFonts w:ascii="Times New Roman" w:hAnsi="Times New Roman" w:cs="Times New Roman"/>
          <w:sz w:val="20"/>
          <w:szCs w:val="20"/>
        </w:rPr>
        <w:t>lysoganglioside</w:t>
      </w:r>
      <w:proofErr w:type="spellEnd"/>
      <w:r w:rsidRPr="00F3339D">
        <w:rPr>
          <w:rFonts w:ascii="Times New Roman" w:hAnsi="Times New Roman" w:cs="Times New Roman"/>
          <w:sz w:val="20"/>
          <w:szCs w:val="20"/>
        </w:rPr>
        <w:t xml:space="preserve"> GM1, and tubulin, all relevant because of their potential effects on basal ganglia neurotransmission [5,28].</w:t>
      </w:r>
    </w:p>
    <w:p w14:paraId="3942A9ED" w14:textId="77777777" w:rsidR="00043FB9" w:rsidRPr="00043FB9" w:rsidRDefault="00043FB9" w:rsidP="008E3035">
      <w:pPr>
        <w:pStyle w:val="BodyText"/>
        <w:spacing w:line="360" w:lineRule="auto"/>
        <w:ind w:firstLine="0"/>
        <w:contextualSpacing/>
        <w:mirrorIndents/>
        <w:rPr>
          <w:rFonts w:ascii="Times New Roman" w:hAnsi="Times New Roman" w:cs="Times New Roman"/>
          <w:sz w:val="10"/>
          <w:szCs w:val="10"/>
        </w:rPr>
      </w:pPr>
    </w:p>
    <w:p w14:paraId="408B52EE" w14:textId="77777777" w:rsidR="008E3035" w:rsidRDefault="008E3035" w:rsidP="008E3035">
      <w:pPr>
        <w:pStyle w:val="BodyText"/>
        <w:spacing w:line="360" w:lineRule="auto"/>
        <w:ind w:firstLine="0"/>
        <w:contextualSpacing/>
        <w:mirrorIndents/>
        <w:rPr>
          <w:rFonts w:ascii="Times New Roman" w:hAnsi="Times New Roman" w:cs="Times New Roman"/>
          <w:spacing w:val="-2"/>
          <w:sz w:val="20"/>
          <w:szCs w:val="20"/>
        </w:rPr>
      </w:pPr>
      <w:r w:rsidRPr="00F3339D">
        <w:rPr>
          <w:rFonts w:ascii="Times New Roman" w:hAnsi="Times New Roman" w:cs="Times New Roman"/>
          <w:sz w:val="20"/>
          <w:szCs w:val="20"/>
        </w:rPr>
        <w:t>Dopaminergic signaling plays a fundamental role in motor regulation, compulsivity, reward processing, and habit formation. Alterations in dopamine receptor activity have long been implicated in both</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OCD</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tic</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disorders.</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Consequently,</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antibody-mediated</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interference</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with</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dopaminergic</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 xml:space="preserve">pathways represents an attractive mechanistic explanation for many clinical manifestations observed in PANDAS </w:t>
      </w:r>
      <w:r w:rsidRPr="00F3339D">
        <w:rPr>
          <w:rFonts w:ascii="Times New Roman" w:hAnsi="Times New Roman" w:cs="Times New Roman"/>
          <w:spacing w:val="-2"/>
          <w:sz w:val="20"/>
          <w:szCs w:val="20"/>
        </w:rPr>
        <w:t>[5,28].</w:t>
      </w:r>
    </w:p>
    <w:p w14:paraId="6B701115" w14:textId="77777777" w:rsidR="00043FB9" w:rsidRPr="00043FB9" w:rsidRDefault="00043FB9" w:rsidP="008E3035">
      <w:pPr>
        <w:pStyle w:val="BodyText"/>
        <w:spacing w:line="360" w:lineRule="auto"/>
        <w:ind w:firstLine="0"/>
        <w:contextualSpacing/>
        <w:mirrorIndents/>
        <w:rPr>
          <w:rFonts w:ascii="Times New Roman" w:hAnsi="Times New Roman" w:cs="Times New Roman"/>
          <w:sz w:val="10"/>
          <w:szCs w:val="10"/>
        </w:rPr>
      </w:pPr>
    </w:p>
    <w:p w14:paraId="3BF9545F" w14:textId="77777777" w:rsidR="008E3035" w:rsidRDefault="008E3035" w:rsidP="008E3035">
      <w:pPr>
        <w:pStyle w:val="BodyText"/>
        <w:spacing w:line="360" w:lineRule="auto"/>
        <w:ind w:firstLine="0"/>
        <w:contextualSpacing/>
        <w:mirrorIndents/>
        <w:rPr>
          <w:rFonts w:ascii="Times New Roman" w:hAnsi="Times New Roman" w:cs="Times New Roman"/>
          <w:spacing w:val="-2"/>
          <w:sz w:val="20"/>
          <w:szCs w:val="20"/>
        </w:rPr>
      </w:pPr>
      <w:r w:rsidRPr="00F3339D">
        <w:rPr>
          <w:rFonts w:ascii="Times New Roman" w:hAnsi="Times New Roman" w:cs="Times New Roman"/>
          <w:sz w:val="20"/>
          <w:szCs w:val="20"/>
        </w:rPr>
        <w:t xml:space="preserve">Studies reporting increased calcium/calmodulin-dependent protein kinase II (CaMKII) activation suggested that circulating antibodies might exert functional effects beyond simple antigen recognition </w:t>
      </w:r>
      <w:r w:rsidRPr="00F3339D">
        <w:rPr>
          <w:rFonts w:ascii="Times New Roman" w:hAnsi="Times New Roman" w:cs="Times New Roman"/>
          <w:spacing w:val="-2"/>
          <w:sz w:val="20"/>
          <w:szCs w:val="20"/>
        </w:rPr>
        <w:t>[5,10].</w:t>
      </w:r>
    </w:p>
    <w:p w14:paraId="20449591" w14:textId="77777777" w:rsidR="005E4FD4" w:rsidRPr="005E4FD4" w:rsidRDefault="005E4FD4" w:rsidP="008E3035">
      <w:pPr>
        <w:pStyle w:val="BodyText"/>
        <w:spacing w:line="360" w:lineRule="auto"/>
        <w:ind w:firstLine="0"/>
        <w:contextualSpacing/>
        <w:mirrorIndents/>
        <w:rPr>
          <w:rFonts w:ascii="Times New Roman" w:hAnsi="Times New Roman" w:cs="Times New Roman"/>
          <w:sz w:val="10"/>
          <w:szCs w:val="10"/>
        </w:rPr>
      </w:pPr>
    </w:p>
    <w:p w14:paraId="6726872B"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Despite</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initial</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enthusiasm,</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reproducibility</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has</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proven</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challenging.</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Independent</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studies</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have</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yielded mixed results regarding both prevalence and specificity of antineuronal antibodies. Some investigations have demonstrated substantial overlap between presumed PANDAS/PANS populations and healthy controls. Others have failed to replicate previously reported associations [10,29].</w:t>
      </w:r>
    </w:p>
    <w:p w14:paraId="3774A950" w14:textId="77777777" w:rsidR="005E4FD4" w:rsidRPr="005E4FD4" w:rsidRDefault="005E4FD4" w:rsidP="008E3035">
      <w:pPr>
        <w:pStyle w:val="BodyText"/>
        <w:spacing w:line="360" w:lineRule="auto"/>
        <w:ind w:firstLine="0"/>
        <w:contextualSpacing/>
        <w:mirrorIndents/>
        <w:rPr>
          <w:rFonts w:ascii="Times New Roman" w:hAnsi="Times New Roman" w:cs="Times New Roman"/>
          <w:sz w:val="10"/>
          <w:szCs w:val="10"/>
        </w:rPr>
      </w:pPr>
    </w:p>
    <w:p w14:paraId="4C1C6179" w14:textId="77777777" w:rsidR="008E3035" w:rsidRDefault="008E3035" w:rsidP="008E3035">
      <w:pPr>
        <w:pStyle w:val="BodyText"/>
        <w:spacing w:line="360" w:lineRule="auto"/>
        <w:ind w:firstLine="0"/>
        <w:contextualSpacing/>
        <w:mirrorIndents/>
        <w:rPr>
          <w:rFonts w:ascii="Times New Roman" w:hAnsi="Times New Roman" w:cs="Times New Roman"/>
          <w:spacing w:val="-2"/>
          <w:sz w:val="20"/>
          <w:szCs w:val="20"/>
        </w:rPr>
      </w:pPr>
      <w:r w:rsidRPr="00F3339D">
        <w:rPr>
          <w:rFonts w:ascii="Times New Roman" w:hAnsi="Times New Roman" w:cs="Times New Roman"/>
          <w:sz w:val="20"/>
          <w:szCs w:val="20"/>
        </w:rPr>
        <w:t>These</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discrepancies</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highlight</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a</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broader</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challenge</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within</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neuroimmunology.</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Autoantibodies</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may</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be pathogenic,</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epiphenomenal,</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or</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unrelated</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to</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disease</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processes.</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Distinguishing</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among</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these</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possibilities requires</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rigorous</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longitudinal</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studies</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demonstrating</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temporal</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relationships</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between</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antibody</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levels</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 xml:space="preserve">and symptom expression, a standard that remains incompletely achieved within current PANDAS literature </w:t>
      </w:r>
      <w:r w:rsidRPr="00F3339D">
        <w:rPr>
          <w:rFonts w:ascii="Times New Roman" w:hAnsi="Times New Roman" w:cs="Times New Roman"/>
          <w:spacing w:val="-2"/>
          <w:sz w:val="20"/>
          <w:szCs w:val="20"/>
        </w:rPr>
        <w:t>[10,29].</w:t>
      </w:r>
    </w:p>
    <w:p w14:paraId="6400E4FB" w14:textId="77777777" w:rsidR="005E4FD4" w:rsidRPr="005E4FD4" w:rsidRDefault="005E4FD4" w:rsidP="008E3035">
      <w:pPr>
        <w:pStyle w:val="BodyText"/>
        <w:spacing w:line="360" w:lineRule="auto"/>
        <w:ind w:firstLine="0"/>
        <w:contextualSpacing/>
        <w:mirrorIndents/>
        <w:rPr>
          <w:rFonts w:ascii="Times New Roman" w:hAnsi="Times New Roman" w:cs="Times New Roman"/>
          <w:sz w:val="10"/>
          <w:szCs w:val="10"/>
        </w:rPr>
      </w:pPr>
    </w:p>
    <w:p w14:paraId="77D44B86"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Accordingly, although antineuronal antibodies remain among the most promising biologic findings associated with PANDAS, their precise role in disease pathogenesis remains controversial.</w:t>
      </w:r>
    </w:p>
    <w:p w14:paraId="4627936B" w14:textId="77777777" w:rsidR="005E4FD4" w:rsidRPr="005E4FD4" w:rsidRDefault="005E4FD4" w:rsidP="008E3035">
      <w:pPr>
        <w:pStyle w:val="BodyText"/>
        <w:spacing w:line="360" w:lineRule="auto"/>
        <w:ind w:firstLine="0"/>
        <w:contextualSpacing/>
        <w:mirrorIndents/>
        <w:rPr>
          <w:rFonts w:ascii="Times New Roman" w:hAnsi="Times New Roman" w:cs="Times New Roman"/>
          <w:sz w:val="10"/>
          <w:szCs w:val="10"/>
        </w:rPr>
      </w:pPr>
    </w:p>
    <w:p w14:paraId="26625B74"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The conflicting antibody literature may reflect several nonexclusive possibilities. One possibility is that antineuronal antibodies identify only a biologically distinct subgroup of patients rather than all individuals</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meeting</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PANDAS</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or</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PANS</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criteria.</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Another</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is</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that</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variability</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in</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assay</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methodology,</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timing</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of specimen collection, disease activity, and patient selection contributes substantially to inconsistent results. It is also possible that currently studied antibodies function primarily as markers of immune activation rather than direct mediators of disease. These considerations highlight the need for future studies incorporating standardized laboratory methods, longitudinal sampling, and biologically defined patient subgroups [10,29].</w:t>
      </w:r>
    </w:p>
    <w:p w14:paraId="09855577" w14:textId="77777777" w:rsidR="008E3035" w:rsidRDefault="008E3035" w:rsidP="008E3035">
      <w:pPr>
        <w:pStyle w:val="BodyText"/>
        <w:spacing w:line="360" w:lineRule="auto"/>
        <w:ind w:firstLine="0"/>
        <w:contextualSpacing/>
        <w:mirrorIndents/>
        <w:rPr>
          <w:rFonts w:ascii="Times New Roman" w:hAnsi="Times New Roman" w:cs="Times New Roman"/>
          <w:sz w:val="10"/>
          <w:szCs w:val="10"/>
        </w:rPr>
      </w:pPr>
    </w:p>
    <w:p w14:paraId="06DBEB99" w14:textId="77777777" w:rsidR="00461EDC" w:rsidRDefault="00461EDC" w:rsidP="008E3035">
      <w:pPr>
        <w:pStyle w:val="BodyText"/>
        <w:spacing w:line="360" w:lineRule="auto"/>
        <w:ind w:firstLine="0"/>
        <w:contextualSpacing/>
        <w:mirrorIndents/>
        <w:rPr>
          <w:rFonts w:ascii="Times New Roman" w:hAnsi="Times New Roman" w:cs="Times New Roman"/>
          <w:sz w:val="10"/>
          <w:szCs w:val="10"/>
        </w:rPr>
      </w:pPr>
    </w:p>
    <w:p w14:paraId="7108CB05"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Newer</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antibody</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work</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has</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also</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shifted</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attention</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from</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broad</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anti-basal-ganglia</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reactivity</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toward</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more specific neuronal-cell targets. Studies of PANDAS/PANS plasma have reported antibody binding to striatal cholinergic interneurons, a finding that is mechanistically relevant because these interneurons modulate basal ganglia output and may influence motor, habit, and compulsivity circuits. These results are promising but should be interpreted as subgroup-level mechanistic evidence rather than a validated diagnostic biomarker [30].</w:t>
      </w:r>
    </w:p>
    <w:p w14:paraId="79616F48" w14:textId="77777777" w:rsidR="008E3035" w:rsidRPr="005E4FD4" w:rsidRDefault="008E3035" w:rsidP="008E3035">
      <w:pPr>
        <w:pStyle w:val="BodyText"/>
        <w:spacing w:line="360" w:lineRule="auto"/>
        <w:ind w:firstLine="0"/>
        <w:contextualSpacing/>
        <w:mirrorIndents/>
        <w:rPr>
          <w:rFonts w:ascii="Times New Roman" w:hAnsi="Times New Roman" w:cs="Times New Roman"/>
          <w:sz w:val="10"/>
          <w:szCs w:val="10"/>
        </w:rPr>
      </w:pPr>
    </w:p>
    <w:p w14:paraId="29F70FB9" w14:textId="715EACEB" w:rsidR="008E3035" w:rsidRPr="00F3339D" w:rsidRDefault="00461EDC" w:rsidP="008E3035">
      <w:pPr>
        <w:pStyle w:val="Heading1"/>
        <w:spacing w:line="360" w:lineRule="auto"/>
        <w:ind w:left="0" w:firstLine="0"/>
        <w:contextualSpacing/>
        <w:mirrorIndents/>
        <w:jc w:val="both"/>
        <w:rPr>
          <w:sz w:val="20"/>
          <w:szCs w:val="20"/>
        </w:rPr>
      </w:pPr>
      <w:r>
        <w:rPr>
          <w:sz w:val="20"/>
          <w:szCs w:val="20"/>
        </w:rPr>
        <w:t xml:space="preserve">3.5 </w:t>
      </w:r>
      <w:r w:rsidR="008E3035" w:rsidRPr="00F3339D">
        <w:rPr>
          <w:sz w:val="20"/>
          <w:szCs w:val="20"/>
        </w:rPr>
        <w:t>Evidence</w:t>
      </w:r>
      <w:r w:rsidR="008E3035" w:rsidRPr="00F3339D">
        <w:rPr>
          <w:spacing w:val="-8"/>
          <w:sz w:val="20"/>
          <w:szCs w:val="20"/>
        </w:rPr>
        <w:t xml:space="preserve"> </w:t>
      </w:r>
      <w:r w:rsidR="008E3035" w:rsidRPr="00F3339D">
        <w:rPr>
          <w:sz w:val="20"/>
          <w:szCs w:val="20"/>
        </w:rPr>
        <w:t>Supporting</w:t>
      </w:r>
      <w:r w:rsidR="008E3035" w:rsidRPr="00F3339D">
        <w:rPr>
          <w:spacing w:val="-7"/>
          <w:sz w:val="20"/>
          <w:szCs w:val="20"/>
        </w:rPr>
        <w:t xml:space="preserve"> </w:t>
      </w:r>
      <w:r w:rsidR="008E3035" w:rsidRPr="00F3339D">
        <w:rPr>
          <w:sz w:val="20"/>
          <w:szCs w:val="20"/>
        </w:rPr>
        <w:t>an</w:t>
      </w:r>
      <w:r w:rsidR="008E3035" w:rsidRPr="00F3339D">
        <w:rPr>
          <w:spacing w:val="-8"/>
          <w:sz w:val="20"/>
          <w:szCs w:val="20"/>
        </w:rPr>
        <w:t xml:space="preserve"> </w:t>
      </w:r>
      <w:r w:rsidR="008E3035" w:rsidRPr="00F3339D">
        <w:rPr>
          <w:sz w:val="20"/>
          <w:szCs w:val="20"/>
        </w:rPr>
        <w:t>Autoimmune</w:t>
      </w:r>
      <w:r w:rsidR="008E3035" w:rsidRPr="00F3339D">
        <w:rPr>
          <w:spacing w:val="-7"/>
          <w:sz w:val="20"/>
          <w:szCs w:val="20"/>
        </w:rPr>
        <w:t xml:space="preserve"> </w:t>
      </w:r>
      <w:r w:rsidR="008E3035" w:rsidRPr="00F3339D">
        <w:rPr>
          <w:spacing w:val="-2"/>
          <w:sz w:val="20"/>
          <w:szCs w:val="20"/>
        </w:rPr>
        <w:t>Etiology</w:t>
      </w:r>
    </w:p>
    <w:p w14:paraId="0622FBB6" w14:textId="077CB46F"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Several</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converging</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lines</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evidence</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support</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immune-mediated</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mechanisms</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in</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at</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least</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a</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subset</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of PANDAS cases (</w:t>
      </w:r>
      <w:r w:rsidRPr="005E68FF">
        <w:rPr>
          <w:rFonts w:ascii="Times New Roman" w:hAnsi="Times New Roman" w:cs="Times New Roman"/>
          <w:bCs/>
          <w:sz w:val="20"/>
          <w:szCs w:val="20"/>
        </w:rPr>
        <w:t>Figure 2</w:t>
      </w:r>
      <w:r w:rsidRPr="00F3339D">
        <w:rPr>
          <w:rFonts w:ascii="Times New Roman" w:hAnsi="Times New Roman" w:cs="Times New Roman"/>
          <w:sz w:val="20"/>
          <w:szCs w:val="20"/>
        </w:rPr>
        <w:t>)</w:t>
      </w:r>
      <w:r w:rsidR="00AE00B7">
        <w:rPr>
          <w:rFonts w:ascii="Times New Roman" w:hAnsi="Times New Roman" w:cs="Times New Roman"/>
          <w:sz w:val="20"/>
          <w:szCs w:val="20"/>
        </w:rPr>
        <w:t xml:space="preserve"> </w:t>
      </w:r>
      <w:r w:rsidR="00AE00B7" w:rsidRPr="00F3339D">
        <w:rPr>
          <w:rFonts w:ascii="Times New Roman" w:hAnsi="Times New Roman" w:cs="Times New Roman"/>
          <w:sz w:val="20"/>
          <w:szCs w:val="20"/>
        </w:rPr>
        <w:t>[1,8,31]</w:t>
      </w:r>
      <w:r w:rsidRPr="00F3339D">
        <w:rPr>
          <w:rFonts w:ascii="Times New Roman" w:hAnsi="Times New Roman" w:cs="Times New Roman"/>
          <w:sz w:val="20"/>
          <w:szCs w:val="20"/>
        </w:rPr>
        <w:t>.</w:t>
      </w:r>
    </w:p>
    <w:p w14:paraId="7E063F11" w14:textId="77777777" w:rsidR="005E68FF" w:rsidRDefault="005E68FF" w:rsidP="008E3035">
      <w:pPr>
        <w:pStyle w:val="BodyText"/>
        <w:spacing w:line="360" w:lineRule="auto"/>
        <w:ind w:firstLine="0"/>
        <w:contextualSpacing/>
        <w:mirrorIndents/>
        <w:rPr>
          <w:rFonts w:ascii="Times New Roman" w:hAnsi="Times New Roman" w:cs="Times New Roman"/>
          <w:sz w:val="20"/>
          <w:szCs w:val="20"/>
        </w:rPr>
      </w:pPr>
    </w:p>
    <w:p w14:paraId="30670888" w14:textId="77777777" w:rsidR="005E68FF" w:rsidRDefault="005E68FF" w:rsidP="005E68FF">
      <w:pPr>
        <w:pStyle w:val="BodyText"/>
        <w:spacing w:line="360" w:lineRule="auto"/>
        <w:ind w:firstLine="0"/>
        <w:contextualSpacing/>
        <w:mirrorIndents/>
        <w:jc w:val="center"/>
        <w:rPr>
          <w:rFonts w:ascii="Times New Roman" w:hAnsi="Times New Roman" w:cs="Times New Roman"/>
          <w:sz w:val="20"/>
          <w:szCs w:val="20"/>
        </w:rPr>
      </w:pPr>
      <w:r w:rsidRPr="00F3339D">
        <w:rPr>
          <w:rFonts w:ascii="Times New Roman" w:hAnsi="Times New Roman" w:cs="Times New Roman"/>
          <w:noProof/>
          <w:sz w:val="20"/>
          <w:szCs w:val="20"/>
        </w:rPr>
        <w:drawing>
          <wp:inline distT="0" distB="0" distL="0" distR="0" wp14:anchorId="746401E0" wp14:editId="57EF395B">
            <wp:extent cx="4268709" cy="2702459"/>
            <wp:effectExtent l="0" t="0" r="0" b="3175"/>
            <wp:docPr id="75767250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2" cstate="print"/>
                    <a:stretch>
                      <a:fillRect/>
                    </a:stretch>
                  </pic:blipFill>
                  <pic:spPr>
                    <a:xfrm>
                      <a:off x="0" y="0"/>
                      <a:ext cx="4274169" cy="2705916"/>
                    </a:xfrm>
                    <a:prstGeom prst="rect">
                      <a:avLst/>
                    </a:prstGeom>
                  </pic:spPr>
                </pic:pic>
              </a:graphicData>
            </a:graphic>
          </wp:inline>
        </w:drawing>
      </w:r>
    </w:p>
    <w:p w14:paraId="7BBF227E" w14:textId="77777777" w:rsidR="005E68FF" w:rsidRPr="005E68FF" w:rsidRDefault="005E68FF" w:rsidP="005E68FF">
      <w:pPr>
        <w:pStyle w:val="BodyText"/>
        <w:spacing w:line="360" w:lineRule="auto"/>
        <w:ind w:firstLine="0"/>
        <w:contextualSpacing/>
        <w:mirrorIndents/>
        <w:rPr>
          <w:rFonts w:ascii="Times New Roman" w:hAnsi="Times New Roman" w:cs="Times New Roman"/>
          <w:sz w:val="10"/>
          <w:szCs w:val="10"/>
        </w:rPr>
      </w:pPr>
    </w:p>
    <w:p w14:paraId="6E9B3AD9" w14:textId="61AC844C" w:rsidR="005E68FF" w:rsidRDefault="00B63C14" w:rsidP="005E68FF">
      <w:pPr>
        <w:pStyle w:val="BodyText"/>
        <w:spacing w:line="360" w:lineRule="auto"/>
        <w:ind w:firstLine="0"/>
        <w:contextualSpacing/>
        <w:mirrorIndents/>
        <w:rPr>
          <w:rFonts w:ascii="Times New Roman" w:hAnsi="Times New Roman" w:cs="Times New Roman"/>
          <w:sz w:val="20"/>
          <w:szCs w:val="20"/>
        </w:rPr>
      </w:pPr>
      <w:r>
        <w:rPr>
          <w:rFonts w:ascii="Times New Roman" w:hAnsi="Times New Roman" w:cs="Times New Roman"/>
          <w:b/>
          <w:color w:val="0070C0"/>
          <w:sz w:val="20"/>
          <w:szCs w:val="20"/>
        </w:rPr>
        <w:t xml:space="preserve">Figure 2: </w:t>
      </w:r>
      <w:r w:rsidR="005E68FF" w:rsidRPr="00F3339D">
        <w:rPr>
          <w:rFonts w:ascii="Times New Roman" w:hAnsi="Times New Roman" w:cs="Times New Roman"/>
          <w:sz w:val="20"/>
          <w:szCs w:val="20"/>
        </w:rPr>
        <w:t>Key</w:t>
      </w:r>
      <w:r w:rsidR="005E68FF" w:rsidRPr="00F3339D">
        <w:rPr>
          <w:rFonts w:ascii="Times New Roman" w:hAnsi="Times New Roman" w:cs="Times New Roman"/>
          <w:spacing w:val="-6"/>
          <w:sz w:val="20"/>
          <w:szCs w:val="20"/>
        </w:rPr>
        <w:t xml:space="preserve"> </w:t>
      </w:r>
      <w:r w:rsidR="005E68FF" w:rsidRPr="00F3339D">
        <w:rPr>
          <w:rFonts w:ascii="Times New Roman" w:hAnsi="Times New Roman" w:cs="Times New Roman"/>
          <w:sz w:val="20"/>
          <w:szCs w:val="20"/>
        </w:rPr>
        <w:t>Pillars</w:t>
      </w:r>
      <w:r w:rsidR="005E68FF" w:rsidRPr="00F3339D">
        <w:rPr>
          <w:rFonts w:ascii="Times New Roman" w:hAnsi="Times New Roman" w:cs="Times New Roman"/>
          <w:spacing w:val="-6"/>
          <w:sz w:val="20"/>
          <w:szCs w:val="20"/>
        </w:rPr>
        <w:t xml:space="preserve"> </w:t>
      </w:r>
      <w:r w:rsidR="005E68FF" w:rsidRPr="00F3339D">
        <w:rPr>
          <w:rFonts w:ascii="Times New Roman" w:hAnsi="Times New Roman" w:cs="Times New Roman"/>
          <w:sz w:val="20"/>
          <w:szCs w:val="20"/>
        </w:rPr>
        <w:t>of</w:t>
      </w:r>
      <w:r w:rsidR="005E68FF" w:rsidRPr="00F3339D">
        <w:rPr>
          <w:rFonts w:ascii="Times New Roman" w:hAnsi="Times New Roman" w:cs="Times New Roman"/>
          <w:spacing w:val="-6"/>
          <w:sz w:val="20"/>
          <w:szCs w:val="20"/>
        </w:rPr>
        <w:t xml:space="preserve"> </w:t>
      </w:r>
      <w:r w:rsidR="005E68FF" w:rsidRPr="00F3339D">
        <w:rPr>
          <w:rFonts w:ascii="Times New Roman" w:hAnsi="Times New Roman" w:cs="Times New Roman"/>
          <w:sz w:val="20"/>
          <w:szCs w:val="20"/>
        </w:rPr>
        <w:t>the</w:t>
      </w:r>
      <w:r w:rsidR="005E68FF" w:rsidRPr="00F3339D">
        <w:rPr>
          <w:rFonts w:ascii="Times New Roman" w:hAnsi="Times New Roman" w:cs="Times New Roman"/>
          <w:spacing w:val="-6"/>
          <w:sz w:val="20"/>
          <w:szCs w:val="20"/>
        </w:rPr>
        <w:t xml:space="preserve"> </w:t>
      </w:r>
      <w:r w:rsidR="005E68FF" w:rsidRPr="00F3339D">
        <w:rPr>
          <w:rFonts w:ascii="Times New Roman" w:hAnsi="Times New Roman" w:cs="Times New Roman"/>
          <w:sz w:val="20"/>
          <w:szCs w:val="20"/>
        </w:rPr>
        <w:t>autoimmune</w:t>
      </w:r>
      <w:r w:rsidR="005E68FF" w:rsidRPr="00F3339D">
        <w:rPr>
          <w:rFonts w:ascii="Times New Roman" w:hAnsi="Times New Roman" w:cs="Times New Roman"/>
          <w:spacing w:val="-6"/>
          <w:sz w:val="20"/>
          <w:szCs w:val="20"/>
        </w:rPr>
        <w:t xml:space="preserve"> </w:t>
      </w:r>
      <w:r w:rsidR="005E68FF" w:rsidRPr="00F3339D">
        <w:rPr>
          <w:rFonts w:ascii="Times New Roman" w:hAnsi="Times New Roman" w:cs="Times New Roman"/>
          <w:sz w:val="20"/>
          <w:szCs w:val="20"/>
        </w:rPr>
        <w:t>framework</w:t>
      </w:r>
      <w:r w:rsidR="005E68FF" w:rsidRPr="00F3339D">
        <w:rPr>
          <w:rFonts w:ascii="Times New Roman" w:hAnsi="Times New Roman" w:cs="Times New Roman"/>
          <w:spacing w:val="-6"/>
          <w:sz w:val="20"/>
          <w:szCs w:val="20"/>
        </w:rPr>
        <w:t xml:space="preserve"> </w:t>
      </w:r>
      <w:r w:rsidR="005E68FF" w:rsidRPr="00F3339D">
        <w:rPr>
          <w:rFonts w:ascii="Times New Roman" w:hAnsi="Times New Roman" w:cs="Times New Roman"/>
          <w:sz w:val="20"/>
          <w:szCs w:val="20"/>
        </w:rPr>
        <w:t>of</w:t>
      </w:r>
      <w:r w:rsidR="005E68FF" w:rsidRPr="00F3339D">
        <w:rPr>
          <w:rFonts w:ascii="Times New Roman" w:hAnsi="Times New Roman" w:cs="Times New Roman"/>
          <w:spacing w:val="-6"/>
          <w:sz w:val="20"/>
          <w:szCs w:val="20"/>
        </w:rPr>
        <w:t xml:space="preserve"> </w:t>
      </w:r>
      <w:r w:rsidR="005E68FF" w:rsidRPr="00F3339D">
        <w:rPr>
          <w:rFonts w:ascii="Times New Roman" w:hAnsi="Times New Roman" w:cs="Times New Roman"/>
          <w:sz w:val="20"/>
          <w:szCs w:val="20"/>
        </w:rPr>
        <w:t>PANDAS</w:t>
      </w:r>
      <w:r w:rsidR="005E68FF" w:rsidRPr="00F3339D">
        <w:rPr>
          <w:rFonts w:ascii="Times New Roman" w:hAnsi="Times New Roman" w:cs="Times New Roman"/>
          <w:spacing w:val="-8"/>
          <w:sz w:val="20"/>
          <w:szCs w:val="20"/>
        </w:rPr>
        <w:t xml:space="preserve"> </w:t>
      </w:r>
      <w:r w:rsidR="005E68FF" w:rsidRPr="00F3339D">
        <w:rPr>
          <w:rFonts w:ascii="Times New Roman" w:hAnsi="Times New Roman" w:cs="Times New Roman"/>
          <w:sz w:val="20"/>
          <w:szCs w:val="20"/>
        </w:rPr>
        <w:t>(pediatric</w:t>
      </w:r>
      <w:r w:rsidR="005E68FF" w:rsidRPr="00F3339D">
        <w:rPr>
          <w:rFonts w:ascii="Times New Roman" w:hAnsi="Times New Roman" w:cs="Times New Roman"/>
          <w:spacing w:val="-6"/>
          <w:sz w:val="20"/>
          <w:szCs w:val="20"/>
        </w:rPr>
        <w:t xml:space="preserve"> </w:t>
      </w:r>
      <w:r w:rsidR="005E68FF" w:rsidRPr="00F3339D">
        <w:rPr>
          <w:rFonts w:ascii="Times New Roman" w:hAnsi="Times New Roman" w:cs="Times New Roman"/>
          <w:sz w:val="20"/>
          <w:szCs w:val="20"/>
        </w:rPr>
        <w:t>autoimmune</w:t>
      </w:r>
      <w:r w:rsidR="005E68FF" w:rsidRPr="00F3339D">
        <w:rPr>
          <w:rFonts w:ascii="Times New Roman" w:hAnsi="Times New Roman" w:cs="Times New Roman"/>
          <w:spacing w:val="-6"/>
          <w:sz w:val="20"/>
          <w:szCs w:val="20"/>
        </w:rPr>
        <w:t xml:space="preserve"> </w:t>
      </w:r>
      <w:r w:rsidR="005E68FF" w:rsidRPr="00F3339D">
        <w:rPr>
          <w:rFonts w:ascii="Times New Roman" w:hAnsi="Times New Roman" w:cs="Times New Roman"/>
          <w:sz w:val="20"/>
          <w:szCs w:val="20"/>
        </w:rPr>
        <w:t>neuropsychiatric disorders associated with streptococcal infections).</w:t>
      </w:r>
    </w:p>
    <w:p w14:paraId="11F98C67" w14:textId="77777777" w:rsidR="005E68FF" w:rsidRPr="005E68FF" w:rsidRDefault="005E68FF" w:rsidP="005E68FF">
      <w:pPr>
        <w:pStyle w:val="BodyText"/>
        <w:spacing w:line="360" w:lineRule="auto"/>
        <w:ind w:firstLine="0"/>
        <w:contextualSpacing/>
        <w:mirrorIndents/>
        <w:rPr>
          <w:rFonts w:ascii="Times New Roman" w:hAnsi="Times New Roman" w:cs="Times New Roman"/>
          <w:sz w:val="10"/>
          <w:szCs w:val="10"/>
        </w:rPr>
      </w:pPr>
    </w:p>
    <w:p w14:paraId="542D996E" w14:textId="57D6EE22" w:rsidR="005E68FF" w:rsidRPr="00F3339D" w:rsidRDefault="005E68FF" w:rsidP="005E68FF">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Fourth, biomarkers and neuroimaging studies have reported abnormalities involving basal ganglia structures and inflammatory signaling pathways [32</w:t>
      </w:r>
      <w:r>
        <w:rPr>
          <w:rFonts w:ascii="Times New Roman" w:hAnsi="Times New Roman" w:cs="Times New Roman"/>
          <w:sz w:val="20"/>
          <w:szCs w:val="20"/>
        </w:rPr>
        <w:t>-</w:t>
      </w:r>
      <w:r w:rsidRPr="00F3339D">
        <w:rPr>
          <w:rFonts w:ascii="Times New Roman" w:hAnsi="Times New Roman" w:cs="Times New Roman"/>
          <w:sz w:val="20"/>
          <w:szCs w:val="20"/>
        </w:rPr>
        <w:t>34].</w:t>
      </w:r>
    </w:p>
    <w:p w14:paraId="394F563B" w14:textId="77777777" w:rsidR="005E68FF" w:rsidRPr="005E68FF" w:rsidRDefault="005E68FF" w:rsidP="008E3035">
      <w:pPr>
        <w:pStyle w:val="BodyText"/>
        <w:spacing w:line="360" w:lineRule="auto"/>
        <w:ind w:firstLine="0"/>
        <w:contextualSpacing/>
        <w:mirrorIndents/>
        <w:rPr>
          <w:rFonts w:ascii="Times New Roman" w:hAnsi="Times New Roman" w:cs="Times New Roman"/>
          <w:sz w:val="10"/>
          <w:szCs w:val="10"/>
        </w:rPr>
      </w:pPr>
    </w:p>
    <w:p w14:paraId="071F1DE2"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First, substantial clinical overlap exists between PANDAS and Sydenham chorea [1,2], a well-established poststreptococcal autoimmune disorder. Similarities include abrupt symptom onset, emotional lability, obsessive-compulsive features, motor abnormalities, and basal ganglia involvement.</w:t>
      </w:r>
    </w:p>
    <w:p w14:paraId="53D07C64" w14:textId="77777777" w:rsidR="005E68FF" w:rsidRPr="005E68FF" w:rsidRDefault="005E68FF" w:rsidP="008E3035">
      <w:pPr>
        <w:pStyle w:val="BodyText"/>
        <w:spacing w:line="360" w:lineRule="auto"/>
        <w:ind w:firstLine="0"/>
        <w:contextualSpacing/>
        <w:mirrorIndents/>
        <w:rPr>
          <w:rFonts w:ascii="Times New Roman" w:hAnsi="Times New Roman" w:cs="Times New Roman"/>
          <w:sz w:val="10"/>
          <w:szCs w:val="10"/>
        </w:rPr>
      </w:pPr>
    </w:p>
    <w:p w14:paraId="4FCA1362"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Second, antineuronal antibodies have been identified in multiple cohorts and have demonstrated functional effects in experimental systems [5,27,28].</w:t>
      </w:r>
    </w:p>
    <w:p w14:paraId="56F47D7A" w14:textId="77777777" w:rsidR="005E68FF" w:rsidRPr="005E68FF" w:rsidRDefault="005E68FF" w:rsidP="008E3035">
      <w:pPr>
        <w:pStyle w:val="BodyText"/>
        <w:spacing w:line="360" w:lineRule="auto"/>
        <w:ind w:firstLine="0"/>
        <w:contextualSpacing/>
        <w:mirrorIndents/>
        <w:rPr>
          <w:rFonts w:ascii="Times New Roman" w:hAnsi="Times New Roman" w:cs="Times New Roman"/>
          <w:sz w:val="10"/>
          <w:szCs w:val="10"/>
        </w:rPr>
      </w:pPr>
    </w:p>
    <w:p w14:paraId="504AC8A9" w14:textId="16567DDB"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Third, animal models have shown that transfer of human antibodies can induce behavioral and dopaminergic abnormalities resembling aspects of the human condition [28].</w:t>
      </w:r>
    </w:p>
    <w:p w14:paraId="20E95EB6" w14:textId="77777777" w:rsidR="005E68FF" w:rsidRPr="005E68FF" w:rsidRDefault="005E68FF" w:rsidP="008E3035">
      <w:pPr>
        <w:pStyle w:val="BodyText"/>
        <w:spacing w:line="360" w:lineRule="auto"/>
        <w:ind w:firstLine="0"/>
        <w:contextualSpacing/>
        <w:mirrorIndents/>
        <w:rPr>
          <w:rFonts w:ascii="Times New Roman" w:hAnsi="Times New Roman" w:cs="Times New Roman"/>
          <w:sz w:val="10"/>
          <w:szCs w:val="10"/>
        </w:rPr>
      </w:pPr>
    </w:p>
    <w:p w14:paraId="036C6B67" w14:textId="74201EE2"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 xml:space="preserve">Fifth, selective responsiveness to immunomodulatory therapies—including corticosteroids, intravenous immunoglobulin </w:t>
      </w:r>
      <w:r w:rsidRPr="00F3339D">
        <w:rPr>
          <w:rFonts w:ascii="Times New Roman" w:hAnsi="Times New Roman" w:cs="Times New Roman"/>
          <w:sz w:val="20"/>
          <w:szCs w:val="20"/>
        </w:rPr>
        <w:lastRenderedPageBreak/>
        <w:t>(IVIG), and plasma exchange—suggests that immune mechanisms may contribute to symptom generation in at least some patients [35</w:t>
      </w:r>
      <w:r w:rsidR="009F5D9B">
        <w:rPr>
          <w:rFonts w:ascii="Times New Roman" w:hAnsi="Times New Roman" w:cs="Times New Roman"/>
          <w:sz w:val="20"/>
          <w:szCs w:val="20"/>
        </w:rPr>
        <w:t>-</w:t>
      </w:r>
      <w:r w:rsidRPr="00F3339D">
        <w:rPr>
          <w:rFonts w:ascii="Times New Roman" w:hAnsi="Times New Roman" w:cs="Times New Roman"/>
          <w:sz w:val="20"/>
          <w:szCs w:val="20"/>
        </w:rPr>
        <w:t>39].</w:t>
      </w:r>
    </w:p>
    <w:p w14:paraId="5AB94D6D" w14:textId="77777777" w:rsidR="009F5D9B" w:rsidRPr="009F5D9B" w:rsidRDefault="009F5D9B" w:rsidP="008E3035">
      <w:pPr>
        <w:pStyle w:val="BodyText"/>
        <w:spacing w:line="360" w:lineRule="auto"/>
        <w:ind w:firstLine="0"/>
        <w:contextualSpacing/>
        <w:mirrorIndents/>
        <w:rPr>
          <w:rFonts w:ascii="Times New Roman" w:hAnsi="Times New Roman" w:cs="Times New Roman"/>
          <w:sz w:val="10"/>
          <w:szCs w:val="10"/>
        </w:rPr>
      </w:pPr>
    </w:p>
    <w:p w14:paraId="716107BC"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Importantly,</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no</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single</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line</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evidence</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independently</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proves</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the</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autoimmune</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hypothesis.</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However, taken together, these findings create a biologically coherent framework supporting the existence of infection-triggered neuroimmune neuropsychiatric syndromes [1,8,31].</w:t>
      </w:r>
    </w:p>
    <w:p w14:paraId="33E9C7AC" w14:textId="77777777" w:rsidR="009F5D9B" w:rsidRPr="009F5D9B" w:rsidRDefault="009F5D9B" w:rsidP="008E3035">
      <w:pPr>
        <w:pStyle w:val="BodyText"/>
        <w:spacing w:line="360" w:lineRule="auto"/>
        <w:ind w:firstLine="0"/>
        <w:contextualSpacing/>
        <w:mirrorIndents/>
        <w:rPr>
          <w:rFonts w:ascii="Times New Roman" w:hAnsi="Times New Roman" w:cs="Times New Roman"/>
          <w:sz w:val="10"/>
          <w:szCs w:val="10"/>
        </w:rPr>
      </w:pPr>
    </w:p>
    <w:p w14:paraId="3272B5C7"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At the same time, substantial methodological limitations remain, and many findings require replication in larger prospective cohorts [10,40]. Therefore, the most scientifically defensible conclusion is</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not</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that</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PANDAS</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has</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been</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definitively</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proven</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or</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disproven,</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but</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rather</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that</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growing</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evidence</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supports immune-mediated</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mechanisms</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in</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a</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subset</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affected</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children</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while</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significant</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uncertainties</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also</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 xml:space="preserve">remain </w:t>
      </w:r>
      <w:r w:rsidRPr="00F3339D">
        <w:rPr>
          <w:rFonts w:ascii="Times New Roman" w:hAnsi="Times New Roman" w:cs="Times New Roman"/>
          <w:spacing w:val="-2"/>
          <w:sz w:val="20"/>
          <w:szCs w:val="20"/>
        </w:rPr>
        <w:t>[10,40].</w:t>
      </w:r>
    </w:p>
    <w:p w14:paraId="75B45E25" w14:textId="77777777" w:rsidR="008E3035" w:rsidRPr="009F5D9B" w:rsidRDefault="008E3035" w:rsidP="008E3035">
      <w:pPr>
        <w:pStyle w:val="BodyText"/>
        <w:spacing w:line="360" w:lineRule="auto"/>
        <w:ind w:firstLine="0"/>
        <w:contextualSpacing/>
        <w:mirrorIndents/>
        <w:rPr>
          <w:rFonts w:ascii="Times New Roman" w:hAnsi="Times New Roman" w:cs="Times New Roman"/>
          <w:sz w:val="10"/>
          <w:szCs w:val="10"/>
        </w:rPr>
      </w:pPr>
    </w:p>
    <w:p w14:paraId="238C9CE4" w14:textId="43862E5E" w:rsidR="008E3035" w:rsidRPr="00F3339D" w:rsidRDefault="00461EDC" w:rsidP="008E3035">
      <w:pPr>
        <w:pStyle w:val="Heading1"/>
        <w:spacing w:line="360" w:lineRule="auto"/>
        <w:ind w:left="0" w:firstLine="0"/>
        <w:contextualSpacing/>
        <w:mirrorIndents/>
        <w:jc w:val="both"/>
        <w:rPr>
          <w:sz w:val="20"/>
          <w:szCs w:val="20"/>
        </w:rPr>
      </w:pPr>
      <w:r>
        <w:rPr>
          <w:sz w:val="20"/>
          <w:szCs w:val="20"/>
        </w:rPr>
        <w:t>3.6</w:t>
      </w:r>
      <w:r w:rsidR="009F5D9B">
        <w:rPr>
          <w:sz w:val="20"/>
          <w:szCs w:val="20"/>
        </w:rPr>
        <w:t xml:space="preserve"> </w:t>
      </w:r>
      <w:r w:rsidR="008E3035" w:rsidRPr="00F3339D">
        <w:rPr>
          <w:sz w:val="20"/>
          <w:szCs w:val="20"/>
        </w:rPr>
        <w:t>Evidence</w:t>
      </w:r>
      <w:r w:rsidR="008E3035" w:rsidRPr="00F3339D">
        <w:rPr>
          <w:spacing w:val="-8"/>
          <w:sz w:val="20"/>
          <w:szCs w:val="20"/>
        </w:rPr>
        <w:t xml:space="preserve"> </w:t>
      </w:r>
      <w:r w:rsidR="008E3035" w:rsidRPr="00F3339D">
        <w:rPr>
          <w:sz w:val="20"/>
          <w:szCs w:val="20"/>
        </w:rPr>
        <w:t>Challenging</w:t>
      </w:r>
      <w:r w:rsidR="008E3035" w:rsidRPr="00F3339D">
        <w:rPr>
          <w:spacing w:val="-8"/>
          <w:sz w:val="20"/>
          <w:szCs w:val="20"/>
        </w:rPr>
        <w:t xml:space="preserve"> </w:t>
      </w:r>
      <w:r w:rsidR="008E3035" w:rsidRPr="00F3339D">
        <w:rPr>
          <w:sz w:val="20"/>
          <w:szCs w:val="20"/>
        </w:rPr>
        <w:t>the</w:t>
      </w:r>
      <w:r w:rsidR="008E3035" w:rsidRPr="00F3339D">
        <w:rPr>
          <w:spacing w:val="-8"/>
          <w:sz w:val="20"/>
          <w:szCs w:val="20"/>
        </w:rPr>
        <w:t xml:space="preserve"> </w:t>
      </w:r>
      <w:r w:rsidR="008E3035" w:rsidRPr="00F3339D">
        <w:rPr>
          <w:sz w:val="20"/>
          <w:szCs w:val="20"/>
        </w:rPr>
        <w:t>Autoimmune</w:t>
      </w:r>
      <w:r w:rsidR="008E3035" w:rsidRPr="00F3339D">
        <w:rPr>
          <w:spacing w:val="-8"/>
          <w:sz w:val="20"/>
          <w:szCs w:val="20"/>
        </w:rPr>
        <w:t xml:space="preserve"> </w:t>
      </w:r>
      <w:r w:rsidR="008E3035" w:rsidRPr="00F3339D">
        <w:rPr>
          <w:spacing w:val="-2"/>
          <w:sz w:val="20"/>
          <w:szCs w:val="20"/>
        </w:rPr>
        <w:t>Hypothesis</w:t>
      </w:r>
    </w:p>
    <w:p w14:paraId="646B9C96"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Although substantial evidence supports immune-mediated mechanisms in at least some children with acute-onset neuropsychiatric symptoms, important findings challenge the notion that PANDAS represents a distinct, uniformly autoimmune disorder. Indeed, the controversy surrounding PANDAS largely stems not from the absence of biologic plausibility, but rather from inconsistencies in epidemiologic, immunologic, and clinical evidence [10,40].</w:t>
      </w:r>
    </w:p>
    <w:p w14:paraId="5AA63C91" w14:textId="77777777" w:rsidR="009F5D9B" w:rsidRPr="009F5D9B" w:rsidRDefault="009F5D9B" w:rsidP="008E3035">
      <w:pPr>
        <w:pStyle w:val="BodyText"/>
        <w:spacing w:line="360" w:lineRule="auto"/>
        <w:ind w:firstLine="0"/>
        <w:contextualSpacing/>
        <w:mirrorIndents/>
        <w:rPr>
          <w:rFonts w:ascii="Times New Roman" w:hAnsi="Times New Roman" w:cs="Times New Roman"/>
          <w:sz w:val="10"/>
          <w:szCs w:val="10"/>
        </w:rPr>
      </w:pPr>
    </w:p>
    <w:p w14:paraId="0F630475"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A</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major</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challenge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in</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evaluating</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PANDAS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involves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distinguishing</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biologic</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association</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from</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causation. Many of the observations supporting the syndrome—including positive streptococcal cultures, elevated antistreptococcal antibody titers, and detection of antineuronal antibodies—are not unique to affected patients. Because exposure to Group A Streptococcus is extremely common during childhood, many healthy children possess elevated antibody titers or evidence of prior infection. Consequently, the mere presence of streptococcal exposure does not establish a causal role in neuropsychiatric symptom development [9,20,21].</w:t>
      </w:r>
    </w:p>
    <w:p w14:paraId="43A497AF" w14:textId="77777777" w:rsidR="009F5D9B" w:rsidRPr="009F5D9B" w:rsidRDefault="009F5D9B" w:rsidP="008E3035">
      <w:pPr>
        <w:pStyle w:val="BodyText"/>
        <w:spacing w:line="360" w:lineRule="auto"/>
        <w:ind w:firstLine="0"/>
        <w:contextualSpacing/>
        <w:mirrorIndents/>
        <w:rPr>
          <w:rFonts w:ascii="Times New Roman" w:hAnsi="Times New Roman" w:cs="Times New Roman"/>
          <w:sz w:val="10"/>
          <w:szCs w:val="10"/>
        </w:rPr>
      </w:pPr>
    </w:p>
    <w:p w14:paraId="64AEA770" w14:textId="77777777" w:rsidR="008E3035" w:rsidRDefault="008E3035" w:rsidP="008E3035">
      <w:pPr>
        <w:pStyle w:val="BodyText"/>
        <w:spacing w:line="360" w:lineRule="auto"/>
        <w:ind w:firstLine="0"/>
        <w:contextualSpacing/>
        <w:mirrorIndents/>
        <w:rPr>
          <w:rFonts w:ascii="Times New Roman" w:hAnsi="Times New Roman" w:cs="Times New Roman"/>
          <w:spacing w:val="-2"/>
          <w:sz w:val="20"/>
          <w:szCs w:val="20"/>
        </w:rPr>
      </w:pPr>
      <w:r w:rsidRPr="00F3339D">
        <w:rPr>
          <w:rFonts w:ascii="Times New Roman" w:hAnsi="Times New Roman" w:cs="Times New Roman"/>
          <w:sz w:val="20"/>
          <w:szCs w:val="20"/>
        </w:rPr>
        <w:t>Furthermore, several prospective investigations have failed to demonstrate a consistent temporal relationship between new streptococcal infections and symptom exacerbations. While some cohorts report symptom worsening following documented infections, others have observed no meaningful correlation between GAS exposure and subsequent neuropsychiatric deterioration. These inconsistencies</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raise</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the</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possibility</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that</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streptococcal</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infection</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may</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function</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as</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one</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many</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 xml:space="preserve">nonspecific stressors capable of influencing symptom expression rather than serving as a unique etiologic trigger </w:t>
      </w:r>
      <w:r w:rsidRPr="00F3339D">
        <w:rPr>
          <w:rFonts w:ascii="Times New Roman" w:hAnsi="Times New Roman" w:cs="Times New Roman"/>
          <w:spacing w:val="-2"/>
          <w:sz w:val="20"/>
          <w:szCs w:val="20"/>
        </w:rPr>
        <w:t>[19,20,21].</w:t>
      </w:r>
    </w:p>
    <w:p w14:paraId="1000F139" w14:textId="77777777" w:rsidR="009F5D9B" w:rsidRPr="009F5D9B" w:rsidRDefault="009F5D9B" w:rsidP="008E3035">
      <w:pPr>
        <w:pStyle w:val="BodyText"/>
        <w:spacing w:line="360" w:lineRule="auto"/>
        <w:ind w:firstLine="0"/>
        <w:contextualSpacing/>
        <w:mirrorIndents/>
        <w:rPr>
          <w:rFonts w:ascii="Times New Roman" w:hAnsi="Times New Roman" w:cs="Times New Roman"/>
          <w:sz w:val="10"/>
          <w:szCs w:val="10"/>
        </w:rPr>
      </w:pPr>
    </w:p>
    <w:p w14:paraId="3CF6F551"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The</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heterogeneity</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reported</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clinical</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presentations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further</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complicates</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interpretation.</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Some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children meeting</w:t>
      </w:r>
      <w:r w:rsidRPr="00F3339D">
        <w:rPr>
          <w:rFonts w:ascii="Times New Roman" w:hAnsi="Times New Roman" w:cs="Times New Roman"/>
          <w:spacing w:val="40"/>
          <w:sz w:val="20"/>
          <w:szCs w:val="20"/>
        </w:rPr>
        <w:t xml:space="preserve"> </w:t>
      </w:r>
      <w:r w:rsidRPr="00F3339D">
        <w:rPr>
          <w:rFonts w:ascii="Times New Roman" w:hAnsi="Times New Roman" w:cs="Times New Roman"/>
          <w:sz w:val="20"/>
          <w:szCs w:val="20"/>
        </w:rPr>
        <w:t>PANDAS</w:t>
      </w:r>
      <w:r w:rsidRPr="00F3339D">
        <w:rPr>
          <w:rFonts w:ascii="Times New Roman" w:hAnsi="Times New Roman" w:cs="Times New Roman"/>
          <w:spacing w:val="40"/>
          <w:sz w:val="20"/>
          <w:szCs w:val="20"/>
        </w:rPr>
        <w:t xml:space="preserve"> </w:t>
      </w:r>
      <w:r w:rsidRPr="00F3339D">
        <w:rPr>
          <w:rFonts w:ascii="Times New Roman" w:hAnsi="Times New Roman" w:cs="Times New Roman"/>
          <w:sz w:val="20"/>
          <w:szCs w:val="20"/>
        </w:rPr>
        <w:t>criteria</w:t>
      </w:r>
      <w:r w:rsidRPr="00F3339D">
        <w:rPr>
          <w:rFonts w:ascii="Times New Roman" w:hAnsi="Times New Roman" w:cs="Times New Roman"/>
          <w:spacing w:val="40"/>
          <w:sz w:val="20"/>
          <w:szCs w:val="20"/>
        </w:rPr>
        <w:t xml:space="preserve"> </w:t>
      </w:r>
      <w:r w:rsidRPr="00F3339D">
        <w:rPr>
          <w:rFonts w:ascii="Times New Roman" w:hAnsi="Times New Roman" w:cs="Times New Roman"/>
          <w:sz w:val="20"/>
          <w:szCs w:val="20"/>
        </w:rPr>
        <w:t>exhibit</w:t>
      </w:r>
      <w:r w:rsidRPr="00F3339D">
        <w:rPr>
          <w:rFonts w:ascii="Times New Roman" w:hAnsi="Times New Roman" w:cs="Times New Roman"/>
          <w:spacing w:val="40"/>
          <w:sz w:val="20"/>
          <w:szCs w:val="20"/>
        </w:rPr>
        <w:t xml:space="preserve"> </w:t>
      </w:r>
      <w:r w:rsidRPr="00F3339D">
        <w:rPr>
          <w:rFonts w:ascii="Times New Roman" w:hAnsi="Times New Roman" w:cs="Times New Roman"/>
          <w:sz w:val="20"/>
          <w:szCs w:val="20"/>
        </w:rPr>
        <w:t>dramatic</w:t>
      </w:r>
      <w:r w:rsidRPr="00F3339D">
        <w:rPr>
          <w:rFonts w:ascii="Times New Roman" w:hAnsi="Times New Roman" w:cs="Times New Roman"/>
          <w:spacing w:val="40"/>
          <w:sz w:val="20"/>
          <w:szCs w:val="20"/>
        </w:rPr>
        <w:t xml:space="preserve"> </w:t>
      </w:r>
      <w:r w:rsidRPr="00F3339D">
        <w:rPr>
          <w:rFonts w:ascii="Times New Roman" w:hAnsi="Times New Roman" w:cs="Times New Roman"/>
          <w:sz w:val="20"/>
          <w:szCs w:val="20"/>
        </w:rPr>
        <w:t>symptom</w:t>
      </w:r>
      <w:r w:rsidRPr="00F3339D">
        <w:rPr>
          <w:rFonts w:ascii="Times New Roman" w:hAnsi="Times New Roman" w:cs="Times New Roman"/>
          <w:spacing w:val="40"/>
          <w:sz w:val="20"/>
          <w:szCs w:val="20"/>
        </w:rPr>
        <w:t xml:space="preserve"> </w:t>
      </w:r>
      <w:r w:rsidRPr="00F3339D">
        <w:rPr>
          <w:rFonts w:ascii="Times New Roman" w:hAnsi="Times New Roman" w:cs="Times New Roman"/>
          <w:sz w:val="20"/>
          <w:szCs w:val="20"/>
        </w:rPr>
        <w:t>onset,</w:t>
      </w:r>
      <w:r w:rsidRPr="00F3339D">
        <w:rPr>
          <w:rFonts w:ascii="Times New Roman" w:hAnsi="Times New Roman" w:cs="Times New Roman"/>
          <w:spacing w:val="40"/>
          <w:sz w:val="20"/>
          <w:szCs w:val="20"/>
        </w:rPr>
        <w:t xml:space="preserve"> </w:t>
      </w:r>
      <w:r w:rsidRPr="00F3339D">
        <w:rPr>
          <w:rFonts w:ascii="Times New Roman" w:hAnsi="Times New Roman" w:cs="Times New Roman"/>
          <w:sz w:val="20"/>
          <w:szCs w:val="20"/>
        </w:rPr>
        <w:t>recurrent</w:t>
      </w:r>
      <w:r w:rsidRPr="00F3339D">
        <w:rPr>
          <w:rFonts w:ascii="Times New Roman" w:hAnsi="Times New Roman" w:cs="Times New Roman"/>
          <w:spacing w:val="40"/>
          <w:sz w:val="20"/>
          <w:szCs w:val="20"/>
        </w:rPr>
        <w:t xml:space="preserve"> </w:t>
      </w:r>
      <w:r w:rsidRPr="00F3339D">
        <w:rPr>
          <w:rFonts w:ascii="Times New Roman" w:hAnsi="Times New Roman" w:cs="Times New Roman"/>
          <w:sz w:val="20"/>
          <w:szCs w:val="20"/>
        </w:rPr>
        <w:t>exacerbations,</w:t>
      </w:r>
      <w:r w:rsidRPr="00F3339D">
        <w:rPr>
          <w:rFonts w:ascii="Times New Roman" w:hAnsi="Times New Roman" w:cs="Times New Roman"/>
          <w:spacing w:val="40"/>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40"/>
          <w:sz w:val="20"/>
          <w:szCs w:val="20"/>
        </w:rPr>
        <w:t xml:space="preserve"> </w:t>
      </w:r>
      <w:r w:rsidRPr="00F3339D">
        <w:rPr>
          <w:rFonts w:ascii="Times New Roman" w:hAnsi="Times New Roman" w:cs="Times New Roman"/>
          <w:sz w:val="20"/>
          <w:szCs w:val="20"/>
        </w:rPr>
        <w:t>apparent</w:t>
      </w:r>
      <w:r>
        <w:rPr>
          <w:rFonts w:ascii="Times New Roman" w:hAnsi="Times New Roman" w:cs="Times New Roman"/>
          <w:sz w:val="20"/>
          <w:szCs w:val="20"/>
        </w:rPr>
        <w:t xml:space="preserve"> </w:t>
      </w:r>
      <w:r w:rsidRPr="00F3339D">
        <w:rPr>
          <w:rFonts w:ascii="Times New Roman" w:hAnsi="Times New Roman" w:cs="Times New Roman"/>
          <w:sz w:val="20"/>
          <w:szCs w:val="20"/>
        </w:rPr>
        <w:t>responsiveness to immunomodulatory interventions. Others demonstrate symptom trajectories nearly indistinguishable from conventional obsessive-compulsive disorder or tic disorders. This variability suggests that current diagnostic criteria may encompass multiple biologically distinct conditions rather than a single disease entity [9,11,41].</w:t>
      </w:r>
    </w:p>
    <w:p w14:paraId="692DFF63" w14:textId="77777777" w:rsidR="008E3035" w:rsidRPr="009F5D9B" w:rsidRDefault="008E3035" w:rsidP="008E3035">
      <w:pPr>
        <w:pStyle w:val="BodyText"/>
        <w:spacing w:line="360" w:lineRule="auto"/>
        <w:ind w:firstLine="0"/>
        <w:contextualSpacing/>
        <w:mirrorIndents/>
        <w:rPr>
          <w:rFonts w:ascii="Times New Roman" w:hAnsi="Times New Roman" w:cs="Times New Roman"/>
          <w:sz w:val="10"/>
          <w:szCs w:val="10"/>
        </w:rPr>
      </w:pPr>
    </w:p>
    <w:p w14:paraId="24AB6670" w14:textId="751E5221" w:rsidR="008E3035" w:rsidRPr="00F3339D" w:rsidRDefault="00461EDC" w:rsidP="008E3035">
      <w:pPr>
        <w:pStyle w:val="Heading1"/>
        <w:spacing w:line="360" w:lineRule="auto"/>
        <w:ind w:left="0" w:firstLine="0"/>
        <w:contextualSpacing/>
        <w:mirrorIndents/>
        <w:jc w:val="both"/>
        <w:rPr>
          <w:sz w:val="20"/>
          <w:szCs w:val="20"/>
        </w:rPr>
      </w:pPr>
      <w:r>
        <w:rPr>
          <w:sz w:val="20"/>
          <w:szCs w:val="20"/>
        </w:rPr>
        <w:t>3.7</w:t>
      </w:r>
      <w:r w:rsidR="009F5D9B">
        <w:rPr>
          <w:sz w:val="20"/>
          <w:szCs w:val="20"/>
        </w:rPr>
        <w:t xml:space="preserve"> </w:t>
      </w:r>
      <w:r w:rsidR="008E3035" w:rsidRPr="00F3339D">
        <w:rPr>
          <w:sz w:val="20"/>
          <w:szCs w:val="20"/>
        </w:rPr>
        <w:t>Basal</w:t>
      </w:r>
      <w:r w:rsidR="008E3035" w:rsidRPr="00F3339D">
        <w:rPr>
          <w:spacing w:val="-8"/>
          <w:sz w:val="20"/>
          <w:szCs w:val="20"/>
        </w:rPr>
        <w:t xml:space="preserve"> </w:t>
      </w:r>
      <w:r w:rsidR="008E3035" w:rsidRPr="00F3339D">
        <w:rPr>
          <w:sz w:val="20"/>
          <w:szCs w:val="20"/>
        </w:rPr>
        <w:t>Ganglia</w:t>
      </w:r>
      <w:r w:rsidR="008E3035" w:rsidRPr="00F3339D">
        <w:rPr>
          <w:spacing w:val="-6"/>
          <w:sz w:val="20"/>
          <w:szCs w:val="20"/>
        </w:rPr>
        <w:t xml:space="preserve"> </w:t>
      </w:r>
      <w:r w:rsidR="008E3035" w:rsidRPr="00F3339D">
        <w:rPr>
          <w:spacing w:val="-2"/>
          <w:sz w:val="20"/>
          <w:szCs w:val="20"/>
        </w:rPr>
        <w:t>Dysfunction</w:t>
      </w:r>
    </w:p>
    <w:p w14:paraId="5E85989F"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The basal ganglia occupy a central position in contemporary models of PANDAS pathophysiology. These</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interconnected</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nuclei</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modulate</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motor</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control,</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cognitive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flexibility,</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emotional</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regulation,</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procedural learning,</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habit</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formation.</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lastRenderedPageBreak/>
        <w:t>Dysfunction</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within</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CSTC</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circuitry</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has</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consistently</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been</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implicated</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in</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both OCD and tic disorders [25,26].</w:t>
      </w:r>
    </w:p>
    <w:p w14:paraId="633F2A3D" w14:textId="77777777" w:rsidR="0049343B" w:rsidRPr="0049343B" w:rsidRDefault="0049343B" w:rsidP="008E3035">
      <w:pPr>
        <w:pStyle w:val="BodyText"/>
        <w:spacing w:line="360" w:lineRule="auto"/>
        <w:ind w:firstLine="0"/>
        <w:contextualSpacing/>
        <w:mirrorIndents/>
        <w:rPr>
          <w:rFonts w:ascii="Times New Roman" w:hAnsi="Times New Roman" w:cs="Times New Roman"/>
          <w:sz w:val="10"/>
          <w:szCs w:val="10"/>
        </w:rPr>
      </w:pPr>
    </w:p>
    <w:p w14:paraId="463D05F8"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The hypothesis that immune-mediated injury to basal ganglia structures contributes to symptom development</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derives</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largely</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from</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parallels</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with</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Sydenham</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chorea</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[1,2].</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Patients</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with</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Sydenham</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chorea exhibit abnormalities involving the caudate nucleus, putamen, and globus pallidus, regions similarly implicated in OCD pathophysiology.</w:t>
      </w:r>
    </w:p>
    <w:p w14:paraId="51DED042" w14:textId="77777777" w:rsidR="009F5D9B" w:rsidRPr="009F5D9B" w:rsidRDefault="009F5D9B" w:rsidP="008E3035">
      <w:pPr>
        <w:pStyle w:val="BodyText"/>
        <w:spacing w:line="360" w:lineRule="auto"/>
        <w:ind w:firstLine="0"/>
        <w:contextualSpacing/>
        <w:mirrorIndents/>
        <w:rPr>
          <w:rFonts w:ascii="Times New Roman" w:hAnsi="Times New Roman" w:cs="Times New Roman"/>
          <w:sz w:val="10"/>
          <w:szCs w:val="10"/>
        </w:rPr>
      </w:pPr>
    </w:p>
    <w:p w14:paraId="2E1ADEC0"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Neuroimaging studies have provided preliminary support for this model. Structural imaging investigations have reported enlargement of basal ganglia structures in some children with acute-onset neuropsychiatric symptoms. Functional imaging studies have additionally demonstrated abnormalities involving metabolism, inflammation, and connectivity within CSTC networks [32,33].</w:t>
      </w:r>
    </w:p>
    <w:p w14:paraId="4D53D630" w14:textId="77777777" w:rsidR="009F5D9B" w:rsidRPr="009F5D9B" w:rsidRDefault="009F5D9B" w:rsidP="008E3035">
      <w:pPr>
        <w:pStyle w:val="BodyText"/>
        <w:spacing w:line="360" w:lineRule="auto"/>
        <w:ind w:firstLine="0"/>
        <w:contextualSpacing/>
        <w:mirrorIndents/>
        <w:rPr>
          <w:rFonts w:ascii="Times New Roman" w:hAnsi="Times New Roman" w:cs="Times New Roman"/>
          <w:sz w:val="10"/>
          <w:szCs w:val="10"/>
        </w:rPr>
      </w:pPr>
    </w:p>
    <w:p w14:paraId="57E0358E"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More recent diffusion-weighted MRI work has expanded this neuroimaging literature by identifying microstructural differences across multiple brain regions in children with PANS, including deep gray matter structures. These findings strengthen the rationale for studying network-level and inflammatory imaging biomarkers, but they remain insufficient for individual diagnosis because imaging abnormalities are not yet standardized, specific, or prospectively validated [34].</w:t>
      </w:r>
    </w:p>
    <w:p w14:paraId="1E8B214E" w14:textId="77777777" w:rsidR="0049343B" w:rsidRPr="0049343B" w:rsidRDefault="0049343B" w:rsidP="008E3035">
      <w:pPr>
        <w:pStyle w:val="BodyText"/>
        <w:spacing w:line="360" w:lineRule="auto"/>
        <w:ind w:firstLine="0"/>
        <w:contextualSpacing/>
        <w:mirrorIndents/>
        <w:rPr>
          <w:rFonts w:ascii="Times New Roman" w:hAnsi="Times New Roman" w:cs="Times New Roman"/>
          <w:sz w:val="10"/>
          <w:szCs w:val="10"/>
        </w:rPr>
      </w:pPr>
    </w:p>
    <w:p w14:paraId="4F735F34" w14:textId="685066F9"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Nevertheless, neuroimaging findings remain inconsistent. Many patients demonstrate normal magnetic resonance imaging, and observed abnormalities often fail to replicate across independent cohorts. Small sample sizes and methodological heterogeneity further limit interpretation [32</w:t>
      </w:r>
      <w:r w:rsidR="009F5D9B">
        <w:rPr>
          <w:rFonts w:ascii="Times New Roman" w:hAnsi="Times New Roman" w:cs="Times New Roman"/>
          <w:sz w:val="20"/>
          <w:szCs w:val="20"/>
        </w:rPr>
        <w:t>-</w:t>
      </w:r>
      <w:r w:rsidRPr="00F3339D">
        <w:rPr>
          <w:rFonts w:ascii="Times New Roman" w:hAnsi="Times New Roman" w:cs="Times New Roman"/>
          <w:sz w:val="20"/>
          <w:szCs w:val="20"/>
        </w:rPr>
        <w:t>34].</w:t>
      </w:r>
    </w:p>
    <w:p w14:paraId="3150F4C7" w14:textId="77777777" w:rsidR="009F5D9B" w:rsidRPr="009F5D9B" w:rsidRDefault="009F5D9B" w:rsidP="008E3035">
      <w:pPr>
        <w:pStyle w:val="BodyText"/>
        <w:spacing w:line="360" w:lineRule="auto"/>
        <w:ind w:firstLine="0"/>
        <w:contextualSpacing/>
        <w:mirrorIndents/>
        <w:rPr>
          <w:rFonts w:ascii="Times New Roman" w:hAnsi="Times New Roman" w:cs="Times New Roman"/>
          <w:sz w:val="10"/>
          <w:szCs w:val="10"/>
        </w:rPr>
      </w:pPr>
    </w:p>
    <w:p w14:paraId="181826D5" w14:textId="46A92376"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Taken together, contemporary neuroimaging findings are best viewed as mechanistic rather than diagnostic evidence. The observed abnormalities support involvement of basal ganglia and distributed cortico-</w:t>
      </w:r>
      <w:proofErr w:type="spellStart"/>
      <w:r w:rsidRPr="00F3339D">
        <w:rPr>
          <w:rFonts w:ascii="Times New Roman" w:hAnsi="Times New Roman" w:cs="Times New Roman"/>
          <w:sz w:val="20"/>
          <w:szCs w:val="20"/>
        </w:rPr>
        <w:t>striato</w:t>
      </w:r>
      <w:proofErr w:type="spellEnd"/>
      <w:r w:rsidRPr="00F3339D">
        <w:rPr>
          <w:rFonts w:ascii="Times New Roman" w:hAnsi="Times New Roman" w:cs="Times New Roman"/>
          <w:sz w:val="20"/>
          <w:szCs w:val="20"/>
        </w:rPr>
        <w:t>-</w:t>
      </w:r>
      <w:proofErr w:type="spellStart"/>
      <w:r w:rsidRPr="00F3339D">
        <w:rPr>
          <w:rFonts w:ascii="Times New Roman" w:hAnsi="Times New Roman" w:cs="Times New Roman"/>
          <w:sz w:val="20"/>
          <w:szCs w:val="20"/>
        </w:rPr>
        <w:t>thalamo</w:t>
      </w:r>
      <w:proofErr w:type="spellEnd"/>
      <w:r w:rsidRPr="00F3339D">
        <w:rPr>
          <w:rFonts w:ascii="Times New Roman" w:hAnsi="Times New Roman" w:cs="Times New Roman"/>
          <w:sz w:val="20"/>
          <w:szCs w:val="20"/>
        </w:rPr>
        <w:t>-cortical networks, but no imaging pattern has demonstrated sufficient specificity to distinguish PANDAS/PANS from primary OCD, tic disorders, Sydenham chorea, autoimmune encephalitis, or other pediatric neuropsychiatric conditions. Future longitudinal imaging studies integrating immune biomarkers, symptom trajectories, treatment response, and matched psychiatric controls may prove more informative than structural imaging alone [32</w:t>
      </w:r>
      <w:r w:rsidR="009F5D9B">
        <w:rPr>
          <w:rFonts w:ascii="Times New Roman" w:hAnsi="Times New Roman" w:cs="Times New Roman"/>
          <w:sz w:val="20"/>
          <w:szCs w:val="20"/>
        </w:rPr>
        <w:t>-</w:t>
      </w:r>
      <w:r w:rsidRPr="00F3339D">
        <w:rPr>
          <w:rFonts w:ascii="Times New Roman" w:hAnsi="Times New Roman" w:cs="Times New Roman"/>
          <w:sz w:val="20"/>
          <w:szCs w:val="20"/>
        </w:rPr>
        <w:t>34].</w:t>
      </w:r>
    </w:p>
    <w:p w14:paraId="22AEA8B5" w14:textId="77777777" w:rsidR="008E3035" w:rsidRPr="009F5D9B" w:rsidRDefault="008E3035" w:rsidP="008E3035">
      <w:pPr>
        <w:pStyle w:val="BodyText"/>
        <w:spacing w:line="360" w:lineRule="auto"/>
        <w:ind w:firstLine="0"/>
        <w:contextualSpacing/>
        <w:mirrorIndents/>
        <w:rPr>
          <w:rFonts w:ascii="Times New Roman" w:hAnsi="Times New Roman" w:cs="Times New Roman"/>
          <w:sz w:val="10"/>
          <w:szCs w:val="10"/>
        </w:rPr>
      </w:pPr>
    </w:p>
    <w:p w14:paraId="43EFCE99" w14:textId="3886F1E5" w:rsidR="008E3035" w:rsidRPr="00F3339D" w:rsidRDefault="00461EDC" w:rsidP="008E3035">
      <w:pPr>
        <w:pStyle w:val="Heading1"/>
        <w:spacing w:line="360" w:lineRule="auto"/>
        <w:ind w:left="0" w:firstLine="0"/>
        <w:contextualSpacing/>
        <w:mirrorIndents/>
        <w:jc w:val="both"/>
        <w:rPr>
          <w:sz w:val="20"/>
          <w:szCs w:val="20"/>
        </w:rPr>
      </w:pPr>
      <w:r>
        <w:rPr>
          <w:sz w:val="20"/>
          <w:szCs w:val="20"/>
        </w:rPr>
        <w:t>3.8</w:t>
      </w:r>
      <w:r w:rsidR="009F5D9B">
        <w:rPr>
          <w:sz w:val="20"/>
          <w:szCs w:val="20"/>
        </w:rPr>
        <w:t xml:space="preserve"> </w:t>
      </w:r>
      <w:r w:rsidR="008E3035" w:rsidRPr="00F3339D">
        <w:rPr>
          <w:sz w:val="20"/>
          <w:szCs w:val="20"/>
        </w:rPr>
        <w:t>Blood-Brain</w:t>
      </w:r>
      <w:r w:rsidR="008E3035" w:rsidRPr="00F3339D">
        <w:rPr>
          <w:spacing w:val="-9"/>
          <w:sz w:val="20"/>
          <w:szCs w:val="20"/>
        </w:rPr>
        <w:t xml:space="preserve"> </w:t>
      </w:r>
      <w:r w:rsidR="008E3035" w:rsidRPr="00F3339D">
        <w:rPr>
          <w:sz w:val="20"/>
          <w:szCs w:val="20"/>
        </w:rPr>
        <w:t>Barrier</w:t>
      </w:r>
      <w:r w:rsidR="008E3035" w:rsidRPr="00F3339D">
        <w:rPr>
          <w:spacing w:val="-9"/>
          <w:sz w:val="20"/>
          <w:szCs w:val="20"/>
        </w:rPr>
        <w:t xml:space="preserve"> </w:t>
      </w:r>
      <w:r w:rsidR="008E3035" w:rsidRPr="00F3339D">
        <w:rPr>
          <w:spacing w:val="-2"/>
          <w:sz w:val="20"/>
          <w:szCs w:val="20"/>
        </w:rPr>
        <w:t>Dysfunction</w:t>
      </w:r>
    </w:p>
    <w:p w14:paraId="61D58F8F" w14:textId="77777777" w:rsidR="008E3035" w:rsidRDefault="008E3035" w:rsidP="008E3035">
      <w:pPr>
        <w:pStyle w:val="BodyText"/>
        <w:spacing w:line="360" w:lineRule="auto"/>
        <w:ind w:firstLine="0"/>
        <w:contextualSpacing/>
        <w:mirrorIndents/>
        <w:rPr>
          <w:rFonts w:ascii="Times New Roman" w:hAnsi="Times New Roman" w:cs="Times New Roman"/>
          <w:spacing w:val="-2"/>
          <w:sz w:val="20"/>
          <w:szCs w:val="20"/>
        </w:rPr>
      </w:pPr>
      <w:r w:rsidRPr="00F3339D">
        <w:rPr>
          <w:rFonts w:ascii="Times New Roman" w:hAnsi="Times New Roman" w:cs="Times New Roman"/>
          <w:sz w:val="20"/>
          <w:szCs w:val="20"/>
        </w:rPr>
        <w:t>A</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critical</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question</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is</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how</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circulating</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antibodies</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or</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immune</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mediators</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access</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neural</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tissue,</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given</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 xml:space="preserve">that the blood-brain barrier (BBB) normally restricts entry of large molecules into the central nervous system </w:t>
      </w:r>
      <w:r w:rsidRPr="00F3339D">
        <w:rPr>
          <w:rFonts w:ascii="Times New Roman" w:hAnsi="Times New Roman" w:cs="Times New Roman"/>
          <w:spacing w:val="-2"/>
          <w:sz w:val="20"/>
          <w:szCs w:val="20"/>
        </w:rPr>
        <w:t>[7,26].</w:t>
      </w:r>
    </w:p>
    <w:p w14:paraId="0AB1D87C" w14:textId="77777777" w:rsidR="009F5D9B" w:rsidRPr="009F5D9B" w:rsidRDefault="009F5D9B" w:rsidP="008E3035">
      <w:pPr>
        <w:pStyle w:val="BodyText"/>
        <w:spacing w:line="360" w:lineRule="auto"/>
        <w:ind w:firstLine="0"/>
        <w:contextualSpacing/>
        <w:mirrorIndents/>
        <w:rPr>
          <w:rFonts w:ascii="Times New Roman" w:hAnsi="Times New Roman" w:cs="Times New Roman"/>
          <w:sz w:val="10"/>
          <w:szCs w:val="10"/>
        </w:rPr>
      </w:pPr>
    </w:p>
    <w:p w14:paraId="58F141D5"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Systemic inflammation may transiently alter BBB permeability, facilitate immune-cell migration and allow antineuronal antibodies to access vulnerable basal ganglia circuits [7,26].</w:t>
      </w:r>
    </w:p>
    <w:p w14:paraId="72C497CF" w14:textId="77777777" w:rsidR="009F5D9B" w:rsidRPr="009F5D9B" w:rsidRDefault="009F5D9B" w:rsidP="008E3035">
      <w:pPr>
        <w:pStyle w:val="BodyText"/>
        <w:spacing w:line="360" w:lineRule="auto"/>
        <w:ind w:firstLine="0"/>
        <w:contextualSpacing/>
        <w:mirrorIndents/>
        <w:rPr>
          <w:rFonts w:ascii="Times New Roman" w:hAnsi="Times New Roman" w:cs="Times New Roman"/>
          <w:sz w:val="10"/>
          <w:szCs w:val="10"/>
        </w:rPr>
      </w:pPr>
    </w:p>
    <w:p w14:paraId="3A775CE6"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Animal</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studies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have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provided</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important</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mechanistic</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support.</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Investigations</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involving</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intranasal</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GAS infection</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have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demonstrated</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migration</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streptococcal-specific</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immune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cells</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into</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central</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nervous</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system tissues. These findings suggest that infection-induced inflammatory responses may facilitate immune access to neural structures [7].</w:t>
      </w:r>
    </w:p>
    <w:p w14:paraId="68BF62FE" w14:textId="77777777" w:rsidR="009F5D9B" w:rsidRPr="009F5D9B" w:rsidRDefault="009F5D9B" w:rsidP="008E3035">
      <w:pPr>
        <w:pStyle w:val="BodyText"/>
        <w:spacing w:line="360" w:lineRule="auto"/>
        <w:ind w:firstLine="0"/>
        <w:contextualSpacing/>
        <w:mirrorIndents/>
        <w:rPr>
          <w:rFonts w:ascii="Times New Roman" w:hAnsi="Times New Roman" w:cs="Times New Roman"/>
          <w:sz w:val="10"/>
          <w:szCs w:val="10"/>
        </w:rPr>
      </w:pPr>
    </w:p>
    <w:p w14:paraId="1033B933"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Although translational findings are compelling, direct evidence of BBB dysfunction in human PANDAS</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populations</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remains</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limited.</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Future</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studies</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utilizing</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advanced</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neuroimaging</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cerebrospinal fluid analyses may help clarify the role of barrier integrity in disease development.</w:t>
      </w:r>
    </w:p>
    <w:p w14:paraId="2B54A49B" w14:textId="77777777" w:rsidR="008E3035" w:rsidRPr="009F5D9B" w:rsidRDefault="008E3035" w:rsidP="008E3035">
      <w:pPr>
        <w:pStyle w:val="BodyText"/>
        <w:spacing w:line="360" w:lineRule="auto"/>
        <w:ind w:firstLine="0"/>
        <w:contextualSpacing/>
        <w:mirrorIndents/>
        <w:rPr>
          <w:rFonts w:ascii="Times New Roman" w:hAnsi="Times New Roman" w:cs="Times New Roman"/>
          <w:sz w:val="10"/>
          <w:szCs w:val="10"/>
        </w:rPr>
      </w:pPr>
    </w:p>
    <w:p w14:paraId="693BA84C" w14:textId="23BD63F6" w:rsidR="008E3035" w:rsidRPr="00F3339D" w:rsidRDefault="00461EDC" w:rsidP="008E3035">
      <w:pPr>
        <w:pStyle w:val="Heading1"/>
        <w:spacing w:line="360" w:lineRule="auto"/>
        <w:ind w:left="0" w:firstLine="0"/>
        <w:contextualSpacing/>
        <w:mirrorIndents/>
        <w:jc w:val="both"/>
        <w:rPr>
          <w:sz w:val="20"/>
          <w:szCs w:val="20"/>
        </w:rPr>
      </w:pPr>
      <w:r>
        <w:rPr>
          <w:sz w:val="20"/>
          <w:szCs w:val="20"/>
        </w:rPr>
        <w:lastRenderedPageBreak/>
        <w:t>3.9</w:t>
      </w:r>
      <w:r w:rsidR="009F5D9B">
        <w:rPr>
          <w:sz w:val="20"/>
          <w:szCs w:val="20"/>
        </w:rPr>
        <w:t xml:space="preserve"> </w:t>
      </w:r>
      <w:r w:rsidR="008E3035" w:rsidRPr="00F3339D">
        <w:rPr>
          <w:sz w:val="20"/>
          <w:szCs w:val="20"/>
        </w:rPr>
        <w:t>Cytokine</w:t>
      </w:r>
      <w:r w:rsidR="008E3035" w:rsidRPr="00F3339D">
        <w:rPr>
          <w:spacing w:val="-8"/>
          <w:sz w:val="20"/>
          <w:szCs w:val="20"/>
        </w:rPr>
        <w:t xml:space="preserve"> </w:t>
      </w:r>
      <w:r w:rsidR="008E3035" w:rsidRPr="00F3339D">
        <w:rPr>
          <w:sz w:val="20"/>
          <w:szCs w:val="20"/>
        </w:rPr>
        <w:t>Dysregulation</w:t>
      </w:r>
      <w:r w:rsidR="008E3035" w:rsidRPr="00F3339D">
        <w:rPr>
          <w:spacing w:val="-8"/>
          <w:sz w:val="20"/>
          <w:szCs w:val="20"/>
        </w:rPr>
        <w:t xml:space="preserve"> </w:t>
      </w:r>
      <w:r w:rsidR="008E3035" w:rsidRPr="00F3339D">
        <w:rPr>
          <w:sz w:val="20"/>
          <w:szCs w:val="20"/>
        </w:rPr>
        <w:t>and</w:t>
      </w:r>
      <w:r w:rsidR="008E3035" w:rsidRPr="00F3339D">
        <w:rPr>
          <w:spacing w:val="-8"/>
          <w:sz w:val="20"/>
          <w:szCs w:val="20"/>
        </w:rPr>
        <w:t xml:space="preserve"> </w:t>
      </w:r>
      <w:r w:rsidR="008E3035" w:rsidRPr="00F3339D">
        <w:rPr>
          <w:spacing w:val="-2"/>
          <w:sz w:val="20"/>
          <w:szCs w:val="20"/>
        </w:rPr>
        <w:t>Neuroinflammation</w:t>
      </w:r>
    </w:p>
    <w:p w14:paraId="30B44B38"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Neuroinflammatory</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processes,</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particularly</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cytokine-mediated</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signaling,</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may</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contribute</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to</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symptom development in some patients [6,7,26].</w:t>
      </w:r>
    </w:p>
    <w:p w14:paraId="6AE15985" w14:textId="77777777" w:rsidR="00051167" w:rsidRPr="00051167" w:rsidRDefault="00051167" w:rsidP="008E3035">
      <w:pPr>
        <w:pStyle w:val="BodyText"/>
        <w:spacing w:line="360" w:lineRule="auto"/>
        <w:ind w:firstLine="0"/>
        <w:contextualSpacing/>
        <w:mirrorIndents/>
        <w:rPr>
          <w:rFonts w:ascii="Times New Roman" w:hAnsi="Times New Roman" w:cs="Times New Roman"/>
          <w:sz w:val="10"/>
          <w:szCs w:val="10"/>
        </w:rPr>
      </w:pPr>
    </w:p>
    <w:p w14:paraId="0FB6747F"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 xml:space="preserve">Several investigations have reported elevated concentrations of proinflammatory cytokines, </w:t>
      </w:r>
      <w:r w:rsidRPr="00F3339D">
        <w:rPr>
          <w:rFonts w:ascii="Times New Roman" w:hAnsi="Times New Roman" w:cs="Times New Roman"/>
          <w:spacing w:val="-2"/>
          <w:sz w:val="20"/>
          <w:szCs w:val="20"/>
        </w:rPr>
        <w:t>including</w:t>
      </w:r>
      <w:r w:rsidRPr="00F3339D">
        <w:rPr>
          <w:rFonts w:ascii="Times New Roman" w:hAnsi="Times New Roman" w:cs="Times New Roman"/>
          <w:spacing w:val="-7"/>
          <w:sz w:val="20"/>
          <w:szCs w:val="20"/>
        </w:rPr>
        <w:t xml:space="preserve"> </w:t>
      </w:r>
      <w:r w:rsidRPr="00F3339D">
        <w:rPr>
          <w:rFonts w:ascii="Times New Roman" w:hAnsi="Times New Roman" w:cs="Times New Roman"/>
          <w:spacing w:val="-2"/>
          <w:sz w:val="20"/>
          <w:szCs w:val="20"/>
        </w:rPr>
        <w:t>tumor</w:t>
      </w:r>
      <w:r w:rsidRPr="00F3339D">
        <w:rPr>
          <w:rFonts w:ascii="Times New Roman" w:hAnsi="Times New Roman" w:cs="Times New Roman"/>
          <w:spacing w:val="-7"/>
          <w:sz w:val="20"/>
          <w:szCs w:val="20"/>
        </w:rPr>
        <w:t xml:space="preserve"> </w:t>
      </w:r>
      <w:r w:rsidRPr="00F3339D">
        <w:rPr>
          <w:rFonts w:ascii="Times New Roman" w:hAnsi="Times New Roman" w:cs="Times New Roman"/>
          <w:spacing w:val="-2"/>
          <w:sz w:val="20"/>
          <w:szCs w:val="20"/>
        </w:rPr>
        <w:t>necrosis</w:t>
      </w:r>
      <w:r w:rsidRPr="00F3339D">
        <w:rPr>
          <w:rFonts w:ascii="Times New Roman" w:hAnsi="Times New Roman" w:cs="Times New Roman"/>
          <w:spacing w:val="-7"/>
          <w:sz w:val="20"/>
          <w:szCs w:val="20"/>
        </w:rPr>
        <w:t xml:space="preserve"> </w:t>
      </w:r>
      <w:r w:rsidRPr="00F3339D">
        <w:rPr>
          <w:rFonts w:ascii="Times New Roman" w:hAnsi="Times New Roman" w:cs="Times New Roman"/>
          <w:spacing w:val="-2"/>
          <w:sz w:val="20"/>
          <w:szCs w:val="20"/>
        </w:rPr>
        <w:t>factor-α</w:t>
      </w:r>
      <w:r w:rsidRPr="00F3339D">
        <w:rPr>
          <w:rFonts w:ascii="Times New Roman" w:hAnsi="Times New Roman" w:cs="Times New Roman"/>
          <w:spacing w:val="-7"/>
          <w:sz w:val="20"/>
          <w:szCs w:val="20"/>
        </w:rPr>
        <w:t xml:space="preserve"> </w:t>
      </w:r>
      <w:r w:rsidRPr="00F3339D">
        <w:rPr>
          <w:rFonts w:ascii="Times New Roman" w:hAnsi="Times New Roman" w:cs="Times New Roman"/>
          <w:spacing w:val="-2"/>
          <w:sz w:val="20"/>
          <w:szCs w:val="20"/>
        </w:rPr>
        <w:t>(TNF-α),</w:t>
      </w:r>
      <w:r w:rsidRPr="00F3339D">
        <w:rPr>
          <w:rFonts w:ascii="Times New Roman" w:hAnsi="Times New Roman" w:cs="Times New Roman"/>
          <w:spacing w:val="-6"/>
          <w:sz w:val="20"/>
          <w:szCs w:val="20"/>
        </w:rPr>
        <w:t xml:space="preserve"> </w:t>
      </w:r>
      <w:r w:rsidRPr="00F3339D">
        <w:rPr>
          <w:rFonts w:ascii="Times New Roman" w:hAnsi="Times New Roman" w:cs="Times New Roman"/>
          <w:spacing w:val="-2"/>
          <w:sz w:val="20"/>
          <w:szCs w:val="20"/>
        </w:rPr>
        <w:t>interleukin-6</w:t>
      </w:r>
      <w:r w:rsidRPr="00F3339D">
        <w:rPr>
          <w:rFonts w:ascii="Times New Roman" w:hAnsi="Times New Roman" w:cs="Times New Roman"/>
          <w:spacing w:val="-7"/>
          <w:sz w:val="20"/>
          <w:szCs w:val="20"/>
        </w:rPr>
        <w:t xml:space="preserve"> </w:t>
      </w:r>
      <w:r w:rsidRPr="00F3339D">
        <w:rPr>
          <w:rFonts w:ascii="Times New Roman" w:hAnsi="Times New Roman" w:cs="Times New Roman"/>
          <w:spacing w:val="-2"/>
          <w:sz w:val="20"/>
          <w:szCs w:val="20"/>
        </w:rPr>
        <w:t>(IL-6),</w:t>
      </w:r>
      <w:r w:rsidRPr="00F3339D">
        <w:rPr>
          <w:rFonts w:ascii="Times New Roman" w:hAnsi="Times New Roman" w:cs="Times New Roman"/>
          <w:spacing w:val="-6"/>
          <w:sz w:val="20"/>
          <w:szCs w:val="20"/>
        </w:rPr>
        <w:t xml:space="preserve"> </w:t>
      </w:r>
      <w:r w:rsidRPr="00F3339D">
        <w:rPr>
          <w:rFonts w:ascii="Times New Roman" w:hAnsi="Times New Roman" w:cs="Times New Roman"/>
          <w:spacing w:val="-2"/>
          <w:sz w:val="20"/>
          <w:szCs w:val="20"/>
        </w:rPr>
        <w:t>and</w:t>
      </w:r>
      <w:r w:rsidRPr="00F3339D">
        <w:rPr>
          <w:rFonts w:ascii="Times New Roman" w:hAnsi="Times New Roman" w:cs="Times New Roman"/>
          <w:spacing w:val="-7"/>
          <w:sz w:val="20"/>
          <w:szCs w:val="20"/>
        </w:rPr>
        <w:t xml:space="preserve"> </w:t>
      </w:r>
      <w:r w:rsidRPr="00F3339D">
        <w:rPr>
          <w:rFonts w:ascii="Times New Roman" w:hAnsi="Times New Roman" w:cs="Times New Roman"/>
          <w:spacing w:val="-2"/>
          <w:sz w:val="20"/>
          <w:szCs w:val="20"/>
        </w:rPr>
        <w:t>interleukin-17</w:t>
      </w:r>
      <w:r w:rsidRPr="00F3339D">
        <w:rPr>
          <w:rFonts w:ascii="Times New Roman" w:hAnsi="Times New Roman" w:cs="Times New Roman"/>
          <w:spacing w:val="-7"/>
          <w:sz w:val="20"/>
          <w:szCs w:val="20"/>
        </w:rPr>
        <w:t xml:space="preserve"> </w:t>
      </w:r>
      <w:r w:rsidRPr="00F3339D">
        <w:rPr>
          <w:rFonts w:ascii="Times New Roman" w:hAnsi="Times New Roman" w:cs="Times New Roman"/>
          <w:spacing w:val="-2"/>
          <w:sz w:val="20"/>
          <w:szCs w:val="20"/>
        </w:rPr>
        <w:t>(IL-17),</w:t>
      </w:r>
      <w:r w:rsidRPr="00F3339D">
        <w:rPr>
          <w:rFonts w:ascii="Times New Roman" w:hAnsi="Times New Roman" w:cs="Times New Roman"/>
          <w:spacing w:val="-6"/>
          <w:sz w:val="20"/>
          <w:szCs w:val="20"/>
        </w:rPr>
        <w:t xml:space="preserve"> </w:t>
      </w:r>
      <w:r w:rsidRPr="00F3339D">
        <w:rPr>
          <w:rFonts w:ascii="Times New Roman" w:hAnsi="Times New Roman" w:cs="Times New Roman"/>
          <w:spacing w:val="-2"/>
          <w:sz w:val="20"/>
          <w:szCs w:val="20"/>
        </w:rPr>
        <w:t>among</w:t>
      </w:r>
      <w:r w:rsidRPr="00F3339D">
        <w:rPr>
          <w:rFonts w:ascii="Times New Roman" w:hAnsi="Times New Roman" w:cs="Times New Roman"/>
          <w:spacing w:val="-7"/>
          <w:sz w:val="20"/>
          <w:szCs w:val="20"/>
        </w:rPr>
        <w:t xml:space="preserve"> </w:t>
      </w:r>
      <w:r w:rsidRPr="00F3339D">
        <w:rPr>
          <w:rFonts w:ascii="Times New Roman" w:hAnsi="Times New Roman" w:cs="Times New Roman"/>
          <w:spacing w:val="-2"/>
          <w:sz w:val="20"/>
          <w:szCs w:val="20"/>
        </w:rPr>
        <w:t xml:space="preserve">subsets </w:t>
      </w:r>
      <w:r w:rsidRPr="00F3339D">
        <w:rPr>
          <w:rFonts w:ascii="Times New Roman" w:hAnsi="Times New Roman" w:cs="Times New Roman"/>
          <w:sz w:val="20"/>
          <w:szCs w:val="20"/>
        </w:rPr>
        <w:t>of children meeting PANS/PANDAS criteria. These molecules influence immune-cell trafficking, BBB permeability, neurotransmission, and neuronal survival [6,26].</w:t>
      </w:r>
    </w:p>
    <w:p w14:paraId="239587D4" w14:textId="77777777" w:rsidR="005542E5" w:rsidRPr="005542E5" w:rsidRDefault="005542E5" w:rsidP="008E3035">
      <w:pPr>
        <w:pStyle w:val="BodyText"/>
        <w:spacing w:line="360" w:lineRule="auto"/>
        <w:ind w:firstLine="0"/>
        <w:contextualSpacing/>
        <w:mirrorIndents/>
        <w:rPr>
          <w:rFonts w:ascii="Times New Roman" w:hAnsi="Times New Roman" w:cs="Times New Roman"/>
          <w:sz w:val="10"/>
          <w:szCs w:val="10"/>
        </w:rPr>
      </w:pPr>
    </w:p>
    <w:p w14:paraId="659FD4BF"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Attention</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has</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focused</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on</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Th17</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lymphocytes.</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Originally</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characterized</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in</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autoimmune</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diseases</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such as multiple sclerosis, Th17 cells produce IL-17 and promote inflammatory responses. Experimental studies suggest that streptococcal infections can induce Th17-mediated immune activation capable of influencing central nervous system function [7,26].</w:t>
      </w:r>
    </w:p>
    <w:p w14:paraId="246550B6" w14:textId="77777777" w:rsidR="005542E5" w:rsidRPr="005542E5" w:rsidRDefault="005542E5" w:rsidP="008E3035">
      <w:pPr>
        <w:pStyle w:val="BodyText"/>
        <w:spacing w:line="360" w:lineRule="auto"/>
        <w:ind w:firstLine="0"/>
        <w:contextualSpacing/>
        <w:mirrorIndents/>
        <w:rPr>
          <w:rFonts w:ascii="Times New Roman" w:hAnsi="Times New Roman" w:cs="Times New Roman"/>
          <w:sz w:val="10"/>
          <w:szCs w:val="10"/>
        </w:rPr>
      </w:pPr>
    </w:p>
    <w:p w14:paraId="3FB18E76"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Neuroinflammation may contribute to symptom development through multiple mechanisms. Cytokines influence dopamine synthesis, glutamatergic transmission, synaptic plasticity, and microglial activation. Collectively, these effects may alter neural network activity and contribute to abrupt neuropsychiatric deterioration [6,7,26].</w:t>
      </w:r>
    </w:p>
    <w:p w14:paraId="7ABE9569" w14:textId="77777777" w:rsidR="005542E5" w:rsidRPr="005542E5" w:rsidRDefault="005542E5" w:rsidP="008E3035">
      <w:pPr>
        <w:pStyle w:val="BodyText"/>
        <w:spacing w:line="360" w:lineRule="auto"/>
        <w:ind w:firstLine="0"/>
        <w:contextualSpacing/>
        <w:mirrorIndents/>
        <w:rPr>
          <w:rFonts w:ascii="Times New Roman" w:hAnsi="Times New Roman" w:cs="Times New Roman"/>
          <w:sz w:val="10"/>
          <w:szCs w:val="10"/>
        </w:rPr>
      </w:pPr>
    </w:p>
    <w:p w14:paraId="19B30E00"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Importantly, neuroinflammation does not necessarily imply classical autoimmune disease. Similar inflammatory pathways have been implicated across a broad spectrum of neurologic and psychiatric disorders. Consequently, inflammatory findings should be viewed as supportive rather than definitive evidence for PANDAS-specific mechanisms [6,26].</w:t>
      </w:r>
    </w:p>
    <w:p w14:paraId="1B50B9E0" w14:textId="77777777" w:rsidR="008E3035" w:rsidRPr="005542E5" w:rsidRDefault="008E3035" w:rsidP="008E3035">
      <w:pPr>
        <w:pStyle w:val="BodyText"/>
        <w:spacing w:line="360" w:lineRule="auto"/>
        <w:ind w:firstLine="0"/>
        <w:contextualSpacing/>
        <w:mirrorIndents/>
        <w:rPr>
          <w:rFonts w:ascii="Times New Roman" w:hAnsi="Times New Roman" w:cs="Times New Roman"/>
          <w:sz w:val="10"/>
          <w:szCs w:val="10"/>
        </w:rPr>
      </w:pPr>
    </w:p>
    <w:p w14:paraId="28E6EDB9"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The inflammatory literature therefore requires careful interpretation. Cytokine abnormalities may reflect causal mechanisms, downstream consequences of severe psychiatric stress, intercurrent infection, medication exposure, or nonspecific immune activation. Studies that collect samples during acute flares, remission, and matched infectious episodes in controls will be particularly important for distinguishing state markers from disease mechanisms [6,26].</w:t>
      </w:r>
    </w:p>
    <w:p w14:paraId="3E3A9199" w14:textId="77777777" w:rsidR="008E3035" w:rsidRPr="005542E5" w:rsidRDefault="008E3035" w:rsidP="008E3035">
      <w:pPr>
        <w:pStyle w:val="BodyText"/>
        <w:spacing w:line="360" w:lineRule="auto"/>
        <w:ind w:firstLine="0"/>
        <w:contextualSpacing/>
        <w:mirrorIndents/>
        <w:rPr>
          <w:rFonts w:ascii="Times New Roman" w:hAnsi="Times New Roman" w:cs="Times New Roman"/>
          <w:sz w:val="10"/>
          <w:szCs w:val="10"/>
        </w:rPr>
      </w:pPr>
    </w:p>
    <w:p w14:paraId="67F067AE" w14:textId="2D242741" w:rsidR="008E3035" w:rsidRPr="00F3339D" w:rsidRDefault="00461EDC" w:rsidP="008E3035">
      <w:pPr>
        <w:pStyle w:val="Heading1"/>
        <w:spacing w:line="360" w:lineRule="auto"/>
        <w:ind w:left="0" w:firstLine="0"/>
        <w:contextualSpacing/>
        <w:mirrorIndents/>
        <w:jc w:val="both"/>
        <w:rPr>
          <w:sz w:val="20"/>
          <w:szCs w:val="20"/>
        </w:rPr>
      </w:pPr>
      <w:r>
        <w:rPr>
          <w:sz w:val="20"/>
          <w:szCs w:val="20"/>
        </w:rPr>
        <w:t>3.10</w:t>
      </w:r>
      <w:r w:rsidR="005542E5">
        <w:rPr>
          <w:sz w:val="20"/>
          <w:szCs w:val="20"/>
        </w:rPr>
        <w:t xml:space="preserve"> </w:t>
      </w:r>
      <w:r w:rsidR="008E3035" w:rsidRPr="00F3339D">
        <w:rPr>
          <w:sz w:val="20"/>
          <w:szCs w:val="20"/>
        </w:rPr>
        <w:t>Gut-Brain</w:t>
      </w:r>
      <w:r w:rsidR="008E3035" w:rsidRPr="00F3339D">
        <w:rPr>
          <w:spacing w:val="-7"/>
          <w:sz w:val="20"/>
          <w:szCs w:val="20"/>
        </w:rPr>
        <w:t xml:space="preserve"> </w:t>
      </w:r>
      <w:r w:rsidR="008E3035" w:rsidRPr="00F3339D">
        <w:rPr>
          <w:sz w:val="20"/>
          <w:szCs w:val="20"/>
        </w:rPr>
        <w:t>Axis</w:t>
      </w:r>
      <w:r w:rsidR="008E3035" w:rsidRPr="00F3339D">
        <w:rPr>
          <w:spacing w:val="-6"/>
          <w:sz w:val="20"/>
          <w:szCs w:val="20"/>
        </w:rPr>
        <w:t xml:space="preserve"> </w:t>
      </w:r>
      <w:r w:rsidR="008E3035" w:rsidRPr="00F3339D">
        <w:rPr>
          <w:sz w:val="20"/>
          <w:szCs w:val="20"/>
        </w:rPr>
        <w:t>and</w:t>
      </w:r>
      <w:r w:rsidR="008E3035" w:rsidRPr="00F3339D">
        <w:rPr>
          <w:spacing w:val="-7"/>
          <w:sz w:val="20"/>
          <w:szCs w:val="20"/>
        </w:rPr>
        <w:t xml:space="preserve"> </w:t>
      </w:r>
      <w:r w:rsidR="008E3035" w:rsidRPr="00F3339D">
        <w:rPr>
          <w:sz w:val="20"/>
          <w:szCs w:val="20"/>
        </w:rPr>
        <w:t>Microbiome</w:t>
      </w:r>
      <w:r w:rsidR="008E3035" w:rsidRPr="00F3339D">
        <w:rPr>
          <w:spacing w:val="-6"/>
          <w:sz w:val="20"/>
          <w:szCs w:val="20"/>
        </w:rPr>
        <w:t xml:space="preserve"> </w:t>
      </w:r>
      <w:r w:rsidR="008E3035" w:rsidRPr="00F3339D">
        <w:rPr>
          <w:spacing w:val="-2"/>
          <w:sz w:val="20"/>
          <w:szCs w:val="20"/>
        </w:rPr>
        <w:t>Research</w:t>
      </w:r>
    </w:p>
    <w:p w14:paraId="0CC67AE5"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An emerging area of investigation involves interactions among the gut microbiome, immune regulation, and neuropsychiatric function. Increasing evidence suggests that intestinal microbial communities influence immune development, cytokine production, and neurochemical signaling [42].</w:t>
      </w:r>
    </w:p>
    <w:p w14:paraId="2BE5B120" w14:textId="77777777" w:rsidR="005542E5" w:rsidRPr="005542E5" w:rsidRDefault="005542E5" w:rsidP="008E3035">
      <w:pPr>
        <w:pStyle w:val="BodyText"/>
        <w:spacing w:line="360" w:lineRule="auto"/>
        <w:ind w:firstLine="0"/>
        <w:contextualSpacing/>
        <w:mirrorIndents/>
        <w:rPr>
          <w:rFonts w:ascii="Times New Roman" w:hAnsi="Times New Roman" w:cs="Times New Roman"/>
          <w:sz w:val="10"/>
          <w:szCs w:val="10"/>
        </w:rPr>
      </w:pPr>
    </w:p>
    <w:p w14:paraId="35656042"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Preliminary studies have reported alterations in gut microbiota composition among children with PANS and PANDAS. Although findings remain exploratory, investigators have proposed that dysbiosis may contribute to immune dysregulation, systemic inflammation, and altered neuroimmune communication [42].</w:t>
      </w:r>
    </w:p>
    <w:p w14:paraId="262AC904" w14:textId="77777777" w:rsidR="005542E5" w:rsidRPr="005542E5" w:rsidRDefault="005542E5" w:rsidP="008E3035">
      <w:pPr>
        <w:pStyle w:val="BodyText"/>
        <w:spacing w:line="360" w:lineRule="auto"/>
        <w:ind w:firstLine="0"/>
        <w:contextualSpacing/>
        <w:mirrorIndents/>
        <w:rPr>
          <w:rFonts w:ascii="Times New Roman" w:hAnsi="Times New Roman" w:cs="Times New Roman"/>
          <w:sz w:val="10"/>
          <w:szCs w:val="10"/>
        </w:rPr>
      </w:pPr>
    </w:p>
    <w:p w14:paraId="0D2A9F3E"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The</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gut-brain</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axis</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represents</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a</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rapidly</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evolving</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area</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neuroscience.</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However,</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current</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microbiome evidence remains insufficient to establish causal relationships. Future longitudinal studies integrating microbiome sequencing, metabolomics, immunophenotyping, and clinical outcomes may help clarify whether microbial alterations contribute meaningfully to disease pathogenesis [42].</w:t>
      </w:r>
    </w:p>
    <w:p w14:paraId="372BCA24" w14:textId="77777777" w:rsidR="008E3035" w:rsidRPr="005542E5" w:rsidRDefault="008E3035" w:rsidP="008E3035">
      <w:pPr>
        <w:pStyle w:val="BodyText"/>
        <w:spacing w:line="360" w:lineRule="auto"/>
        <w:ind w:firstLine="0"/>
        <w:contextualSpacing/>
        <w:mirrorIndents/>
        <w:rPr>
          <w:rFonts w:ascii="Times New Roman" w:hAnsi="Times New Roman" w:cs="Times New Roman"/>
          <w:sz w:val="10"/>
          <w:szCs w:val="10"/>
        </w:rPr>
      </w:pPr>
    </w:p>
    <w:p w14:paraId="25F69EE5" w14:textId="4D4D15D3" w:rsidR="008E3035" w:rsidRPr="00461EDC" w:rsidRDefault="00461EDC" w:rsidP="008E3035">
      <w:pPr>
        <w:pStyle w:val="Heading1"/>
        <w:spacing w:line="360" w:lineRule="auto"/>
        <w:ind w:left="0" w:firstLine="0"/>
        <w:contextualSpacing/>
        <w:mirrorIndents/>
        <w:jc w:val="both"/>
        <w:rPr>
          <w:color w:val="0070C0"/>
          <w:sz w:val="22"/>
          <w:szCs w:val="22"/>
        </w:rPr>
      </w:pPr>
      <w:r w:rsidRPr="00461EDC">
        <w:rPr>
          <w:color w:val="0070C0"/>
          <w:sz w:val="22"/>
          <w:szCs w:val="22"/>
        </w:rPr>
        <w:t>4.</w:t>
      </w:r>
      <w:r w:rsidR="005542E5" w:rsidRPr="00461EDC">
        <w:rPr>
          <w:color w:val="0070C0"/>
          <w:sz w:val="22"/>
          <w:szCs w:val="22"/>
        </w:rPr>
        <w:t xml:space="preserve"> </w:t>
      </w:r>
      <w:r w:rsidR="008E3035" w:rsidRPr="00461EDC">
        <w:rPr>
          <w:color w:val="0070C0"/>
          <w:sz w:val="22"/>
          <w:szCs w:val="22"/>
        </w:rPr>
        <w:t>Clinical</w:t>
      </w:r>
      <w:r w:rsidR="008E3035" w:rsidRPr="00461EDC">
        <w:rPr>
          <w:color w:val="0070C0"/>
          <w:spacing w:val="-8"/>
          <w:sz w:val="22"/>
          <w:szCs w:val="22"/>
        </w:rPr>
        <w:t xml:space="preserve"> </w:t>
      </w:r>
      <w:r w:rsidR="008E3035" w:rsidRPr="00461EDC">
        <w:rPr>
          <w:color w:val="0070C0"/>
          <w:spacing w:val="-2"/>
          <w:sz w:val="22"/>
          <w:szCs w:val="22"/>
        </w:rPr>
        <w:t>Manifestations</w:t>
      </w:r>
    </w:p>
    <w:p w14:paraId="013A8C8A"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The clinical phenotype described in PANDAS and PANS is broad, but its most distinctive feature is abrupt onset [3,8,11]. Children may develop obsessive-compulsive symptoms, tics, restrictive eating, separation</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anxiety,</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emotional</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lability,</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lastRenderedPageBreak/>
        <w:t>irritability,</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sleep</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disturbance,</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urinary</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frequency,</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sensory</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sensitivity, handwriting deterioration, or academic decline over days rather than months. This acute trajectory distinguishes</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the</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proposed</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syndrome</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from</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many</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typical</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presentations</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pediatric</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OCD</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or</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tic</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disorders, although overlap remains substantial [9].</w:t>
      </w:r>
    </w:p>
    <w:p w14:paraId="1FE39C90" w14:textId="77777777" w:rsidR="005542E5" w:rsidRPr="00461EDC" w:rsidRDefault="005542E5" w:rsidP="008E3035">
      <w:pPr>
        <w:pStyle w:val="BodyText"/>
        <w:spacing w:line="360" w:lineRule="auto"/>
        <w:ind w:firstLine="0"/>
        <w:contextualSpacing/>
        <w:mirrorIndents/>
        <w:rPr>
          <w:rFonts w:ascii="Times New Roman" w:hAnsi="Times New Roman" w:cs="Times New Roman"/>
          <w:sz w:val="10"/>
          <w:szCs w:val="10"/>
        </w:rPr>
      </w:pPr>
    </w:p>
    <w:p w14:paraId="3E2E3957"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Abrupt-onset OCD remains the core manifestation. Reported obsessions commonly include contamination fears, intrusive harm-related thoughts, excessive doubt, and reassurance seeking, whereas compulsions may include washing, checking, counting, ritualized questioning, and avoidance. Tics may be motor or vocal and can range from simple eye blinking or throat clearing to more complex movements or vocalizations. Choreiform movements, fine motor deterioration, and handwriting regression are particularly relevant because they reinforce comparisons with Sydenham chorea [1,2].</w:t>
      </w:r>
    </w:p>
    <w:p w14:paraId="06800D3F" w14:textId="77777777" w:rsidR="005542E5" w:rsidRPr="005542E5" w:rsidRDefault="005542E5" w:rsidP="008E3035">
      <w:pPr>
        <w:pStyle w:val="BodyText"/>
        <w:spacing w:line="360" w:lineRule="auto"/>
        <w:ind w:firstLine="0"/>
        <w:contextualSpacing/>
        <w:mirrorIndents/>
        <w:rPr>
          <w:rFonts w:ascii="Times New Roman" w:hAnsi="Times New Roman" w:cs="Times New Roman"/>
          <w:sz w:val="10"/>
          <w:szCs w:val="10"/>
        </w:rPr>
      </w:pPr>
    </w:p>
    <w:p w14:paraId="475C4EEC"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Associated</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behavioral</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somatic</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symptoms</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often</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drive</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impairment.</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Separation</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anxiety,</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panic-like symptoms,</w:t>
      </w:r>
      <w:r w:rsidRPr="00F3339D">
        <w:rPr>
          <w:rFonts w:ascii="Times New Roman" w:hAnsi="Times New Roman" w:cs="Times New Roman"/>
          <w:spacing w:val="80"/>
          <w:sz w:val="20"/>
          <w:szCs w:val="20"/>
        </w:rPr>
        <w:t xml:space="preserve"> </w:t>
      </w:r>
      <w:r w:rsidRPr="00F3339D">
        <w:rPr>
          <w:rFonts w:ascii="Times New Roman" w:hAnsi="Times New Roman" w:cs="Times New Roman"/>
          <w:sz w:val="20"/>
          <w:szCs w:val="20"/>
        </w:rPr>
        <w:t>mood</w:t>
      </w:r>
      <w:r w:rsidRPr="00F3339D">
        <w:rPr>
          <w:rFonts w:ascii="Times New Roman" w:hAnsi="Times New Roman" w:cs="Times New Roman"/>
          <w:spacing w:val="80"/>
          <w:sz w:val="20"/>
          <w:szCs w:val="20"/>
        </w:rPr>
        <w:t xml:space="preserve"> </w:t>
      </w:r>
      <w:r w:rsidRPr="00F3339D">
        <w:rPr>
          <w:rFonts w:ascii="Times New Roman" w:hAnsi="Times New Roman" w:cs="Times New Roman"/>
          <w:sz w:val="20"/>
          <w:szCs w:val="20"/>
        </w:rPr>
        <w:t>lability,</w:t>
      </w:r>
      <w:r w:rsidRPr="00F3339D">
        <w:rPr>
          <w:rFonts w:ascii="Times New Roman" w:hAnsi="Times New Roman" w:cs="Times New Roman"/>
          <w:spacing w:val="80"/>
          <w:sz w:val="20"/>
          <w:szCs w:val="20"/>
        </w:rPr>
        <w:t xml:space="preserve"> </w:t>
      </w:r>
      <w:r w:rsidRPr="00F3339D">
        <w:rPr>
          <w:rFonts w:ascii="Times New Roman" w:hAnsi="Times New Roman" w:cs="Times New Roman"/>
          <w:sz w:val="20"/>
          <w:szCs w:val="20"/>
        </w:rPr>
        <w:t>rage</w:t>
      </w:r>
      <w:r w:rsidRPr="00F3339D">
        <w:rPr>
          <w:rFonts w:ascii="Times New Roman" w:hAnsi="Times New Roman" w:cs="Times New Roman"/>
          <w:spacing w:val="80"/>
          <w:sz w:val="20"/>
          <w:szCs w:val="20"/>
        </w:rPr>
        <w:t xml:space="preserve"> </w:t>
      </w:r>
      <w:r w:rsidRPr="00F3339D">
        <w:rPr>
          <w:rFonts w:ascii="Times New Roman" w:hAnsi="Times New Roman" w:cs="Times New Roman"/>
          <w:sz w:val="20"/>
          <w:szCs w:val="20"/>
        </w:rPr>
        <w:t>episodes,</w:t>
      </w:r>
      <w:r w:rsidRPr="00F3339D">
        <w:rPr>
          <w:rFonts w:ascii="Times New Roman" w:hAnsi="Times New Roman" w:cs="Times New Roman"/>
          <w:spacing w:val="80"/>
          <w:sz w:val="20"/>
          <w:szCs w:val="20"/>
        </w:rPr>
        <w:t xml:space="preserve"> </w:t>
      </w:r>
      <w:r w:rsidRPr="00F3339D">
        <w:rPr>
          <w:rFonts w:ascii="Times New Roman" w:hAnsi="Times New Roman" w:cs="Times New Roman"/>
          <w:sz w:val="20"/>
          <w:szCs w:val="20"/>
        </w:rPr>
        <w:t>sleep</w:t>
      </w:r>
      <w:r w:rsidRPr="00F3339D">
        <w:rPr>
          <w:rFonts w:ascii="Times New Roman" w:hAnsi="Times New Roman" w:cs="Times New Roman"/>
          <w:spacing w:val="80"/>
          <w:sz w:val="20"/>
          <w:szCs w:val="20"/>
        </w:rPr>
        <w:t xml:space="preserve"> </w:t>
      </w:r>
      <w:r w:rsidRPr="00F3339D">
        <w:rPr>
          <w:rFonts w:ascii="Times New Roman" w:hAnsi="Times New Roman" w:cs="Times New Roman"/>
          <w:sz w:val="20"/>
          <w:szCs w:val="20"/>
        </w:rPr>
        <w:t>disruption,</w:t>
      </w:r>
      <w:r w:rsidRPr="00F3339D">
        <w:rPr>
          <w:rFonts w:ascii="Times New Roman" w:hAnsi="Times New Roman" w:cs="Times New Roman"/>
          <w:spacing w:val="80"/>
          <w:sz w:val="20"/>
          <w:szCs w:val="20"/>
        </w:rPr>
        <w:t xml:space="preserve"> </w:t>
      </w:r>
      <w:r w:rsidRPr="00F3339D">
        <w:rPr>
          <w:rFonts w:ascii="Times New Roman" w:hAnsi="Times New Roman" w:cs="Times New Roman"/>
          <w:sz w:val="20"/>
          <w:szCs w:val="20"/>
        </w:rPr>
        <w:t>urinary</w:t>
      </w:r>
      <w:r w:rsidRPr="00F3339D">
        <w:rPr>
          <w:rFonts w:ascii="Times New Roman" w:hAnsi="Times New Roman" w:cs="Times New Roman"/>
          <w:spacing w:val="80"/>
          <w:sz w:val="20"/>
          <w:szCs w:val="20"/>
        </w:rPr>
        <w:t xml:space="preserve"> </w:t>
      </w:r>
      <w:r w:rsidRPr="00F3339D">
        <w:rPr>
          <w:rFonts w:ascii="Times New Roman" w:hAnsi="Times New Roman" w:cs="Times New Roman"/>
          <w:sz w:val="20"/>
          <w:szCs w:val="20"/>
        </w:rPr>
        <w:t>urgency,</w:t>
      </w:r>
      <w:r w:rsidRPr="00F3339D">
        <w:rPr>
          <w:rFonts w:ascii="Times New Roman" w:hAnsi="Times New Roman" w:cs="Times New Roman"/>
          <w:spacing w:val="80"/>
          <w:sz w:val="20"/>
          <w:szCs w:val="20"/>
        </w:rPr>
        <w:t xml:space="preserve"> </w:t>
      </w:r>
      <w:r w:rsidRPr="00F3339D">
        <w:rPr>
          <w:rFonts w:ascii="Times New Roman" w:hAnsi="Times New Roman" w:cs="Times New Roman"/>
          <w:sz w:val="20"/>
          <w:szCs w:val="20"/>
        </w:rPr>
        <w:t>sensory</w:t>
      </w:r>
      <w:r w:rsidRPr="00F3339D">
        <w:rPr>
          <w:rFonts w:ascii="Times New Roman" w:hAnsi="Times New Roman" w:cs="Times New Roman"/>
          <w:spacing w:val="80"/>
          <w:sz w:val="20"/>
          <w:szCs w:val="20"/>
        </w:rPr>
        <w:t xml:space="preserve"> </w:t>
      </w:r>
      <w:r w:rsidRPr="00F3339D">
        <w:rPr>
          <w:rFonts w:ascii="Times New Roman" w:hAnsi="Times New Roman" w:cs="Times New Roman"/>
          <w:sz w:val="20"/>
          <w:szCs w:val="20"/>
        </w:rPr>
        <w:t>sensitivity,</w:t>
      </w:r>
      <w:r>
        <w:rPr>
          <w:rFonts w:ascii="Times New Roman" w:hAnsi="Times New Roman" w:cs="Times New Roman"/>
          <w:sz w:val="20"/>
          <w:szCs w:val="20"/>
        </w:rPr>
        <w:t xml:space="preserve"> </w:t>
      </w:r>
      <w:r w:rsidRPr="00F3339D">
        <w:rPr>
          <w:rFonts w:ascii="Times New Roman" w:hAnsi="Times New Roman" w:cs="Times New Roman"/>
          <w:sz w:val="20"/>
          <w:szCs w:val="20"/>
        </w:rPr>
        <w:t>headaches, fatigue, and gastrointestinal complaints have all been reported [8,11,43]. Cognitive and academic changes, including reduced concentration, slowed processing, executive dysfunction, and sudden decline in school performance, may be especially disruptive for previously high-functioning children [8,43].</w:t>
      </w:r>
    </w:p>
    <w:p w14:paraId="12C388E8" w14:textId="77777777" w:rsidR="005542E5" w:rsidRPr="005542E5" w:rsidRDefault="005542E5" w:rsidP="008E3035">
      <w:pPr>
        <w:pStyle w:val="BodyText"/>
        <w:spacing w:line="360" w:lineRule="auto"/>
        <w:ind w:firstLine="0"/>
        <w:contextualSpacing/>
        <w:mirrorIndents/>
        <w:rPr>
          <w:rFonts w:ascii="Times New Roman" w:hAnsi="Times New Roman" w:cs="Times New Roman"/>
          <w:sz w:val="10"/>
          <w:szCs w:val="10"/>
        </w:rPr>
      </w:pPr>
    </w:p>
    <w:p w14:paraId="3B4C94FE"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The breadth of symptoms supports the possibility of distributed network dysfunction, but it also reduces diagnostic specificity. Many associated features are common across pediatric psychiatric, neurodevelopmental, and functional disorders. Therefore, symptoms should not be interpreted in isolation.</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Abrupt</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onset,</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episodic</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course,</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neurologic</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findings,</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documented</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infectious</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exposure,</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evidence of immune activation, and longitudinal pattern are more informative when considered together [44,45].</w:t>
      </w:r>
    </w:p>
    <w:p w14:paraId="03FCA546" w14:textId="77777777" w:rsidR="008E3035" w:rsidRPr="005542E5" w:rsidRDefault="008E3035" w:rsidP="008E3035">
      <w:pPr>
        <w:pStyle w:val="BodyText"/>
        <w:spacing w:line="360" w:lineRule="auto"/>
        <w:ind w:firstLine="0"/>
        <w:contextualSpacing/>
        <w:mirrorIndents/>
        <w:rPr>
          <w:rFonts w:ascii="Times New Roman" w:hAnsi="Times New Roman" w:cs="Times New Roman"/>
          <w:sz w:val="10"/>
          <w:szCs w:val="10"/>
        </w:rPr>
      </w:pPr>
    </w:p>
    <w:p w14:paraId="0E5D2F79" w14:textId="09843A75" w:rsidR="008E3035" w:rsidRPr="00F3339D" w:rsidRDefault="00461EDC" w:rsidP="008E3035">
      <w:pPr>
        <w:pStyle w:val="Heading1"/>
        <w:spacing w:line="360" w:lineRule="auto"/>
        <w:ind w:left="0" w:firstLine="0"/>
        <w:contextualSpacing/>
        <w:mirrorIndents/>
        <w:jc w:val="both"/>
        <w:rPr>
          <w:sz w:val="20"/>
          <w:szCs w:val="20"/>
        </w:rPr>
      </w:pPr>
      <w:r>
        <w:rPr>
          <w:sz w:val="20"/>
          <w:szCs w:val="20"/>
        </w:rPr>
        <w:t>4.1</w:t>
      </w:r>
      <w:r w:rsidR="005542E5">
        <w:rPr>
          <w:sz w:val="20"/>
          <w:szCs w:val="20"/>
        </w:rPr>
        <w:t xml:space="preserve"> </w:t>
      </w:r>
      <w:r w:rsidR="008E3035" w:rsidRPr="00F3339D">
        <w:rPr>
          <w:sz w:val="20"/>
          <w:szCs w:val="20"/>
        </w:rPr>
        <w:t>Diagnostic</w:t>
      </w:r>
      <w:r w:rsidR="008E3035" w:rsidRPr="00F3339D">
        <w:rPr>
          <w:spacing w:val="-10"/>
          <w:sz w:val="20"/>
          <w:szCs w:val="20"/>
        </w:rPr>
        <w:t xml:space="preserve"> </w:t>
      </w:r>
      <w:r w:rsidR="008E3035" w:rsidRPr="00F3339D">
        <w:rPr>
          <w:spacing w:val="-2"/>
          <w:sz w:val="20"/>
          <w:szCs w:val="20"/>
        </w:rPr>
        <w:t>Evaluation</w:t>
      </w:r>
    </w:p>
    <w:p w14:paraId="27F2DB8C" w14:textId="46EBF51C"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The diagnosis of PANDAS remains fundamentally clinical because no laboratory assay, imaging study, or biomarker has demonstrated sufficient sensitivity and specificity to independently establish or exclude the diagnosis [44</w:t>
      </w:r>
      <w:r w:rsidR="005542E5">
        <w:rPr>
          <w:rFonts w:ascii="Times New Roman" w:hAnsi="Times New Roman" w:cs="Times New Roman"/>
          <w:sz w:val="20"/>
          <w:szCs w:val="20"/>
        </w:rPr>
        <w:t>-4</w:t>
      </w:r>
      <w:r w:rsidRPr="00F3339D">
        <w:rPr>
          <w:rFonts w:ascii="Times New Roman" w:hAnsi="Times New Roman" w:cs="Times New Roman"/>
          <w:sz w:val="20"/>
          <w:szCs w:val="20"/>
        </w:rPr>
        <w:t>6]. Consequently, clinicians must integrate historical features, physical examination findings, laboratory studies, psychiatric assessment, and exclusion of alternative disorders when evaluating suspected cases.</w:t>
      </w:r>
    </w:p>
    <w:p w14:paraId="37FF6889" w14:textId="77777777" w:rsidR="005542E5" w:rsidRPr="005542E5" w:rsidRDefault="005542E5" w:rsidP="008E3035">
      <w:pPr>
        <w:pStyle w:val="BodyText"/>
        <w:spacing w:line="360" w:lineRule="auto"/>
        <w:ind w:firstLine="0"/>
        <w:contextualSpacing/>
        <w:mirrorIndents/>
        <w:rPr>
          <w:rFonts w:ascii="Times New Roman" w:hAnsi="Times New Roman" w:cs="Times New Roman"/>
          <w:sz w:val="10"/>
          <w:szCs w:val="10"/>
        </w:rPr>
      </w:pPr>
    </w:p>
    <w:p w14:paraId="2ADD523E"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A</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defining</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characteristic</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PANDAS</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is</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the</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abrupt</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onset</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obsessive-compulsive</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symptoms</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and/or tic disorders. Obtaining a detailed chronology of symptom development is therefore critical. Parents frequently report a dramatic behavioral transformation occurring over hours to days rather than the gradual</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progression</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more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typical</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conventional</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childhood</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OCD</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[3,8].</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Documentation</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symptom</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onset, severity, exacerbation patterns, and potential infectious triggers represents an essential component of diagnostic assessment.</w:t>
      </w:r>
    </w:p>
    <w:p w14:paraId="2824E701" w14:textId="77777777" w:rsidR="005542E5" w:rsidRPr="005542E5" w:rsidRDefault="005542E5" w:rsidP="008E3035">
      <w:pPr>
        <w:pStyle w:val="BodyText"/>
        <w:spacing w:line="360" w:lineRule="auto"/>
        <w:ind w:firstLine="0"/>
        <w:contextualSpacing/>
        <w:mirrorIndents/>
        <w:rPr>
          <w:rFonts w:ascii="Times New Roman" w:hAnsi="Times New Roman" w:cs="Times New Roman"/>
          <w:sz w:val="10"/>
          <w:szCs w:val="10"/>
        </w:rPr>
      </w:pPr>
    </w:p>
    <w:p w14:paraId="07A8D9D6"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Because the original PANDAS criteria require a temporal association with Group A Streptococcus (GAS) infection, evaluation typically includes microbiologic and serologic investigations. Throat culture remains</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the</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gold</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standard</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for</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identifying</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active</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pharyngeal</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GAS</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infection.</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Rapid</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antigen</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detection</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tests provide</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faster</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results</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but</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possess</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lower</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sensitivity.</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When</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suspicion</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remains</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high</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despite</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negative</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rapid testing, confirmatory culture is generally recommended [3].</w:t>
      </w:r>
    </w:p>
    <w:p w14:paraId="740AF858" w14:textId="77777777" w:rsidR="005542E5" w:rsidRDefault="005542E5" w:rsidP="008E3035">
      <w:pPr>
        <w:pStyle w:val="BodyText"/>
        <w:spacing w:line="360" w:lineRule="auto"/>
        <w:ind w:firstLine="0"/>
        <w:contextualSpacing/>
        <w:mirrorIndents/>
        <w:rPr>
          <w:rFonts w:ascii="Times New Roman" w:hAnsi="Times New Roman" w:cs="Times New Roman"/>
          <w:sz w:val="10"/>
          <w:szCs w:val="10"/>
        </w:rPr>
      </w:pPr>
    </w:p>
    <w:p w14:paraId="1A8736B9" w14:textId="77777777" w:rsidR="001264BA" w:rsidRDefault="001264BA" w:rsidP="008E3035">
      <w:pPr>
        <w:pStyle w:val="BodyText"/>
        <w:spacing w:line="360" w:lineRule="auto"/>
        <w:ind w:firstLine="0"/>
        <w:contextualSpacing/>
        <w:mirrorIndents/>
        <w:rPr>
          <w:rFonts w:ascii="Times New Roman" w:hAnsi="Times New Roman" w:cs="Times New Roman"/>
          <w:sz w:val="10"/>
          <w:szCs w:val="10"/>
        </w:rPr>
      </w:pPr>
    </w:p>
    <w:p w14:paraId="6D3E46B4" w14:textId="77777777" w:rsidR="001264BA" w:rsidRPr="005542E5" w:rsidRDefault="001264BA" w:rsidP="008E3035">
      <w:pPr>
        <w:pStyle w:val="BodyText"/>
        <w:spacing w:line="360" w:lineRule="auto"/>
        <w:ind w:firstLine="0"/>
        <w:contextualSpacing/>
        <w:mirrorIndents/>
        <w:rPr>
          <w:rFonts w:ascii="Times New Roman" w:hAnsi="Times New Roman" w:cs="Times New Roman"/>
          <w:sz w:val="10"/>
          <w:szCs w:val="10"/>
        </w:rPr>
      </w:pPr>
    </w:p>
    <w:p w14:paraId="73B99AE4" w14:textId="24C9C7EF"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lastRenderedPageBreak/>
        <w:t xml:space="preserve">Serologic studies commonly include measurement of </w:t>
      </w:r>
      <w:proofErr w:type="spellStart"/>
      <w:r w:rsidRPr="00F3339D">
        <w:rPr>
          <w:rFonts w:ascii="Times New Roman" w:hAnsi="Times New Roman" w:cs="Times New Roman"/>
          <w:sz w:val="20"/>
          <w:szCs w:val="20"/>
        </w:rPr>
        <w:t>antistreptolysin</w:t>
      </w:r>
      <w:proofErr w:type="spellEnd"/>
      <w:r w:rsidRPr="00F3339D">
        <w:rPr>
          <w:rFonts w:ascii="Times New Roman" w:hAnsi="Times New Roman" w:cs="Times New Roman"/>
          <w:sz w:val="20"/>
          <w:szCs w:val="20"/>
        </w:rPr>
        <w:t>-O (ASO) and anti-DNase B titers.</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These</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antibodies</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serve</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as</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markers</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prior</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streptococcal</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exposure</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rather</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than</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indicators</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active infection [21</w:t>
      </w:r>
      <w:r w:rsidR="005542E5">
        <w:rPr>
          <w:rFonts w:ascii="Times New Roman" w:hAnsi="Times New Roman" w:cs="Times New Roman"/>
          <w:sz w:val="20"/>
          <w:szCs w:val="20"/>
        </w:rPr>
        <w:t>-</w:t>
      </w:r>
      <w:r w:rsidRPr="00F3339D">
        <w:rPr>
          <w:rFonts w:ascii="Times New Roman" w:hAnsi="Times New Roman" w:cs="Times New Roman"/>
          <w:sz w:val="20"/>
          <w:szCs w:val="20"/>
        </w:rPr>
        <w:t>24]. Interpretation requires caution because elevated titers may persist for months following infection. Furthermore, substantial interindividual variability exists, and healthy children frequently demonstrate elevated antibody levels. Consequently, isolated elevations provide limited diagnostic value. Serial measurements demonstrating rising titers are generally considered more informative than single values [23,24].</w:t>
      </w:r>
    </w:p>
    <w:p w14:paraId="0E5A82B8" w14:textId="327806DA" w:rsidR="008E3035" w:rsidRPr="005542E5" w:rsidRDefault="008E3035" w:rsidP="008E3035">
      <w:pPr>
        <w:pStyle w:val="BodyText"/>
        <w:spacing w:line="360" w:lineRule="auto"/>
        <w:ind w:firstLine="0"/>
        <w:contextualSpacing/>
        <w:mirrorIndents/>
        <w:rPr>
          <w:rFonts w:ascii="Times New Roman" w:hAnsi="Times New Roman" w:cs="Times New Roman"/>
          <w:sz w:val="10"/>
          <w:szCs w:val="10"/>
        </w:rPr>
      </w:pPr>
    </w:p>
    <w:p w14:paraId="665100FB" w14:textId="55B4AC6D"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Routine</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laboratory</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evaluation</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may</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additionally</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include</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complete</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blood</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count,</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inflammatory</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markers, metabolic testing, thyroid studies, autoimmune screening, and infectious disease investigations when clinically indicated. Such testing primarily serves to exclude alternative diagnoses rather than confirm PANDAS [44</w:t>
      </w:r>
      <w:r w:rsidR="005542E5">
        <w:rPr>
          <w:rFonts w:ascii="Times New Roman" w:hAnsi="Times New Roman" w:cs="Times New Roman"/>
          <w:sz w:val="20"/>
          <w:szCs w:val="20"/>
        </w:rPr>
        <w:t>-</w:t>
      </w:r>
      <w:r w:rsidRPr="00F3339D">
        <w:rPr>
          <w:rFonts w:ascii="Times New Roman" w:hAnsi="Times New Roman" w:cs="Times New Roman"/>
          <w:sz w:val="20"/>
          <w:szCs w:val="20"/>
        </w:rPr>
        <w:t>46].</w:t>
      </w:r>
    </w:p>
    <w:p w14:paraId="057CEE0F" w14:textId="77777777" w:rsidR="005542E5" w:rsidRPr="005542E5" w:rsidRDefault="005542E5" w:rsidP="008E3035">
      <w:pPr>
        <w:pStyle w:val="BodyText"/>
        <w:spacing w:line="360" w:lineRule="auto"/>
        <w:ind w:firstLine="0"/>
        <w:contextualSpacing/>
        <w:mirrorIndents/>
        <w:rPr>
          <w:rFonts w:ascii="Times New Roman" w:hAnsi="Times New Roman" w:cs="Times New Roman"/>
          <w:sz w:val="10"/>
          <w:szCs w:val="10"/>
        </w:rPr>
      </w:pPr>
    </w:p>
    <w:p w14:paraId="4C9F7F1D" w14:textId="6EB259AC"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Neuroimaging is not routinely required for diagnosis. However, magnetic resonance imaging (MRI) may</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be</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appropriate</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when</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atypical</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neurologic</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findings,</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seizures,</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focal</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deficits,</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encephalopathic</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features, or</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concern</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for</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structural</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pathology</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are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present.</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Although</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neuroimaging</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abnormalities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have</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been</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reported in PANDAS cohorts, most patients demonstrate normal conventional MRI findings [32</w:t>
      </w:r>
      <w:r w:rsidR="005542E5">
        <w:rPr>
          <w:rFonts w:ascii="Times New Roman" w:hAnsi="Times New Roman" w:cs="Times New Roman"/>
          <w:sz w:val="20"/>
          <w:szCs w:val="20"/>
        </w:rPr>
        <w:t>-</w:t>
      </w:r>
      <w:r w:rsidRPr="00F3339D">
        <w:rPr>
          <w:rFonts w:ascii="Times New Roman" w:hAnsi="Times New Roman" w:cs="Times New Roman"/>
          <w:sz w:val="20"/>
          <w:szCs w:val="20"/>
        </w:rPr>
        <w:t>34].</w:t>
      </w:r>
    </w:p>
    <w:p w14:paraId="4C3DD136" w14:textId="77777777" w:rsidR="005542E5" w:rsidRPr="005542E5" w:rsidRDefault="005542E5" w:rsidP="008E3035">
      <w:pPr>
        <w:pStyle w:val="BodyText"/>
        <w:spacing w:line="360" w:lineRule="auto"/>
        <w:ind w:firstLine="0"/>
        <w:contextualSpacing/>
        <w:mirrorIndents/>
        <w:rPr>
          <w:rFonts w:ascii="Times New Roman" w:hAnsi="Times New Roman" w:cs="Times New Roman"/>
          <w:sz w:val="10"/>
          <w:szCs w:val="10"/>
        </w:rPr>
      </w:pPr>
    </w:p>
    <w:p w14:paraId="1DDC64E3" w14:textId="5635D321"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 xml:space="preserve">Similarly, lumbar puncture is not routinely indicated but may be warranted when autoimmune encephalitis, central nervous system infection, inflammatory neurologic disease, or other </w:t>
      </w:r>
      <w:proofErr w:type="spellStart"/>
      <w:r w:rsidRPr="00F3339D">
        <w:rPr>
          <w:rFonts w:ascii="Times New Roman" w:hAnsi="Times New Roman" w:cs="Times New Roman"/>
          <w:sz w:val="20"/>
          <w:szCs w:val="20"/>
        </w:rPr>
        <w:t>neuroimmunologic</w:t>
      </w:r>
      <w:proofErr w:type="spellEnd"/>
      <w:r w:rsidRPr="00F3339D">
        <w:rPr>
          <w:rFonts w:ascii="Times New Roman" w:hAnsi="Times New Roman" w:cs="Times New Roman"/>
          <w:sz w:val="20"/>
          <w:szCs w:val="20"/>
        </w:rPr>
        <w:t xml:space="preserve"> disorders are suspected. Cerebrospinal fluid analysis remains primarily a tool for differential diagnosis rather than confirmation of PANDAS [44</w:t>
      </w:r>
      <w:r w:rsidR="008879A5">
        <w:rPr>
          <w:rFonts w:ascii="Times New Roman" w:hAnsi="Times New Roman" w:cs="Times New Roman"/>
          <w:sz w:val="20"/>
          <w:szCs w:val="20"/>
        </w:rPr>
        <w:t>-</w:t>
      </w:r>
      <w:r w:rsidRPr="00F3339D">
        <w:rPr>
          <w:rFonts w:ascii="Times New Roman" w:hAnsi="Times New Roman" w:cs="Times New Roman"/>
          <w:sz w:val="20"/>
          <w:szCs w:val="20"/>
        </w:rPr>
        <w:t>46].</w:t>
      </w:r>
    </w:p>
    <w:p w14:paraId="35838A84" w14:textId="77777777" w:rsidR="005542E5" w:rsidRPr="005542E5" w:rsidRDefault="005542E5" w:rsidP="008E3035">
      <w:pPr>
        <w:pStyle w:val="BodyText"/>
        <w:spacing w:line="360" w:lineRule="auto"/>
        <w:ind w:firstLine="0"/>
        <w:contextualSpacing/>
        <w:mirrorIndents/>
        <w:rPr>
          <w:rFonts w:ascii="Times New Roman" w:hAnsi="Times New Roman" w:cs="Times New Roman"/>
          <w:sz w:val="10"/>
          <w:szCs w:val="10"/>
        </w:rPr>
      </w:pPr>
    </w:p>
    <w:p w14:paraId="2B171AC7"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Because no definitive diagnostic test exists, multidisciplinary evaluation frequently represents the most effective approach. Collaboration among pediatricians, psychiatrists, neurologists, immunologists, infectious disease specialists, psychologists, and educational professionals often improves diagnostic accuracy and facilitates comprehensive management [44,45].</w:t>
      </w:r>
    </w:p>
    <w:p w14:paraId="6140E084" w14:textId="77777777" w:rsidR="005542E5" w:rsidRPr="005542E5" w:rsidRDefault="005542E5" w:rsidP="008E3035">
      <w:pPr>
        <w:pStyle w:val="BodyText"/>
        <w:spacing w:line="360" w:lineRule="auto"/>
        <w:ind w:firstLine="0"/>
        <w:contextualSpacing/>
        <w:mirrorIndents/>
        <w:rPr>
          <w:rFonts w:ascii="Times New Roman" w:hAnsi="Times New Roman" w:cs="Times New Roman"/>
          <w:sz w:val="10"/>
          <w:szCs w:val="10"/>
        </w:rPr>
      </w:pPr>
    </w:p>
    <w:p w14:paraId="306B149E"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Recent guidance documents have increasingly emphasized a balanced diagnostic approach: clinicians should recognize PANS/PANDAS as a potential clinical syndrome while also avoiding over attribution</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common</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pediatric</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psychiatric</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presentations</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to</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infection-triggered</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autoimmunity</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[44,45].</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The 2025</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American</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Academy</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Pediatrics</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clinical</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report</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acknowledges</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PANS</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as</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a</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likely</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valid</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diagnosis</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but stresses the absence of disease-specific biomarkers, the importance of differential diagnosis, and the need for multicenter studies [44]. Nordic clinical guidance and a 2024 Delphi consensus similarly emphasize structured evaluation, careful follow-up, and multidisciplinary management rather than reliance on any single laboratory test [45,47].</w:t>
      </w:r>
    </w:p>
    <w:p w14:paraId="1702C073" w14:textId="77777777" w:rsidR="008E3035" w:rsidRPr="005542E5" w:rsidRDefault="008E3035" w:rsidP="008E3035">
      <w:pPr>
        <w:pStyle w:val="BodyText"/>
        <w:spacing w:line="360" w:lineRule="auto"/>
        <w:ind w:firstLine="0"/>
        <w:contextualSpacing/>
        <w:mirrorIndents/>
        <w:rPr>
          <w:rFonts w:ascii="Times New Roman" w:hAnsi="Times New Roman" w:cs="Times New Roman"/>
          <w:sz w:val="10"/>
          <w:szCs w:val="10"/>
        </w:rPr>
      </w:pPr>
    </w:p>
    <w:p w14:paraId="5F9DC774" w14:textId="604331C5" w:rsidR="008E3035" w:rsidRPr="00F3339D" w:rsidRDefault="00461EDC" w:rsidP="008E3035">
      <w:pPr>
        <w:pStyle w:val="Heading1"/>
        <w:spacing w:line="360" w:lineRule="auto"/>
        <w:ind w:left="0" w:firstLine="0"/>
        <w:contextualSpacing/>
        <w:mirrorIndents/>
        <w:jc w:val="both"/>
        <w:rPr>
          <w:sz w:val="20"/>
          <w:szCs w:val="20"/>
        </w:rPr>
      </w:pPr>
      <w:r>
        <w:rPr>
          <w:sz w:val="20"/>
          <w:szCs w:val="20"/>
        </w:rPr>
        <w:t xml:space="preserve">4.2 </w:t>
      </w:r>
      <w:r w:rsidR="008E3035" w:rsidRPr="00F3339D">
        <w:rPr>
          <w:sz w:val="20"/>
          <w:szCs w:val="20"/>
        </w:rPr>
        <w:t>Diagnostic</w:t>
      </w:r>
      <w:r w:rsidR="008E3035" w:rsidRPr="00F3339D">
        <w:rPr>
          <w:spacing w:val="-10"/>
          <w:sz w:val="20"/>
          <w:szCs w:val="20"/>
        </w:rPr>
        <w:t xml:space="preserve"> </w:t>
      </w:r>
      <w:r w:rsidR="008E3035" w:rsidRPr="00F3339D">
        <w:rPr>
          <w:spacing w:val="-2"/>
          <w:sz w:val="20"/>
          <w:szCs w:val="20"/>
        </w:rPr>
        <w:t>Challenges</w:t>
      </w:r>
    </w:p>
    <w:p w14:paraId="42F99883" w14:textId="67FD6843"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Because no validated biomarker exists, diagnosis remains fundamentally clinical [44</w:t>
      </w:r>
      <w:r w:rsidR="005542E5">
        <w:rPr>
          <w:rFonts w:ascii="Times New Roman" w:hAnsi="Times New Roman" w:cs="Times New Roman"/>
          <w:sz w:val="20"/>
          <w:szCs w:val="20"/>
        </w:rPr>
        <w:t>-</w:t>
      </w:r>
      <w:r w:rsidRPr="00F3339D">
        <w:rPr>
          <w:rFonts w:ascii="Times New Roman" w:hAnsi="Times New Roman" w:cs="Times New Roman"/>
          <w:sz w:val="20"/>
          <w:szCs w:val="20"/>
        </w:rPr>
        <w:t>46]. Clinicians must integrate symptom history, evidence of infectious exposure, psychiatric assessment, neurologic examination, laboratory findings, and exclusion of alternative diagnoses.</w:t>
      </w:r>
    </w:p>
    <w:p w14:paraId="10131609" w14:textId="77777777" w:rsidR="005542E5" w:rsidRPr="005542E5" w:rsidRDefault="005542E5" w:rsidP="008E3035">
      <w:pPr>
        <w:pStyle w:val="BodyText"/>
        <w:spacing w:line="360" w:lineRule="auto"/>
        <w:ind w:firstLine="0"/>
        <w:contextualSpacing/>
        <w:mirrorIndents/>
        <w:rPr>
          <w:rFonts w:ascii="Times New Roman" w:hAnsi="Times New Roman" w:cs="Times New Roman"/>
          <w:sz w:val="10"/>
          <w:szCs w:val="10"/>
        </w:rPr>
      </w:pPr>
    </w:p>
    <w:p w14:paraId="3F34C406" w14:textId="1FAFF642" w:rsidR="008E3035" w:rsidRDefault="008E3035" w:rsidP="008E3035">
      <w:pPr>
        <w:pStyle w:val="BodyText"/>
        <w:spacing w:line="360" w:lineRule="auto"/>
        <w:ind w:firstLine="0"/>
        <w:contextualSpacing/>
        <w:mirrorIndents/>
        <w:rPr>
          <w:rFonts w:ascii="Times New Roman" w:hAnsi="Times New Roman" w:cs="Times New Roman"/>
          <w:spacing w:val="-2"/>
          <w:sz w:val="20"/>
          <w:szCs w:val="20"/>
        </w:rPr>
      </w:pPr>
      <w:r w:rsidRPr="00F3339D">
        <w:rPr>
          <w:rFonts w:ascii="Times New Roman" w:hAnsi="Times New Roman" w:cs="Times New Roman"/>
          <w:sz w:val="20"/>
          <w:szCs w:val="20"/>
        </w:rPr>
        <w:t xml:space="preserve">This process is complicated by the substantial overlap between PANDAS and other pediatric neuropsychiatric disorders. OCD, Tourette syndrome, autoimmune encephalitis, functional neurologic disorders, pediatric bipolar disorder, and anxiety disorders may all present with overlapping features </w:t>
      </w:r>
      <w:r w:rsidRPr="00F3339D">
        <w:rPr>
          <w:rFonts w:ascii="Times New Roman" w:hAnsi="Times New Roman" w:cs="Times New Roman"/>
          <w:spacing w:val="-2"/>
          <w:sz w:val="20"/>
          <w:szCs w:val="20"/>
        </w:rPr>
        <w:t>[44</w:t>
      </w:r>
      <w:r w:rsidR="005542E5">
        <w:rPr>
          <w:rFonts w:ascii="Times New Roman" w:hAnsi="Times New Roman" w:cs="Times New Roman"/>
          <w:spacing w:val="-2"/>
          <w:sz w:val="20"/>
          <w:szCs w:val="20"/>
        </w:rPr>
        <w:t>-</w:t>
      </w:r>
      <w:r w:rsidRPr="00F3339D">
        <w:rPr>
          <w:rFonts w:ascii="Times New Roman" w:hAnsi="Times New Roman" w:cs="Times New Roman"/>
          <w:spacing w:val="-2"/>
          <w:sz w:val="20"/>
          <w:szCs w:val="20"/>
        </w:rPr>
        <w:t>46].</w:t>
      </w:r>
    </w:p>
    <w:p w14:paraId="11DDC986" w14:textId="77777777" w:rsidR="008E3035" w:rsidRPr="005542E5" w:rsidRDefault="008E3035" w:rsidP="008E3035">
      <w:pPr>
        <w:pStyle w:val="BodyText"/>
        <w:spacing w:line="360" w:lineRule="auto"/>
        <w:ind w:firstLine="0"/>
        <w:contextualSpacing/>
        <w:mirrorIndents/>
        <w:rPr>
          <w:rFonts w:ascii="Times New Roman" w:hAnsi="Times New Roman" w:cs="Times New Roman"/>
          <w:spacing w:val="-2"/>
          <w:sz w:val="10"/>
          <w:szCs w:val="10"/>
        </w:rPr>
      </w:pPr>
    </w:p>
    <w:p w14:paraId="5EB2A61D" w14:textId="38A8834A"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Consequently, diagnostic uncertainty remains common. Current consensus recommendations emphasize</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comprehensive</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multidisciplinary</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assessment</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rather</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than</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reliance</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upon</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any</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single</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laboratory or clinical finding [44</w:t>
      </w:r>
      <w:r w:rsidR="005542E5">
        <w:rPr>
          <w:rFonts w:ascii="Times New Roman" w:hAnsi="Times New Roman" w:cs="Times New Roman"/>
          <w:sz w:val="20"/>
          <w:szCs w:val="20"/>
        </w:rPr>
        <w:t>-</w:t>
      </w:r>
      <w:r w:rsidRPr="00F3339D">
        <w:rPr>
          <w:rFonts w:ascii="Times New Roman" w:hAnsi="Times New Roman" w:cs="Times New Roman"/>
          <w:sz w:val="20"/>
          <w:szCs w:val="20"/>
        </w:rPr>
        <w:t>46].</w:t>
      </w:r>
    </w:p>
    <w:p w14:paraId="23440D16" w14:textId="77777777" w:rsidR="005542E5" w:rsidRPr="005542E5" w:rsidRDefault="005542E5" w:rsidP="008E3035">
      <w:pPr>
        <w:pStyle w:val="BodyText"/>
        <w:spacing w:line="360" w:lineRule="auto"/>
        <w:ind w:firstLine="0"/>
        <w:contextualSpacing/>
        <w:mirrorIndents/>
        <w:rPr>
          <w:rFonts w:ascii="Times New Roman" w:hAnsi="Times New Roman" w:cs="Times New Roman"/>
          <w:sz w:val="10"/>
          <w:szCs w:val="10"/>
        </w:rPr>
      </w:pPr>
    </w:p>
    <w:p w14:paraId="069B97FB"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A practical diagnostic framework should therefore distinguish three levels of certainty: a clinical acute-onset</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neuropsychiatric</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syndrome,</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evidence</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recent</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infection</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or</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immune</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activation,</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evidence suggesting</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immune-mediated</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central</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nervous</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system</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involvement.</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Separating</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these</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levels</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may</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reduce both under recognition of legitimate neuroimmune disease and overdiagnosis of common psychiatric presentations [44,45].</w:t>
      </w:r>
    </w:p>
    <w:p w14:paraId="1A222BD0" w14:textId="77777777" w:rsidR="008E3035" w:rsidRPr="00087E4B" w:rsidRDefault="008E3035" w:rsidP="008E3035">
      <w:pPr>
        <w:pStyle w:val="BodyText"/>
        <w:spacing w:line="360" w:lineRule="auto"/>
        <w:ind w:firstLine="0"/>
        <w:contextualSpacing/>
        <w:mirrorIndents/>
        <w:rPr>
          <w:rFonts w:ascii="Times New Roman" w:hAnsi="Times New Roman" w:cs="Times New Roman"/>
          <w:sz w:val="10"/>
          <w:szCs w:val="10"/>
        </w:rPr>
      </w:pPr>
    </w:p>
    <w:p w14:paraId="2BF783CF" w14:textId="1776E5E5" w:rsidR="008E3035" w:rsidRPr="00F3339D" w:rsidRDefault="00461EDC" w:rsidP="008E3035">
      <w:pPr>
        <w:pStyle w:val="Heading1"/>
        <w:spacing w:line="360" w:lineRule="auto"/>
        <w:ind w:left="0" w:firstLine="0"/>
        <w:contextualSpacing/>
        <w:mirrorIndents/>
        <w:jc w:val="both"/>
        <w:rPr>
          <w:sz w:val="20"/>
          <w:szCs w:val="20"/>
        </w:rPr>
      </w:pPr>
      <w:r>
        <w:rPr>
          <w:sz w:val="20"/>
          <w:szCs w:val="20"/>
        </w:rPr>
        <w:t>4.3</w:t>
      </w:r>
      <w:r w:rsidR="005542E5">
        <w:rPr>
          <w:sz w:val="20"/>
          <w:szCs w:val="20"/>
        </w:rPr>
        <w:t xml:space="preserve"> </w:t>
      </w:r>
      <w:r w:rsidR="008E3035" w:rsidRPr="00F3339D">
        <w:rPr>
          <w:sz w:val="20"/>
          <w:szCs w:val="20"/>
        </w:rPr>
        <w:t>Biomarker</w:t>
      </w:r>
      <w:r w:rsidR="008E3035" w:rsidRPr="00F3339D">
        <w:rPr>
          <w:spacing w:val="-9"/>
          <w:sz w:val="20"/>
          <w:szCs w:val="20"/>
        </w:rPr>
        <w:t xml:space="preserve"> </w:t>
      </w:r>
      <w:r w:rsidR="008E3035" w:rsidRPr="00F3339D">
        <w:rPr>
          <w:spacing w:val="-2"/>
          <w:sz w:val="20"/>
          <w:szCs w:val="20"/>
        </w:rPr>
        <w:t>Controversy</w:t>
      </w:r>
    </w:p>
    <w:p w14:paraId="51886D59" w14:textId="06EDB441"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The absence of validated biomarkers remains one of the greatest obstacles confronting PANDAS research.</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In</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most</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areas</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medicine,</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diagnostic</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confidence</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is</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strengthened</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through</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objective</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laboratory testing,</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imaging</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findings,</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or</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histopathologic</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confirmation.</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In</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contrast,</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PANDAS</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remains</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fundamentally</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a clinical diagnosis [44</w:t>
      </w:r>
      <w:r w:rsidR="008879A5">
        <w:rPr>
          <w:rFonts w:ascii="Times New Roman" w:hAnsi="Times New Roman" w:cs="Times New Roman"/>
          <w:sz w:val="20"/>
          <w:szCs w:val="20"/>
        </w:rPr>
        <w:t>-</w:t>
      </w:r>
      <w:r w:rsidRPr="00F3339D">
        <w:rPr>
          <w:rFonts w:ascii="Times New Roman" w:hAnsi="Times New Roman" w:cs="Times New Roman"/>
          <w:sz w:val="20"/>
          <w:szCs w:val="20"/>
        </w:rPr>
        <w:t>46].</w:t>
      </w:r>
    </w:p>
    <w:p w14:paraId="578F923A" w14:textId="77777777" w:rsidR="005542E5" w:rsidRPr="005542E5" w:rsidRDefault="005542E5" w:rsidP="008E3035">
      <w:pPr>
        <w:pStyle w:val="BodyText"/>
        <w:spacing w:line="360" w:lineRule="auto"/>
        <w:ind w:firstLine="0"/>
        <w:contextualSpacing/>
        <w:mirrorIndents/>
        <w:rPr>
          <w:rFonts w:ascii="Times New Roman" w:hAnsi="Times New Roman" w:cs="Times New Roman"/>
          <w:sz w:val="10"/>
          <w:szCs w:val="10"/>
        </w:rPr>
      </w:pPr>
    </w:p>
    <w:p w14:paraId="79D7BE4E"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Considerable</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effort</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has</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therefore</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been</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devoted</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to</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identifying</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biologic</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markers</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capable</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confirming disease presence, predicting prognosis, or guiding treatment selection. Among these efforts, the development of antibody-based assays has generated both optimism and controversy [10].</w:t>
      </w:r>
    </w:p>
    <w:p w14:paraId="51BA780A" w14:textId="77777777" w:rsidR="005542E5" w:rsidRPr="005542E5" w:rsidRDefault="005542E5" w:rsidP="008E3035">
      <w:pPr>
        <w:pStyle w:val="BodyText"/>
        <w:spacing w:line="360" w:lineRule="auto"/>
        <w:ind w:firstLine="0"/>
        <w:contextualSpacing/>
        <w:mirrorIndents/>
        <w:rPr>
          <w:rFonts w:ascii="Times New Roman" w:hAnsi="Times New Roman" w:cs="Times New Roman"/>
          <w:sz w:val="10"/>
          <w:szCs w:val="10"/>
        </w:rPr>
      </w:pPr>
    </w:p>
    <w:p w14:paraId="64ACA168" w14:textId="77777777" w:rsidR="008E3035" w:rsidRDefault="008E3035" w:rsidP="008E3035">
      <w:pPr>
        <w:pStyle w:val="BodyText"/>
        <w:spacing w:line="360" w:lineRule="auto"/>
        <w:ind w:firstLine="0"/>
        <w:contextualSpacing/>
        <w:mirrorIndents/>
        <w:rPr>
          <w:rFonts w:ascii="Times New Roman" w:hAnsi="Times New Roman" w:cs="Times New Roman"/>
          <w:spacing w:val="-4"/>
          <w:sz w:val="20"/>
          <w:szCs w:val="20"/>
        </w:rPr>
      </w:pPr>
      <w:r w:rsidRPr="00F3339D">
        <w:rPr>
          <w:rFonts w:ascii="Times New Roman" w:hAnsi="Times New Roman" w:cs="Times New Roman"/>
          <w:sz w:val="20"/>
          <w:szCs w:val="20"/>
        </w:rPr>
        <w:t>The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Cunningham</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Panel</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became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one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the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most</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widely</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discussed</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biomarker</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approaches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in</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the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field. Designed</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to</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measure</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antibodies</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against</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dopamine</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receptors,</w:t>
      </w:r>
      <w:r w:rsidRPr="00F3339D">
        <w:rPr>
          <w:rFonts w:ascii="Times New Roman" w:hAnsi="Times New Roman" w:cs="Times New Roman"/>
          <w:spacing w:val="-10"/>
          <w:sz w:val="20"/>
          <w:szCs w:val="20"/>
        </w:rPr>
        <w:t xml:space="preserve"> </w:t>
      </w:r>
      <w:proofErr w:type="spellStart"/>
      <w:r w:rsidRPr="00F3339D">
        <w:rPr>
          <w:rFonts w:ascii="Times New Roman" w:hAnsi="Times New Roman" w:cs="Times New Roman"/>
          <w:sz w:val="20"/>
          <w:szCs w:val="20"/>
        </w:rPr>
        <w:t>lysoganglioside</w:t>
      </w:r>
      <w:proofErr w:type="spellEnd"/>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GM1,</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tubulin,</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CaMKII activation,</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the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assay</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was</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intended</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to</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provide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objective</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evidence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autoimmune</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neuropsychiatric</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 xml:space="preserve">disease </w:t>
      </w:r>
      <w:r w:rsidRPr="00F3339D">
        <w:rPr>
          <w:rFonts w:ascii="Times New Roman" w:hAnsi="Times New Roman" w:cs="Times New Roman"/>
          <w:spacing w:val="-4"/>
          <w:sz w:val="20"/>
          <w:szCs w:val="20"/>
        </w:rPr>
        <w:t>[5].</w:t>
      </w:r>
    </w:p>
    <w:p w14:paraId="6F323920" w14:textId="77777777" w:rsidR="005542E5" w:rsidRPr="005542E5" w:rsidRDefault="005542E5" w:rsidP="008E3035">
      <w:pPr>
        <w:pStyle w:val="BodyText"/>
        <w:spacing w:line="360" w:lineRule="auto"/>
        <w:ind w:firstLine="0"/>
        <w:contextualSpacing/>
        <w:mirrorIndents/>
        <w:rPr>
          <w:rFonts w:ascii="Times New Roman" w:hAnsi="Times New Roman" w:cs="Times New Roman"/>
          <w:sz w:val="10"/>
          <w:szCs w:val="10"/>
        </w:rPr>
      </w:pPr>
    </w:p>
    <w:p w14:paraId="4DB90259"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Initial studies suggested potential utility. Investigators reported elevated antibody levels and abnormal CaMKII activation among children diagnosed with PANDAS and related disorders. These findings were interpreted as support for autoimmune pathophysiology and raised hopes that laboratory testing might facilitate diagnosis [5].</w:t>
      </w:r>
    </w:p>
    <w:p w14:paraId="7CE4A6CC" w14:textId="77777777" w:rsidR="005542E5" w:rsidRPr="005542E5" w:rsidRDefault="005542E5" w:rsidP="008E3035">
      <w:pPr>
        <w:pStyle w:val="BodyText"/>
        <w:spacing w:line="360" w:lineRule="auto"/>
        <w:ind w:firstLine="0"/>
        <w:contextualSpacing/>
        <w:mirrorIndents/>
        <w:rPr>
          <w:rFonts w:ascii="Times New Roman" w:hAnsi="Times New Roman" w:cs="Times New Roman"/>
          <w:sz w:val="10"/>
          <w:szCs w:val="10"/>
        </w:rPr>
      </w:pPr>
    </w:p>
    <w:p w14:paraId="4D9BFBEE"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 xml:space="preserve">However, subsequent independent evaluations produced </w:t>
      </w:r>
      <w:proofErr w:type="gramStart"/>
      <w:r w:rsidRPr="00F3339D">
        <w:rPr>
          <w:rFonts w:ascii="Times New Roman" w:hAnsi="Times New Roman" w:cs="Times New Roman"/>
          <w:sz w:val="20"/>
          <w:szCs w:val="20"/>
        </w:rPr>
        <w:t>less</w:t>
      </w:r>
      <w:proofErr w:type="gramEnd"/>
      <w:r w:rsidRPr="00F3339D">
        <w:rPr>
          <w:rFonts w:ascii="Times New Roman" w:hAnsi="Times New Roman" w:cs="Times New Roman"/>
          <w:sz w:val="20"/>
          <w:szCs w:val="20"/>
        </w:rPr>
        <w:t xml:space="preserve"> encouraging results. Several studies failed to replicate previously reported diagnostic performance characteristics. Hesselmark and </w:t>
      </w:r>
      <w:proofErr w:type="spellStart"/>
      <w:r w:rsidRPr="00F3339D">
        <w:rPr>
          <w:rFonts w:ascii="Times New Roman" w:hAnsi="Times New Roman" w:cs="Times New Roman"/>
          <w:sz w:val="20"/>
          <w:szCs w:val="20"/>
        </w:rPr>
        <w:t>Bejerot</w:t>
      </w:r>
      <w:proofErr w:type="spellEnd"/>
      <w:r w:rsidRPr="00F3339D">
        <w:rPr>
          <w:rFonts w:ascii="Times New Roman" w:hAnsi="Times New Roman" w:cs="Times New Roman"/>
          <w:sz w:val="20"/>
          <w:szCs w:val="20"/>
        </w:rPr>
        <w:t xml:space="preserve"> demonstrated substantial overlap between presumed PANS/PANDAS patients and healthy controls, raising concerns regarding sensitivity, specificity, and reproducibility [10].</w:t>
      </w:r>
    </w:p>
    <w:p w14:paraId="26C1D070" w14:textId="77777777" w:rsidR="005542E5" w:rsidRPr="005542E5" w:rsidRDefault="005542E5" w:rsidP="008E3035">
      <w:pPr>
        <w:pStyle w:val="BodyText"/>
        <w:spacing w:line="360" w:lineRule="auto"/>
        <w:ind w:firstLine="0"/>
        <w:contextualSpacing/>
        <w:mirrorIndents/>
        <w:rPr>
          <w:rFonts w:ascii="Times New Roman" w:hAnsi="Times New Roman" w:cs="Times New Roman"/>
          <w:sz w:val="10"/>
          <w:szCs w:val="10"/>
        </w:rPr>
      </w:pPr>
    </w:p>
    <w:p w14:paraId="741CAD01"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Methodological concerns further complicated interpretation. Many validation studies involved small sample sizes, referral-center populations, variable laboratory procedures, and inconsistent diagnostic criteria. Consequently, disagreement emerged regarding whether observed abnormalities reflected genuine disease mechanisms or methodological artifacts [10,12].</w:t>
      </w:r>
    </w:p>
    <w:p w14:paraId="5C37A6E4" w14:textId="77777777" w:rsidR="008E3035" w:rsidRPr="005542E5" w:rsidRDefault="008E3035" w:rsidP="008E3035">
      <w:pPr>
        <w:pStyle w:val="BodyText"/>
        <w:spacing w:line="360" w:lineRule="auto"/>
        <w:ind w:firstLine="0"/>
        <w:contextualSpacing/>
        <w:mirrorIndents/>
        <w:rPr>
          <w:rFonts w:ascii="Times New Roman" w:hAnsi="Times New Roman" w:cs="Times New Roman"/>
          <w:sz w:val="10"/>
          <w:szCs w:val="10"/>
        </w:rPr>
      </w:pPr>
    </w:p>
    <w:p w14:paraId="0677EF30"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The Cunningham Panel controversy illustrates a broader neuroimmunology challenge: exploratory biomarkers may appear promising but fail to maintain diagnostic performance during independent validation [10,12].</w:t>
      </w:r>
    </w:p>
    <w:p w14:paraId="0A82F235" w14:textId="77777777" w:rsidR="005542E5" w:rsidRPr="005542E5" w:rsidRDefault="005542E5" w:rsidP="008E3035">
      <w:pPr>
        <w:pStyle w:val="BodyText"/>
        <w:spacing w:line="360" w:lineRule="auto"/>
        <w:ind w:firstLine="0"/>
        <w:contextualSpacing/>
        <w:mirrorIndents/>
        <w:rPr>
          <w:rFonts w:ascii="Times New Roman" w:hAnsi="Times New Roman" w:cs="Times New Roman"/>
          <w:sz w:val="10"/>
          <w:szCs w:val="10"/>
        </w:rPr>
      </w:pPr>
    </w:p>
    <w:p w14:paraId="421FC9F9" w14:textId="2792AD69"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At present, no biomarker possesses sufficient sensitivity or specificity to independently confirm or exclude PANDAS. Most consensus guidelines therefore continue to emphasize that diagnosis remains clinical and that laboratory findings should be interpreted within the broader clinical context [44</w:t>
      </w:r>
      <w:r w:rsidR="00087E4B">
        <w:rPr>
          <w:rFonts w:ascii="Times New Roman" w:hAnsi="Times New Roman" w:cs="Times New Roman"/>
          <w:sz w:val="20"/>
          <w:szCs w:val="20"/>
        </w:rPr>
        <w:t>-</w:t>
      </w:r>
      <w:r w:rsidRPr="00F3339D">
        <w:rPr>
          <w:rFonts w:ascii="Times New Roman" w:hAnsi="Times New Roman" w:cs="Times New Roman"/>
          <w:sz w:val="20"/>
          <w:szCs w:val="20"/>
        </w:rPr>
        <w:t>46].</w:t>
      </w:r>
    </w:p>
    <w:p w14:paraId="7FD052B4" w14:textId="77777777" w:rsidR="005542E5" w:rsidRPr="00087E4B" w:rsidRDefault="005542E5" w:rsidP="008E3035">
      <w:pPr>
        <w:pStyle w:val="BodyText"/>
        <w:spacing w:line="360" w:lineRule="auto"/>
        <w:ind w:firstLine="0"/>
        <w:contextualSpacing/>
        <w:mirrorIndents/>
        <w:rPr>
          <w:rFonts w:ascii="Times New Roman" w:hAnsi="Times New Roman" w:cs="Times New Roman"/>
          <w:sz w:val="10"/>
          <w:szCs w:val="10"/>
        </w:rPr>
      </w:pPr>
    </w:p>
    <w:p w14:paraId="58941E83"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lastRenderedPageBreak/>
        <w:t>An important possibility is that biomarker discovery has been hindered by the assumption that PANDAS or PANS represent a single disease entity. If current diagnostic frameworks capture several biologically distinct subgroups, then any individual antibody, cytokine, imaging marker, or immune-cell signature may perform poorly across the entire clinical population despite being meaningful within a narrower subgroup. This interpretation supports multimodal biomarker strategies that combine clinical phenotype, longitudinal course, immune profiling, neuroimaging, and treatment response rather than relying on a single stand-alone assay [10,30,41].</w:t>
      </w:r>
    </w:p>
    <w:p w14:paraId="45636540" w14:textId="77777777" w:rsidR="008E3035" w:rsidRPr="00087E4B" w:rsidRDefault="008E3035" w:rsidP="008E3035">
      <w:pPr>
        <w:pStyle w:val="BodyText"/>
        <w:spacing w:line="360" w:lineRule="auto"/>
        <w:ind w:firstLine="0"/>
        <w:contextualSpacing/>
        <w:mirrorIndents/>
        <w:rPr>
          <w:rFonts w:ascii="Times New Roman" w:hAnsi="Times New Roman" w:cs="Times New Roman"/>
          <w:sz w:val="10"/>
          <w:szCs w:val="10"/>
        </w:rPr>
      </w:pPr>
    </w:p>
    <w:p w14:paraId="1130240A" w14:textId="349D9227" w:rsidR="008E3035" w:rsidRPr="00F3339D" w:rsidRDefault="00461EDC" w:rsidP="008E3035">
      <w:pPr>
        <w:pStyle w:val="Heading1"/>
        <w:spacing w:line="360" w:lineRule="auto"/>
        <w:ind w:left="0" w:firstLine="0"/>
        <w:contextualSpacing/>
        <w:mirrorIndents/>
        <w:jc w:val="both"/>
        <w:rPr>
          <w:sz w:val="20"/>
          <w:szCs w:val="20"/>
        </w:rPr>
      </w:pPr>
      <w:r>
        <w:rPr>
          <w:sz w:val="20"/>
          <w:szCs w:val="20"/>
        </w:rPr>
        <w:t>4.4</w:t>
      </w:r>
      <w:r w:rsidR="00087E4B">
        <w:rPr>
          <w:sz w:val="20"/>
          <w:szCs w:val="20"/>
        </w:rPr>
        <w:t xml:space="preserve"> </w:t>
      </w:r>
      <w:r w:rsidR="008E3035" w:rsidRPr="00F3339D">
        <w:rPr>
          <w:sz w:val="20"/>
          <w:szCs w:val="20"/>
        </w:rPr>
        <w:t>GAS</w:t>
      </w:r>
      <w:r w:rsidR="008E3035" w:rsidRPr="00F3339D">
        <w:rPr>
          <w:spacing w:val="-6"/>
          <w:sz w:val="20"/>
          <w:szCs w:val="20"/>
        </w:rPr>
        <w:t xml:space="preserve"> </w:t>
      </w:r>
      <w:r w:rsidR="008E3035" w:rsidRPr="00F3339D">
        <w:rPr>
          <w:sz w:val="20"/>
          <w:szCs w:val="20"/>
        </w:rPr>
        <w:t>Causality</w:t>
      </w:r>
      <w:r w:rsidR="008E3035" w:rsidRPr="00F3339D">
        <w:rPr>
          <w:spacing w:val="-5"/>
          <w:sz w:val="20"/>
          <w:szCs w:val="20"/>
        </w:rPr>
        <w:t xml:space="preserve"> </w:t>
      </w:r>
      <w:r w:rsidR="008E3035" w:rsidRPr="00F3339D">
        <w:rPr>
          <w:sz w:val="20"/>
          <w:szCs w:val="20"/>
        </w:rPr>
        <w:t>vs</w:t>
      </w:r>
      <w:r w:rsidR="008E3035" w:rsidRPr="00F3339D">
        <w:rPr>
          <w:spacing w:val="-5"/>
          <w:sz w:val="20"/>
          <w:szCs w:val="20"/>
        </w:rPr>
        <w:t xml:space="preserve"> </w:t>
      </w:r>
      <w:r w:rsidR="008E3035" w:rsidRPr="00F3339D">
        <w:rPr>
          <w:sz w:val="20"/>
          <w:szCs w:val="20"/>
        </w:rPr>
        <w:t>Carrier</w:t>
      </w:r>
      <w:r w:rsidR="008E3035" w:rsidRPr="00F3339D">
        <w:rPr>
          <w:spacing w:val="-5"/>
          <w:sz w:val="20"/>
          <w:szCs w:val="20"/>
        </w:rPr>
        <w:t xml:space="preserve"> </w:t>
      </w:r>
      <w:r w:rsidR="008E3035" w:rsidRPr="00F3339D">
        <w:rPr>
          <w:spacing w:val="-2"/>
          <w:sz w:val="20"/>
          <w:szCs w:val="20"/>
        </w:rPr>
        <w:t>Status</w:t>
      </w:r>
    </w:p>
    <w:p w14:paraId="7EE35AA9" w14:textId="77777777" w:rsidR="008E3035" w:rsidRDefault="008E3035" w:rsidP="008E3035">
      <w:pPr>
        <w:pStyle w:val="BodyText"/>
        <w:spacing w:line="360" w:lineRule="auto"/>
        <w:ind w:firstLine="0"/>
        <w:contextualSpacing/>
        <w:mirrorIndents/>
        <w:rPr>
          <w:rFonts w:ascii="Times New Roman" w:hAnsi="Times New Roman" w:cs="Times New Roman"/>
          <w:spacing w:val="-2"/>
          <w:sz w:val="20"/>
          <w:szCs w:val="20"/>
        </w:rPr>
      </w:pPr>
      <w:r w:rsidRPr="00F3339D">
        <w:rPr>
          <w:rFonts w:ascii="Times New Roman" w:hAnsi="Times New Roman" w:cs="Times New Roman"/>
          <w:sz w:val="20"/>
          <w:szCs w:val="20"/>
        </w:rPr>
        <w:t>One</w:t>
      </w:r>
      <w:r w:rsidRPr="00F3339D">
        <w:rPr>
          <w:rFonts w:ascii="Times New Roman" w:hAnsi="Times New Roman" w:cs="Times New Roman"/>
          <w:spacing w:val="73"/>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74"/>
          <w:sz w:val="20"/>
          <w:szCs w:val="20"/>
        </w:rPr>
        <w:t xml:space="preserve"> </w:t>
      </w:r>
      <w:r w:rsidRPr="00F3339D">
        <w:rPr>
          <w:rFonts w:ascii="Times New Roman" w:hAnsi="Times New Roman" w:cs="Times New Roman"/>
          <w:sz w:val="20"/>
          <w:szCs w:val="20"/>
        </w:rPr>
        <w:t>the</w:t>
      </w:r>
      <w:r w:rsidRPr="00F3339D">
        <w:rPr>
          <w:rFonts w:ascii="Times New Roman" w:hAnsi="Times New Roman" w:cs="Times New Roman"/>
          <w:spacing w:val="73"/>
          <w:sz w:val="20"/>
          <w:szCs w:val="20"/>
        </w:rPr>
        <w:t xml:space="preserve"> </w:t>
      </w:r>
      <w:r w:rsidRPr="00F3339D">
        <w:rPr>
          <w:rFonts w:ascii="Times New Roman" w:hAnsi="Times New Roman" w:cs="Times New Roman"/>
          <w:sz w:val="20"/>
          <w:szCs w:val="20"/>
        </w:rPr>
        <w:t>most</w:t>
      </w:r>
      <w:r w:rsidRPr="00F3339D">
        <w:rPr>
          <w:rFonts w:ascii="Times New Roman" w:hAnsi="Times New Roman" w:cs="Times New Roman"/>
          <w:spacing w:val="74"/>
          <w:sz w:val="20"/>
          <w:szCs w:val="20"/>
        </w:rPr>
        <w:t xml:space="preserve"> </w:t>
      </w:r>
      <w:r w:rsidRPr="00F3339D">
        <w:rPr>
          <w:rFonts w:ascii="Times New Roman" w:hAnsi="Times New Roman" w:cs="Times New Roman"/>
          <w:sz w:val="20"/>
          <w:szCs w:val="20"/>
        </w:rPr>
        <w:t>important</w:t>
      </w:r>
      <w:r w:rsidRPr="00F3339D">
        <w:rPr>
          <w:rFonts w:ascii="Times New Roman" w:hAnsi="Times New Roman" w:cs="Times New Roman"/>
          <w:spacing w:val="74"/>
          <w:sz w:val="20"/>
          <w:szCs w:val="20"/>
        </w:rPr>
        <w:t xml:space="preserve"> </w:t>
      </w:r>
      <w:r w:rsidRPr="00F3339D">
        <w:rPr>
          <w:rFonts w:ascii="Times New Roman" w:hAnsi="Times New Roman" w:cs="Times New Roman"/>
          <w:sz w:val="20"/>
          <w:szCs w:val="20"/>
        </w:rPr>
        <w:t>epidemiologic</w:t>
      </w:r>
      <w:r w:rsidRPr="00F3339D">
        <w:rPr>
          <w:rFonts w:ascii="Times New Roman" w:hAnsi="Times New Roman" w:cs="Times New Roman"/>
          <w:spacing w:val="73"/>
          <w:sz w:val="20"/>
          <w:szCs w:val="20"/>
        </w:rPr>
        <w:t xml:space="preserve"> </w:t>
      </w:r>
      <w:r w:rsidRPr="00F3339D">
        <w:rPr>
          <w:rFonts w:ascii="Times New Roman" w:hAnsi="Times New Roman" w:cs="Times New Roman"/>
          <w:sz w:val="20"/>
          <w:szCs w:val="20"/>
        </w:rPr>
        <w:t>criticisms</w:t>
      </w:r>
      <w:r w:rsidRPr="00F3339D">
        <w:rPr>
          <w:rFonts w:ascii="Times New Roman" w:hAnsi="Times New Roman" w:cs="Times New Roman"/>
          <w:spacing w:val="73"/>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74"/>
          <w:sz w:val="20"/>
          <w:szCs w:val="20"/>
        </w:rPr>
        <w:t xml:space="preserve"> </w:t>
      </w:r>
      <w:r w:rsidRPr="00F3339D">
        <w:rPr>
          <w:rFonts w:ascii="Times New Roman" w:hAnsi="Times New Roman" w:cs="Times New Roman"/>
          <w:sz w:val="20"/>
          <w:szCs w:val="20"/>
        </w:rPr>
        <w:t>PANDAS</w:t>
      </w:r>
      <w:r w:rsidRPr="00F3339D">
        <w:rPr>
          <w:rFonts w:ascii="Times New Roman" w:hAnsi="Times New Roman" w:cs="Times New Roman"/>
          <w:spacing w:val="73"/>
          <w:sz w:val="20"/>
          <w:szCs w:val="20"/>
        </w:rPr>
        <w:t xml:space="preserve"> </w:t>
      </w:r>
      <w:r w:rsidRPr="00F3339D">
        <w:rPr>
          <w:rFonts w:ascii="Times New Roman" w:hAnsi="Times New Roman" w:cs="Times New Roman"/>
          <w:sz w:val="20"/>
          <w:szCs w:val="20"/>
        </w:rPr>
        <w:t>involves</w:t>
      </w:r>
      <w:r w:rsidRPr="00F3339D">
        <w:rPr>
          <w:rFonts w:ascii="Times New Roman" w:hAnsi="Times New Roman" w:cs="Times New Roman"/>
          <w:spacing w:val="73"/>
          <w:sz w:val="20"/>
          <w:szCs w:val="20"/>
        </w:rPr>
        <w:t xml:space="preserve"> </w:t>
      </w:r>
      <w:r w:rsidRPr="00F3339D">
        <w:rPr>
          <w:rFonts w:ascii="Times New Roman" w:hAnsi="Times New Roman" w:cs="Times New Roman"/>
          <w:sz w:val="20"/>
          <w:szCs w:val="20"/>
        </w:rPr>
        <w:t>the</w:t>
      </w:r>
      <w:r w:rsidRPr="00F3339D">
        <w:rPr>
          <w:rFonts w:ascii="Times New Roman" w:hAnsi="Times New Roman" w:cs="Times New Roman"/>
          <w:spacing w:val="73"/>
          <w:sz w:val="20"/>
          <w:szCs w:val="20"/>
        </w:rPr>
        <w:t xml:space="preserve"> </w:t>
      </w:r>
      <w:r w:rsidRPr="00F3339D">
        <w:rPr>
          <w:rFonts w:ascii="Times New Roman" w:hAnsi="Times New Roman" w:cs="Times New Roman"/>
          <w:sz w:val="20"/>
          <w:szCs w:val="20"/>
        </w:rPr>
        <w:t>prevalence</w:t>
      </w:r>
      <w:r w:rsidRPr="00F3339D">
        <w:rPr>
          <w:rFonts w:ascii="Times New Roman" w:hAnsi="Times New Roman" w:cs="Times New Roman"/>
          <w:spacing w:val="73"/>
          <w:sz w:val="20"/>
          <w:szCs w:val="20"/>
        </w:rPr>
        <w:t xml:space="preserve"> </w:t>
      </w:r>
      <w:r w:rsidRPr="00F3339D">
        <w:rPr>
          <w:rFonts w:ascii="Times New Roman" w:hAnsi="Times New Roman" w:cs="Times New Roman"/>
          <w:sz w:val="20"/>
          <w:szCs w:val="20"/>
        </w:rPr>
        <w:t>of asymptomatic streptococcal carriage. Depending upon age, geography, and season, approximately 3–15%</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healthy</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children</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may</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harbor</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GAS</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within</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the</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pharynx</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without</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evidence</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active</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infection</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[23,24]. This carrier state creates substantial diagnostic uncertainty. A positive throat culture obtained during symptom</w:t>
      </w:r>
      <w:r w:rsidRPr="00F3339D">
        <w:rPr>
          <w:rFonts w:ascii="Times New Roman" w:hAnsi="Times New Roman" w:cs="Times New Roman"/>
          <w:spacing w:val="70"/>
          <w:sz w:val="20"/>
          <w:szCs w:val="20"/>
        </w:rPr>
        <w:t xml:space="preserve"> </w:t>
      </w:r>
      <w:r w:rsidRPr="00F3339D">
        <w:rPr>
          <w:rFonts w:ascii="Times New Roman" w:hAnsi="Times New Roman" w:cs="Times New Roman"/>
          <w:sz w:val="20"/>
          <w:szCs w:val="20"/>
        </w:rPr>
        <w:t>exacerbation</w:t>
      </w:r>
      <w:r w:rsidRPr="00F3339D">
        <w:rPr>
          <w:rFonts w:ascii="Times New Roman" w:hAnsi="Times New Roman" w:cs="Times New Roman"/>
          <w:spacing w:val="72"/>
          <w:sz w:val="20"/>
          <w:szCs w:val="20"/>
        </w:rPr>
        <w:t xml:space="preserve"> </w:t>
      </w:r>
      <w:r w:rsidRPr="00F3339D">
        <w:rPr>
          <w:rFonts w:ascii="Times New Roman" w:hAnsi="Times New Roman" w:cs="Times New Roman"/>
          <w:sz w:val="20"/>
          <w:szCs w:val="20"/>
        </w:rPr>
        <w:t>may</w:t>
      </w:r>
      <w:r w:rsidRPr="00F3339D">
        <w:rPr>
          <w:rFonts w:ascii="Times New Roman" w:hAnsi="Times New Roman" w:cs="Times New Roman"/>
          <w:spacing w:val="72"/>
          <w:sz w:val="20"/>
          <w:szCs w:val="20"/>
        </w:rPr>
        <w:t xml:space="preserve"> </w:t>
      </w:r>
      <w:r w:rsidRPr="00F3339D">
        <w:rPr>
          <w:rFonts w:ascii="Times New Roman" w:hAnsi="Times New Roman" w:cs="Times New Roman"/>
          <w:sz w:val="20"/>
          <w:szCs w:val="20"/>
        </w:rPr>
        <w:t>simply</w:t>
      </w:r>
      <w:r w:rsidRPr="00F3339D">
        <w:rPr>
          <w:rFonts w:ascii="Times New Roman" w:hAnsi="Times New Roman" w:cs="Times New Roman"/>
          <w:spacing w:val="73"/>
          <w:sz w:val="20"/>
          <w:szCs w:val="20"/>
        </w:rPr>
        <w:t xml:space="preserve"> </w:t>
      </w:r>
      <w:r w:rsidRPr="00F3339D">
        <w:rPr>
          <w:rFonts w:ascii="Times New Roman" w:hAnsi="Times New Roman" w:cs="Times New Roman"/>
          <w:sz w:val="20"/>
          <w:szCs w:val="20"/>
        </w:rPr>
        <w:t>reflect</w:t>
      </w:r>
      <w:r w:rsidRPr="00F3339D">
        <w:rPr>
          <w:rFonts w:ascii="Times New Roman" w:hAnsi="Times New Roman" w:cs="Times New Roman"/>
          <w:spacing w:val="73"/>
          <w:sz w:val="20"/>
          <w:szCs w:val="20"/>
        </w:rPr>
        <w:t xml:space="preserve"> </w:t>
      </w:r>
      <w:r w:rsidRPr="00F3339D">
        <w:rPr>
          <w:rFonts w:ascii="Times New Roman" w:hAnsi="Times New Roman" w:cs="Times New Roman"/>
          <w:sz w:val="20"/>
          <w:szCs w:val="20"/>
        </w:rPr>
        <w:t>colonization</w:t>
      </w:r>
      <w:r w:rsidRPr="00F3339D">
        <w:rPr>
          <w:rFonts w:ascii="Times New Roman" w:hAnsi="Times New Roman" w:cs="Times New Roman"/>
          <w:spacing w:val="72"/>
          <w:sz w:val="20"/>
          <w:szCs w:val="20"/>
        </w:rPr>
        <w:t xml:space="preserve"> </w:t>
      </w:r>
      <w:r w:rsidRPr="00F3339D">
        <w:rPr>
          <w:rFonts w:ascii="Times New Roman" w:hAnsi="Times New Roman" w:cs="Times New Roman"/>
          <w:sz w:val="20"/>
          <w:szCs w:val="20"/>
        </w:rPr>
        <w:t>rather</w:t>
      </w:r>
      <w:r w:rsidRPr="00F3339D">
        <w:rPr>
          <w:rFonts w:ascii="Times New Roman" w:hAnsi="Times New Roman" w:cs="Times New Roman"/>
          <w:spacing w:val="73"/>
          <w:sz w:val="20"/>
          <w:szCs w:val="20"/>
        </w:rPr>
        <w:t xml:space="preserve"> </w:t>
      </w:r>
      <w:r w:rsidRPr="00F3339D">
        <w:rPr>
          <w:rFonts w:ascii="Times New Roman" w:hAnsi="Times New Roman" w:cs="Times New Roman"/>
          <w:sz w:val="20"/>
          <w:szCs w:val="20"/>
        </w:rPr>
        <w:t>than</w:t>
      </w:r>
      <w:r w:rsidRPr="00F3339D">
        <w:rPr>
          <w:rFonts w:ascii="Times New Roman" w:hAnsi="Times New Roman" w:cs="Times New Roman"/>
          <w:spacing w:val="73"/>
          <w:sz w:val="20"/>
          <w:szCs w:val="20"/>
        </w:rPr>
        <w:t xml:space="preserve"> </w:t>
      </w:r>
      <w:r w:rsidRPr="00F3339D">
        <w:rPr>
          <w:rFonts w:ascii="Times New Roman" w:hAnsi="Times New Roman" w:cs="Times New Roman"/>
          <w:sz w:val="20"/>
          <w:szCs w:val="20"/>
        </w:rPr>
        <w:t>a</w:t>
      </w:r>
      <w:r w:rsidRPr="00F3339D">
        <w:rPr>
          <w:rFonts w:ascii="Times New Roman" w:hAnsi="Times New Roman" w:cs="Times New Roman"/>
          <w:spacing w:val="72"/>
          <w:sz w:val="20"/>
          <w:szCs w:val="20"/>
        </w:rPr>
        <w:t xml:space="preserve"> </w:t>
      </w:r>
      <w:r w:rsidRPr="00F3339D">
        <w:rPr>
          <w:rFonts w:ascii="Times New Roman" w:hAnsi="Times New Roman" w:cs="Times New Roman"/>
          <w:sz w:val="20"/>
          <w:szCs w:val="20"/>
        </w:rPr>
        <w:t>causally</w:t>
      </w:r>
      <w:r w:rsidRPr="00F3339D">
        <w:rPr>
          <w:rFonts w:ascii="Times New Roman" w:hAnsi="Times New Roman" w:cs="Times New Roman"/>
          <w:spacing w:val="72"/>
          <w:sz w:val="20"/>
          <w:szCs w:val="20"/>
        </w:rPr>
        <w:t xml:space="preserve"> </w:t>
      </w:r>
      <w:r w:rsidRPr="00F3339D">
        <w:rPr>
          <w:rFonts w:ascii="Times New Roman" w:hAnsi="Times New Roman" w:cs="Times New Roman"/>
          <w:sz w:val="20"/>
          <w:szCs w:val="20"/>
        </w:rPr>
        <w:t>relevant</w:t>
      </w:r>
      <w:r w:rsidRPr="00F3339D">
        <w:rPr>
          <w:rFonts w:ascii="Times New Roman" w:hAnsi="Times New Roman" w:cs="Times New Roman"/>
          <w:spacing w:val="74"/>
          <w:sz w:val="20"/>
          <w:szCs w:val="20"/>
        </w:rPr>
        <w:t xml:space="preserve"> </w:t>
      </w:r>
      <w:r w:rsidRPr="00F3339D">
        <w:rPr>
          <w:rFonts w:ascii="Times New Roman" w:hAnsi="Times New Roman" w:cs="Times New Roman"/>
          <w:spacing w:val="-2"/>
          <w:sz w:val="20"/>
          <w:szCs w:val="20"/>
        </w:rPr>
        <w:t>infection.</w:t>
      </w:r>
    </w:p>
    <w:p w14:paraId="70BD8D8E" w14:textId="77777777" w:rsidR="00087E4B" w:rsidRPr="00087E4B" w:rsidRDefault="00087E4B" w:rsidP="008E3035">
      <w:pPr>
        <w:pStyle w:val="BodyText"/>
        <w:spacing w:line="360" w:lineRule="auto"/>
        <w:ind w:firstLine="0"/>
        <w:contextualSpacing/>
        <w:mirrorIndents/>
        <w:rPr>
          <w:rFonts w:ascii="Times New Roman" w:hAnsi="Times New Roman" w:cs="Times New Roman"/>
          <w:sz w:val="10"/>
          <w:szCs w:val="10"/>
        </w:rPr>
      </w:pPr>
    </w:p>
    <w:p w14:paraId="731A0D16"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Consequently, demonstrating temporal association between GAS and symptom onset becomes considerably more difficult [21,23,24].</w:t>
      </w:r>
    </w:p>
    <w:p w14:paraId="31DFA78E" w14:textId="77777777" w:rsidR="00087E4B" w:rsidRPr="00087E4B" w:rsidRDefault="00087E4B" w:rsidP="008E3035">
      <w:pPr>
        <w:pStyle w:val="BodyText"/>
        <w:spacing w:line="360" w:lineRule="auto"/>
        <w:ind w:firstLine="0"/>
        <w:contextualSpacing/>
        <w:mirrorIndents/>
        <w:rPr>
          <w:rFonts w:ascii="Times New Roman" w:hAnsi="Times New Roman" w:cs="Times New Roman"/>
          <w:sz w:val="10"/>
          <w:szCs w:val="10"/>
        </w:rPr>
      </w:pPr>
    </w:p>
    <w:p w14:paraId="49750365"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Similarly,</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elevated</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antistreptococcal</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antibody</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titers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present</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interpretive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challenges.</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Anti-streptolysin-O (ASO) and anti-DNase B titers frequently remain elevated for months following infection. Therefore, elevated</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titers</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may</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indicate</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remote</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exposure</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rather</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than</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recent</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infection</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temporally</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related</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to</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symptom development [21,23,24].</w:t>
      </w:r>
    </w:p>
    <w:p w14:paraId="631E1382" w14:textId="77777777" w:rsidR="00087E4B" w:rsidRPr="00087E4B" w:rsidRDefault="00087E4B" w:rsidP="008E3035">
      <w:pPr>
        <w:pStyle w:val="BodyText"/>
        <w:spacing w:line="360" w:lineRule="auto"/>
        <w:ind w:firstLine="0"/>
        <w:contextualSpacing/>
        <w:mirrorIndents/>
        <w:rPr>
          <w:rFonts w:ascii="Times New Roman" w:hAnsi="Times New Roman" w:cs="Times New Roman"/>
          <w:sz w:val="10"/>
          <w:szCs w:val="10"/>
        </w:rPr>
      </w:pPr>
    </w:p>
    <w:p w14:paraId="29102404"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Because streptococcal infections are so common in childhood, coincidence remains a plausible explanation for at least some observed associations. This issue represents one of the strongest arguments advanced by critics of the PANDAS construct [9,20,21].</w:t>
      </w:r>
    </w:p>
    <w:p w14:paraId="766665F7" w14:textId="77777777" w:rsidR="00087E4B" w:rsidRPr="00087E4B" w:rsidRDefault="00087E4B" w:rsidP="008E3035">
      <w:pPr>
        <w:pStyle w:val="BodyText"/>
        <w:spacing w:line="360" w:lineRule="auto"/>
        <w:ind w:firstLine="0"/>
        <w:contextualSpacing/>
        <w:mirrorIndents/>
        <w:rPr>
          <w:rFonts w:ascii="Times New Roman" w:hAnsi="Times New Roman" w:cs="Times New Roman"/>
          <w:sz w:val="10"/>
          <w:szCs w:val="10"/>
        </w:rPr>
      </w:pPr>
    </w:p>
    <w:p w14:paraId="6B427DA0"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Resolving this challenge will likely require studies incorporating precise microbiologic characterization, serial antibody measurements, molecular strain typing, and longitudinal symptom tracking. Until such evidence becomes available, uncertainty regarding causality will persist [9,21,40].</w:t>
      </w:r>
    </w:p>
    <w:p w14:paraId="50EF0F4E" w14:textId="77777777" w:rsidR="008E3035" w:rsidRPr="00087E4B" w:rsidRDefault="008E3035" w:rsidP="008E3035">
      <w:pPr>
        <w:pStyle w:val="BodyText"/>
        <w:spacing w:line="360" w:lineRule="auto"/>
        <w:ind w:firstLine="0"/>
        <w:contextualSpacing/>
        <w:mirrorIndents/>
        <w:rPr>
          <w:rFonts w:ascii="Times New Roman" w:hAnsi="Times New Roman" w:cs="Times New Roman"/>
          <w:sz w:val="10"/>
          <w:szCs w:val="10"/>
        </w:rPr>
      </w:pPr>
    </w:p>
    <w:p w14:paraId="0D4CBA1B" w14:textId="4E016718" w:rsidR="008E3035" w:rsidRPr="00F3339D" w:rsidRDefault="00461EDC" w:rsidP="008E3035">
      <w:pPr>
        <w:pStyle w:val="Heading1"/>
        <w:spacing w:line="360" w:lineRule="auto"/>
        <w:ind w:left="0" w:firstLine="0"/>
        <w:contextualSpacing/>
        <w:mirrorIndents/>
        <w:jc w:val="both"/>
        <w:rPr>
          <w:sz w:val="20"/>
          <w:szCs w:val="20"/>
        </w:rPr>
      </w:pPr>
      <w:r>
        <w:rPr>
          <w:sz w:val="20"/>
          <w:szCs w:val="20"/>
        </w:rPr>
        <w:t>4.5</w:t>
      </w:r>
      <w:r w:rsidR="00087E4B">
        <w:rPr>
          <w:sz w:val="20"/>
          <w:szCs w:val="20"/>
        </w:rPr>
        <w:t xml:space="preserve"> </w:t>
      </w:r>
      <w:r w:rsidR="008E3035" w:rsidRPr="00F3339D">
        <w:rPr>
          <w:sz w:val="20"/>
          <w:szCs w:val="20"/>
        </w:rPr>
        <w:t>Overdiagnosis</w:t>
      </w:r>
      <w:r w:rsidR="008E3035" w:rsidRPr="00F3339D">
        <w:rPr>
          <w:spacing w:val="-10"/>
          <w:sz w:val="20"/>
          <w:szCs w:val="20"/>
        </w:rPr>
        <w:t xml:space="preserve"> </w:t>
      </w:r>
      <w:r w:rsidR="008E3035" w:rsidRPr="00F3339D">
        <w:rPr>
          <w:sz w:val="20"/>
          <w:szCs w:val="20"/>
        </w:rPr>
        <w:t>and</w:t>
      </w:r>
      <w:r w:rsidR="008E3035" w:rsidRPr="00F3339D">
        <w:rPr>
          <w:spacing w:val="-10"/>
          <w:sz w:val="20"/>
          <w:szCs w:val="20"/>
        </w:rPr>
        <w:t xml:space="preserve"> </w:t>
      </w:r>
      <w:r w:rsidR="008E3035" w:rsidRPr="00F3339D">
        <w:rPr>
          <w:sz w:val="20"/>
          <w:szCs w:val="20"/>
        </w:rPr>
        <w:t>Medicalization</w:t>
      </w:r>
      <w:r w:rsidR="008E3035" w:rsidRPr="00F3339D">
        <w:rPr>
          <w:spacing w:val="-10"/>
          <w:sz w:val="20"/>
          <w:szCs w:val="20"/>
        </w:rPr>
        <w:t xml:space="preserve"> </w:t>
      </w:r>
      <w:r w:rsidR="008E3035" w:rsidRPr="00F3339D">
        <w:rPr>
          <w:spacing w:val="-2"/>
          <w:sz w:val="20"/>
          <w:szCs w:val="20"/>
        </w:rPr>
        <w:t>Concerns</w:t>
      </w:r>
    </w:p>
    <w:p w14:paraId="538C67B0"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As public awareness of PANDAS has increased, concerns regarding overdiagnosis have emerged. Advocacy</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organizations,</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social</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media</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communities,</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online</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forums,</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popular</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media</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have</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dramatically expanded public familiarity with the syndrome.</w:t>
      </w:r>
    </w:p>
    <w:p w14:paraId="5C5013F5" w14:textId="77777777" w:rsidR="00087E4B" w:rsidRPr="00087E4B" w:rsidRDefault="00087E4B" w:rsidP="008E3035">
      <w:pPr>
        <w:pStyle w:val="BodyText"/>
        <w:spacing w:line="360" w:lineRule="auto"/>
        <w:ind w:firstLine="0"/>
        <w:contextualSpacing/>
        <w:mirrorIndents/>
        <w:rPr>
          <w:rFonts w:ascii="Times New Roman" w:hAnsi="Times New Roman" w:cs="Times New Roman"/>
          <w:sz w:val="10"/>
          <w:szCs w:val="10"/>
        </w:rPr>
      </w:pPr>
    </w:p>
    <w:p w14:paraId="4C72A886"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Although increased awareness may facilitate recognition of legitimate cases, it also raises the possibility of diagnostic inflation [9,44]. Symptoms commonly attributed to PANDAS—including anxiety, emotional lability, irritability, obsessive thoughts, sleep disturbance, and transient tic behaviors—occur frequently in childhood psychiatric disorders.</w:t>
      </w:r>
    </w:p>
    <w:p w14:paraId="1D68EBA9" w14:textId="77777777" w:rsidR="00087E4B" w:rsidRPr="00087E4B" w:rsidRDefault="00087E4B" w:rsidP="008E3035">
      <w:pPr>
        <w:pStyle w:val="BodyText"/>
        <w:spacing w:line="360" w:lineRule="auto"/>
        <w:ind w:firstLine="0"/>
        <w:contextualSpacing/>
        <w:mirrorIndents/>
        <w:rPr>
          <w:rFonts w:ascii="Times New Roman" w:hAnsi="Times New Roman" w:cs="Times New Roman"/>
          <w:sz w:val="10"/>
          <w:szCs w:val="10"/>
        </w:rPr>
      </w:pPr>
    </w:p>
    <w:p w14:paraId="65B7F17F"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Critics argue that broad application of PANDAS terminology may encourage excessive medicalization</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psychiatric</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symptoms</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[9].</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Under</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this</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scenario,</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children</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with</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conventional</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OCD,</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anxiety disorders,</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or</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tic</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disorders</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may</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undergo</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extensive</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infectious</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immunologic</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evaluations</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despite</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limited supporting evidence.</w:t>
      </w:r>
    </w:p>
    <w:p w14:paraId="01291203" w14:textId="77777777" w:rsidR="00087E4B" w:rsidRPr="00087E4B" w:rsidRDefault="00087E4B" w:rsidP="008E3035">
      <w:pPr>
        <w:pStyle w:val="BodyText"/>
        <w:spacing w:line="360" w:lineRule="auto"/>
        <w:ind w:firstLine="0"/>
        <w:contextualSpacing/>
        <w:mirrorIndents/>
        <w:rPr>
          <w:rFonts w:ascii="Times New Roman" w:hAnsi="Times New Roman" w:cs="Times New Roman"/>
          <w:sz w:val="10"/>
          <w:szCs w:val="10"/>
        </w:rPr>
      </w:pPr>
    </w:p>
    <w:p w14:paraId="5CB886A7"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lastRenderedPageBreak/>
        <w:t>Potential consequences include delayed psychiatric treatment, unnecessary antibiotic exposure, financial burden, and increased family distress. These concerns underscore the importance of maintaining rigorous diagnostic standards and avoiding premature attribution of symptoms to autoimmune mechanisms [9,44].</w:t>
      </w:r>
    </w:p>
    <w:p w14:paraId="0C167C5A" w14:textId="77777777" w:rsidR="00087E4B" w:rsidRPr="00087E4B" w:rsidRDefault="00087E4B" w:rsidP="008E3035">
      <w:pPr>
        <w:pStyle w:val="BodyText"/>
        <w:spacing w:line="360" w:lineRule="auto"/>
        <w:ind w:firstLine="0"/>
        <w:contextualSpacing/>
        <w:mirrorIndents/>
        <w:rPr>
          <w:rFonts w:ascii="Times New Roman" w:hAnsi="Times New Roman" w:cs="Times New Roman"/>
          <w:sz w:val="10"/>
          <w:szCs w:val="10"/>
        </w:rPr>
      </w:pPr>
    </w:p>
    <w:p w14:paraId="2E1295A0"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At the same time, proponents argue that fear of overdiagnosis should not result in dismissal of genuinely</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immune-mediated</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disease.</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The</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challenge</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facing</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clinicians</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is</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therefore</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not</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choosing</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 xml:space="preserve">between psychiatric and immunologic explanations but rather determining when each framework is most </w:t>
      </w:r>
      <w:r w:rsidRPr="00F3339D">
        <w:rPr>
          <w:rFonts w:ascii="Times New Roman" w:hAnsi="Times New Roman" w:cs="Times New Roman"/>
          <w:spacing w:val="-2"/>
          <w:sz w:val="20"/>
          <w:szCs w:val="20"/>
        </w:rPr>
        <w:t>appropriate.</w:t>
      </w:r>
    </w:p>
    <w:p w14:paraId="1A02F69D" w14:textId="77777777" w:rsidR="008E3035" w:rsidRPr="00087E4B" w:rsidRDefault="008E3035" w:rsidP="008E3035">
      <w:pPr>
        <w:pStyle w:val="BodyText"/>
        <w:spacing w:line="360" w:lineRule="auto"/>
        <w:ind w:firstLine="0"/>
        <w:contextualSpacing/>
        <w:mirrorIndents/>
        <w:rPr>
          <w:rFonts w:ascii="Times New Roman" w:hAnsi="Times New Roman" w:cs="Times New Roman"/>
          <w:sz w:val="10"/>
          <w:szCs w:val="10"/>
        </w:rPr>
      </w:pPr>
    </w:p>
    <w:p w14:paraId="7EBBB68E" w14:textId="641BC04A" w:rsidR="008E3035" w:rsidRPr="00461EDC" w:rsidRDefault="00461EDC" w:rsidP="008E3035">
      <w:pPr>
        <w:pStyle w:val="Heading1"/>
        <w:spacing w:line="360" w:lineRule="auto"/>
        <w:ind w:left="0" w:firstLine="0"/>
        <w:contextualSpacing/>
        <w:mirrorIndents/>
        <w:jc w:val="both"/>
        <w:rPr>
          <w:color w:val="0070C0"/>
          <w:sz w:val="22"/>
          <w:szCs w:val="22"/>
        </w:rPr>
      </w:pPr>
      <w:r w:rsidRPr="00461EDC">
        <w:rPr>
          <w:color w:val="0070C0"/>
          <w:sz w:val="22"/>
          <w:szCs w:val="22"/>
        </w:rPr>
        <w:t>5.</w:t>
      </w:r>
      <w:r w:rsidR="00087E4B" w:rsidRPr="00461EDC">
        <w:rPr>
          <w:color w:val="0070C0"/>
          <w:sz w:val="22"/>
          <w:szCs w:val="22"/>
        </w:rPr>
        <w:t xml:space="preserve"> </w:t>
      </w:r>
      <w:r w:rsidR="008E3035" w:rsidRPr="00461EDC">
        <w:rPr>
          <w:color w:val="0070C0"/>
          <w:sz w:val="22"/>
          <w:szCs w:val="22"/>
        </w:rPr>
        <w:t>Differential</w:t>
      </w:r>
      <w:r w:rsidR="008E3035" w:rsidRPr="00461EDC">
        <w:rPr>
          <w:color w:val="0070C0"/>
          <w:spacing w:val="-12"/>
          <w:sz w:val="22"/>
          <w:szCs w:val="22"/>
        </w:rPr>
        <w:t xml:space="preserve"> </w:t>
      </w:r>
      <w:r w:rsidR="008E3035" w:rsidRPr="00461EDC">
        <w:rPr>
          <w:color w:val="0070C0"/>
          <w:spacing w:val="-2"/>
          <w:sz w:val="22"/>
          <w:szCs w:val="22"/>
        </w:rPr>
        <w:t>Diagnoses</w:t>
      </w:r>
    </w:p>
    <w:p w14:paraId="02575768"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 xml:space="preserve">Perhaps the greatest challenge in PANDAS evaluation involves distinguishing the syndrome from other neuropsychiatric and neurologic disorders that present with overlapping symptoms, as shown in </w:t>
      </w:r>
      <w:r w:rsidRPr="00087E4B">
        <w:rPr>
          <w:rFonts w:ascii="Times New Roman" w:hAnsi="Times New Roman" w:cs="Times New Roman"/>
          <w:bCs/>
          <w:sz w:val="20"/>
          <w:szCs w:val="20"/>
        </w:rPr>
        <w:t>Table 1</w:t>
      </w:r>
      <w:r w:rsidRPr="00F3339D">
        <w:rPr>
          <w:rFonts w:ascii="Times New Roman" w:hAnsi="Times New Roman" w:cs="Times New Roman"/>
          <w:sz w:val="20"/>
          <w:szCs w:val="20"/>
        </w:rPr>
        <w:t>, and discussed below.</w:t>
      </w:r>
    </w:p>
    <w:p w14:paraId="6BC0E0F5" w14:textId="77777777" w:rsidR="008E3035" w:rsidRPr="00087E4B" w:rsidRDefault="008E3035" w:rsidP="008E3035">
      <w:pPr>
        <w:pStyle w:val="BodyText"/>
        <w:spacing w:line="360" w:lineRule="auto"/>
        <w:ind w:firstLine="0"/>
        <w:contextualSpacing/>
        <w:mirrorIndents/>
        <w:rPr>
          <w:rFonts w:ascii="Times New Roman" w:hAnsi="Times New Roman" w:cs="Times New Roman"/>
          <w:sz w:val="10"/>
          <w:szCs w:val="10"/>
        </w:rPr>
      </w:pPr>
    </w:p>
    <w:p w14:paraId="61830F57" w14:textId="3049A7EF" w:rsidR="008E3035" w:rsidRPr="00F3339D" w:rsidRDefault="00461EDC" w:rsidP="008E3035">
      <w:pPr>
        <w:pStyle w:val="Heading1"/>
        <w:spacing w:line="360" w:lineRule="auto"/>
        <w:ind w:left="0" w:firstLine="0"/>
        <w:contextualSpacing/>
        <w:mirrorIndents/>
        <w:jc w:val="both"/>
        <w:rPr>
          <w:sz w:val="20"/>
          <w:szCs w:val="20"/>
        </w:rPr>
      </w:pPr>
      <w:r>
        <w:rPr>
          <w:sz w:val="20"/>
          <w:szCs w:val="20"/>
        </w:rPr>
        <w:t>5.1</w:t>
      </w:r>
      <w:r w:rsidR="00087E4B">
        <w:rPr>
          <w:sz w:val="20"/>
          <w:szCs w:val="20"/>
        </w:rPr>
        <w:t xml:space="preserve"> </w:t>
      </w:r>
      <w:r w:rsidR="008E3035" w:rsidRPr="00F3339D">
        <w:rPr>
          <w:sz w:val="20"/>
          <w:szCs w:val="20"/>
        </w:rPr>
        <w:t>Primary</w:t>
      </w:r>
      <w:r w:rsidR="008E3035" w:rsidRPr="00F3339D">
        <w:rPr>
          <w:spacing w:val="-14"/>
          <w:sz w:val="20"/>
          <w:szCs w:val="20"/>
        </w:rPr>
        <w:t xml:space="preserve"> </w:t>
      </w:r>
      <w:r w:rsidR="008E3035" w:rsidRPr="00F3339D">
        <w:rPr>
          <w:sz w:val="20"/>
          <w:szCs w:val="20"/>
        </w:rPr>
        <w:t>Obsessive-Compulsive</w:t>
      </w:r>
      <w:r w:rsidR="008E3035" w:rsidRPr="00F3339D">
        <w:rPr>
          <w:spacing w:val="-13"/>
          <w:sz w:val="20"/>
          <w:szCs w:val="20"/>
        </w:rPr>
        <w:t xml:space="preserve"> </w:t>
      </w:r>
      <w:r w:rsidR="008E3035" w:rsidRPr="00F3339D">
        <w:rPr>
          <w:spacing w:val="-2"/>
          <w:sz w:val="20"/>
          <w:szCs w:val="20"/>
        </w:rPr>
        <w:t>Disorder</w:t>
      </w:r>
    </w:p>
    <w:p w14:paraId="7BF06294"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Primary OCD represents the most important differential diagnosis. Childhood OCD commonly involves contamination fears, checking rituals, intrusive thoughts, reassurance seeking, and repetitive behaviors. Distinguishing PANDAS from conventional OCD depends largely upon symptom trajectory. Whereas primary OCD generally develops gradually, PANDAS is characterized by abrupt onset and episodic exacerbations [3,8]. Nevertheless, symptom overlap remains substantial, and differentiating these conditions can be difficult in clinical practice.</w:t>
      </w:r>
    </w:p>
    <w:p w14:paraId="378C5DC5" w14:textId="77777777" w:rsidR="00087E4B" w:rsidRPr="00D36499" w:rsidRDefault="00087E4B" w:rsidP="008E3035">
      <w:pPr>
        <w:pStyle w:val="BodyText"/>
        <w:spacing w:line="360" w:lineRule="auto"/>
        <w:ind w:firstLine="0"/>
        <w:contextualSpacing/>
        <w:mirrorIndents/>
        <w:rPr>
          <w:rFonts w:ascii="Times New Roman" w:hAnsi="Times New Roman" w:cs="Times New Roman"/>
          <w:sz w:val="10"/>
          <w:szCs w:val="10"/>
        </w:rPr>
      </w:pPr>
    </w:p>
    <w:p w14:paraId="64539122" w14:textId="407C80CE" w:rsidR="00087E4B" w:rsidRDefault="00D36499" w:rsidP="00D36499">
      <w:pPr>
        <w:pStyle w:val="BodyText"/>
        <w:spacing w:line="360" w:lineRule="auto"/>
        <w:ind w:firstLine="0"/>
        <w:contextualSpacing/>
        <w:mirrorIndents/>
        <w:jc w:val="center"/>
        <w:rPr>
          <w:rFonts w:ascii="Times New Roman" w:hAnsi="Times New Roman" w:cs="Times New Roman"/>
          <w:sz w:val="20"/>
          <w:szCs w:val="20"/>
        </w:rPr>
      </w:pPr>
      <w:r w:rsidRPr="00F3339D">
        <w:rPr>
          <w:rFonts w:ascii="Times New Roman" w:hAnsi="Times New Roman" w:cs="Times New Roman"/>
          <w:noProof/>
          <w:sz w:val="20"/>
          <w:szCs w:val="20"/>
        </w:rPr>
        <w:drawing>
          <wp:inline distT="0" distB="0" distL="0" distR="0" wp14:anchorId="03662D11" wp14:editId="67317894">
            <wp:extent cx="6179185" cy="4105874"/>
            <wp:effectExtent l="0" t="0" r="0" b="9525"/>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3" cstate="print"/>
                    <a:stretch>
                      <a:fillRect/>
                    </a:stretch>
                  </pic:blipFill>
                  <pic:spPr>
                    <a:xfrm>
                      <a:off x="0" y="0"/>
                      <a:ext cx="6179185" cy="4105874"/>
                    </a:xfrm>
                    <a:prstGeom prst="rect">
                      <a:avLst/>
                    </a:prstGeom>
                  </pic:spPr>
                </pic:pic>
              </a:graphicData>
            </a:graphic>
          </wp:inline>
        </w:drawing>
      </w:r>
    </w:p>
    <w:p w14:paraId="5BC7BFEE" w14:textId="77777777" w:rsidR="008E3035" w:rsidRPr="00D36499" w:rsidRDefault="008E3035" w:rsidP="008E3035">
      <w:pPr>
        <w:pStyle w:val="BodyText"/>
        <w:spacing w:line="360" w:lineRule="auto"/>
        <w:ind w:firstLine="0"/>
        <w:contextualSpacing/>
        <w:mirrorIndents/>
        <w:rPr>
          <w:rFonts w:ascii="Times New Roman" w:hAnsi="Times New Roman" w:cs="Times New Roman"/>
          <w:sz w:val="10"/>
          <w:szCs w:val="10"/>
        </w:rPr>
      </w:pPr>
    </w:p>
    <w:p w14:paraId="5AD571BB" w14:textId="3EC43DBE"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D36499">
        <w:rPr>
          <w:rFonts w:ascii="Times New Roman" w:hAnsi="Times New Roman" w:cs="Times New Roman"/>
          <w:b/>
          <w:color w:val="0070C0"/>
          <w:sz w:val="20"/>
          <w:szCs w:val="20"/>
        </w:rPr>
        <w:t>Table 1:</w:t>
      </w:r>
      <w:r w:rsidRPr="00D36499">
        <w:rPr>
          <w:rFonts w:ascii="Times New Roman" w:hAnsi="Times New Roman" w:cs="Times New Roman"/>
          <w:color w:val="0070C0"/>
          <w:sz w:val="20"/>
          <w:szCs w:val="20"/>
        </w:rPr>
        <w:t xml:space="preserve"> </w:t>
      </w:r>
      <w:r w:rsidRPr="00F3339D">
        <w:rPr>
          <w:rFonts w:ascii="Times New Roman" w:hAnsi="Times New Roman" w:cs="Times New Roman"/>
          <w:sz w:val="20"/>
          <w:szCs w:val="20"/>
        </w:rPr>
        <w:t>An overview of the differential diagnosis of PANDAS to distinguish the syndrome from other</w:t>
      </w:r>
      <w:r w:rsidRPr="00F3339D">
        <w:rPr>
          <w:rFonts w:ascii="Times New Roman" w:hAnsi="Times New Roman" w:cs="Times New Roman"/>
          <w:spacing w:val="40"/>
          <w:sz w:val="20"/>
          <w:szCs w:val="20"/>
        </w:rPr>
        <w:t xml:space="preserve"> </w:t>
      </w:r>
      <w:r w:rsidRPr="00F3339D">
        <w:rPr>
          <w:rFonts w:ascii="Times New Roman" w:hAnsi="Times New Roman" w:cs="Times New Roman"/>
          <w:sz w:val="20"/>
          <w:szCs w:val="20"/>
        </w:rPr>
        <w:t xml:space="preserve">neuropsychiatric </w:t>
      </w:r>
      <w:r w:rsidRPr="00F3339D">
        <w:rPr>
          <w:rFonts w:ascii="Times New Roman" w:hAnsi="Times New Roman" w:cs="Times New Roman"/>
          <w:sz w:val="20"/>
          <w:szCs w:val="20"/>
        </w:rPr>
        <w:lastRenderedPageBreak/>
        <w:t>and neurologic disorders that present with overlapping symptoms.</w:t>
      </w:r>
    </w:p>
    <w:p w14:paraId="2E0856A4" w14:textId="77777777" w:rsidR="008E3035" w:rsidRPr="00D36499" w:rsidRDefault="008E3035" w:rsidP="008E3035">
      <w:pPr>
        <w:pStyle w:val="BodyText"/>
        <w:spacing w:line="360" w:lineRule="auto"/>
        <w:ind w:firstLine="0"/>
        <w:contextualSpacing/>
        <w:mirrorIndents/>
        <w:rPr>
          <w:rFonts w:ascii="Times New Roman" w:hAnsi="Times New Roman" w:cs="Times New Roman"/>
          <w:sz w:val="10"/>
          <w:szCs w:val="10"/>
        </w:rPr>
      </w:pPr>
    </w:p>
    <w:p w14:paraId="5F642D6C" w14:textId="6F58F7E6" w:rsidR="008E3035" w:rsidRPr="00F3339D" w:rsidRDefault="00461EDC" w:rsidP="008E3035">
      <w:pPr>
        <w:pStyle w:val="Heading1"/>
        <w:spacing w:line="360" w:lineRule="auto"/>
        <w:ind w:left="0" w:firstLine="0"/>
        <w:contextualSpacing/>
        <w:mirrorIndents/>
        <w:jc w:val="both"/>
        <w:rPr>
          <w:sz w:val="20"/>
          <w:szCs w:val="20"/>
        </w:rPr>
      </w:pPr>
      <w:r>
        <w:rPr>
          <w:sz w:val="20"/>
          <w:szCs w:val="20"/>
        </w:rPr>
        <w:t>5.2</w:t>
      </w:r>
      <w:r w:rsidR="00D36499">
        <w:rPr>
          <w:sz w:val="20"/>
          <w:szCs w:val="20"/>
        </w:rPr>
        <w:t xml:space="preserve"> </w:t>
      </w:r>
      <w:r w:rsidR="008E3035" w:rsidRPr="00F3339D">
        <w:rPr>
          <w:sz w:val="20"/>
          <w:szCs w:val="20"/>
        </w:rPr>
        <w:t>Tourette</w:t>
      </w:r>
      <w:r w:rsidR="008E3035" w:rsidRPr="00F3339D">
        <w:rPr>
          <w:spacing w:val="-6"/>
          <w:sz w:val="20"/>
          <w:szCs w:val="20"/>
        </w:rPr>
        <w:t xml:space="preserve"> </w:t>
      </w:r>
      <w:r w:rsidR="008E3035" w:rsidRPr="00F3339D">
        <w:rPr>
          <w:sz w:val="20"/>
          <w:szCs w:val="20"/>
        </w:rPr>
        <w:t>Syndrome</w:t>
      </w:r>
      <w:r w:rsidR="008E3035" w:rsidRPr="00F3339D">
        <w:rPr>
          <w:spacing w:val="-6"/>
          <w:sz w:val="20"/>
          <w:szCs w:val="20"/>
        </w:rPr>
        <w:t xml:space="preserve"> </w:t>
      </w:r>
      <w:r w:rsidR="008E3035" w:rsidRPr="00F3339D">
        <w:rPr>
          <w:sz w:val="20"/>
          <w:szCs w:val="20"/>
        </w:rPr>
        <w:t>and</w:t>
      </w:r>
      <w:r w:rsidR="008E3035" w:rsidRPr="00F3339D">
        <w:rPr>
          <w:spacing w:val="-6"/>
          <w:sz w:val="20"/>
          <w:szCs w:val="20"/>
        </w:rPr>
        <w:t xml:space="preserve"> </w:t>
      </w:r>
      <w:r w:rsidR="008E3035" w:rsidRPr="00F3339D">
        <w:rPr>
          <w:sz w:val="20"/>
          <w:szCs w:val="20"/>
        </w:rPr>
        <w:t>Chronic</w:t>
      </w:r>
      <w:r w:rsidR="008E3035" w:rsidRPr="00F3339D">
        <w:rPr>
          <w:spacing w:val="-6"/>
          <w:sz w:val="20"/>
          <w:szCs w:val="20"/>
        </w:rPr>
        <w:t xml:space="preserve"> </w:t>
      </w:r>
      <w:r w:rsidR="008E3035" w:rsidRPr="00F3339D">
        <w:rPr>
          <w:sz w:val="20"/>
          <w:szCs w:val="20"/>
        </w:rPr>
        <w:t>Tic</w:t>
      </w:r>
      <w:r w:rsidR="008E3035" w:rsidRPr="00F3339D">
        <w:rPr>
          <w:spacing w:val="-5"/>
          <w:sz w:val="20"/>
          <w:szCs w:val="20"/>
        </w:rPr>
        <w:t xml:space="preserve"> </w:t>
      </w:r>
      <w:r w:rsidR="008E3035" w:rsidRPr="00F3339D">
        <w:rPr>
          <w:spacing w:val="-2"/>
          <w:sz w:val="20"/>
          <w:szCs w:val="20"/>
        </w:rPr>
        <w:t>Disorders</w:t>
      </w:r>
    </w:p>
    <w:p w14:paraId="212F67C5"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Tourette syndrome and chronic tic disorders frequently coexist with OCD and may exhibit waxing-and-waning</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symptom</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courses.</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Because</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tic</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severity</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naturally</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fluctuates,</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apparent</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temporal</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relationships with</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infection</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may</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occasionally</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occur</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by</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chance.</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This</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overlap</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has</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contributed</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significantly</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to</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controversy surrounding PANDAS and underscores the importance of careful longitudinal assessment [9,26].</w:t>
      </w:r>
    </w:p>
    <w:p w14:paraId="32ACBABF" w14:textId="77777777" w:rsidR="008E3035" w:rsidRPr="00D36499" w:rsidRDefault="008E3035" w:rsidP="008E3035">
      <w:pPr>
        <w:pStyle w:val="BodyText"/>
        <w:spacing w:line="360" w:lineRule="auto"/>
        <w:ind w:firstLine="0"/>
        <w:contextualSpacing/>
        <w:mirrorIndents/>
        <w:rPr>
          <w:rFonts w:ascii="Times New Roman" w:hAnsi="Times New Roman" w:cs="Times New Roman"/>
          <w:sz w:val="10"/>
          <w:szCs w:val="10"/>
        </w:rPr>
      </w:pPr>
    </w:p>
    <w:p w14:paraId="2785047C" w14:textId="10FC4D6E" w:rsidR="008E3035" w:rsidRPr="00F3339D" w:rsidRDefault="00461EDC" w:rsidP="008E3035">
      <w:pPr>
        <w:pStyle w:val="Heading1"/>
        <w:spacing w:line="360" w:lineRule="auto"/>
        <w:ind w:left="0" w:firstLine="0"/>
        <w:contextualSpacing/>
        <w:mirrorIndents/>
        <w:jc w:val="both"/>
        <w:rPr>
          <w:sz w:val="20"/>
          <w:szCs w:val="20"/>
        </w:rPr>
      </w:pPr>
      <w:r>
        <w:rPr>
          <w:sz w:val="20"/>
          <w:szCs w:val="20"/>
        </w:rPr>
        <w:t>5.3</w:t>
      </w:r>
      <w:r w:rsidR="00D36499">
        <w:rPr>
          <w:sz w:val="20"/>
          <w:szCs w:val="20"/>
        </w:rPr>
        <w:t xml:space="preserve"> </w:t>
      </w:r>
      <w:r w:rsidR="008E3035" w:rsidRPr="00F3339D">
        <w:rPr>
          <w:sz w:val="20"/>
          <w:szCs w:val="20"/>
        </w:rPr>
        <w:t>Sydenham</w:t>
      </w:r>
      <w:r w:rsidR="008E3035" w:rsidRPr="00F3339D">
        <w:rPr>
          <w:spacing w:val="-8"/>
          <w:sz w:val="20"/>
          <w:szCs w:val="20"/>
        </w:rPr>
        <w:t xml:space="preserve"> </w:t>
      </w:r>
      <w:r w:rsidR="008E3035" w:rsidRPr="00F3339D">
        <w:rPr>
          <w:spacing w:val="-2"/>
          <w:sz w:val="20"/>
          <w:szCs w:val="20"/>
        </w:rPr>
        <w:t>Chorea</w:t>
      </w:r>
    </w:p>
    <w:p w14:paraId="3509CD62"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Sydenham chorea remains one of the most important neurologic differential diagnoses [1,2]. Like PANDAS, Sydenham chorea follows streptococcal infection and involves autoimmune-mediated basal ganglia</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dysfunction.</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However,</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choreiform</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movements</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are</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typically</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more</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prominent,</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diagnosis</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often occurs within the broader context of rheumatic fever. Given the established autoimmune nature of Sydenham chorea, comparison between these conditions continues to inform mechanistic hypotheses regarding PANDAS [1,2].</w:t>
      </w:r>
    </w:p>
    <w:p w14:paraId="772029E9" w14:textId="77777777" w:rsidR="008E3035" w:rsidRPr="00D36499" w:rsidRDefault="008E3035" w:rsidP="008E3035">
      <w:pPr>
        <w:pStyle w:val="BodyText"/>
        <w:spacing w:line="360" w:lineRule="auto"/>
        <w:ind w:firstLine="0"/>
        <w:contextualSpacing/>
        <w:mirrorIndents/>
        <w:rPr>
          <w:rFonts w:ascii="Times New Roman" w:hAnsi="Times New Roman" w:cs="Times New Roman"/>
          <w:sz w:val="10"/>
          <w:szCs w:val="10"/>
        </w:rPr>
      </w:pPr>
    </w:p>
    <w:p w14:paraId="6E475D65" w14:textId="57885ADB" w:rsidR="008E3035" w:rsidRPr="00F3339D" w:rsidRDefault="00461EDC" w:rsidP="008E3035">
      <w:pPr>
        <w:pStyle w:val="Heading1"/>
        <w:spacing w:line="360" w:lineRule="auto"/>
        <w:ind w:left="0" w:firstLine="0"/>
        <w:contextualSpacing/>
        <w:mirrorIndents/>
        <w:jc w:val="both"/>
        <w:rPr>
          <w:sz w:val="20"/>
          <w:szCs w:val="20"/>
        </w:rPr>
      </w:pPr>
      <w:r>
        <w:rPr>
          <w:sz w:val="20"/>
          <w:szCs w:val="20"/>
        </w:rPr>
        <w:t>5.4</w:t>
      </w:r>
      <w:r w:rsidR="00D36499">
        <w:rPr>
          <w:sz w:val="20"/>
          <w:szCs w:val="20"/>
        </w:rPr>
        <w:t xml:space="preserve"> </w:t>
      </w:r>
      <w:r w:rsidR="008E3035" w:rsidRPr="00F3339D">
        <w:rPr>
          <w:sz w:val="20"/>
          <w:szCs w:val="20"/>
        </w:rPr>
        <w:t>Autoimmune</w:t>
      </w:r>
      <w:r w:rsidR="008E3035" w:rsidRPr="00F3339D">
        <w:rPr>
          <w:spacing w:val="-10"/>
          <w:sz w:val="20"/>
          <w:szCs w:val="20"/>
        </w:rPr>
        <w:t xml:space="preserve"> </w:t>
      </w:r>
      <w:r w:rsidR="008E3035" w:rsidRPr="00F3339D">
        <w:rPr>
          <w:spacing w:val="-2"/>
          <w:sz w:val="20"/>
          <w:szCs w:val="20"/>
        </w:rPr>
        <w:t>Encephalitis</w:t>
      </w:r>
    </w:p>
    <w:p w14:paraId="42D6F03D"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Increasing recognition of autoimmune encephalitis has significantly influenced contemporary neuropsychiatry. Anti-NMDA receptor encephalitis and related disorders may present with psychiatric symptoms, cognitive dysfunction, behavioral changes, movement abnormalities, seizures, and autonomic instability. Although these disorders differ substantially from PANDAS, overlap in early symptom presentation occasionally creates diagnostic uncertainty [48].</w:t>
      </w:r>
    </w:p>
    <w:p w14:paraId="4ACB3A70" w14:textId="77777777" w:rsidR="008E3035" w:rsidRPr="00D36499" w:rsidRDefault="008E3035" w:rsidP="008E3035">
      <w:pPr>
        <w:pStyle w:val="BodyText"/>
        <w:spacing w:line="360" w:lineRule="auto"/>
        <w:ind w:firstLine="0"/>
        <w:contextualSpacing/>
        <w:mirrorIndents/>
        <w:rPr>
          <w:rFonts w:ascii="Times New Roman" w:hAnsi="Times New Roman" w:cs="Times New Roman"/>
          <w:sz w:val="10"/>
          <w:szCs w:val="10"/>
        </w:rPr>
      </w:pPr>
    </w:p>
    <w:p w14:paraId="718DB233" w14:textId="697141DF" w:rsidR="008E3035" w:rsidRPr="00F3339D" w:rsidRDefault="00461EDC" w:rsidP="008E3035">
      <w:pPr>
        <w:pStyle w:val="Heading1"/>
        <w:spacing w:line="360" w:lineRule="auto"/>
        <w:ind w:left="0" w:firstLine="0"/>
        <w:contextualSpacing/>
        <w:mirrorIndents/>
        <w:jc w:val="both"/>
        <w:rPr>
          <w:sz w:val="20"/>
          <w:szCs w:val="20"/>
        </w:rPr>
      </w:pPr>
      <w:r>
        <w:rPr>
          <w:sz w:val="20"/>
          <w:szCs w:val="20"/>
        </w:rPr>
        <w:t>5.5</w:t>
      </w:r>
      <w:r w:rsidR="00D36499">
        <w:rPr>
          <w:sz w:val="20"/>
          <w:szCs w:val="20"/>
        </w:rPr>
        <w:t xml:space="preserve"> </w:t>
      </w:r>
      <w:r w:rsidR="008E3035" w:rsidRPr="00F3339D">
        <w:rPr>
          <w:sz w:val="20"/>
          <w:szCs w:val="20"/>
        </w:rPr>
        <w:t>Systemic</w:t>
      </w:r>
      <w:r w:rsidR="008E3035" w:rsidRPr="00F3339D">
        <w:rPr>
          <w:spacing w:val="-9"/>
          <w:sz w:val="20"/>
          <w:szCs w:val="20"/>
        </w:rPr>
        <w:t xml:space="preserve"> </w:t>
      </w:r>
      <w:r w:rsidR="008E3035" w:rsidRPr="00F3339D">
        <w:rPr>
          <w:sz w:val="20"/>
          <w:szCs w:val="20"/>
        </w:rPr>
        <w:t>Autoimmune</w:t>
      </w:r>
      <w:r w:rsidR="008E3035" w:rsidRPr="00F3339D">
        <w:rPr>
          <w:spacing w:val="-9"/>
          <w:sz w:val="20"/>
          <w:szCs w:val="20"/>
        </w:rPr>
        <w:t xml:space="preserve"> </w:t>
      </w:r>
      <w:r w:rsidR="008E3035" w:rsidRPr="00F3339D">
        <w:rPr>
          <w:spacing w:val="-2"/>
          <w:sz w:val="20"/>
          <w:szCs w:val="20"/>
        </w:rPr>
        <w:t>Disease</w:t>
      </w:r>
    </w:p>
    <w:p w14:paraId="63FA54B9"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Neuropsychiatric manifestations may occur in systemic lupus erythematosus, vasculitis, antiphospholipid syndrome, and other autoimmune disorders. Appropriate laboratory screening should therefore be considered when clinical findings suggest broader systemic involvement.</w:t>
      </w:r>
    </w:p>
    <w:p w14:paraId="15912356" w14:textId="77777777" w:rsidR="008E3035" w:rsidRPr="00D36499" w:rsidRDefault="008E3035" w:rsidP="008E3035">
      <w:pPr>
        <w:pStyle w:val="BodyText"/>
        <w:spacing w:line="360" w:lineRule="auto"/>
        <w:ind w:firstLine="0"/>
        <w:contextualSpacing/>
        <w:mirrorIndents/>
        <w:rPr>
          <w:rFonts w:ascii="Times New Roman" w:hAnsi="Times New Roman" w:cs="Times New Roman"/>
          <w:sz w:val="10"/>
          <w:szCs w:val="10"/>
        </w:rPr>
      </w:pPr>
    </w:p>
    <w:p w14:paraId="7C0563D2" w14:textId="1CEBD965" w:rsidR="008E3035" w:rsidRPr="00F3339D" w:rsidRDefault="00461EDC" w:rsidP="008E3035">
      <w:pPr>
        <w:pStyle w:val="Heading1"/>
        <w:spacing w:line="360" w:lineRule="auto"/>
        <w:ind w:left="0" w:firstLine="0"/>
        <w:contextualSpacing/>
        <w:mirrorIndents/>
        <w:jc w:val="both"/>
        <w:rPr>
          <w:sz w:val="20"/>
          <w:szCs w:val="20"/>
        </w:rPr>
      </w:pPr>
      <w:r>
        <w:rPr>
          <w:sz w:val="20"/>
          <w:szCs w:val="20"/>
        </w:rPr>
        <w:t>5.6</w:t>
      </w:r>
      <w:r w:rsidR="00D36499">
        <w:rPr>
          <w:sz w:val="20"/>
          <w:szCs w:val="20"/>
        </w:rPr>
        <w:t xml:space="preserve"> </w:t>
      </w:r>
      <w:r w:rsidR="008E3035" w:rsidRPr="00F3339D">
        <w:rPr>
          <w:sz w:val="20"/>
          <w:szCs w:val="20"/>
        </w:rPr>
        <w:t>Functional</w:t>
      </w:r>
      <w:r w:rsidR="008E3035" w:rsidRPr="00F3339D">
        <w:rPr>
          <w:spacing w:val="-10"/>
          <w:sz w:val="20"/>
          <w:szCs w:val="20"/>
        </w:rPr>
        <w:t xml:space="preserve"> </w:t>
      </w:r>
      <w:r w:rsidR="008E3035" w:rsidRPr="00F3339D">
        <w:rPr>
          <w:sz w:val="20"/>
          <w:szCs w:val="20"/>
        </w:rPr>
        <w:t>Neurologic</w:t>
      </w:r>
      <w:r w:rsidR="008E3035" w:rsidRPr="00F3339D">
        <w:rPr>
          <w:spacing w:val="-7"/>
          <w:sz w:val="20"/>
          <w:szCs w:val="20"/>
        </w:rPr>
        <w:t xml:space="preserve"> </w:t>
      </w:r>
      <w:r w:rsidR="008E3035" w:rsidRPr="00F3339D">
        <w:rPr>
          <w:sz w:val="20"/>
          <w:szCs w:val="20"/>
        </w:rPr>
        <w:t>Disorders</w:t>
      </w:r>
      <w:r w:rsidR="008E3035" w:rsidRPr="00F3339D">
        <w:rPr>
          <w:spacing w:val="-7"/>
          <w:sz w:val="20"/>
          <w:szCs w:val="20"/>
        </w:rPr>
        <w:t xml:space="preserve"> </w:t>
      </w:r>
      <w:r w:rsidR="008E3035" w:rsidRPr="00F3339D">
        <w:rPr>
          <w:sz w:val="20"/>
          <w:szCs w:val="20"/>
        </w:rPr>
        <w:t>and</w:t>
      </w:r>
      <w:r w:rsidR="008E3035" w:rsidRPr="00F3339D">
        <w:rPr>
          <w:spacing w:val="-7"/>
          <w:sz w:val="20"/>
          <w:szCs w:val="20"/>
        </w:rPr>
        <w:t xml:space="preserve"> </w:t>
      </w:r>
      <w:r w:rsidR="008E3035" w:rsidRPr="00F3339D">
        <w:rPr>
          <w:sz w:val="20"/>
          <w:szCs w:val="20"/>
        </w:rPr>
        <w:t>Mood</w:t>
      </w:r>
      <w:r w:rsidR="008E3035" w:rsidRPr="00F3339D">
        <w:rPr>
          <w:spacing w:val="-7"/>
          <w:sz w:val="20"/>
          <w:szCs w:val="20"/>
        </w:rPr>
        <w:t xml:space="preserve"> </w:t>
      </w:r>
      <w:r w:rsidR="008E3035" w:rsidRPr="00F3339D">
        <w:rPr>
          <w:spacing w:val="-2"/>
          <w:sz w:val="20"/>
          <w:szCs w:val="20"/>
        </w:rPr>
        <w:t>Disorders</w:t>
      </w:r>
    </w:p>
    <w:p w14:paraId="75D3575D"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Functional</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neurologic</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disorders,</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pediatric</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bipolar</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disorder,</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severe</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anxiety</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disorders,</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trauma-related disorders, and developmental conditions may all present with behavioral changes, emotional dysregulation, and cognitive complaints. Comprehensive psychiatric assessment remains essential to avoid diagnostic error.</w:t>
      </w:r>
    </w:p>
    <w:p w14:paraId="47CB702A" w14:textId="04CD062B"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In practice, the absence of definitive biomarkers requires systematic evaluation of alternative explanations before attributing symptoms to PANDAS [44</w:t>
      </w:r>
      <w:r w:rsidR="00D36499">
        <w:rPr>
          <w:rFonts w:ascii="Times New Roman" w:hAnsi="Times New Roman" w:cs="Times New Roman"/>
          <w:sz w:val="20"/>
          <w:szCs w:val="20"/>
        </w:rPr>
        <w:t>-</w:t>
      </w:r>
      <w:r w:rsidRPr="00F3339D">
        <w:rPr>
          <w:rFonts w:ascii="Times New Roman" w:hAnsi="Times New Roman" w:cs="Times New Roman"/>
          <w:sz w:val="20"/>
          <w:szCs w:val="20"/>
        </w:rPr>
        <w:t>46].</w:t>
      </w:r>
    </w:p>
    <w:p w14:paraId="629ACBF4" w14:textId="77777777" w:rsidR="008E3035" w:rsidRPr="00D36499" w:rsidRDefault="008E3035" w:rsidP="008E3035">
      <w:pPr>
        <w:pStyle w:val="BodyText"/>
        <w:spacing w:line="360" w:lineRule="auto"/>
        <w:ind w:firstLine="0"/>
        <w:contextualSpacing/>
        <w:mirrorIndents/>
        <w:rPr>
          <w:rFonts w:ascii="Times New Roman" w:hAnsi="Times New Roman" w:cs="Times New Roman"/>
          <w:sz w:val="10"/>
          <w:szCs w:val="10"/>
        </w:rPr>
      </w:pPr>
    </w:p>
    <w:p w14:paraId="678F4188" w14:textId="54D17A33" w:rsidR="008E3035" w:rsidRPr="00D36499" w:rsidRDefault="00461EDC" w:rsidP="008E3035">
      <w:pPr>
        <w:pStyle w:val="Heading1"/>
        <w:spacing w:line="360" w:lineRule="auto"/>
        <w:ind w:left="0" w:firstLine="0"/>
        <w:contextualSpacing/>
        <w:mirrorIndents/>
        <w:jc w:val="both"/>
        <w:rPr>
          <w:color w:val="0070C0"/>
          <w:sz w:val="22"/>
          <w:szCs w:val="22"/>
        </w:rPr>
      </w:pPr>
      <w:r>
        <w:rPr>
          <w:color w:val="0070C0"/>
          <w:sz w:val="22"/>
          <w:szCs w:val="22"/>
        </w:rPr>
        <w:t>6</w:t>
      </w:r>
      <w:r w:rsidR="00D36499" w:rsidRPr="00D36499">
        <w:rPr>
          <w:color w:val="0070C0"/>
          <w:sz w:val="22"/>
          <w:szCs w:val="22"/>
        </w:rPr>
        <w:t xml:space="preserve">. </w:t>
      </w:r>
      <w:r w:rsidR="008E3035" w:rsidRPr="00D36499">
        <w:rPr>
          <w:color w:val="0070C0"/>
          <w:sz w:val="22"/>
          <w:szCs w:val="22"/>
        </w:rPr>
        <w:t>Therapeutic</w:t>
      </w:r>
      <w:r w:rsidR="008E3035" w:rsidRPr="00D36499">
        <w:rPr>
          <w:color w:val="0070C0"/>
          <w:spacing w:val="-11"/>
          <w:sz w:val="22"/>
          <w:szCs w:val="22"/>
        </w:rPr>
        <w:t xml:space="preserve"> </w:t>
      </w:r>
      <w:r w:rsidR="008E3035" w:rsidRPr="00D36499">
        <w:rPr>
          <w:color w:val="0070C0"/>
          <w:spacing w:val="-2"/>
          <w:sz w:val="22"/>
          <w:szCs w:val="22"/>
        </w:rPr>
        <w:t>Management</w:t>
      </w:r>
    </w:p>
    <w:p w14:paraId="76EBB459" w14:textId="45BF4A4C" w:rsidR="008E3035" w:rsidRPr="00F3339D" w:rsidRDefault="00461EDC" w:rsidP="008E3035">
      <w:pPr>
        <w:spacing w:after="0" w:line="360" w:lineRule="auto"/>
        <w:ind w:left="0" w:firstLine="0"/>
        <w:contextualSpacing/>
        <w:mirrorIndents/>
        <w:rPr>
          <w:b/>
        </w:rPr>
      </w:pPr>
      <w:r>
        <w:rPr>
          <w:b/>
        </w:rPr>
        <w:t>6</w:t>
      </w:r>
      <w:r w:rsidR="00D36499">
        <w:rPr>
          <w:b/>
        </w:rPr>
        <w:t xml:space="preserve">.1 </w:t>
      </w:r>
      <w:r w:rsidR="008E3035" w:rsidRPr="00F3339D">
        <w:rPr>
          <w:b/>
        </w:rPr>
        <w:t>General</w:t>
      </w:r>
      <w:r w:rsidR="008E3035" w:rsidRPr="00F3339D">
        <w:rPr>
          <w:b/>
          <w:spacing w:val="-7"/>
        </w:rPr>
        <w:t xml:space="preserve"> </w:t>
      </w:r>
      <w:r w:rsidR="008E3035" w:rsidRPr="00F3339D">
        <w:rPr>
          <w:b/>
          <w:spacing w:val="-2"/>
        </w:rPr>
        <w:t>Principles</w:t>
      </w:r>
    </w:p>
    <w:p w14:paraId="4B72B43D" w14:textId="17BA3CB0"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Management</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suspected</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PANDAS</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requires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a</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multidisciplinary</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approach</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that</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addresses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psychiatric symptoms, infectious considerations, family functioning, educational support, and potential immune dysregulation. Importantly, treatment should be individualized because disease severity, symptom patterns, and biologic mechanisms likely vary considerably among patients [44</w:t>
      </w:r>
      <w:r w:rsidR="00D36499">
        <w:rPr>
          <w:rFonts w:ascii="Times New Roman" w:hAnsi="Times New Roman" w:cs="Times New Roman"/>
          <w:sz w:val="20"/>
          <w:szCs w:val="20"/>
        </w:rPr>
        <w:t>-</w:t>
      </w:r>
      <w:r w:rsidRPr="00F3339D">
        <w:rPr>
          <w:rFonts w:ascii="Times New Roman" w:hAnsi="Times New Roman" w:cs="Times New Roman"/>
          <w:sz w:val="20"/>
          <w:szCs w:val="20"/>
        </w:rPr>
        <w:t>46].</w:t>
      </w:r>
    </w:p>
    <w:p w14:paraId="3C0611A3" w14:textId="77777777" w:rsidR="00D36499" w:rsidRDefault="00D36499" w:rsidP="008E3035">
      <w:pPr>
        <w:pStyle w:val="BodyText"/>
        <w:spacing w:line="360" w:lineRule="auto"/>
        <w:ind w:firstLine="0"/>
        <w:contextualSpacing/>
        <w:mirrorIndents/>
        <w:rPr>
          <w:rFonts w:ascii="Times New Roman" w:hAnsi="Times New Roman" w:cs="Times New Roman"/>
          <w:sz w:val="10"/>
          <w:szCs w:val="10"/>
        </w:rPr>
      </w:pPr>
    </w:p>
    <w:p w14:paraId="2144FDD9" w14:textId="77777777" w:rsidR="00F858BE" w:rsidRDefault="00F858BE" w:rsidP="008E3035">
      <w:pPr>
        <w:pStyle w:val="BodyText"/>
        <w:spacing w:line="360" w:lineRule="auto"/>
        <w:ind w:firstLine="0"/>
        <w:contextualSpacing/>
        <w:mirrorIndents/>
        <w:rPr>
          <w:rFonts w:ascii="Times New Roman" w:hAnsi="Times New Roman" w:cs="Times New Roman"/>
          <w:sz w:val="10"/>
          <w:szCs w:val="10"/>
        </w:rPr>
      </w:pPr>
    </w:p>
    <w:p w14:paraId="0608347D" w14:textId="77777777" w:rsidR="00F858BE" w:rsidRPr="00D36499" w:rsidRDefault="00F858BE" w:rsidP="008E3035">
      <w:pPr>
        <w:pStyle w:val="BodyText"/>
        <w:spacing w:line="360" w:lineRule="auto"/>
        <w:ind w:firstLine="0"/>
        <w:contextualSpacing/>
        <w:mirrorIndents/>
        <w:rPr>
          <w:rFonts w:ascii="Times New Roman" w:hAnsi="Times New Roman" w:cs="Times New Roman"/>
          <w:sz w:val="10"/>
          <w:szCs w:val="10"/>
        </w:rPr>
      </w:pPr>
    </w:p>
    <w:p w14:paraId="0A797662"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lastRenderedPageBreak/>
        <w:t>The</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current</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evidence</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base</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remains</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limited,</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no</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universally</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accepted</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treatment</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algorithm</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exists. Consequently, therapeutic decisions frequently involve balancing potential benefits against uncertainty regarding efficacy [12,40].</w:t>
      </w:r>
    </w:p>
    <w:p w14:paraId="4A62CF89" w14:textId="77777777" w:rsidR="00D36499" w:rsidRPr="00D36499" w:rsidRDefault="00D36499" w:rsidP="008E3035">
      <w:pPr>
        <w:pStyle w:val="BodyText"/>
        <w:spacing w:line="360" w:lineRule="auto"/>
        <w:ind w:firstLine="0"/>
        <w:contextualSpacing/>
        <w:mirrorIndents/>
        <w:rPr>
          <w:rFonts w:ascii="Times New Roman" w:hAnsi="Times New Roman" w:cs="Times New Roman"/>
          <w:sz w:val="10"/>
          <w:szCs w:val="10"/>
        </w:rPr>
      </w:pPr>
    </w:p>
    <w:p w14:paraId="59D94E77"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A 2021 systematic review of anti-inflammatory, antibacterial, and immunomodulatory treatments concluded that existing studies suggest possible benefit in selected patients but remain limited by small samples,</w:t>
      </w:r>
      <w:r w:rsidRPr="00F3339D">
        <w:rPr>
          <w:rFonts w:ascii="Times New Roman" w:hAnsi="Times New Roman" w:cs="Times New Roman"/>
          <w:spacing w:val="24"/>
          <w:sz w:val="20"/>
          <w:szCs w:val="20"/>
        </w:rPr>
        <w:t xml:space="preserve"> </w:t>
      </w:r>
      <w:r w:rsidRPr="00F3339D">
        <w:rPr>
          <w:rFonts w:ascii="Times New Roman" w:hAnsi="Times New Roman" w:cs="Times New Roman"/>
          <w:sz w:val="20"/>
          <w:szCs w:val="20"/>
        </w:rPr>
        <w:t>heterogeneity,</w:t>
      </w:r>
      <w:r w:rsidRPr="00F3339D">
        <w:rPr>
          <w:rFonts w:ascii="Times New Roman" w:hAnsi="Times New Roman" w:cs="Times New Roman"/>
          <w:spacing w:val="24"/>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24"/>
          <w:sz w:val="20"/>
          <w:szCs w:val="20"/>
        </w:rPr>
        <w:t xml:space="preserve"> </w:t>
      </w:r>
      <w:r w:rsidRPr="00F3339D">
        <w:rPr>
          <w:rFonts w:ascii="Times New Roman" w:hAnsi="Times New Roman" w:cs="Times New Roman"/>
          <w:sz w:val="20"/>
          <w:szCs w:val="20"/>
        </w:rPr>
        <w:t>risk</w:t>
      </w:r>
      <w:r w:rsidRPr="00F3339D">
        <w:rPr>
          <w:rFonts w:ascii="Times New Roman" w:hAnsi="Times New Roman" w:cs="Times New Roman"/>
          <w:spacing w:val="24"/>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24"/>
          <w:sz w:val="20"/>
          <w:szCs w:val="20"/>
        </w:rPr>
        <w:t xml:space="preserve"> </w:t>
      </w:r>
      <w:r w:rsidRPr="00F3339D">
        <w:rPr>
          <w:rFonts w:ascii="Times New Roman" w:hAnsi="Times New Roman" w:cs="Times New Roman"/>
          <w:sz w:val="20"/>
          <w:szCs w:val="20"/>
        </w:rPr>
        <w:t>bias.</w:t>
      </w:r>
      <w:r w:rsidRPr="00F3339D">
        <w:rPr>
          <w:rFonts w:ascii="Times New Roman" w:hAnsi="Times New Roman" w:cs="Times New Roman"/>
          <w:spacing w:val="24"/>
          <w:sz w:val="20"/>
          <w:szCs w:val="20"/>
        </w:rPr>
        <w:t xml:space="preserve"> </w:t>
      </w:r>
      <w:r w:rsidRPr="00F3339D">
        <w:rPr>
          <w:rFonts w:ascii="Times New Roman" w:hAnsi="Times New Roman" w:cs="Times New Roman"/>
          <w:sz w:val="20"/>
          <w:szCs w:val="20"/>
        </w:rPr>
        <w:t>This</w:t>
      </w:r>
      <w:r w:rsidRPr="00F3339D">
        <w:rPr>
          <w:rFonts w:ascii="Times New Roman" w:hAnsi="Times New Roman" w:cs="Times New Roman"/>
          <w:spacing w:val="24"/>
          <w:sz w:val="20"/>
          <w:szCs w:val="20"/>
        </w:rPr>
        <w:t xml:space="preserve"> </w:t>
      </w:r>
      <w:r w:rsidRPr="00F3339D">
        <w:rPr>
          <w:rFonts w:ascii="Times New Roman" w:hAnsi="Times New Roman" w:cs="Times New Roman"/>
          <w:sz w:val="20"/>
          <w:szCs w:val="20"/>
        </w:rPr>
        <w:t>conclusion</w:t>
      </w:r>
      <w:r w:rsidRPr="00F3339D">
        <w:rPr>
          <w:rFonts w:ascii="Times New Roman" w:hAnsi="Times New Roman" w:cs="Times New Roman"/>
          <w:spacing w:val="24"/>
          <w:sz w:val="20"/>
          <w:szCs w:val="20"/>
        </w:rPr>
        <w:t xml:space="preserve"> </w:t>
      </w:r>
      <w:r w:rsidRPr="00F3339D">
        <w:rPr>
          <w:rFonts w:ascii="Times New Roman" w:hAnsi="Times New Roman" w:cs="Times New Roman"/>
          <w:sz w:val="20"/>
          <w:szCs w:val="20"/>
        </w:rPr>
        <w:t>remains</w:t>
      </w:r>
      <w:r w:rsidRPr="00F3339D">
        <w:rPr>
          <w:rFonts w:ascii="Times New Roman" w:hAnsi="Times New Roman" w:cs="Times New Roman"/>
          <w:spacing w:val="24"/>
          <w:sz w:val="20"/>
          <w:szCs w:val="20"/>
        </w:rPr>
        <w:t xml:space="preserve"> </w:t>
      </w:r>
      <w:r w:rsidRPr="00F3339D">
        <w:rPr>
          <w:rFonts w:ascii="Times New Roman" w:hAnsi="Times New Roman" w:cs="Times New Roman"/>
          <w:sz w:val="20"/>
          <w:szCs w:val="20"/>
        </w:rPr>
        <w:t>important</w:t>
      </w:r>
      <w:r w:rsidRPr="00F3339D">
        <w:rPr>
          <w:rFonts w:ascii="Times New Roman" w:hAnsi="Times New Roman" w:cs="Times New Roman"/>
          <w:spacing w:val="24"/>
          <w:sz w:val="20"/>
          <w:szCs w:val="20"/>
        </w:rPr>
        <w:t xml:space="preserve"> </w:t>
      </w:r>
      <w:r w:rsidRPr="00F3339D">
        <w:rPr>
          <w:rFonts w:ascii="Times New Roman" w:hAnsi="Times New Roman" w:cs="Times New Roman"/>
          <w:sz w:val="20"/>
          <w:szCs w:val="20"/>
        </w:rPr>
        <w:t>for</w:t>
      </w:r>
      <w:r w:rsidRPr="00F3339D">
        <w:rPr>
          <w:rFonts w:ascii="Times New Roman" w:hAnsi="Times New Roman" w:cs="Times New Roman"/>
          <w:spacing w:val="24"/>
          <w:sz w:val="20"/>
          <w:szCs w:val="20"/>
        </w:rPr>
        <w:t xml:space="preserve"> </w:t>
      </w:r>
      <w:r w:rsidRPr="00F3339D">
        <w:rPr>
          <w:rFonts w:ascii="Times New Roman" w:hAnsi="Times New Roman" w:cs="Times New Roman"/>
          <w:sz w:val="20"/>
          <w:szCs w:val="20"/>
        </w:rPr>
        <w:t>interpretation</w:t>
      </w:r>
      <w:r w:rsidRPr="00F3339D">
        <w:rPr>
          <w:rFonts w:ascii="Times New Roman" w:hAnsi="Times New Roman" w:cs="Times New Roman"/>
          <w:spacing w:val="24"/>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24"/>
          <w:sz w:val="20"/>
          <w:szCs w:val="20"/>
        </w:rPr>
        <w:t xml:space="preserve"> </w:t>
      </w:r>
      <w:r w:rsidRPr="00F3339D">
        <w:rPr>
          <w:rFonts w:ascii="Times New Roman" w:hAnsi="Times New Roman" w:cs="Times New Roman"/>
          <w:sz w:val="20"/>
          <w:szCs w:val="20"/>
        </w:rPr>
        <w:t>later</w:t>
      </w:r>
      <w:r>
        <w:rPr>
          <w:rFonts w:ascii="Times New Roman" w:hAnsi="Times New Roman" w:cs="Times New Roman"/>
          <w:sz w:val="20"/>
          <w:szCs w:val="20"/>
        </w:rPr>
        <w:t xml:space="preserve"> </w:t>
      </w:r>
      <w:r w:rsidRPr="00F3339D">
        <w:rPr>
          <w:rFonts w:ascii="Times New Roman" w:hAnsi="Times New Roman" w:cs="Times New Roman"/>
          <w:sz w:val="20"/>
          <w:szCs w:val="20"/>
        </w:rPr>
        <w:t>open-label</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IVIG</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studies:</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promising</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improvements</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should</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be</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considered</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hypothesis-strengthening</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rather than definitive proof of efficacy until adequately powered randomized trials are completed [40].</w:t>
      </w:r>
    </w:p>
    <w:p w14:paraId="2A53C929" w14:textId="77777777" w:rsidR="00C21AF5" w:rsidRPr="00C21AF5" w:rsidRDefault="00C21AF5" w:rsidP="008E3035">
      <w:pPr>
        <w:pStyle w:val="BodyText"/>
        <w:spacing w:line="360" w:lineRule="auto"/>
        <w:ind w:firstLine="0"/>
        <w:contextualSpacing/>
        <w:mirrorIndents/>
        <w:rPr>
          <w:rFonts w:ascii="Times New Roman" w:hAnsi="Times New Roman" w:cs="Times New Roman"/>
          <w:sz w:val="10"/>
          <w:szCs w:val="10"/>
        </w:rPr>
      </w:pPr>
    </w:p>
    <w:p w14:paraId="00A41050"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Therapeutic evidence should also be interpreted according to treatment target. Antibiotics primarily address confirmed or suspected infection; CBT and SSRIs address obsessive-compulsive and anxiety symptoms regardless of etiology; and anti-inflammatory or immunomodulatory therapies attempt to modify presumed immune mechanisms. Conflating these targets can lead to overstated conclusions about efficacy or mechanism [44,45].</w:t>
      </w:r>
    </w:p>
    <w:p w14:paraId="311281D0" w14:textId="77777777" w:rsidR="008E3035" w:rsidRPr="00C21AF5" w:rsidRDefault="008E3035" w:rsidP="008E3035">
      <w:pPr>
        <w:pStyle w:val="BodyText"/>
        <w:spacing w:line="360" w:lineRule="auto"/>
        <w:ind w:firstLine="0"/>
        <w:contextualSpacing/>
        <w:mirrorIndents/>
        <w:rPr>
          <w:rFonts w:ascii="Times New Roman" w:hAnsi="Times New Roman" w:cs="Times New Roman"/>
          <w:sz w:val="10"/>
          <w:szCs w:val="10"/>
        </w:rPr>
      </w:pPr>
    </w:p>
    <w:p w14:paraId="2E0ADD9C" w14:textId="66A7DF87" w:rsidR="008E3035" w:rsidRPr="00F3339D" w:rsidRDefault="00461EDC" w:rsidP="008E3035">
      <w:pPr>
        <w:pStyle w:val="Heading1"/>
        <w:spacing w:line="360" w:lineRule="auto"/>
        <w:ind w:left="0" w:firstLine="0"/>
        <w:contextualSpacing/>
        <w:mirrorIndents/>
        <w:jc w:val="both"/>
        <w:rPr>
          <w:sz w:val="20"/>
          <w:szCs w:val="20"/>
        </w:rPr>
      </w:pPr>
      <w:r>
        <w:rPr>
          <w:sz w:val="20"/>
          <w:szCs w:val="20"/>
        </w:rPr>
        <w:t>6.2</w:t>
      </w:r>
      <w:r w:rsidR="00C21AF5">
        <w:rPr>
          <w:sz w:val="20"/>
          <w:szCs w:val="20"/>
        </w:rPr>
        <w:t xml:space="preserve"> </w:t>
      </w:r>
      <w:r w:rsidR="008E3035" w:rsidRPr="00F3339D">
        <w:rPr>
          <w:sz w:val="20"/>
          <w:szCs w:val="20"/>
        </w:rPr>
        <w:t>Antibiotic</w:t>
      </w:r>
      <w:r w:rsidR="008E3035" w:rsidRPr="00F3339D">
        <w:rPr>
          <w:spacing w:val="-10"/>
          <w:sz w:val="20"/>
          <w:szCs w:val="20"/>
        </w:rPr>
        <w:t xml:space="preserve"> </w:t>
      </w:r>
      <w:r w:rsidR="008E3035" w:rsidRPr="00F3339D">
        <w:rPr>
          <w:spacing w:val="-2"/>
          <w:sz w:val="20"/>
          <w:szCs w:val="20"/>
        </w:rPr>
        <w:t>Therapy</w:t>
      </w:r>
    </w:p>
    <w:p w14:paraId="71E46EDE"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Treatment of documented GAS infection remains standard, using antibiotics consistent with infectious disease guidelines [23,44].</w:t>
      </w:r>
    </w:p>
    <w:p w14:paraId="3F5168BB" w14:textId="77777777" w:rsidR="00C21AF5" w:rsidRPr="00C21AF5" w:rsidRDefault="00C21AF5" w:rsidP="008E3035">
      <w:pPr>
        <w:pStyle w:val="BodyText"/>
        <w:spacing w:line="360" w:lineRule="auto"/>
        <w:ind w:firstLine="0"/>
        <w:contextualSpacing/>
        <w:mirrorIndents/>
        <w:rPr>
          <w:rFonts w:ascii="Times New Roman" w:hAnsi="Times New Roman" w:cs="Times New Roman"/>
          <w:sz w:val="10"/>
          <w:szCs w:val="10"/>
        </w:rPr>
      </w:pPr>
    </w:p>
    <w:p w14:paraId="637E1DE4"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The rationale for antibiotic treatment extends beyond eradication of infection. If streptococcal exposure contributes directly to symptom exacerbation, prompt treatment might theoretically reduce immune stimulation and prevent disease progression. Several studies have reported symptomatic improvement following antimicrobial therapy, particularly among patients with documented recent infection [24,48,49].</w:t>
      </w:r>
    </w:p>
    <w:p w14:paraId="7154B9AB" w14:textId="77777777" w:rsidR="00C21AF5" w:rsidRPr="00C21AF5" w:rsidRDefault="00C21AF5" w:rsidP="008E3035">
      <w:pPr>
        <w:pStyle w:val="BodyText"/>
        <w:spacing w:line="360" w:lineRule="auto"/>
        <w:ind w:firstLine="0"/>
        <w:contextualSpacing/>
        <w:mirrorIndents/>
        <w:rPr>
          <w:rFonts w:ascii="Times New Roman" w:hAnsi="Times New Roman" w:cs="Times New Roman"/>
          <w:sz w:val="10"/>
          <w:szCs w:val="10"/>
        </w:rPr>
      </w:pPr>
    </w:p>
    <w:p w14:paraId="784D90F6" w14:textId="77777777" w:rsidR="008E3035" w:rsidRDefault="008E3035" w:rsidP="008E3035">
      <w:pPr>
        <w:pStyle w:val="BodyText"/>
        <w:spacing w:line="360" w:lineRule="auto"/>
        <w:ind w:firstLine="0"/>
        <w:contextualSpacing/>
        <w:mirrorIndents/>
        <w:rPr>
          <w:rFonts w:ascii="Times New Roman" w:hAnsi="Times New Roman" w:cs="Times New Roman"/>
          <w:spacing w:val="-2"/>
          <w:sz w:val="20"/>
          <w:szCs w:val="20"/>
        </w:rPr>
      </w:pPr>
      <w:r w:rsidRPr="00F3339D">
        <w:rPr>
          <w:rFonts w:ascii="Times New Roman" w:hAnsi="Times New Roman" w:cs="Times New Roman"/>
          <w:sz w:val="20"/>
          <w:szCs w:val="20"/>
        </w:rPr>
        <w:t>Randomized investigations have produced mixed findings. Pilot studies involving cefdinir and azithromycin demonstrated encouraging trends toward symptom improvement, although sample sizes were small and statistical power was limited. Consequently, while available data support treatment of active</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infection,</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evidence</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supporting</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antibiotics</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as</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primary</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neuropsychiatric</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therapy</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remains</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 xml:space="preserve">incomplete </w:t>
      </w:r>
      <w:r w:rsidRPr="00F3339D">
        <w:rPr>
          <w:rFonts w:ascii="Times New Roman" w:hAnsi="Times New Roman" w:cs="Times New Roman"/>
          <w:spacing w:val="-2"/>
          <w:sz w:val="20"/>
          <w:szCs w:val="20"/>
        </w:rPr>
        <w:t>[48,49].</w:t>
      </w:r>
    </w:p>
    <w:p w14:paraId="43F2D7C7" w14:textId="77777777" w:rsidR="00C21AF5" w:rsidRPr="00C21AF5" w:rsidRDefault="00C21AF5" w:rsidP="008E3035">
      <w:pPr>
        <w:pStyle w:val="BodyText"/>
        <w:spacing w:line="360" w:lineRule="auto"/>
        <w:ind w:firstLine="0"/>
        <w:contextualSpacing/>
        <w:mirrorIndents/>
        <w:rPr>
          <w:rFonts w:ascii="Times New Roman" w:hAnsi="Times New Roman" w:cs="Times New Roman"/>
          <w:sz w:val="10"/>
          <w:szCs w:val="10"/>
        </w:rPr>
      </w:pPr>
    </w:p>
    <w:p w14:paraId="52BF251A"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The antibiotic literature illustrates the broader causality problem in PANDAS research. Clinical improvement</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after</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antibiotics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may</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reflect</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eradication</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active</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GAS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infection,</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anti-inflammatory</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properties of</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some</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agents,</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natural</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symptom</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fluctuation,</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placebo</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effects,</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or</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concurrent</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psychiatric</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treatment.</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Trials that distinguish active infection, carrier state, and postinfectious immune activity are needed before antibiotics can be interpreted as disease-modifying neuropsychiatric therapy [21,23,24].</w:t>
      </w:r>
    </w:p>
    <w:p w14:paraId="09FF3A7A" w14:textId="77777777" w:rsidR="008E3035" w:rsidRPr="00C21AF5" w:rsidRDefault="008E3035" w:rsidP="008E3035">
      <w:pPr>
        <w:pStyle w:val="BodyText"/>
        <w:spacing w:line="360" w:lineRule="auto"/>
        <w:ind w:firstLine="0"/>
        <w:contextualSpacing/>
        <w:mirrorIndents/>
        <w:rPr>
          <w:rFonts w:ascii="Times New Roman" w:hAnsi="Times New Roman" w:cs="Times New Roman"/>
          <w:sz w:val="10"/>
          <w:szCs w:val="10"/>
        </w:rPr>
      </w:pPr>
    </w:p>
    <w:p w14:paraId="1F73209B" w14:textId="2D867957" w:rsidR="008E3035" w:rsidRPr="00F3339D" w:rsidRDefault="00461EDC" w:rsidP="008E3035">
      <w:pPr>
        <w:pStyle w:val="Heading1"/>
        <w:spacing w:line="360" w:lineRule="auto"/>
        <w:ind w:left="0" w:firstLine="0"/>
        <w:contextualSpacing/>
        <w:mirrorIndents/>
        <w:jc w:val="both"/>
        <w:rPr>
          <w:sz w:val="20"/>
          <w:szCs w:val="20"/>
        </w:rPr>
      </w:pPr>
      <w:r>
        <w:rPr>
          <w:sz w:val="20"/>
          <w:szCs w:val="20"/>
        </w:rPr>
        <w:t>6.3</w:t>
      </w:r>
      <w:r w:rsidR="00C21AF5">
        <w:rPr>
          <w:sz w:val="20"/>
          <w:szCs w:val="20"/>
        </w:rPr>
        <w:t xml:space="preserve"> </w:t>
      </w:r>
      <w:r w:rsidR="008E3035" w:rsidRPr="00F3339D">
        <w:rPr>
          <w:sz w:val="20"/>
          <w:szCs w:val="20"/>
        </w:rPr>
        <w:t>Prophylactic</w:t>
      </w:r>
      <w:r w:rsidR="008E3035" w:rsidRPr="00F3339D">
        <w:rPr>
          <w:spacing w:val="-12"/>
          <w:sz w:val="20"/>
          <w:szCs w:val="20"/>
        </w:rPr>
        <w:t xml:space="preserve"> </w:t>
      </w:r>
      <w:r w:rsidR="008E3035" w:rsidRPr="00F3339D">
        <w:rPr>
          <w:spacing w:val="-2"/>
          <w:sz w:val="20"/>
          <w:szCs w:val="20"/>
        </w:rPr>
        <w:t>Antibiotics</w:t>
      </w:r>
    </w:p>
    <w:p w14:paraId="1EB69C53"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Prophylactic</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antibiotics</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remain</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controversial.</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Some</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studies</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report</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fewer</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streptococcal</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infections</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and exacerbations, but concerns about resistance, adverse effects, and limited evidence have prevented broad adoption [23,40,50].</w:t>
      </w:r>
    </w:p>
    <w:p w14:paraId="39D101A1" w14:textId="77777777" w:rsidR="00C21AF5" w:rsidRPr="00C21AF5" w:rsidRDefault="00C21AF5" w:rsidP="008E3035">
      <w:pPr>
        <w:pStyle w:val="BodyText"/>
        <w:spacing w:line="360" w:lineRule="auto"/>
        <w:ind w:firstLine="0"/>
        <w:contextualSpacing/>
        <w:mirrorIndents/>
        <w:rPr>
          <w:rFonts w:ascii="Times New Roman" w:hAnsi="Times New Roman" w:cs="Times New Roman"/>
          <w:sz w:val="10"/>
          <w:szCs w:val="10"/>
        </w:rPr>
      </w:pPr>
    </w:p>
    <w:p w14:paraId="5E97D09A"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Current</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consensus</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recommendations</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generally</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reserve</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prophylactic</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strategies</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for</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carefully</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selected patients after multidisciplinary evaluation [44,45].</w:t>
      </w:r>
    </w:p>
    <w:p w14:paraId="06DA60AA" w14:textId="77777777" w:rsidR="008E3035" w:rsidRPr="00C21AF5" w:rsidRDefault="008E3035" w:rsidP="008E3035">
      <w:pPr>
        <w:pStyle w:val="BodyText"/>
        <w:spacing w:line="360" w:lineRule="auto"/>
        <w:ind w:firstLine="0"/>
        <w:contextualSpacing/>
        <w:mirrorIndents/>
        <w:rPr>
          <w:rFonts w:ascii="Times New Roman" w:hAnsi="Times New Roman" w:cs="Times New Roman"/>
          <w:sz w:val="10"/>
          <w:szCs w:val="10"/>
        </w:rPr>
      </w:pPr>
    </w:p>
    <w:p w14:paraId="140A2BC7" w14:textId="14B2DB9E" w:rsidR="008E3035" w:rsidRPr="00F3339D" w:rsidRDefault="00461EDC" w:rsidP="008E3035">
      <w:pPr>
        <w:pStyle w:val="Heading1"/>
        <w:spacing w:line="360" w:lineRule="auto"/>
        <w:ind w:left="0" w:firstLine="0"/>
        <w:contextualSpacing/>
        <w:mirrorIndents/>
        <w:jc w:val="both"/>
        <w:rPr>
          <w:sz w:val="20"/>
          <w:szCs w:val="20"/>
        </w:rPr>
      </w:pPr>
      <w:r>
        <w:rPr>
          <w:sz w:val="20"/>
          <w:szCs w:val="20"/>
        </w:rPr>
        <w:lastRenderedPageBreak/>
        <w:t>6.4</w:t>
      </w:r>
      <w:r w:rsidR="00C21AF5">
        <w:rPr>
          <w:sz w:val="20"/>
          <w:szCs w:val="20"/>
        </w:rPr>
        <w:t xml:space="preserve"> </w:t>
      </w:r>
      <w:r w:rsidR="008E3035" w:rsidRPr="00F3339D">
        <w:rPr>
          <w:sz w:val="20"/>
          <w:szCs w:val="20"/>
        </w:rPr>
        <w:t>Cognitive</w:t>
      </w:r>
      <w:r w:rsidR="008E3035" w:rsidRPr="00F3339D">
        <w:rPr>
          <w:spacing w:val="-8"/>
          <w:sz w:val="20"/>
          <w:szCs w:val="20"/>
        </w:rPr>
        <w:t xml:space="preserve"> </w:t>
      </w:r>
      <w:r w:rsidR="008E3035" w:rsidRPr="00F3339D">
        <w:rPr>
          <w:sz w:val="20"/>
          <w:szCs w:val="20"/>
        </w:rPr>
        <w:t>Behavioral</w:t>
      </w:r>
      <w:r w:rsidR="008E3035" w:rsidRPr="00F3339D">
        <w:rPr>
          <w:spacing w:val="-8"/>
          <w:sz w:val="20"/>
          <w:szCs w:val="20"/>
        </w:rPr>
        <w:t xml:space="preserve"> </w:t>
      </w:r>
      <w:r w:rsidR="008E3035" w:rsidRPr="00F3339D">
        <w:rPr>
          <w:sz w:val="20"/>
          <w:szCs w:val="20"/>
        </w:rPr>
        <w:t>Therapy</w:t>
      </w:r>
      <w:r w:rsidR="008E3035" w:rsidRPr="00F3339D">
        <w:rPr>
          <w:spacing w:val="-8"/>
          <w:sz w:val="20"/>
          <w:szCs w:val="20"/>
        </w:rPr>
        <w:t xml:space="preserve"> </w:t>
      </w:r>
      <w:r w:rsidR="008E3035" w:rsidRPr="00F3339D">
        <w:rPr>
          <w:sz w:val="20"/>
          <w:szCs w:val="20"/>
        </w:rPr>
        <w:t>and</w:t>
      </w:r>
      <w:r w:rsidR="008E3035" w:rsidRPr="00F3339D">
        <w:rPr>
          <w:spacing w:val="-8"/>
          <w:sz w:val="20"/>
          <w:szCs w:val="20"/>
        </w:rPr>
        <w:t xml:space="preserve"> </w:t>
      </w:r>
      <w:r w:rsidR="008E3035" w:rsidRPr="00F3339D">
        <w:rPr>
          <w:sz w:val="20"/>
          <w:szCs w:val="20"/>
        </w:rPr>
        <w:t>Psychiatric</w:t>
      </w:r>
      <w:r w:rsidR="008E3035" w:rsidRPr="00F3339D">
        <w:rPr>
          <w:spacing w:val="-8"/>
          <w:sz w:val="20"/>
          <w:szCs w:val="20"/>
        </w:rPr>
        <w:t xml:space="preserve"> </w:t>
      </w:r>
      <w:r w:rsidR="008E3035" w:rsidRPr="00F3339D">
        <w:rPr>
          <w:spacing w:val="-2"/>
          <w:sz w:val="20"/>
          <w:szCs w:val="20"/>
        </w:rPr>
        <w:t>Management</w:t>
      </w:r>
    </w:p>
    <w:p w14:paraId="653E1D80"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Regardless of etiology, obsessive-compulsive symptoms remain among the most disabling manifestations of PANDAS. Consequently, evidence-based psychiatric treatment remains essential.</w:t>
      </w:r>
    </w:p>
    <w:p w14:paraId="7951D015" w14:textId="77777777" w:rsidR="00C21AF5" w:rsidRPr="00C21AF5" w:rsidRDefault="00C21AF5" w:rsidP="008E3035">
      <w:pPr>
        <w:pStyle w:val="BodyText"/>
        <w:spacing w:line="360" w:lineRule="auto"/>
        <w:ind w:firstLine="0"/>
        <w:contextualSpacing/>
        <w:mirrorIndents/>
        <w:rPr>
          <w:rFonts w:ascii="Times New Roman" w:hAnsi="Times New Roman" w:cs="Times New Roman"/>
          <w:sz w:val="10"/>
          <w:szCs w:val="10"/>
        </w:rPr>
      </w:pPr>
    </w:p>
    <w:p w14:paraId="1AFE97C9"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Cognitive</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behavioral</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therapy</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(CBT),</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particularly</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exposure</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response</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prevention</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(ERP),</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remains a central psychiatric intervention for OCD symptoms in PANS/PANDAS management [51,52].</w:t>
      </w:r>
    </w:p>
    <w:p w14:paraId="29AB684A" w14:textId="77777777" w:rsidR="00C21AF5" w:rsidRPr="00C21AF5" w:rsidRDefault="00C21AF5" w:rsidP="008E3035">
      <w:pPr>
        <w:pStyle w:val="BodyText"/>
        <w:spacing w:line="360" w:lineRule="auto"/>
        <w:ind w:firstLine="0"/>
        <w:contextualSpacing/>
        <w:mirrorIndents/>
        <w:rPr>
          <w:rFonts w:ascii="Times New Roman" w:hAnsi="Times New Roman" w:cs="Times New Roman"/>
          <w:sz w:val="10"/>
          <w:szCs w:val="10"/>
        </w:rPr>
      </w:pPr>
    </w:p>
    <w:p w14:paraId="3411BD28"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Importantly, CBT addresses symptom expression regardless of underlying cause. Even if immune-mediated processes contribute to symptom development, patients may benefit from behavioral interventions targeting compulsive behaviors and maladaptive anxiety responses [44,51,52].</w:t>
      </w:r>
    </w:p>
    <w:p w14:paraId="572E788C" w14:textId="77777777" w:rsidR="00C21AF5" w:rsidRPr="00C21AF5" w:rsidRDefault="00C21AF5" w:rsidP="008E3035">
      <w:pPr>
        <w:pStyle w:val="BodyText"/>
        <w:spacing w:line="360" w:lineRule="auto"/>
        <w:ind w:firstLine="0"/>
        <w:contextualSpacing/>
        <w:mirrorIndents/>
        <w:rPr>
          <w:rFonts w:ascii="Times New Roman" w:hAnsi="Times New Roman" w:cs="Times New Roman"/>
          <w:sz w:val="10"/>
          <w:szCs w:val="10"/>
        </w:rPr>
      </w:pPr>
    </w:p>
    <w:p w14:paraId="279277C8"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Family</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involvement</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frequently</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enhances</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treatment</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effectiveness</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because</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caregivers</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often</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become inadvertently incorporated into obsessive-compulsive rituals. Psychoeducation and family-based interventions therefore play important supportive roles. [51,52]</w:t>
      </w:r>
    </w:p>
    <w:p w14:paraId="3909FBBD" w14:textId="77777777" w:rsidR="008E3035" w:rsidRPr="00C21AF5" w:rsidRDefault="008E3035" w:rsidP="008E3035">
      <w:pPr>
        <w:pStyle w:val="BodyText"/>
        <w:spacing w:line="360" w:lineRule="auto"/>
        <w:ind w:firstLine="0"/>
        <w:contextualSpacing/>
        <w:mirrorIndents/>
        <w:rPr>
          <w:rFonts w:ascii="Times New Roman" w:hAnsi="Times New Roman" w:cs="Times New Roman"/>
          <w:sz w:val="10"/>
          <w:szCs w:val="10"/>
        </w:rPr>
      </w:pPr>
    </w:p>
    <w:p w14:paraId="4F0B5175" w14:textId="6380E2E6" w:rsidR="008E3035" w:rsidRPr="00F3339D" w:rsidRDefault="00461EDC" w:rsidP="008E3035">
      <w:pPr>
        <w:pStyle w:val="Heading1"/>
        <w:spacing w:line="360" w:lineRule="auto"/>
        <w:ind w:left="0" w:firstLine="0"/>
        <w:contextualSpacing/>
        <w:mirrorIndents/>
        <w:jc w:val="both"/>
        <w:rPr>
          <w:sz w:val="20"/>
          <w:szCs w:val="20"/>
        </w:rPr>
      </w:pPr>
      <w:r>
        <w:rPr>
          <w:sz w:val="20"/>
          <w:szCs w:val="20"/>
        </w:rPr>
        <w:t>6.5</w:t>
      </w:r>
      <w:r w:rsidR="00C21AF5">
        <w:rPr>
          <w:sz w:val="20"/>
          <w:szCs w:val="20"/>
        </w:rPr>
        <w:t xml:space="preserve"> </w:t>
      </w:r>
      <w:r w:rsidR="008E3035" w:rsidRPr="00F3339D">
        <w:rPr>
          <w:sz w:val="20"/>
          <w:szCs w:val="20"/>
        </w:rPr>
        <w:t>Selective</w:t>
      </w:r>
      <w:r w:rsidR="008E3035" w:rsidRPr="00F3339D">
        <w:rPr>
          <w:spacing w:val="-9"/>
          <w:sz w:val="20"/>
          <w:szCs w:val="20"/>
        </w:rPr>
        <w:t xml:space="preserve"> </w:t>
      </w:r>
      <w:r w:rsidR="008E3035" w:rsidRPr="00F3339D">
        <w:rPr>
          <w:sz w:val="20"/>
          <w:szCs w:val="20"/>
        </w:rPr>
        <w:t>Serotonin</w:t>
      </w:r>
      <w:r w:rsidR="008E3035" w:rsidRPr="00F3339D">
        <w:rPr>
          <w:spacing w:val="-9"/>
          <w:sz w:val="20"/>
          <w:szCs w:val="20"/>
        </w:rPr>
        <w:t xml:space="preserve"> </w:t>
      </w:r>
      <w:r w:rsidR="008E3035" w:rsidRPr="00F3339D">
        <w:rPr>
          <w:sz w:val="20"/>
          <w:szCs w:val="20"/>
        </w:rPr>
        <w:t>Reuptake</w:t>
      </w:r>
      <w:r w:rsidR="008E3035" w:rsidRPr="00F3339D">
        <w:rPr>
          <w:spacing w:val="-8"/>
          <w:sz w:val="20"/>
          <w:szCs w:val="20"/>
        </w:rPr>
        <w:t xml:space="preserve"> </w:t>
      </w:r>
      <w:r w:rsidR="008E3035" w:rsidRPr="00F3339D">
        <w:rPr>
          <w:spacing w:val="-2"/>
          <w:sz w:val="20"/>
          <w:szCs w:val="20"/>
        </w:rPr>
        <w:t>Inhibitors</w:t>
      </w:r>
    </w:p>
    <w:p w14:paraId="53F17706" w14:textId="41D3187E" w:rsidR="008E3035" w:rsidRDefault="008E3035" w:rsidP="008E3035">
      <w:pPr>
        <w:pStyle w:val="BodyText"/>
        <w:spacing w:line="360" w:lineRule="auto"/>
        <w:ind w:firstLine="0"/>
        <w:contextualSpacing/>
        <w:mirrorIndents/>
        <w:rPr>
          <w:rFonts w:ascii="Times New Roman" w:hAnsi="Times New Roman" w:cs="Times New Roman"/>
          <w:spacing w:val="-2"/>
          <w:sz w:val="20"/>
          <w:szCs w:val="20"/>
        </w:rPr>
      </w:pPr>
      <w:r w:rsidRPr="00F3339D">
        <w:rPr>
          <w:rFonts w:ascii="Times New Roman" w:hAnsi="Times New Roman" w:cs="Times New Roman"/>
          <w:sz w:val="20"/>
          <w:szCs w:val="20"/>
        </w:rPr>
        <w:t>Selective</w:t>
      </w:r>
      <w:r w:rsidRPr="00F3339D">
        <w:rPr>
          <w:rFonts w:ascii="Times New Roman" w:hAnsi="Times New Roman" w:cs="Times New Roman"/>
          <w:spacing w:val="40"/>
          <w:sz w:val="20"/>
          <w:szCs w:val="20"/>
        </w:rPr>
        <w:t xml:space="preserve"> </w:t>
      </w:r>
      <w:r w:rsidRPr="00F3339D">
        <w:rPr>
          <w:rFonts w:ascii="Times New Roman" w:hAnsi="Times New Roman" w:cs="Times New Roman"/>
          <w:sz w:val="20"/>
          <w:szCs w:val="20"/>
        </w:rPr>
        <w:t>serotonin</w:t>
      </w:r>
      <w:r w:rsidRPr="00F3339D">
        <w:rPr>
          <w:rFonts w:ascii="Times New Roman" w:hAnsi="Times New Roman" w:cs="Times New Roman"/>
          <w:spacing w:val="40"/>
          <w:sz w:val="20"/>
          <w:szCs w:val="20"/>
        </w:rPr>
        <w:t xml:space="preserve"> </w:t>
      </w:r>
      <w:r w:rsidRPr="00F3339D">
        <w:rPr>
          <w:rFonts w:ascii="Times New Roman" w:hAnsi="Times New Roman" w:cs="Times New Roman"/>
          <w:sz w:val="20"/>
          <w:szCs w:val="20"/>
        </w:rPr>
        <w:t>reuptake</w:t>
      </w:r>
      <w:r w:rsidRPr="00F3339D">
        <w:rPr>
          <w:rFonts w:ascii="Times New Roman" w:hAnsi="Times New Roman" w:cs="Times New Roman"/>
          <w:spacing w:val="40"/>
          <w:sz w:val="20"/>
          <w:szCs w:val="20"/>
        </w:rPr>
        <w:t xml:space="preserve"> </w:t>
      </w:r>
      <w:r w:rsidRPr="00F3339D">
        <w:rPr>
          <w:rFonts w:ascii="Times New Roman" w:hAnsi="Times New Roman" w:cs="Times New Roman"/>
          <w:sz w:val="20"/>
          <w:szCs w:val="20"/>
        </w:rPr>
        <w:t>inhibitors</w:t>
      </w:r>
      <w:r w:rsidRPr="00F3339D">
        <w:rPr>
          <w:rFonts w:ascii="Times New Roman" w:hAnsi="Times New Roman" w:cs="Times New Roman"/>
          <w:spacing w:val="40"/>
          <w:sz w:val="20"/>
          <w:szCs w:val="20"/>
        </w:rPr>
        <w:t xml:space="preserve"> </w:t>
      </w:r>
      <w:r w:rsidRPr="00F3339D">
        <w:rPr>
          <w:rFonts w:ascii="Times New Roman" w:hAnsi="Times New Roman" w:cs="Times New Roman"/>
          <w:sz w:val="20"/>
          <w:szCs w:val="20"/>
        </w:rPr>
        <w:t>(SSRIs)</w:t>
      </w:r>
      <w:r w:rsidRPr="00F3339D">
        <w:rPr>
          <w:rFonts w:ascii="Times New Roman" w:hAnsi="Times New Roman" w:cs="Times New Roman"/>
          <w:spacing w:val="40"/>
          <w:sz w:val="20"/>
          <w:szCs w:val="20"/>
        </w:rPr>
        <w:t xml:space="preserve"> </w:t>
      </w:r>
      <w:r w:rsidRPr="00F3339D">
        <w:rPr>
          <w:rFonts w:ascii="Times New Roman" w:hAnsi="Times New Roman" w:cs="Times New Roman"/>
          <w:sz w:val="20"/>
          <w:szCs w:val="20"/>
        </w:rPr>
        <w:t>remain</w:t>
      </w:r>
      <w:r w:rsidRPr="00F3339D">
        <w:rPr>
          <w:rFonts w:ascii="Times New Roman" w:hAnsi="Times New Roman" w:cs="Times New Roman"/>
          <w:spacing w:val="40"/>
          <w:sz w:val="20"/>
          <w:szCs w:val="20"/>
        </w:rPr>
        <w:t xml:space="preserve"> </w:t>
      </w:r>
      <w:r w:rsidRPr="00F3339D">
        <w:rPr>
          <w:rFonts w:ascii="Times New Roman" w:hAnsi="Times New Roman" w:cs="Times New Roman"/>
          <w:sz w:val="20"/>
          <w:szCs w:val="20"/>
        </w:rPr>
        <w:t>standard</w:t>
      </w:r>
      <w:r w:rsidRPr="00F3339D">
        <w:rPr>
          <w:rFonts w:ascii="Times New Roman" w:hAnsi="Times New Roman" w:cs="Times New Roman"/>
          <w:spacing w:val="40"/>
          <w:sz w:val="20"/>
          <w:szCs w:val="20"/>
        </w:rPr>
        <w:t xml:space="preserve"> </w:t>
      </w:r>
      <w:r w:rsidRPr="00F3339D">
        <w:rPr>
          <w:rFonts w:ascii="Times New Roman" w:hAnsi="Times New Roman" w:cs="Times New Roman"/>
          <w:sz w:val="20"/>
          <w:szCs w:val="20"/>
        </w:rPr>
        <w:t>pharmacologic</w:t>
      </w:r>
      <w:r w:rsidRPr="00F3339D">
        <w:rPr>
          <w:rFonts w:ascii="Times New Roman" w:hAnsi="Times New Roman" w:cs="Times New Roman"/>
          <w:spacing w:val="40"/>
          <w:sz w:val="20"/>
          <w:szCs w:val="20"/>
        </w:rPr>
        <w:t xml:space="preserve"> </w:t>
      </w:r>
      <w:r w:rsidRPr="00F3339D">
        <w:rPr>
          <w:rFonts w:ascii="Times New Roman" w:hAnsi="Times New Roman" w:cs="Times New Roman"/>
          <w:sz w:val="20"/>
          <w:szCs w:val="20"/>
        </w:rPr>
        <w:t>treatment</w:t>
      </w:r>
      <w:r w:rsidRPr="00F3339D">
        <w:rPr>
          <w:rFonts w:ascii="Times New Roman" w:hAnsi="Times New Roman" w:cs="Times New Roman"/>
          <w:spacing w:val="40"/>
          <w:sz w:val="20"/>
          <w:szCs w:val="20"/>
        </w:rPr>
        <w:t xml:space="preserve"> </w:t>
      </w:r>
      <w:r w:rsidRPr="00F3339D">
        <w:rPr>
          <w:rFonts w:ascii="Times New Roman" w:hAnsi="Times New Roman" w:cs="Times New Roman"/>
          <w:sz w:val="20"/>
          <w:szCs w:val="20"/>
        </w:rPr>
        <w:t>for</w:t>
      </w:r>
      <w:r w:rsidRPr="00F3339D">
        <w:rPr>
          <w:rFonts w:ascii="Times New Roman" w:hAnsi="Times New Roman" w:cs="Times New Roman"/>
          <w:spacing w:val="40"/>
          <w:sz w:val="20"/>
          <w:szCs w:val="20"/>
        </w:rPr>
        <w:t xml:space="preserve"> </w:t>
      </w:r>
      <w:r w:rsidRPr="00F3339D">
        <w:rPr>
          <w:rFonts w:ascii="Times New Roman" w:hAnsi="Times New Roman" w:cs="Times New Roman"/>
          <w:sz w:val="20"/>
          <w:szCs w:val="20"/>
        </w:rPr>
        <w:t>pediatric</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OCD</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symptoms,</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including</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when</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such</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symptoms</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occur</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in</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PANS/PANDAS</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populations</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[15,51]. However, several investigators have suggested that children with PANDAS may exhibit increased sensitivity</w:t>
      </w:r>
      <w:r w:rsidRPr="00F3339D">
        <w:rPr>
          <w:rFonts w:ascii="Times New Roman" w:hAnsi="Times New Roman" w:cs="Times New Roman"/>
          <w:spacing w:val="31"/>
          <w:sz w:val="20"/>
          <w:szCs w:val="20"/>
        </w:rPr>
        <w:t xml:space="preserve"> </w:t>
      </w:r>
      <w:r w:rsidRPr="00F3339D">
        <w:rPr>
          <w:rFonts w:ascii="Times New Roman" w:hAnsi="Times New Roman" w:cs="Times New Roman"/>
          <w:sz w:val="20"/>
          <w:szCs w:val="20"/>
        </w:rPr>
        <w:t>to</w:t>
      </w:r>
      <w:r w:rsidRPr="00F3339D">
        <w:rPr>
          <w:rFonts w:ascii="Times New Roman" w:hAnsi="Times New Roman" w:cs="Times New Roman"/>
          <w:spacing w:val="31"/>
          <w:sz w:val="20"/>
          <w:szCs w:val="20"/>
        </w:rPr>
        <w:t xml:space="preserve"> </w:t>
      </w:r>
      <w:r w:rsidRPr="00F3339D">
        <w:rPr>
          <w:rFonts w:ascii="Times New Roman" w:hAnsi="Times New Roman" w:cs="Times New Roman"/>
          <w:sz w:val="20"/>
          <w:szCs w:val="20"/>
        </w:rPr>
        <w:t>psychotropic</w:t>
      </w:r>
      <w:r w:rsidRPr="00F3339D">
        <w:rPr>
          <w:rFonts w:ascii="Times New Roman" w:hAnsi="Times New Roman" w:cs="Times New Roman"/>
          <w:spacing w:val="31"/>
          <w:sz w:val="20"/>
          <w:szCs w:val="20"/>
        </w:rPr>
        <w:t xml:space="preserve"> </w:t>
      </w:r>
      <w:r w:rsidRPr="00F3339D">
        <w:rPr>
          <w:rFonts w:ascii="Times New Roman" w:hAnsi="Times New Roman" w:cs="Times New Roman"/>
          <w:sz w:val="20"/>
          <w:szCs w:val="20"/>
        </w:rPr>
        <w:t>medications.</w:t>
      </w:r>
      <w:r w:rsidRPr="00F3339D">
        <w:rPr>
          <w:rFonts w:ascii="Times New Roman" w:hAnsi="Times New Roman" w:cs="Times New Roman"/>
          <w:spacing w:val="31"/>
          <w:sz w:val="20"/>
          <w:szCs w:val="20"/>
        </w:rPr>
        <w:t xml:space="preserve"> </w:t>
      </w:r>
      <w:r w:rsidRPr="00F3339D">
        <w:rPr>
          <w:rFonts w:ascii="Times New Roman" w:hAnsi="Times New Roman" w:cs="Times New Roman"/>
          <w:sz w:val="20"/>
          <w:szCs w:val="20"/>
        </w:rPr>
        <w:t>Reports</w:t>
      </w:r>
      <w:r w:rsidRPr="00F3339D">
        <w:rPr>
          <w:rFonts w:ascii="Times New Roman" w:hAnsi="Times New Roman" w:cs="Times New Roman"/>
          <w:spacing w:val="31"/>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31"/>
          <w:sz w:val="20"/>
          <w:szCs w:val="20"/>
        </w:rPr>
        <w:t xml:space="preserve"> </w:t>
      </w:r>
      <w:r w:rsidRPr="00F3339D">
        <w:rPr>
          <w:rFonts w:ascii="Times New Roman" w:hAnsi="Times New Roman" w:cs="Times New Roman"/>
          <w:sz w:val="20"/>
          <w:szCs w:val="20"/>
        </w:rPr>
        <w:t>behavioral</w:t>
      </w:r>
      <w:r w:rsidRPr="00F3339D">
        <w:rPr>
          <w:rFonts w:ascii="Times New Roman" w:hAnsi="Times New Roman" w:cs="Times New Roman"/>
          <w:spacing w:val="31"/>
          <w:sz w:val="20"/>
          <w:szCs w:val="20"/>
        </w:rPr>
        <w:t xml:space="preserve"> </w:t>
      </w:r>
      <w:r w:rsidRPr="00F3339D">
        <w:rPr>
          <w:rFonts w:ascii="Times New Roman" w:hAnsi="Times New Roman" w:cs="Times New Roman"/>
          <w:sz w:val="20"/>
          <w:szCs w:val="20"/>
        </w:rPr>
        <w:t>activation,</w:t>
      </w:r>
      <w:r w:rsidRPr="00F3339D">
        <w:rPr>
          <w:rFonts w:ascii="Times New Roman" w:hAnsi="Times New Roman" w:cs="Times New Roman"/>
          <w:spacing w:val="31"/>
          <w:sz w:val="20"/>
          <w:szCs w:val="20"/>
        </w:rPr>
        <w:t xml:space="preserve"> </w:t>
      </w:r>
      <w:r w:rsidRPr="00F3339D">
        <w:rPr>
          <w:rFonts w:ascii="Times New Roman" w:hAnsi="Times New Roman" w:cs="Times New Roman"/>
          <w:sz w:val="20"/>
          <w:szCs w:val="20"/>
        </w:rPr>
        <w:t>irritability,</w:t>
      </w:r>
      <w:r w:rsidRPr="00F3339D">
        <w:rPr>
          <w:rFonts w:ascii="Times New Roman" w:hAnsi="Times New Roman" w:cs="Times New Roman"/>
          <w:spacing w:val="31"/>
          <w:sz w:val="20"/>
          <w:szCs w:val="20"/>
        </w:rPr>
        <w:t xml:space="preserve"> </w:t>
      </w:r>
      <w:r w:rsidRPr="00F3339D">
        <w:rPr>
          <w:rFonts w:ascii="Times New Roman" w:hAnsi="Times New Roman" w:cs="Times New Roman"/>
          <w:sz w:val="20"/>
          <w:szCs w:val="20"/>
        </w:rPr>
        <w:t>emotional</w:t>
      </w:r>
      <w:r w:rsidRPr="00F3339D">
        <w:rPr>
          <w:rFonts w:ascii="Times New Roman" w:hAnsi="Times New Roman" w:cs="Times New Roman"/>
          <w:spacing w:val="31"/>
          <w:sz w:val="20"/>
          <w:szCs w:val="20"/>
        </w:rPr>
        <w:t xml:space="preserve"> </w:t>
      </w:r>
      <w:r w:rsidRPr="00F3339D">
        <w:rPr>
          <w:rFonts w:ascii="Times New Roman" w:hAnsi="Times New Roman" w:cs="Times New Roman"/>
          <w:sz w:val="20"/>
          <w:szCs w:val="20"/>
        </w:rPr>
        <w:t>lability, agitation,</w:t>
      </w:r>
      <w:r w:rsidRPr="00F3339D">
        <w:rPr>
          <w:rFonts w:ascii="Times New Roman" w:hAnsi="Times New Roman" w:cs="Times New Roman"/>
          <w:spacing w:val="35"/>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35"/>
          <w:sz w:val="20"/>
          <w:szCs w:val="20"/>
        </w:rPr>
        <w:t xml:space="preserve"> </w:t>
      </w:r>
      <w:r w:rsidRPr="00F3339D">
        <w:rPr>
          <w:rFonts w:ascii="Times New Roman" w:hAnsi="Times New Roman" w:cs="Times New Roman"/>
          <w:sz w:val="20"/>
          <w:szCs w:val="20"/>
        </w:rPr>
        <w:t>worsening</w:t>
      </w:r>
      <w:r w:rsidRPr="00F3339D">
        <w:rPr>
          <w:rFonts w:ascii="Times New Roman" w:hAnsi="Times New Roman" w:cs="Times New Roman"/>
          <w:spacing w:val="35"/>
          <w:sz w:val="20"/>
          <w:szCs w:val="20"/>
        </w:rPr>
        <w:t xml:space="preserve"> </w:t>
      </w:r>
      <w:r w:rsidRPr="00F3339D">
        <w:rPr>
          <w:rFonts w:ascii="Times New Roman" w:hAnsi="Times New Roman" w:cs="Times New Roman"/>
          <w:sz w:val="20"/>
          <w:szCs w:val="20"/>
        </w:rPr>
        <w:t>symptoms</w:t>
      </w:r>
      <w:r w:rsidRPr="00F3339D">
        <w:rPr>
          <w:rFonts w:ascii="Times New Roman" w:hAnsi="Times New Roman" w:cs="Times New Roman"/>
          <w:spacing w:val="35"/>
          <w:sz w:val="20"/>
          <w:szCs w:val="20"/>
        </w:rPr>
        <w:t xml:space="preserve"> </w:t>
      </w:r>
      <w:r w:rsidRPr="00F3339D">
        <w:rPr>
          <w:rFonts w:ascii="Times New Roman" w:hAnsi="Times New Roman" w:cs="Times New Roman"/>
          <w:sz w:val="20"/>
          <w:szCs w:val="20"/>
        </w:rPr>
        <w:t>have</w:t>
      </w:r>
      <w:r w:rsidRPr="00F3339D">
        <w:rPr>
          <w:rFonts w:ascii="Times New Roman" w:hAnsi="Times New Roman" w:cs="Times New Roman"/>
          <w:spacing w:val="35"/>
          <w:sz w:val="20"/>
          <w:szCs w:val="20"/>
        </w:rPr>
        <w:t xml:space="preserve"> </w:t>
      </w:r>
      <w:r w:rsidRPr="00F3339D">
        <w:rPr>
          <w:rFonts w:ascii="Times New Roman" w:hAnsi="Times New Roman" w:cs="Times New Roman"/>
          <w:sz w:val="20"/>
          <w:szCs w:val="20"/>
        </w:rPr>
        <w:t>prompted</w:t>
      </w:r>
      <w:r w:rsidRPr="00F3339D">
        <w:rPr>
          <w:rFonts w:ascii="Times New Roman" w:hAnsi="Times New Roman" w:cs="Times New Roman"/>
          <w:spacing w:val="35"/>
          <w:sz w:val="20"/>
          <w:szCs w:val="20"/>
        </w:rPr>
        <w:t xml:space="preserve"> </w:t>
      </w:r>
      <w:r w:rsidRPr="00F3339D">
        <w:rPr>
          <w:rFonts w:ascii="Times New Roman" w:hAnsi="Times New Roman" w:cs="Times New Roman"/>
          <w:sz w:val="20"/>
          <w:szCs w:val="20"/>
        </w:rPr>
        <w:t>recommendations</w:t>
      </w:r>
      <w:r w:rsidRPr="00F3339D">
        <w:rPr>
          <w:rFonts w:ascii="Times New Roman" w:hAnsi="Times New Roman" w:cs="Times New Roman"/>
          <w:spacing w:val="35"/>
          <w:sz w:val="20"/>
          <w:szCs w:val="20"/>
        </w:rPr>
        <w:t xml:space="preserve"> </w:t>
      </w:r>
      <w:r w:rsidRPr="00F3339D">
        <w:rPr>
          <w:rFonts w:ascii="Times New Roman" w:hAnsi="Times New Roman" w:cs="Times New Roman"/>
          <w:sz w:val="20"/>
          <w:szCs w:val="20"/>
        </w:rPr>
        <w:t>favoring</w:t>
      </w:r>
      <w:r w:rsidRPr="00F3339D">
        <w:rPr>
          <w:rFonts w:ascii="Times New Roman" w:hAnsi="Times New Roman" w:cs="Times New Roman"/>
          <w:spacing w:val="35"/>
          <w:sz w:val="20"/>
          <w:szCs w:val="20"/>
        </w:rPr>
        <w:t xml:space="preserve"> </w:t>
      </w:r>
      <w:r w:rsidRPr="00F3339D">
        <w:rPr>
          <w:rFonts w:ascii="Times New Roman" w:hAnsi="Times New Roman" w:cs="Times New Roman"/>
          <w:sz w:val="20"/>
          <w:szCs w:val="20"/>
        </w:rPr>
        <w:t>cautious</w:t>
      </w:r>
      <w:r w:rsidRPr="00F3339D">
        <w:rPr>
          <w:rFonts w:ascii="Times New Roman" w:hAnsi="Times New Roman" w:cs="Times New Roman"/>
          <w:spacing w:val="35"/>
          <w:sz w:val="20"/>
          <w:szCs w:val="20"/>
        </w:rPr>
        <w:t xml:space="preserve"> </w:t>
      </w:r>
      <w:r w:rsidRPr="00F3339D">
        <w:rPr>
          <w:rFonts w:ascii="Times New Roman" w:hAnsi="Times New Roman" w:cs="Times New Roman"/>
          <w:sz w:val="20"/>
          <w:szCs w:val="20"/>
        </w:rPr>
        <w:t>dosing</w:t>
      </w:r>
      <w:r w:rsidRPr="00F3339D">
        <w:rPr>
          <w:rFonts w:ascii="Times New Roman" w:hAnsi="Times New Roman" w:cs="Times New Roman"/>
          <w:spacing w:val="35"/>
          <w:sz w:val="20"/>
          <w:szCs w:val="20"/>
        </w:rPr>
        <w:t xml:space="preserve"> </w:t>
      </w:r>
      <w:r w:rsidRPr="00F3339D">
        <w:rPr>
          <w:rFonts w:ascii="Times New Roman" w:hAnsi="Times New Roman" w:cs="Times New Roman"/>
          <w:spacing w:val="-5"/>
          <w:sz w:val="20"/>
          <w:szCs w:val="20"/>
        </w:rPr>
        <w:t>and</w:t>
      </w:r>
      <w:r w:rsidR="00C21AF5">
        <w:rPr>
          <w:rFonts w:ascii="Times New Roman" w:hAnsi="Times New Roman" w:cs="Times New Roman"/>
          <w:spacing w:val="-5"/>
          <w:sz w:val="20"/>
          <w:szCs w:val="20"/>
        </w:rPr>
        <w:t xml:space="preserve"> </w:t>
      </w:r>
      <w:r w:rsidRPr="00F3339D">
        <w:rPr>
          <w:rFonts w:ascii="Times New Roman" w:hAnsi="Times New Roman" w:cs="Times New Roman"/>
          <w:sz w:val="20"/>
          <w:szCs w:val="20"/>
        </w:rPr>
        <w:t>gradual</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titration</w:t>
      </w:r>
      <w:r w:rsidRPr="00F3339D">
        <w:rPr>
          <w:rFonts w:ascii="Times New Roman" w:hAnsi="Times New Roman" w:cs="Times New Roman"/>
          <w:spacing w:val="-8"/>
          <w:sz w:val="20"/>
          <w:szCs w:val="20"/>
        </w:rPr>
        <w:t xml:space="preserve"> </w:t>
      </w:r>
      <w:r w:rsidRPr="00F3339D">
        <w:rPr>
          <w:rFonts w:ascii="Times New Roman" w:hAnsi="Times New Roman" w:cs="Times New Roman"/>
          <w:spacing w:val="-2"/>
          <w:sz w:val="20"/>
          <w:szCs w:val="20"/>
        </w:rPr>
        <w:t>[51,53].</w:t>
      </w:r>
    </w:p>
    <w:p w14:paraId="1D24E5B7" w14:textId="77777777" w:rsidR="00C21AF5" w:rsidRPr="00C21AF5" w:rsidRDefault="00C21AF5" w:rsidP="008E3035">
      <w:pPr>
        <w:pStyle w:val="BodyText"/>
        <w:spacing w:line="360" w:lineRule="auto"/>
        <w:ind w:firstLine="0"/>
        <w:contextualSpacing/>
        <w:mirrorIndents/>
        <w:rPr>
          <w:rFonts w:ascii="Times New Roman" w:hAnsi="Times New Roman" w:cs="Times New Roman"/>
          <w:sz w:val="10"/>
          <w:szCs w:val="10"/>
        </w:rPr>
      </w:pPr>
    </w:p>
    <w:p w14:paraId="717009EE"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Despite</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these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concerns,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SSRIs</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remain</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an</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important</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component</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treatment</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for</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many</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patients.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Their use should not be delayed solely because symptoms are suspected to have an immune-mediated component [44,46].</w:t>
      </w:r>
    </w:p>
    <w:p w14:paraId="69AF1E6C" w14:textId="77777777" w:rsidR="00C21AF5" w:rsidRPr="00C21AF5" w:rsidRDefault="00C21AF5" w:rsidP="008E3035">
      <w:pPr>
        <w:pStyle w:val="BodyText"/>
        <w:spacing w:line="360" w:lineRule="auto"/>
        <w:ind w:firstLine="0"/>
        <w:contextualSpacing/>
        <w:mirrorIndents/>
        <w:rPr>
          <w:rFonts w:ascii="Times New Roman" w:hAnsi="Times New Roman" w:cs="Times New Roman"/>
          <w:sz w:val="10"/>
          <w:szCs w:val="10"/>
        </w:rPr>
      </w:pPr>
    </w:p>
    <w:p w14:paraId="7239D523"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From a clinical standpoint, psychiatric and immunologic approaches should be viewed as complementary rather than mutually exclusive. Even when immune activation contributes to symptom onset, entrenched compulsive behaviors, avoidance patterns, family accommodation, and school disruption often require evidence-based psychiatric and behavioral intervention. This integrated model may reduce false dichotomies between medical and psychiatric care.</w:t>
      </w:r>
    </w:p>
    <w:p w14:paraId="2FB28C4A" w14:textId="77777777" w:rsidR="008E3035" w:rsidRPr="00C21AF5" w:rsidRDefault="008E3035" w:rsidP="008E3035">
      <w:pPr>
        <w:pStyle w:val="BodyText"/>
        <w:spacing w:line="360" w:lineRule="auto"/>
        <w:ind w:firstLine="0"/>
        <w:contextualSpacing/>
        <w:mirrorIndents/>
        <w:rPr>
          <w:rFonts w:ascii="Times New Roman" w:hAnsi="Times New Roman" w:cs="Times New Roman"/>
          <w:sz w:val="10"/>
          <w:szCs w:val="10"/>
        </w:rPr>
      </w:pPr>
    </w:p>
    <w:p w14:paraId="6FBCAE00" w14:textId="474EAFC8" w:rsidR="008E3035" w:rsidRPr="00F3339D" w:rsidRDefault="00461EDC" w:rsidP="008E3035">
      <w:pPr>
        <w:pStyle w:val="Heading1"/>
        <w:spacing w:line="360" w:lineRule="auto"/>
        <w:ind w:left="0" w:firstLine="0"/>
        <w:contextualSpacing/>
        <w:mirrorIndents/>
        <w:jc w:val="both"/>
        <w:rPr>
          <w:sz w:val="20"/>
          <w:szCs w:val="20"/>
        </w:rPr>
      </w:pPr>
      <w:r>
        <w:rPr>
          <w:sz w:val="20"/>
          <w:szCs w:val="20"/>
        </w:rPr>
        <w:t>6.6</w:t>
      </w:r>
      <w:r w:rsidR="00C21AF5">
        <w:rPr>
          <w:sz w:val="20"/>
          <w:szCs w:val="20"/>
        </w:rPr>
        <w:t xml:space="preserve"> </w:t>
      </w:r>
      <w:r w:rsidR="008E3035" w:rsidRPr="00F3339D">
        <w:rPr>
          <w:sz w:val="20"/>
          <w:szCs w:val="20"/>
        </w:rPr>
        <w:t>Nonsteroidal</w:t>
      </w:r>
      <w:r w:rsidR="008E3035" w:rsidRPr="00F3339D">
        <w:rPr>
          <w:spacing w:val="-15"/>
          <w:sz w:val="20"/>
          <w:szCs w:val="20"/>
        </w:rPr>
        <w:t xml:space="preserve"> </w:t>
      </w:r>
      <w:r w:rsidR="008E3035" w:rsidRPr="00F3339D">
        <w:rPr>
          <w:sz w:val="20"/>
          <w:szCs w:val="20"/>
        </w:rPr>
        <w:t>Anti-Inflammatory</w:t>
      </w:r>
      <w:r w:rsidR="008E3035" w:rsidRPr="00F3339D">
        <w:rPr>
          <w:spacing w:val="-14"/>
          <w:sz w:val="20"/>
          <w:szCs w:val="20"/>
        </w:rPr>
        <w:t xml:space="preserve"> </w:t>
      </w:r>
      <w:r w:rsidR="008E3035" w:rsidRPr="00F3339D">
        <w:rPr>
          <w:spacing w:val="-2"/>
          <w:sz w:val="20"/>
          <w:szCs w:val="20"/>
        </w:rPr>
        <w:t>Drugs</w:t>
      </w:r>
    </w:p>
    <w:p w14:paraId="346C1BE7"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Because neuroinflammation has been implicated in disease pathogenesis, NSAIDs have attracted interest as potential adjunctive therapies. Observational studies suggest that NSAID administration during symptom exacerbations may reduce flare duration and symptom severity in some patients. [54]</w:t>
      </w:r>
    </w:p>
    <w:p w14:paraId="5F8F8A98" w14:textId="77777777" w:rsidR="008E3035" w:rsidRPr="00C21AF5" w:rsidRDefault="008E3035" w:rsidP="008E3035">
      <w:pPr>
        <w:pStyle w:val="BodyText"/>
        <w:spacing w:line="360" w:lineRule="auto"/>
        <w:ind w:firstLine="0"/>
        <w:contextualSpacing/>
        <w:mirrorIndents/>
        <w:rPr>
          <w:rFonts w:ascii="Times New Roman" w:hAnsi="Times New Roman" w:cs="Times New Roman"/>
          <w:sz w:val="10"/>
          <w:szCs w:val="10"/>
        </w:rPr>
      </w:pPr>
    </w:p>
    <w:p w14:paraId="298B2718"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The biological rationale is plausible but incomplete. By suppressing inflammatory signaling pathways, NSAIDs may theoretically mitigate immune-mediated neural dysfunction. Nevertheless, evidence remains largely observational, and controlled prospective studies remain limited [40,54].</w:t>
      </w:r>
    </w:p>
    <w:p w14:paraId="48BDDC19" w14:textId="77777777" w:rsidR="00C21AF5" w:rsidRPr="00C21AF5" w:rsidRDefault="00C21AF5" w:rsidP="008E3035">
      <w:pPr>
        <w:pStyle w:val="BodyText"/>
        <w:spacing w:line="360" w:lineRule="auto"/>
        <w:ind w:firstLine="0"/>
        <w:contextualSpacing/>
        <w:mirrorIndents/>
        <w:rPr>
          <w:rFonts w:ascii="Times New Roman" w:hAnsi="Times New Roman" w:cs="Times New Roman"/>
          <w:sz w:val="10"/>
          <w:szCs w:val="10"/>
        </w:rPr>
      </w:pPr>
    </w:p>
    <w:p w14:paraId="5A678A73"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Consequently, NSAIDs are generally considered low-risk adjunctive therapies rather than definitive disease-modifying treatments.</w:t>
      </w:r>
    </w:p>
    <w:p w14:paraId="51374999" w14:textId="77777777" w:rsidR="008E3035" w:rsidRPr="00C21AF5" w:rsidRDefault="008E3035" w:rsidP="008E3035">
      <w:pPr>
        <w:pStyle w:val="BodyText"/>
        <w:spacing w:line="360" w:lineRule="auto"/>
        <w:ind w:firstLine="0"/>
        <w:contextualSpacing/>
        <w:mirrorIndents/>
        <w:rPr>
          <w:rFonts w:ascii="Times New Roman" w:hAnsi="Times New Roman" w:cs="Times New Roman"/>
          <w:sz w:val="10"/>
          <w:szCs w:val="10"/>
        </w:rPr>
      </w:pPr>
    </w:p>
    <w:p w14:paraId="510F5B08" w14:textId="30E9F189" w:rsidR="008E3035" w:rsidRPr="00F3339D" w:rsidRDefault="00461EDC" w:rsidP="008E3035">
      <w:pPr>
        <w:pStyle w:val="Heading1"/>
        <w:spacing w:line="360" w:lineRule="auto"/>
        <w:ind w:left="0" w:firstLine="0"/>
        <w:contextualSpacing/>
        <w:mirrorIndents/>
        <w:jc w:val="both"/>
        <w:rPr>
          <w:sz w:val="20"/>
          <w:szCs w:val="20"/>
        </w:rPr>
      </w:pPr>
      <w:r>
        <w:rPr>
          <w:spacing w:val="-2"/>
          <w:sz w:val="20"/>
          <w:szCs w:val="20"/>
        </w:rPr>
        <w:lastRenderedPageBreak/>
        <w:t>6.7</w:t>
      </w:r>
      <w:r w:rsidR="00C21AF5">
        <w:rPr>
          <w:spacing w:val="-2"/>
          <w:sz w:val="20"/>
          <w:szCs w:val="20"/>
        </w:rPr>
        <w:t xml:space="preserve"> </w:t>
      </w:r>
      <w:r w:rsidR="008E3035" w:rsidRPr="00F3339D">
        <w:rPr>
          <w:spacing w:val="-2"/>
          <w:sz w:val="20"/>
          <w:szCs w:val="20"/>
        </w:rPr>
        <w:t>Corticosteroids</w:t>
      </w:r>
    </w:p>
    <w:p w14:paraId="552423B0"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Corticosteroids represent one of the most frequently utilized immunomodulatory interventions in PANS/PANDAS</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populations.</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Their</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potent</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anti-inflammatory</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effects</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provide</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a</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strong</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theoretical</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rationale for use in immune-mediated neuropsychiatric disease [36,55].</w:t>
      </w:r>
    </w:p>
    <w:p w14:paraId="76A03113" w14:textId="77777777" w:rsidR="00C21AF5" w:rsidRPr="00C21AF5" w:rsidRDefault="00C21AF5" w:rsidP="008E3035">
      <w:pPr>
        <w:pStyle w:val="BodyText"/>
        <w:spacing w:line="360" w:lineRule="auto"/>
        <w:ind w:firstLine="0"/>
        <w:contextualSpacing/>
        <w:mirrorIndents/>
        <w:rPr>
          <w:rFonts w:ascii="Times New Roman" w:hAnsi="Times New Roman" w:cs="Times New Roman"/>
          <w:sz w:val="10"/>
          <w:szCs w:val="10"/>
        </w:rPr>
      </w:pPr>
    </w:p>
    <w:p w14:paraId="6679F259"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Observational studies have reported reductions in symptom duration and severity following corticosteroid administration. Some patients demonstrate rapid improvement, further fueling interest in immune-mediated mechanisms [55].</w:t>
      </w:r>
    </w:p>
    <w:p w14:paraId="4101EB4C" w14:textId="77777777" w:rsidR="00C21AF5" w:rsidRPr="00C21AF5" w:rsidRDefault="00C21AF5" w:rsidP="008E3035">
      <w:pPr>
        <w:pStyle w:val="BodyText"/>
        <w:spacing w:line="360" w:lineRule="auto"/>
        <w:ind w:firstLine="0"/>
        <w:contextualSpacing/>
        <w:mirrorIndents/>
        <w:rPr>
          <w:rFonts w:ascii="Times New Roman" w:hAnsi="Times New Roman" w:cs="Times New Roman"/>
          <w:sz w:val="10"/>
          <w:szCs w:val="10"/>
        </w:rPr>
      </w:pPr>
    </w:p>
    <w:p w14:paraId="6F53313F" w14:textId="77777777" w:rsidR="008E3035" w:rsidRDefault="008E3035" w:rsidP="008E3035">
      <w:pPr>
        <w:pStyle w:val="BodyText"/>
        <w:spacing w:line="360" w:lineRule="auto"/>
        <w:ind w:firstLine="0"/>
        <w:contextualSpacing/>
        <w:mirrorIndents/>
        <w:rPr>
          <w:rFonts w:ascii="Times New Roman" w:hAnsi="Times New Roman" w:cs="Times New Roman"/>
          <w:spacing w:val="-2"/>
          <w:sz w:val="20"/>
          <w:szCs w:val="20"/>
        </w:rPr>
      </w:pPr>
      <w:r w:rsidRPr="00F3339D">
        <w:rPr>
          <w:rFonts w:ascii="Times New Roman" w:hAnsi="Times New Roman" w:cs="Times New Roman"/>
          <w:sz w:val="20"/>
          <w:szCs w:val="20"/>
        </w:rPr>
        <w:t xml:space="preserve">However, corticosteroids are associated with significant adverse effects, including mood changes, irritability, anxiety, insomnia, weight gain, hypertension, metabolic disturbances, and immunosuppression. Notably, neuropsychiatric side effects may paradoxically worsen behavioral </w:t>
      </w:r>
      <w:r w:rsidRPr="00F3339D">
        <w:rPr>
          <w:rFonts w:ascii="Times New Roman" w:hAnsi="Times New Roman" w:cs="Times New Roman"/>
          <w:spacing w:val="-2"/>
          <w:sz w:val="20"/>
          <w:szCs w:val="20"/>
        </w:rPr>
        <w:t>symptoms.</w:t>
      </w:r>
    </w:p>
    <w:p w14:paraId="24B9B942" w14:textId="77777777" w:rsidR="00C219DB" w:rsidRPr="00C219DB" w:rsidRDefault="00C219DB" w:rsidP="008E3035">
      <w:pPr>
        <w:pStyle w:val="BodyText"/>
        <w:spacing w:line="360" w:lineRule="auto"/>
        <w:ind w:firstLine="0"/>
        <w:contextualSpacing/>
        <w:mirrorIndents/>
        <w:rPr>
          <w:rFonts w:ascii="Times New Roman" w:hAnsi="Times New Roman" w:cs="Times New Roman"/>
          <w:sz w:val="10"/>
          <w:szCs w:val="10"/>
        </w:rPr>
      </w:pPr>
    </w:p>
    <w:p w14:paraId="659533D2"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For</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these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reasons,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corticosteroids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are</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generally</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reserved</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for</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carefully</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selected</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patients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experiencing severe symptom exacerbations [36,44,45].</w:t>
      </w:r>
    </w:p>
    <w:p w14:paraId="27F1FBE6" w14:textId="77777777" w:rsidR="008E3035" w:rsidRPr="00C219DB" w:rsidRDefault="008E3035" w:rsidP="008E3035">
      <w:pPr>
        <w:pStyle w:val="BodyText"/>
        <w:spacing w:line="360" w:lineRule="auto"/>
        <w:ind w:firstLine="0"/>
        <w:contextualSpacing/>
        <w:mirrorIndents/>
        <w:rPr>
          <w:rFonts w:ascii="Times New Roman" w:hAnsi="Times New Roman" w:cs="Times New Roman"/>
          <w:sz w:val="10"/>
          <w:szCs w:val="10"/>
        </w:rPr>
      </w:pPr>
    </w:p>
    <w:p w14:paraId="09595CA8" w14:textId="239F29D4" w:rsidR="008E3035" w:rsidRPr="00F3339D" w:rsidRDefault="00461EDC" w:rsidP="008E3035">
      <w:pPr>
        <w:pStyle w:val="Heading1"/>
        <w:spacing w:line="360" w:lineRule="auto"/>
        <w:ind w:left="0" w:firstLine="0"/>
        <w:contextualSpacing/>
        <w:mirrorIndents/>
        <w:jc w:val="both"/>
        <w:rPr>
          <w:sz w:val="20"/>
          <w:szCs w:val="20"/>
        </w:rPr>
      </w:pPr>
      <w:r>
        <w:rPr>
          <w:sz w:val="20"/>
          <w:szCs w:val="20"/>
        </w:rPr>
        <w:t>6.8</w:t>
      </w:r>
      <w:r w:rsidR="00C219DB">
        <w:rPr>
          <w:sz w:val="20"/>
          <w:szCs w:val="20"/>
        </w:rPr>
        <w:t xml:space="preserve"> </w:t>
      </w:r>
      <w:r w:rsidR="008E3035" w:rsidRPr="00F3339D">
        <w:rPr>
          <w:sz w:val="20"/>
          <w:szCs w:val="20"/>
        </w:rPr>
        <w:t>Intravenous</w:t>
      </w:r>
      <w:r w:rsidR="008E3035" w:rsidRPr="00F3339D">
        <w:rPr>
          <w:spacing w:val="-11"/>
          <w:sz w:val="20"/>
          <w:szCs w:val="20"/>
        </w:rPr>
        <w:t xml:space="preserve"> </w:t>
      </w:r>
      <w:r w:rsidR="008E3035" w:rsidRPr="00F3339D">
        <w:rPr>
          <w:spacing w:val="-2"/>
          <w:sz w:val="20"/>
          <w:szCs w:val="20"/>
        </w:rPr>
        <w:t>Immunoglobulin</w:t>
      </w:r>
    </w:p>
    <w:p w14:paraId="4444520D" w14:textId="58E7011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Intravenous immunoglobulin (IVIG) remains among the most controversial treatments in the PANDAS literature. IVIG exerts complex immunomodulatory effects and has demonstrated efficacy across numerous autoimmune neurologic disorders [35</w:t>
      </w:r>
      <w:r w:rsidR="00C219DB">
        <w:rPr>
          <w:rFonts w:ascii="Times New Roman" w:hAnsi="Times New Roman" w:cs="Times New Roman"/>
          <w:sz w:val="20"/>
          <w:szCs w:val="20"/>
        </w:rPr>
        <w:t>-</w:t>
      </w:r>
      <w:r w:rsidRPr="00F3339D">
        <w:rPr>
          <w:rFonts w:ascii="Times New Roman" w:hAnsi="Times New Roman" w:cs="Times New Roman"/>
          <w:sz w:val="20"/>
          <w:szCs w:val="20"/>
        </w:rPr>
        <w:t>37,40].</w:t>
      </w:r>
    </w:p>
    <w:p w14:paraId="570CA2FA" w14:textId="77777777" w:rsidR="00C219DB" w:rsidRPr="00C219DB" w:rsidRDefault="00C219DB" w:rsidP="008E3035">
      <w:pPr>
        <w:pStyle w:val="BodyText"/>
        <w:spacing w:line="360" w:lineRule="auto"/>
        <w:ind w:firstLine="0"/>
        <w:contextualSpacing/>
        <w:mirrorIndents/>
        <w:rPr>
          <w:rFonts w:ascii="Times New Roman" w:hAnsi="Times New Roman" w:cs="Times New Roman"/>
          <w:sz w:val="10"/>
          <w:szCs w:val="10"/>
        </w:rPr>
      </w:pPr>
    </w:p>
    <w:p w14:paraId="0C0C9F55"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Early randomized investigations reported significant improvement in obsessive-compulsive symptoms following IVIG administration. Subsequent observational studies have described similar findings in selected patients [35,36].</w:t>
      </w:r>
    </w:p>
    <w:p w14:paraId="77613263" w14:textId="77777777" w:rsidR="00C219DB" w:rsidRPr="00C219DB" w:rsidRDefault="00C219DB" w:rsidP="008E3035">
      <w:pPr>
        <w:pStyle w:val="BodyText"/>
        <w:spacing w:line="360" w:lineRule="auto"/>
        <w:ind w:firstLine="0"/>
        <w:contextualSpacing/>
        <w:mirrorIndents/>
        <w:rPr>
          <w:rFonts w:ascii="Times New Roman" w:hAnsi="Times New Roman" w:cs="Times New Roman"/>
          <w:sz w:val="10"/>
          <w:szCs w:val="10"/>
        </w:rPr>
      </w:pPr>
    </w:p>
    <w:p w14:paraId="78079B50" w14:textId="08F1A33E"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Recent prospective and open-label IVIG studies have added important but still nondefinitive evidence.</w:t>
      </w:r>
      <w:r w:rsidRPr="00F3339D">
        <w:rPr>
          <w:rFonts w:ascii="Times New Roman" w:hAnsi="Times New Roman" w:cs="Times New Roman"/>
          <w:spacing w:val="-15"/>
          <w:sz w:val="20"/>
          <w:szCs w:val="20"/>
        </w:rPr>
        <w:t xml:space="preserve"> </w:t>
      </w:r>
      <w:proofErr w:type="spellStart"/>
      <w:r w:rsidRPr="00F3339D">
        <w:rPr>
          <w:rFonts w:ascii="Times New Roman" w:hAnsi="Times New Roman" w:cs="Times New Roman"/>
          <w:sz w:val="20"/>
          <w:szCs w:val="20"/>
        </w:rPr>
        <w:t>Hajjari</w:t>
      </w:r>
      <w:proofErr w:type="spellEnd"/>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colleagues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reported</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broad</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clinical</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improvement</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after</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three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monthly</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IVIG</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treatments in</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a</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small</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prospective</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open-label</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cohort,</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while</w:t>
      </w:r>
      <w:r w:rsidRPr="00F3339D">
        <w:rPr>
          <w:rFonts w:ascii="Times New Roman" w:hAnsi="Times New Roman" w:cs="Times New Roman"/>
          <w:spacing w:val="-14"/>
          <w:sz w:val="20"/>
          <w:szCs w:val="20"/>
        </w:rPr>
        <w:t xml:space="preserve"> </w:t>
      </w:r>
      <w:proofErr w:type="spellStart"/>
      <w:r w:rsidRPr="00F3339D">
        <w:rPr>
          <w:rFonts w:ascii="Times New Roman" w:hAnsi="Times New Roman" w:cs="Times New Roman"/>
          <w:sz w:val="20"/>
          <w:szCs w:val="20"/>
        </w:rPr>
        <w:t>Eremija</w:t>
      </w:r>
      <w:proofErr w:type="spellEnd"/>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colleagues</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reported</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improvements</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in</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multiple neuropsychiatric and cognitive domains after IVIG treatment. A 2024 open-label immunophenotyping study found that IVIG response correlated with reductions in pro-inflammatory monocytes and improvements</w:t>
      </w:r>
      <w:r w:rsidRPr="00F3339D">
        <w:rPr>
          <w:rFonts w:ascii="Times New Roman" w:hAnsi="Times New Roman" w:cs="Times New Roman"/>
          <w:spacing w:val="80"/>
          <w:sz w:val="20"/>
          <w:szCs w:val="20"/>
        </w:rPr>
        <w:t xml:space="preserve"> </w:t>
      </w:r>
      <w:r w:rsidRPr="00F3339D">
        <w:rPr>
          <w:rFonts w:ascii="Times New Roman" w:hAnsi="Times New Roman" w:cs="Times New Roman"/>
          <w:sz w:val="20"/>
          <w:szCs w:val="20"/>
        </w:rPr>
        <w:t>in</w:t>
      </w:r>
      <w:r w:rsidRPr="00F3339D">
        <w:rPr>
          <w:rFonts w:ascii="Times New Roman" w:hAnsi="Times New Roman" w:cs="Times New Roman"/>
          <w:spacing w:val="80"/>
          <w:sz w:val="20"/>
          <w:szCs w:val="20"/>
        </w:rPr>
        <w:t xml:space="preserve"> </w:t>
      </w:r>
      <w:r w:rsidRPr="00F3339D">
        <w:rPr>
          <w:rFonts w:ascii="Times New Roman" w:hAnsi="Times New Roman" w:cs="Times New Roman"/>
          <w:sz w:val="20"/>
          <w:szCs w:val="20"/>
        </w:rPr>
        <w:t>neuropsychiatric</w:t>
      </w:r>
      <w:r w:rsidRPr="00F3339D">
        <w:rPr>
          <w:rFonts w:ascii="Times New Roman" w:hAnsi="Times New Roman" w:cs="Times New Roman"/>
          <w:spacing w:val="80"/>
          <w:sz w:val="20"/>
          <w:szCs w:val="20"/>
        </w:rPr>
        <w:t xml:space="preserve"> </w:t>
      </w:r>
      <w:r w:rsidRPr="00F3339D">
        <w:rPr>
          <w:rFonts w:ascii="Times New Roman" w:hAnsi="Times New Roman" w:cs="Times New Roman"/>
          <w:sz w:val="20"/>
          <w:szCs w:val="20"/>
        </w:rPr>
        <w:t>measures.</w:t>
      </w:r>
      <w:r w:rsidRPr="00F3339D">
        <w:rPr>
          <w:rFonts w:ascii="Times New Roman" w:hAnsi="Times New Roman" w:cs="Times New Roman"/>
          <w:spacing w:val="80"/>
          <w:sz w:val="20"/>
          <w:szCs w:val="20"/>
        </w:rPr>
        <w:t xml:space="preserve"> </w:t>
      </w:r>
      <w:r w:rsidRPr="00F3339D">
        <w:rPr>
          <w:rFonts w:ascii="Times New Roman" w:hAnsi="Times New Roman" w:cs="Times New Roman"/>
          <w:sz w:val="20"/>
          <w:szCs w:val="20"/>
        </w:rPr>
        <w:t>These</w:t>
      </w:r>
      <w:r w:rsidRPr="00F3339D">
        <w:rPr>
          <w:rFonts w:ascii="Times New Roman" w:hAnsi="Times New Roman" w:cs="Times New Roman"/>
          <w:spacing w:val="80"/>
          <w:sz w:val="20"/>
          <w:szCs w:val="20"/>
        </w:rPr>
        <w:t xml:space="preserve"> </w:t>
      </w:r>
      <w:r w:rsidRPr="00F3339D">
        <w:rPr>
          <w:rFonts w:ascii="Times New Roman" w:hAnsi="Times New Roman" w:cs="Times New Roman"/>
          <w:sz w:val="20"/>
          <w:szCs w:val="20"/>
        </w:rPr>
        <w:t>studies</w:t>
      </w:r>
      <w:r w:rsidRPr="00F3339D">
        <w:rPr>
          <w:rFonts w:ascii="Times New Roman" w:hAnsi="Times New Roman" w:cs="Times New Roman"/>
          <w:spacing w:val="80"/>
          <w:sz w:val="20"/>
          <w:szCs w:val="20"/>
        </w:rPr>
        <w:t xml:space="preserve"> </w:t>
      </w:r>
      <w:r w:rsidRPr="00F3339D">
        <w:rPr>
          <w:rFonts w:ascii="Times New Roman" w:hAnsi="Times New Roman" w:cs="Times New Roman"/>
          <w:sz w:val="20"/>
          <w:szCs w:val="20"/>
        </w:rPr>
        <w:t>support</w:t>
      </w:r>
      <w:r w:rsidRPr="00F3339D">
        <w:rPr>
          <w:rFonts w:ascii="Times New Roman" w:hAnsi="Times New Roman" w:cs="Times New Roman"/>
          <w:spacing w:val="80"/>
          <w:sz w:val="20"/>
          <w:szCs w:val="20"/>
        </w:rPr>
        <w:t xml:space="preserve"> </w:t>
      </w:r>
      <w:r w:rsidRPr="00F3339D">
        <w:rPr>
          <w:rFonts w:ascii="Times New Roman" w:hAnsi="Times New Roman" w:cs="Times New Roman"/>
          <w:sz w:val="20"/>
          <w:szCs w:val="20"/>
        </w:rPr>
        <w:t>continued</w:t>
      </w:r>
      <w:r w:rsidRPr="00F3339D">
        <w:rPr>
          <w:rFonts w:ascii="Times New Roman" w:hAnsi="Times New Roman" w:cs="Times New Roman"/>
          <w:spacing w:val="80"/>
          <w:sz w:val="20"/>
          <w:szCs w:val="20"/>
        </w:rPr>
        <w:t xml:space="preserve"> </w:t>
      </w:r>
      <w:r w:rsidRPr="00F3339D">
        <w:rPr>
          <w:rFonts w:ascii="Times New Roman" w:hAnsi="Times New Roman" w:cs="Times New Roman"/>
          <w:sz w:val="20"/>
          <w:szCs w:val="20"/>
        </w:rPr>
        <w:t>investigation</w:t>
      </w:r>
      <w:r w:rsidRPr="00F3339D">
        <w:rPr>
          <w:rFonts w:ascii="Times New Roman" w:hAnsi="Times New Roman" w:cs="Times New Roman"/>
          <w:spacing w:val="80"/>
          <w:sz w:val="20"/>
          <w:szCs w:val="20"/>
        </w:rPr>
        <w:t xml:space="preserve"> </w:t>
      </w:r>
      <w:r w:rsidRPr="00F3339D">
        <w:rPr>
          <w:rFonts w:ascii="Times New Roman" w:hAnsi="Times New Roman" w:cs="Times New Roman"/>
          <w:sz w:val="20"/>
          <w:szCs w:val="20"/>
        </w:rPr>
        <w:t>of</w:t>
      </w:r>
      <w:r>
        <w:rPr>
          <w:rFonts w:ascii="Times New Roman" w:hAnsi="Times New Roman" w:cs="Times New Roman"/>
          <w:sz w:val="20"/>
          <w:szCs w:val="20"/>
        </w:rPr>
        <w:t xml:space="preserve"> </w:t>
      </w:r>
      <w:r w:rsidRPr="00F3339D">
        <w:rPr>
          <w:rFonts w:ascii="Times New Roman" w:hAnsi="Times New Roman" w:cs="Times New Roman"/>
          <w:sz w:val="20"/>
          <w:szCs w:val="20"/>
        </w:rPr>
        <w:t>immunomodulation but do not eliminate the need for larger blinded trials because placebo effects, regression to the mean, and natural fluctuation remain major interpretive concerns [37</w:t>
      </w:r>
      <w:r w:rsidR="00C219DB">
        <w:rPr>
          <w:rFonts w:ascii="Times New Roman" w:hAnsi="Times New Roman" w:cs="Times New Roman"/>
          <w:sz w:val="20"/>
          <w:szCs w:val="20"/>
        </w:rPr>
        <w:t>-</w:t>
      </w:r>
      <w:r w:rsidRPr="00F3339D">
        <w:rPr>
          <w:rFonts w:ascii="Times New Roman" w:hAnsi="Times New Roman" w:cs="Times New Roman"/>
          <w:sz w:val="20"/>
          <w:szCs w:val="20"/>
        </w:rPr>
        <w:t>39,56].</w:t>
      </w:r>
    </w:p>
    <w:p w14:paraId="5F231AE7" w14:textId="77777777" w:rsidR="00C219DB" w:rsidRPr="00C219DB" w:rsidRDefault="00C219DB" w:rsidP="008E3035">
      <w:pPr>
        <w:pStyle w:val="BodyText"/>
        <w:spacing w:line="360" w:lineRule="auto"/>
        <w:ind w:firstLine="0"/>
        <w:contextualSpacing/>
        <w:mirrorIndents/>
        <w:rPr>
          <w:rFonts w:ascii="Times New Roman" w:hAnsi="Times New Roman" w:cs="Times New Roman"/>
          <w:sz w:val="10"/>
          <w:szCs w:val="10"/>
        </w:rPr>
      </w:pPr>
    </w:p>
    <w:p w14:paraId="56DE3F3A"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Nevertheless, evidence remains limited by small sample sizes, inconsistent replication, heterogeneous patient populations, and methodological limitations. Systematic reviews generally conclude that IVIG may benefit some patients, but that current evidence remains insufficient to support routine use [40].</w:t>
      </w:r>
    </w:p>
    <w:p w14:paraId="405D7530" w14:textId="77777777" w:rsidR="00C219DB" w:rsidRPr="00C219DB" w:rsidRDefault="00C219DB" w:rsidP="008E3035">
      <w:pPr>
        <w:pStyle w:val="BodyText"/>
        <w:spacing w:line="360" w:lineRule="auto"/>
        <w:ind w:firstLine="0"/>
        <w:contextualSpacing/>
        <w:mirrorIndents/>
        <w:rPr>
          <w:rFonts w:ascii="Times New Roman" w:hAnsi="Times New Roman" w:cs="Times New Roman"/>
          <w:sz w:val="10"/>
          <w:szCs w:val="10"/>
        </w:rPr>
      </w:pPr>
    </w:p>
    <w:p w14:paraId="272C74F4"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Given cost and resource intensity, guidelines generally reserve IVIG for moderate-to-severe cases after specialist evaluation [44,45].</w:t>
      </w:r>
    </w:p>
    <w:p w14:paraId="5FC28E60" w14:textId="77777777" w:rsidR="008E3035" w:rsidRPr="00C219DB" w:rsidRDefault="008E3035" w:rsidP="008E3035">
      <w:pPr>
        <w:pStyle w:val="BodyText"/>
        <w:spacing w:line="360" w:lineRule="auto"/>
        <w:ind w:firstLine="0"/>
        <w:contextualSpacing/>
        <w:mirrorIndents/>
        <w:rPr>
          <w:rFonts w:ascii="Times New Roman" w:hAnsi="Times New Roman" w:cs="Times New Roman"/>
          <w:sz w:val="10"/>
          <w:szCs w:val="10"/>
        </w:rPr>
      </w:pPr>
    </w:p>
    <w:p w14:paraId="493C8669" w14:textId="68ACA393" w:rsidR="008E3035" w:rsidRPr="00F3339D" w:rsidRDefault="00461EDC" w:rsidP="008E3035">
      <w:pPr>
        <w:pStyle w:val="Heading1"/>
        <w:spacing w:line="360" w:lineRule="auto"/>
        <w:ind w:left="0" w:firstLine="0"/>
        <w:contextualSpacing/>
        <w:mirrorIndents/>
        <w:jc w:val="both"/>
        <w:rPr>
          <w:sz w:val="20"/>
          <w:szCs w:val="20"/>
        </w:rPr>
      </w:pPr>
      <w:r>
        <w:rPr>
          <w:sz w:val="20"/>
          <w:szCs w:val="20"/>
        </w:rPr>
        <w:t>6.9</w:t>
      </w:r>
      <w:r w:rsidR="00C219DB">
        <w:rPr>
          <w:sz w:val="20"/>
          <w:szCs w:val="20"/>
        </w:rPr>
        <w:t xml:space="preserve"> </w:t>
      </w:r>
      <w:r w:rsidR="008E3035" w:rsidRPr="00F3339D">
        <w:rPr>
          <w:sz w:val="20"/>
          <w:szCs w:val="20"/>
        </w:rPr>
        <w:t>Plasma</w:t>
      </w:r>
      <w:r w:rsidR="008E3035" w:rsidRPr="00F3339D">
        <w:rPr>
          <w:spacing w:val="-8"/>
          <w:sz w:val="20"/>
          <w:szCs w:val="20"/>
        </w:rPr>
        <w:t xml:space="preserve"> </w:t>
      </w:r>
      <w:r w:rsidR="008E3035" w:rsidRPr="00F3339D">
        <w:rPr>
          <w:spacing w:val="-2"/>
          <w:sz w:val="20"/>
          <w:szCs w:val="20"/>
        </w:rPr>
        <w:t>Exchange</w:t>
      </w:r>
    </w:p>
    <w:p w14:paraId="31FD3333"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Plasma exchange represents the most aggressive immunomodulatory therapy utilized in PANDAS. The procedure removes circulating antibodies and immune mediators from the bloodstream and has established efficacy in several antibody-mediated neurologic disorders [35,36].</w:t>
      </w:r>
    </w:p>
    <w:p w14:paraId="629588DF" w14:textId="77777777" w:rsidR="00C219DB" w:rsidRPr="00C219DB" w:rsidRDefault="00C219DB" w:rsidP="008E3035">
      <w:pPr>
        <w:pStyle w:val="BodyText"/>
        <w:spacing w:line="360" w:lineRule="auto"/>
        <w:ind w:firstLine="0"/>
        <w:contextualSpacing/>
        <w:mirrorIndents/>
        <w:rPr>
          <w:rFonts w:ascii="Times New Roman" w:hAnsi="Times New Roman" w:cs="Times New Roman"/>
          <w:sz w:val="10"/>
          <w:szCs w:val="10"/>
        </w:rPr>
      </w:pPr>
    </w:p>
    <w:p w14:paraId="59A20930"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Early clinical trials reported dramatic improvement in both obsessive-compulsive symptoms and tic severity among severely affected children. These findings provided some of the strongest indirect evidence supporting autoimmune mechanisms [35,36].</w:t>
      </w:r>
    </w:p>
    <w:p w14:paraId="21425212" w14:textId="77777777" w:rsidR="00C219DB" w:rsidRPr="00C219DB" w:rsidRDefault="00C219DB" w:rsidP="008E3035">
      <w:pPr>
        <w:pStyle w:val="BodyText"/>
        <w:spacing w:line="360" w:lineRule="auto"/>
        <w:ind w:firstLine="0"/>
        <w:contextualSpacing/>
        <w:mirrorIndents/>
        <w:rPr>
          <w:rFonts w:ascii="Times New Roman" w:hAnsi="Times New Roman" w:cs="Times New Roman"/>
          <w:sz w:val="10"/>
          <w:szCs w:val="10"/>
        </w:rPr>
      </w:pPr>
    </w:p>
    <w:p w14:paraId="3847523A"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However, plasma exchange carries substantial procedural risks and requires specialized expertise. Consequently,</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it</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is</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generally</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reserved</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for</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exceptionally</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severe,</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treatment-resistant</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presentations</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[44,45].</w:t>
      </w:r>
    </w:p>
    <w:p w14:paraId="232A421B" w14:textId="77777777" w:rsidR="008E3035" w:rsidRPr="00C219DB" w:rsidRDefault="008E3035" w:rsidP="008E3035">
      <w:pPr>
        <w:pStyle w:val="BodyText"/>
        <w:spacing w:line="360" w:lineRule="auto"/>
        <w:ind w:firstLine="0"/>
        <w:contextualSpacing/>
        <w:mirrorIndents/>
        <w:rPr>
          <w:rFonts w:ascii="Times New Roman" w:hAnsi="Times New Roman" w:cs="Times New Roman"/>
          <w:sz w:val="10"/>
          <w:szCs w:val="10"/>
        </w:rPr>
      </w:pPr>
    </w:p>
    <w:p w14:paraId="2736C0C7" w14:textId="454AD5BC" w:rsidR="008E3035" w:rsidRPr="00461EDC" w:rsidRDefault="00461EDC" w:rsidP="008E3035">
      <w:pPr>
        <w:pStyle w:val="Heading1"/>
        <w:spacing w:line="360" w:lineRule="auto"/>
        <w:ind w:left="0" w:firstLine="0"/>
        <w:contextualSpacing/>
        <w:mirrorIndents/>
        <w:jc w:val="both"/>
        <w:rPr>
          <w:color w:val="0070C0"/>
          <w:sz w:val="22"/>
          <w:szCs w:val="22"/>
        </w:rPr>
      </w:pPr>
      <w:r w:rsidRPr="00461EDC">
        <w:rPr>
          <w:color w:val="0070C0"/>
          <w:sz w:val="22"/>
          <w:szCs w:val="22"/>
        </w:rPr>
        <w:t>7.</w:t>
      </w:r>
      <w:r w:rsidR="00C219DB" w:rsidRPr="00461EDC">
        <w:rPr>
          <w:color w:val="0070C0"/>
          <w:sz w:val="22"/>
          <w:szCs w:val="22"/>
        </w:rPr>
        <w:t xml:space="preserve"> </w:t>
      </w:r>
      <w:r w:rsidR="008E3035" w:rsidRPr="00461EDC">
        <w:rPr>
          <w:color w:val="0070C0"/>
          <w:sz w:val="22"/>
          <w:szCs w:val="22"/>
        </w:rPr>
        <w:t>Immunotherapy</w:t>
      </w:r>
      <w:r w:rsidR="008E3035" w:rsidRPr="00461EDC">
        <w:rPr>
          <w:color w:val="0070C0"/>
          <w:spacing w:val="-13"/>
          <w:sz w:val="22"/>
          <w:szCs w:val="22"/>
        </w:rPr>
        <w:t xml:space="preserve"> </w:t>
      </w:r>
      <w:r w:rsidR="008E3035" w:rsidRPr="00461EDC">
        <w:rPr>
          <w:color w:val="0070C0"/>
          <w:spacing w:val="-2"/>
          <w:sz w:val="22"/>
          <w:szCs w:val="22"/>
        </w:rPr>
        <w:t>Controversies</w:t>
      </w:r>
    </w:p>
    <w:p w14:paraId="7A8E6A41"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Immunotherapy remains one of the most debated aspects of PANDAS/PANS management. Advocates</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argue</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that</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dramatic</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responses</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observed</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in</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selected</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patients</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provide</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compelling</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evidence</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for immune-mediated disease. Critics counter that much of the literature relies upon uncontrolled studies vulnerable to placebo effects, regression to the mean, referral bias, and diagnostic uncertainty [12,40].</w:t>
      </w:r>
    </w:p>
    <w:p w14:paraId="39F30514" w14:textId="77777777" w:rsidR="00C219DB" w:rsidRPr="00C219DB" w:rsidRDefault="00C219DB" w:rsidP="008E3035">
      <w:pPr>
        <w:pStyle w:val="BodyText"/>
        <w:spacing w:line="360" w:lineRule="auto"/>
        <w:ind w:firstLine="0"/>
        <w:contextualSpacing/>
        <w:mirrorIndents/>
        <w:rPr>
          <w:rFonts w:ascii="Times New Roman" w:hAnsi="Times New Roman" w:cs="Times New Roman"/>
          <w:sz w:val="10"/>
          <w:szCs w:val="10"/>
        </w:rPr>
      </w:pPr>
    </w:p>
    <w:p w14:paraId="448F4942" w14:textId="42467C5D"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A</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balanced</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interpretation</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is</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warranted.</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Available</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evidence</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suggests</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that</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some</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children</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may</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indeed experience clinically meaningful benefit from immunomodulatory interventions. [37</w:t>
      </w:r>
      <w:r w:rsidR="00A03FF2">
        <w:rPr>
          <w:rFonts w:ascii="Times New Roman" w:hAnsi="Times New Roman" w:cs="Times New Roman"/>
          <w:sz w:val="20"/>
          <w:szCs w:val="20"/>
        </w:rPr>
        <w:t>-</w:t>
      </w:r>
      <w:r w:rsidRPr="00F3339D">
        <w:rPr>
          <w:rFonts w:ascii="Times New Roman" w:hAnsi="Times New Roman" w:cs="Times New Roman"/>
          <w:sz w:val="20"/>
          <w:szCs w:val="20"/>
        </w:rPr>
        <w:t>40,56] However,</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current</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data</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remain</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insufficient</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to</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identify</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which</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patients</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are</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most</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likely</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to</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respond</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or</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to</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justify widespread use of aggressive therapies [12,40].</w:t>
      </w:r>
    </w:p>
    <w:p w14:paraId="6E2FAEFF" w14:textId="77777777" w:rsidR="00C219DB" w:rsidRPr="00C219DB" w:rsidRDefault="00C219DB" w:rsidP="008E3035">
      <w:pPr>
        <w:pStyle w:val="BodyText"/>
        <w:spacing w:line="360" w:lineRule="auto"/>
        <w:ind w:firstLine="0"/>
        <w:contextualSpacing/>
        <w:mirrorIndents/>
        <w:rPr>
          <w:rFonts w:ascii="Times New Roman" w:hAnsi="Times New Roman" w:cs="Times New Roman"/>
          <w:sz w:val="10"/>
          <w:szCs w:val="10"/>
        </w:rPr>
      </w:pPr>
    </w:p>
    <w:p w14:paraId="47FA3661"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pacing w:val="-2"/>
          <w:sz w:val="20"/>
          <w:szCs w:val="20"/>
        </w:rPr>
        <w:t xml:space="preserve">Future precision-medicine approaches incorporating immunophenotyping, biomarkers, and objective </w:t>
      </w:r>
      <w:r w:rsidRPr="00F3339D">
        <w:rPr>
          <w:rFonts w:ascii="Times New Roman" w:hAnsi="Times New Roman" w:cs="Times New Roman"/>
          <w:sz w:val="20"/>
          <w:szCs w:val="20"/>
        </w:rPr>
        <w:t>outcome measures may ultimately help resolve these controversies [30,39,41].</w:t>
      </w:r>
    </w:p>
    <w:p w14:paraId="1EFF0DDF" w14:textId="77777777" w:rsidR="00C219DB" w:rsidRPr="00C219DB" w:rsidRDefault="00C219DB" w:rsidP="008E3035">
      <w:pPr>
        <w:pStyle w:val="BodyText"/>
        <w:spacing w:line="360" w:lineRule="auto"/>
        <w:ind w:firstLine="0"/>
        <w:contextualSpacing/>
        <w:mirrorIndents/>
        <w:rPr>
          <w:rFonts w:ascii="Times New Roman" w:hAnsi="Times New Roman" w:cs="Times New Roman"/>
          <w:sz w:val="10"/>
          <w:szCs w:val="10"/>
        </w:rPr>
      </w:pPr>
    </w:p>
    <w:p w14:paraId="67D25456"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The</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apparent</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discrepancy</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between</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compelling</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individual</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clinical</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responses</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limited</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randomized-trial evidence represents one of the central challenges in the PANDAS literature. Several explanations are plausible. First, immune-responsive patients may represent only a subset of individuals currently classified</w:t>
      </w:r>
      <w:r w:rsidRPr="00F3339D">
        <w:rPr>
          <w:rFonts w:ascii="Times New Roman" w:hAnsi="Times New Roman" w:cs="Times New Roman"/>
          <w:spacing w:val="67"/>
          <w:sz w:val="20"/>
          <w:szCs w:val="20"/>
        </w:rPr>
        <w:t xml:space="preserve"> </w:t>
      </w:r>
      <w:r w:rsidRPr="00F3339D">
        <w:rPr>
          <w:rFonts w:ascii="Times New Roman" w:hAnsi="Times New Roman" w:cs="Times New Roman"/>
          <w:sz w:val="20"/>
          <w:szCs w:val="20"/>
        </w:rPr>
        <w:t>under</w:t>
      </w:r>
      <w:r w:rsidRPr="00F3339D">
        <w:rPr>
          <w:rFonts w:ascii="Times New Roman" w:hAnsi="Times New Roman" w:cs="Times New Roman"/>
          <w:spacing w:val="67"/>
          <w:sz w:val="20"/>
          <w:szCs w:val="20"/>
        </w:rPr>
        <w:t xml:space="preserve"> </w:t>
      </w:r>
      <w:r w:rsidRPr="00F3339D">
        <w:rPr>
          <w:rFonts w:ascii="Times New Roman" w:hAnsi="Times New Roman" w:cs="Times New Roman"/>
          <w:sz w:val="20"/>
          <w:szCs w:val="20"/>
        </w:rPr>
        <w:t>the</w:t>
      </w:r>
      <w:r w:rsidRPr="00F3339D">
        <w:rPr>
          <w:rFonts w:ascii="Times New Roman" w:hAnsi="Times New Roman" w:cs="Times New Roman"/>
          <w:spacing w:val="67"/>
          <w:sz w:val="20"/>
          <w:szCs w:val="20"/>
        </w:rPr>
        <w:t xml:space="preserve"> </w:t>
      </w:r>
      <w:r w:rsidRPr="00F3339D">
        <w:rPr>
          <w:rFonts w:ascii="Times New Roman" w:hAnsi="Times New Roman" w:cs="Times New Roman"/>
          <w:sz w:val="20"/>
          <w:szCs w:val="20"/>
        </w:rPr>
        <w:t>broader</w:t>
      </w:r>
      <w:r w:rsidRPr="00F3339D">
        <w:rPr>
          <w:rFonts w:ascii="Times New Roman" w:hAnsi="Times New Roman" w:cs="Times New Roman"/>
          <w:spacing w:val="67"/>
          <w:sz w:val="20"/>
          <w:szCs w:val="20"/>
        </w:rPr>
        <w:t xml:space="preserve"> </w:t>
      </w:r>
      <w:r w:rsidRPr="00F3339D">
        <w:rPr>
          <w:rFonts w:ascii="Times New Roman" w:hAnsi="Times New Roman" w:cs="Times New Roman"/>
          <w:sz w:val="20"/>
          <w:szCs w:val="20"/>
        </w:rPr>
        <w:t>PANDAS</w:t>
      </w:r>
      <w:r w:rsidRPr="00F3339D">
        <w:rPr>
          <w:rFonts w:ascii="Times New Roman" w:hAnsi="Times New Roman" w:cs="Times New Roman"/>
          <w:spacing w:val="67"/>
          <w:sz w:val="20"/>
          <w:szCs w:val="20"/>
        </w:rPr>
        <w:t xml:space="preserve"> </w:t>
      </w:r>
      <w:r w:rsidRPr="00F3339D">
        <w:rPr>
          <w:rFonts w:ascii="Times New Roman" w:hAnsi="Times New Roman" w:cs="Times New Roman"/>
          <w:sz w:val="20"/>
          <w:szCs w:val="20"/>
        </w:rPr>
        <w:t>or</w:t>
      </w:r>
      <w:r w:rsidRPr="00F3339D">
        <w:rPr>
          <w:rFonts w:ascii="Times New Roman" w:hAnsi="Times New Roman" w:cs="Times New Roman"/>
          <w:spacing w:val="67"/>
          <w:sz w:val="20"/>
          <w:szCs w:val="20"/>
        </w:rPr>
        <w:t xml:space="preserve"> </w:t>
      </w:r>
      <w:r w:rsidRPr="00F3339D">
        <w:rPr>
          <w:rFonts w:ascii="Times New Roman" w:hAnsi="Times New Roman" w:cs="Times New Roman"/>
          <w:sz w:val="20"/>
          <w:szCs w:val="20"/>
        </w:rPr>
        <w:t>PANS</w:t>
      </w:r>
      <w:r w:rsidRPr="00F3339D">
        <w:rPr>
          <w:rFonts w:ascii="Times New Roman" w:hAnsi="Times New Roman" w:cs="Times New Roman"/>
          <w:spacing w:val="67"/>
          <w:sz w:val="20"/>
          <w:szCs w:val="20"/>
        </w:rPr>
        <w:t xml:space="preserve"> </w:t>
      </w:r>
      <w:r w:rsidRPr="00F3339D">
        <w:rPr>
          <w:rFonts w:ascii="Times New Roman" w:hAnsi="Times New Roman" w:cs="Times New Roman"/>
          <w:sz w:val="20"/>
          <w:szCs w:val="20"/>
        </w:rPr>
        <w:t>framework,</w:t>
      </w:r>
      <w:r w:rsidRPr="00F3339D">
        <w:rPr>
          <w:rFonts w:ascii="Times New Roman" w:hAnsi="Times New Roman" w:cs="Times New Roman"/>
          <w:spacing w:val="67"/>
          <w:sz w:val="20"/>
          <w:szCs w:val="20"/>
        </w:rPr>
        <w:t xml:space="preserve"> </w:t>
      </w:r>
      <w:r w:rsidRPr="00F3339D">
        <w:rPr>
          <w:rFonts w:ascii="Times New Roman" w:hAnsi="Times New Roman" w:cs="Times New Roman"/>
          <w:sz w:val="20"/>
          <w:szCs w:val="20"/>
        </w:rPr>
        <w:t>thereby</w:t>
      </w:r>
      <w:r w:rsidRPr="00F3339D">
        <w:rPr>
          <w:rFonts w:ascii="Times New Roman" w:hAnsi="Times New Roman" w:cs="Times New Roman"/>
          <w:spacing w:val="67"/>
          <w:sz w:val="20"/>
          <w:szCs w:val="20"/>
        </w:rPr>
        <w:t xml:space="preserve"> </w:t>
      </w:r>
      <w:r w:rsidRPr="00F3339D">
        <w:rPr>
          <w:rFonts w:ascii="Times New Roman" w:hAnsi="Times New Roman" w:cs="Times New Roman"/>
          <w:sz w:val="20"/>
          <w:szCs w:val="20"/>
        </w:rPr>
        <w:t>diluting</w:t>
      </w:r>
      <w:r w:rsidRPr="00F3339D">
        <w:rPr>
          <w:rFonts w:ascii="Times New Roman" w:hAnsi="Times New Roman" w:cs="Times New Roman"/>
          <w:spacing w:val="67"/>
          <w:sz w:val="20"/>
          <w:szCs w:val="20"/>
        </w:rPr>
        <w:t xml:space="preserve"> </w:t>
      </w:r>
      <w:r w:rsidRPr="00F3339D">
        <w:rPr>
          <w:rFonts w:ascii="Times New Roman" w:hAnsi="Times New Roman" w:cs="Times New Roman"/>
          <w:sz w:val="20"/>
          <w:szCs w:val="20"/>
        </w:rPr>
        <w:t>treatment</w:t>
      </w:r>
      <w:r w:rsidRPr="00F3339D">
        <w:rPr>
          <w:rFonts w:ascii="Times New Roman" w:hAnsi="Times New Roman" w:cs="Times New Roman"/>
          <w:spacing w:val="67"/>
          <w:sz w:val="20"/>
          <w:szCs w:val="20"/>
        </w:rPr>
        <w:t xml:space="preserve"> </w:t>
      </w:r>
      <w:r w:rsidRPr="00F3339D">
        <w:rPr>
          <w:rFonts w:ascii="Times New Roman" w:hAnsi="Times New Roman" w:cs="Times New Roman"/>
          <w:sz w:val="20"/>
          <w:szCs w:val="20"/>
        </w:rPr>
        <w:t>effects</w:t>
      </w:r>
      <w:r w:rsidRPr="00F3339D">
        <w:rPr>
          <w:rFonts w:ascii="Times New Roman" w:hAnsi="Times New Roman" w:cs="Times New Roman"/>
          <w:spacing w:val="67"/>
          <w:sz w:val="20"/>
          <w:szCs w:val="20"/>
        </w:rPr>
        <w:t xml:space="preserve"> </w:t>
      </w:r>
      <w:r w:rsidRPr="00F3339D">
        <w:rPr>
          <w:rFonts w:ascii="Times New Roman" w:hAnsi="Times New Roman" w:cs="Times New Roman"/>
          <w:sz w:val="20"/>
          <w:szCs w:val="20"/>
        </w:rPr>
        <w:t>in</w:t>
      </w:r>
      <w:r>
        <w:rPr>
          <w:rFonts w:ascii="Times New Roman" w:hAnsi="Times New Roman" w:cs="Times New Roman"/>
          <w:sz w:val="20"/>
          <w:szCs w:val="20"/>
        </w:rPr>
        <w:t xml:space="preserve"> </w:t>
      </w:r>
      <w:r w:rsidRPr="00F3339D">
        <w:rPr>
          <w:rFonts w:ascii="Times New Roman" w:hAnsi="Times New Roman" w:cs="Times New Roman"/>
          <w:sz w:val="20"/>
          <w:szCs w:val="20"/>
        </w:rPr>
        <w:t>heterogeneous study populations. Second, the relapsing-remitting nature of symptom trajectories increases</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susceptibility</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to</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regression-to-the-mean</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effects.</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Third,</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placebo</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responses</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may</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be</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particularly influential in disorders characterized by fluctuating symptom severity and high caregiver investment. Consequently, future immunotherapy trials will likely require biomarker-guided patient selection rather than reliance upon symptom-based diagnostic criteria alone [30,39,41].</w:t>
      </w:r>
    </w:p>
    <w:p w14:paraId="0AFA4D4C" w14:textId="77777777" w:rsidR="008E3035" w:rsidRPr="00C219DB" w:rsidRDefault="008E3035" w:rsidP="008E3035">
      <w:pPr>
        <w:pStyle w:val="BodyText"/>
        <w:spacing w:line="360" w:lineRule="auto"/>
        <w:ind w:firstLine="0"/>
        <w:contextualSpacing/>
        <w:mirrorIndents/>
        <w:rPr>
          <w:rFonts w:ascii="Times New Roman" w:hAnsi="Times New Roman" w:cs="Times New Roman"/>
          <w:sz w:val="10"/>
          <w:szCs w:val="10"/>
        </w:rPr>
      </w:pPr>
    </w:p>
    <w:p w14:paraId="3F741F39" w14:textId="7E934097" w:rsidR="008E3035" w:rsidRPr="00F3339D" w:rsidRDefault="00461EDC" w:rsidP="008E3035">
      <w:pPr>
        <w:pStyle w:val="Heading1"/>
        <w:spacing w:line="360" w:lineRule="auto"/>
        <w:ind w:left="0" w:firstLine="0"/>
        <w:contextualSpacing/>
        <w:mirrorIndents/>
        <w:jc w:val="both"/>
        <w:rPr>
          <w:sz w:val="20"/>
          <w:szCs w:val="20"/>
        </w:rPr>
      </w:pPr>
      <w:r>
        <w:rPr>
          <w:sz w:val="20"/>
          <w:szCs w:val="20"/>
        </w:rPr>
        <w:t>7.1</w:t>
      </w:r>
      <w:r w:rsidR="00C219DB">
        <w:rPr>
          <w:sz w:val="20"/>
          <w:szCs w:val="20"/>
        </w:rPr>
        <w:t xml:space="preserve"> </w:t>
      </w:r>
      <w:r w:rsidR="008E3035" w:rsidRPr="00F3339D">
        <w:rPr>
          <w:sz w:val="20"/>
          <w:szCs w:val="20"/>
        </w:rPr>
        <w:t>Long-Term</w:t>
      </w:r>
      <w:r w:rsidR="008E3035" w:rsidRPr="00F3339D">
        <w:rPr>
          <w:spacing w:val="-7"/>
          <w:sz w:val="20"/>
          <w:szCs w:val="20"/>
        </w:rPr>
        <w:t xml:space="preserve"> </w:t>
      </w:r>
      <w:r w:rsidR="008E3035" w:rsidRPr="00F3339D">
        <w:rPr>
          <w:sz w:val="20"/>
          <w:szCs w:val="20"/>
        </w:rPr>
        <w:t>Outcomes</w:t>
      </w:r>
      <w:r w:rsidR="008E3035" w:rsidRPr="00F3339D">
        <w:rPr>
          <w:spacing w:val="-7"/>
          <w:sz w:val="20"/>
          <w:szCs w:val="20"/>
        </w:rPr>
        <w:t xml:space="preserve"> </w:t>
      </w:r>
      <w:r w:rsidR="008E3035" w:rsidRPr="00F3339D">
        <w:rPr>
          <w:sz w:val="20"/>
          <w:szCs w:val="20"/>
        </w:rPr>
        <w:t>and</w:t>
      </w:r>
      <w:r w:rsidR="008E3035" w:rsidRPr="00F3339D">
        <w:rPr>
          <w:spacing w:val="-6"/>
          <w:sz w:val="20"/>
          <w:szCs w:val="20"/>
        </w:rPr>
        <w:t xml:space="preserve"> </w:t>
      </w:r>
      <w:r w:rsidR="008E3035" w:rsidRPr="00F3339D">
        <w:rPr>
          <w:spacing w:val="-2"/>
          <w:sz w:val="20"/>
          <w:szCs w:val="20"/>
        </w:rPr>
        <w:t>Prognosis</w:t>
      </w:r>
    </w:p>
    <w:p w14:paraId="64DE938A"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Long-term</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outcomes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in</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PANDAS</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PANS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remain</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incompletely</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characterized</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because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prospective studies following children into adolescence and adulthood are limited. Available evidence suggests a heterogeneous course rather than a single prognosis. Some children experience substantial remission, others follow a relapsing-remitting pattern, and a subset develop persistent psychiatric symptoms or functional impairment [8,43].</w:t>
      </w:r>
    </w:p>
    <w:p w14:paraId="546CA52C" w14:textId="77777777" w:rsidR="00C219DB" w:rsidRPr="00C219DB" w:rsidRDefault="00C219DB" w:rsidP="008E3035">
      <w:pPr>
        <w:pStyle w:val="BodyText"/>
        <w:spacing w:line="360" w:lineRule="auto"/>
        <w:ind w:firstLine="0"/>
        <w:contextualSpacing/>
        <w:mirrorIndents/>
        <w:rPr>
          <w:rFonts w:ascii="Times New Roman" w:hAnsi="Times New Roman" w:cs="Times New Roman"/>
          <w:sz w:val="10"/>
          <w:szCs w:val="10"/>
        </w:rPr>
      </w:pPr>
    </w:p>
    <w:p w14:paraId="49CEFA10" w14:textId="05E0C6BD"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Relapses are commonly described after infectious illnesses, particularly GAS, but exacerbations may also follow non-streptococcal infections, psychosocial stressors, or no identifiable trigger. The strength of the infection-relapse relationship varies across cohorts, likely reflecting differences in diagnostic criteria, microbiologic confirmation, treatment exposure, and follow-up duration [9,19</w:t>
      </w:r>
      <w:r w:rsidR="00C219DB">
        <w:rPr>
          <w:rFonts w:ascii="Times New Roman" w:hAnsi="Times New Roman" w:cs="Times New Roman"/>
          <w:sz w:val="20"/>
          <w:szCs w:val="20"/>
        </w:rPr>
        <w:t>-</w:t>
      </w:r>
      <w:r w:rsidRPr="00F3339D">
        <w:rPr>
          <w:rFonts w:ascii="Times New Roman" w:hAnsi="Times New Roman" w:cs="Times New Roman"/>
          <w:sz w:val="20"/>
          <w:szCs w:val="20"/>
        </w:rPr>
        <w:t>21].</w:t>
      </w:r>
    </w:p>
    <w:p w14:paraId="6DFBAC01" w14:textId="77777777" w:rsidR="00C219DB" w:rsidRPr="00C219DB" w:rsidRDefault="00C219DB" w:rsidP="008E3035">
      <w:pPr>
        <w:pStyle w:val="BodyText"/>
        <w:spacing w:line="360" w:lineRule="auto"/>
        <w:ind w:firstLine="0"/>
        <w:contextualSpacing/>
        <w:mirrorIndents/>
        <w:rPr>
          <w:rFonts w:ascii="Times New Roman" w:hAnsi="Times New Roman" w:cs="Times New Roman"/>
          <w:sz w:val="10"/>
          <w:szCs w:val="10"/>
        </w:rPr>
      </w:pPr>
    </w:p>
    <w:p w14:paraId="245C04FE"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Remission</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is</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possible</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may</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be</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substantial,</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especially</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when</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symptoms</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are</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recognized</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early</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and managed</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with</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lastRenderedPageBreak/>
        <w:t>coordinated</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psychiatric,</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educational,</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infectious</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disease,</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immunologic</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input.</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However, symptom reduction does not always mean full functional recovery. Residual anxiety, compulsive behaviors,</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tics,</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attentional</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problems,</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school</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avoidance,</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or</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family</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accommodation</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may</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persist</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after</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acute symptoms improve [8,43].</w:t>
      </w:r>
    </w:p>
    <w:p w14:paraId="58981F1F" w14:textId="77777777" w:rsidR="00C219DB" w:rsidRPr="00C219DB" w:rsidRDefault="00C219DB" w:rsidP="008E3035">
      <w:pPr>
        <w:pStyle w:val="BodyText"/>
        <w:spacing w:line="360" w:lineRule="auto"/>
        <w:ind w:firstLine="0"/>
        <w:contextualSpacing/>
        <w:mirrorIndents/>
        <w:rPr>
          <w:rFonts w:ascii="Times New Roman" w:hAnsi="Times New Roman" w:cs="Times New Roman"/>
          <w:sz w:val="10"/>
          <w:szCs w:val="10"/>
        </w:rPr>
      </w:pPr>
    </w:p>
    <w:p w14:paraId="79383B31"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Adult outcomes are particularly uncertain. Some patients appear to improve during adolescence, whereas others continue to experience chronic OCD, tic symptoms, anxiety, mood symptoms, or functional</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impairment.</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Because</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few</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cohorts</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extend</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into</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adulthood,</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it</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remains</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unclear</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whether</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PANDAS is usually self-limited, a relapsing-remitting neuroimmune condition, or a risk factor for later psychiatric morbidity in biologically susceptible subgroups [9,12,41].</w:t>
      </w:r>
    </w:p>
    <w:p w14:paraId="080C5775" w14:textId="77777777" w:rsidR="00C219DB" w:rsidRPr="00C219DB" w:rsidRDefault="00C219DB" w:rsidP="008E3035">
      <w:pPr>
        <w:pStyle w:val="BodyText"/>
        <w:spacing w:line="360" w:lineRule="auto"/>
        <w:ind w:firstLine="0"/>
        <w:contextualSpacing/>
        <w:mirrorIndents/>
        <w:rPr>
          <w:rFonts w:ascii="Times New Roman" w:hAnsi="Times New Roman" w:cs="Times New Roman"/>
          <w:sz w:val="10"/>
          <w:szCs w:val="10"/>
        </w:rPr>
      </w:pPr>
    </w:p>
    <w:p w14:paraId="7D43CC78"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Functional outcomes deserve greater emphasis than symptom counts alone. Abrupt neuropsychiatric deterioration can disrupt school attendance, peer relationships, family routines, and caregiver</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well-being.</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Families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may</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face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substantial</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emotional,</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logistical,</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financial</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burden,</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particularly when symptoms are severe, relapsing, or diagnostically uncertain [44].</w:t>
      </w:r>
    </w:p>
    <w:p w14:paraId="06A7A3FD" w14:textId="77777777" w:rsidR="00E77678" w:rsidRPr="00E77678" w:rsidRDefault="00E77678" w:rsidP="008E3035">
      <w:pPr>
        <w:pStyle w:val="BodyText"/>
        <w:spacing w:line="360" w:lineRule="auto"/>
        <w:ind w:firstLine="0"/>
        <w:contextualSpacing/>
        <w:mirrorIndents/>
        <w:rPr>
          <w:rFonts w:ascii="Times New Roman" w:hAnsi="Times New Roman" w:cs="Times New Roman"/>
          <w:sz w:val="10"/>
          <w:szCs w:val="10"/>
        </w:rPr>
      </w:pPr>
    </w:p>
    <w:p w14:paraId="2D081999" w14:textId="1785DBF2"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Overall, current evidence supports cautious optimism while underscoring prognostic uncertainty. Future studies should use standardized symptom scales, school-function measures, quality-of-life instruments, caregiver-burden assessments, and long-term follow-up to identify predictors of relapse, remission, functional recovery, and adult outcome [41,44].</w:t>
      </w:r>
    </w:p>
    <w:p w14:paraId="718B0E29" w14:textId="77777777" w:rsidR="008E3035" w:rsidRPr="00E77678" w:rsidRDefault="008E3035" w:rsidP="008E3035">
      <w:pPr>
        <w:pStyle w:val="BodyText"/>
        <w:spacing w:line="360" w:lineRule="auto"/>
        <w:ind w:firstLine="0"/>
        <w:contextualSpacing/>
        <w:mirrorIndents/>
        <w:rPr>
          <w:rFonts w:ascii="Times New Roman" w:hAnsi="Times New Roman" w:cs="Times New Roman"/>
          <w:sz w:val="10"/>
          <w:szCs w:val="10"/>
        </w:rPr>
      </w:pPr>
    </w:p>
    <w:p w14:paraId="385146E6" w14:textId="5E04D977" w:rsidR="008E3035" w:rsidRPr="00F3339D" w:rsidRDefault="00461EDC" w:rsidP="008E3035">
      <w:pPr>
        <w:pStyle w:val="Heading1"/>
        <w:spacing w:line="360" w:lineRule="auto"/>
        <w:ind w:left="0" w:firstLine="0"/>
        <w:contextualSpacing/>
        <w:mirrorIndents/>
        <w:jc w:val="both"/>
        <w:rPr>
          <w:sz w:val="20"/>
          <w:szCs w:val="20"/>
        </w:rPr>
      </w:pPr>
      <w:r>
        <w:rPr>
          <w:sz w:val="20"/>
          <w:szCs w:val="20"/>
        </w:rPr>
        <w:t>7.2</w:t>
      </w:r>
      <w:r w:rsidR="00E77678">
        <w:rPr>
          <w:sz w:val="20"/>
          <w:szCs w:val="20"/>
        </w:rPr>
        <w:t xml:space="preserve"> </w:t>
      </w:r>
      <w:r w:rsidR="008E3035" w:rsidRPr="00F3339D">
        <w:rPr>
          <w:sz w:val="20"/>
          <w:szCs w:val="20"/>
        </w:rPr>
        <w:t>Major</w:t>
      </w:r>
      <w:r w:rsidR="008E3035" w:rsidRPr="00F3339D">
        <w:rPr>
          <w:spacing w:val="-7"/>
          <w:sz w:val="20"/>
          <w:szCs w:val="20"/>
        </w:rPr>
        <w:t xml:space="preserve"> </w:t>
      </w:r>
      <w:r w:rsidR="008E3035" w:rsidRPr="00F3339D">
        <w:rPr>
          <w:sz w:val="20"/>
          <w:szCs w:val="20"/>
        </w:rPr>
        <w:t>Controversies</w:t>
      </w:r>
      <w:r w:rsidR="008E3035" w:rsidRPr="00F3339D">
        <w:rPr>
          <w:spacing w:val="-6"/>
          <w:sz w:val="20"/>
          <w:szCs w:val="20"/>
        </w:rPr>
        <w:t xml:space="preserve"> </w:t>
      </w:r>
      <w:r w:rsidR="008E3035" w:rsidRPr="00F3339D">
        <w:rPr>
          <w:sz w:val="20"/>
          <w:szCs w:val="20"/>
        </w:rPr>
        <w:t>in</w:t>
      </w:r>
      <w:r w:rsidR="008E3035" w:rsidRPr="00F3339D">
        <w:rPr>
          <w:spacing w:val="-7"/>
          <w:sz w:val="20"/>
          <w:szCs w:val="20"/>
        </w:rPr>
        <w:t xml:space="preserve"> </w:t>
      </w:r>
      <w:r w:rsidR="008E3035" w:rsidRPr="00F3339D">
        <w:rPr>
          <w:sz w:val="20"/>
          <w:szCs w:val="20"/>
        </w:rPr>
        <w:t>PANDAS</w:t>
      </w:r>
      <w:r w:rsidR="008E3035" w:rsidRPr="00F3339D">
        <w:rPr>
          <w:spacing w:val="-6"/>
          <w:sz w:val="20"/>
          <w:szCs w:val="20"/>
        </w:rPr>
        <w:t xml:space="preserve"> </w:t>
      </w:r>
      <w:r w:rsidR="008E3035" w:rsidRPr="00F3339D">
        <w:rPr>
          <w:spacing w:val="-2"/>
          <w:sz w:val="20"/>
          <w:szCs w:val="20"/>
        </w:rPr>
        <w:t>Research</w:t>
      </w:r>
    </w:p>
    <w:p w14:paraId="2119A672"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More than twenty-five years after its original description, PANDAS remains among the most controversial diagnoses in pediatric neuropsychiatry. Unlike many disputed medical conditions that lack biologic plausibility, debate surrounding PANDAS persists despite the presence of substantial immunologic,</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epidemiologic,</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translational</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evidence</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[1,31].</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The</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controversy</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therefore</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centers</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not</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on whether immune-mediated neuropsychiatric disease can occur, but rather on how frequently it occurs, how it should be diagnosed, and which patients truly belong within the PANDAS construct [10,40].</w:t>
      </w:r>
    </w:p>
    <w:p w14:paraId="196419B4" w14:textId="77777777" w:rsidR="004572E0" w:rsidRPr="004572E0" w:rsidRDefault="004572E0" w:rsidP="008E3035">
      <w:pPr>
        <w:pStyle w:val="BodyText"/>
        <w:spacing w:line="360" w:lineRule="auto"/>
        <w:ind w:firstLine="0"/>
        <w:contextualSpacing/>
        <w:mirrorIndents/>
        <w:rPr>
          <w:rFonts w:ascii="Times New Roman" w:hAnsi="Times New Roman" w:cs="Times New Roman"/>
          <w:sz w:val="10"/>
          <w:szCs w:val="10"/>
        </w:rPr>
      </w:pPr>
    </w:p>
    <w:p w14:paraId="7013226D"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Guideline disagreement has itself become part of the contemporary controversy. The 2025 AAP clinical report places strong emphasis on cautious diagnosis, limited evidence for many interventions, and the need for additional multicenter research [44]. By contrast, Nordic guidance and Delphi-based publications tend to emphasize broader multidisciplinary evaluation and careful recognition of inflammatory</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or</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immune-mediated</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subgroups</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[45,47].</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These</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perspectives</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are</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not</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entirely</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incompatible: together, they indicate that clinicians should neither dismiss abrupt-onset neuropsychiatric deterioration nor assume that every such presentation reflects PANDAS/PANS [44,45,47].</w:t>
      </w:r>
    </w:p>
    <w:p w14:paraId="291CA696" w14:textId="77777777" w:rsidR="008E3035" w:rsidRPr="00E77678" w:rsidRDefault="008E3035" w:rsidP="008E3035">
      <w:pPr>
        <w:pStyle w:val="BodyText"/>
        <w:spacing w:line="360" w:lineRule="auto"/>
        <w:ind w:firstLine="0"/>
        <w:contextualSpacing/>
        <w:mirrorIndents/>
        <w:rPr>
          <w:rFonts w:ascii="Times New Roman" w:hAnsi="Times New Roman" w:cs="Times New Roman"/>
          <w:sz w:val="10"/>
          <w:szCs w:val="10"/>
        </w:rPr>
      </w:pPr>
    </w:p>
    <w:p w14:paraId="4B2F8D0D" w14:textId="1EA32C28" w:rsidR="008E3035" w:rsidRPr="00F3339D" w:rsidRDefault="00461EDC" w:rsidP="00E434AC">
      <w:pPr>
        <w:pStyle w:val="Heading1"/>
        <w:spacing w:line="360" w:lineRule="auto"/>
        <w:ind w:left="0" w:firstLine="0"/>
        <w:contextualSpacing/>
        <w:mirrorIndents/>
        <w:jc w:val="both"/>
        <w:rPr>
          <w:sz w:val="20"/>
          <w:szCs w:val="20"/>
        </w:rPr>
      </w:pPr>
      <w:r>
        <w:rPr>
          <w:sz w:val="20"/>
          <w:szCs w:val="20"/>
        </w:rPr>
        <w:t>7.3</w:t>
      </w:r>
      <w:r w:rsidR="00E77678">
        <w:rPr>
          <w:sz w:val="20"/>
          <w:szCs w:val="20"/>
        </w:rPr>
        <w:t xml:space="preserve"> </w:t>
      </w:r>
      <w:r w:rsidR="008E3035" w:rsidRPr="00F3339D">
        <w:rPr>
          <w:sz w:val="20"/>
          <w:szCs w:val="20"/>
        </w:rPr>
        <w:t>Controversy</w:t>
      </w:r>
      <w:r w:rsidR="008E3035" w:rsidRPr="00F3339D">
        <w:rPr>
          <w:spacing w:val="-6"/>
          <w:sz w:val="20"/>
          <w:szCs w:val="20"/>
        </w:rPr>
        <w:t xml:space="preserve"> </w:t>
      </w:r>
      <w:r w:rsidR="008E3035" w:rsidRPr="00F3339D">
        <w:rPr>
          <w:sz w:val="20"/>
          <w:szCs w:val="20"/>
        </w:rPr>
        <w:t>1:</w:t>
      </w:r>
      <w:r w:rsidR="008E3035" w:rsidRPr="00F3339D">
        <w:rPr>
          <w:spacing w:val="-5"/>
          <w:sz w:val="20"/>
          <w:szCs w:val="20"/>
        </w:rPr>
        <w:t xml:space="preserve"> </w:t>
      </w:r>
      <w:r w:rsidR="008E3035" w:rsidRPr="00F3339D">
        <w:rPr>
          <w:sz w:val="20"/>
          <w:szCs w:val="20"/>
        </w:rPr>
        <w:t>Is</w:t>
      </w:r>
      <w:r w:rsidR="008E3035" w:rsidRPr="00F3339D">
        <w:rPr>
          <w:spacing w:val="-6"/>
          <w:sz w:val="20"/>
          <w:szCs w:val="20"/>
        </w:rPr>
        <w:t xml:space="preserve"> </w:t>
      </w:r>
      <w:r w:rsidR="008E3035" w:rsidRPr="00F3339D">
        <w:rPr>
          <w:sz w:val="20"/>
          <w:szCs w:val="20"/>
        </w:rPr>
        <w:t>PANDAS</w:t>
      </w:r>
      <w:r w:rsidR="008E3035" w:rsidRPr="00F3339D">
        <w:rPr>
          <w:spacing w:val="-5"/>
          <w:sz w:val="20"/>
          <w:szCs w:val="20"/>
        </w:rPr>
        <w:t xml:space="preserve"> </w:t>
      </w:r>
      <w:r w:rsidR="008E3035" w:rsidRPr="00F3339D">
        <w:rPr>
          <w:sz w:val="20"/>
          <w:szCs w:val="20"/>
        </w:rPr>
        <w:t>a</w:t>
      </w:r>
      <w:r w:rsidR="008E3035" w:rsidRPr="00F3339D">
        <w:rPr>
          <w:spacing w:val="-6"/>
          <w:sz w:val="20"/>
          <w:szCs w:val="20"/>
        </w:rPr>
        <w:t xml:space="preserve"> </w:t>
      </w:r>
      <w:r w:rsidR="008E3035" w:rsidRPr="00F3339D">
        <w:rPr>
          <w:sz w:val="20"/>
          <w:szCs w:val="20"/>
        </w:rPr>
        <w:t>Distinct</w:t>
      </w:r>
      <w:r w:rsidR="008E3035" w:rsidRPr="00F3339D">
        <w:rPr>
          <w:spacing w:val="-5"/>
          <w:sz w:val="20"/>
          <w:szCs w:val="20"/>
        </w:rPr>
        <w:t xml:space="preserve"> </w:t>
      </w:r>
      <w:r w:rsidR="008E3035" w:rsidRPr="00F3339D">
        <w:rPr>
          <w:sz w:val="20"/>
          <w:szCs w:val="20"/>
        </w:rPr>
        <w:t>Clinical</w:t>
      </w:r>
      <w:r w:rsidR="008E3035" w:rsidRPr="00F3339D">
        <w:rPr>
          <w:spacing w:val="-5"/>
          <w:sz w:val="20"/>
          <w:szCs w:val="20"/>
        </w:rPr>
        <w:t xml:space="preserve"> </w:t>
      </w:r>
      <w:r w:rsidR="008E3035" w:rsidRPr="00F3339D">
        <w:rPr>
          <w:spacing w:val="-2"/>
          <w:sz w:val="20"/>
          <w:szCs w:val="20"/>
        </w:rPr>
        <w:t>Entity?</w:t>
      </w:r>
    </w:p>
    <w:p w14:paraId="7A430D47"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A fundamental unresolved question is whether PANDAS represents a discrete disease entity or a descriptive clinical phenotype. Supporters argue that the syndrome demonstrates sufficient consistency in symptom onset, temporal relationship to infection, neurologic findings, and treatment response to justify recognition as a unique disorder [1,3].</w:t>
      </w:r>
    </w:p>
    <w:p w14:paraId="2D74CBFE" w14:textId="77777777" w:rsidR="00E77678" w:rsidRPr="00E77678" w:rsidRDefault="00E77678" w:rsidP="008E3035">
      <w:pPr>
        <w:pStyle w:val="BodyText"/>
        <w:spacing w:line="360" w:lineRule="auto"/>
        <w:ind w:firstLine="0"/>
        <w:contextualSpacing/>
        <w:mirrorIndents/>
        <w:rPr>
          <w:rFonts w:ascii="Times New Roman" w:hAnsi="Times New Roman" w:cs="Times New Roman"/>
          <w:sz w:val="10"/>
          <w:szCs w:val="10"/>
        </w:rPr>
      </w:pPr>
    </w:p>
    <w:p w14:paraId="796149A9"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Critics counter that many defining characteristics of PANDAS are nonspecific. Obsessive-compulsive symptoms, tic disorders, anxiety, emotional lability, and behavioral dysregulation occur frequently in childhood psychiatric populations independent of infectious triggers. Because symptom overlap is extensive, some investigators argue that PANDAS may simply represent one manifestation within a broader spectrum of childhood neuropsychiatric illness [9,12].</w:t>
      </w:r>
    </w:p>
    <w:p w14:paraId="6B65A920" w14:textId="77777777" w:rsidR="00E77678" w:rsidRPr="00E77678" w:rsidRDefault="00E77678" w:rsidP="008E3035">
      <w:pPr>
        <w:pStyle w:val="BodyText"/>
        <w:spacing w:line="360" w:lineRule="auto"/>
        <w:ind w:firstLine="0"/>
        <w:contextualSpacing/>
        <w:mirrorIndents/>
        <w:rPr>
          <w:rFonts w:ascii="Times New Roman" w:hAnsi="Times New Roman" w:cs="Times New Roman"/>
          <w:sz w:val="10"/>
          <w:szCs w:val="10"/>
        </w:rPr>
      </w:pPr>
    </w:p>
    <w:p w14:paraId="2453D5C0" w14:textId="2E788BEC"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An</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emerging</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perspective</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attempts</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to</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reconcile</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these</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positions</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by</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viewing</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PANDAS</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as</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a</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biologically heterogeneous syndrome. Under this model, infection-triggered autoimmunity may contribute substantially to symptom development in some patients while playing little or no role in others. This framework acknowledges both the existence of genuine neuroimmune disease and the limitations of current diagnostic criteria [31,41].</w:t>
      </w:r>
      <w:r>
        <w:rPr>
          <w:rFonts w:ascii="Times New Roman" w:hAnsi="Times New Roman" w:cs="Times New Roman"/>
          <w:sz w:val="20"/>
          <w:szCs w:val="20"/>
        </w:rPr>
        <w:t xml:space="preserve"> </w:t>
      </w:r>
    </w:p>
    <w:p w14:paraId="3436AD98" w14:textId="77777777" w:rsidR="008E3035" w:rsidRPr="00E77678" w:rsidRDefault="008E3035" w:rsidP="008E3035">
      <w:pPr>
        <w:pStyle w:val="BodyText"/>
        <w:spacing w:line="360" w:lineRule="auto"/>
        <w:ind w:firstLine="0"/>
        <w:contextualSpacing/>
        <w:mirrorIndents/>
        <w:rPr>
          <w:rFonts w:ascii="Times New Roman" w:hAnsi="Times New Roman" w:cs="Times New Roman"/>
          <w:sz w:val="10"/>
          <w:szCs w:val="10"/>
        </w:rPr>
      </w:pPr>
    </w:p>
    <w:p w14:paraId="4782B6E4" w14:textId="0AF8D21F" w:rsidR="008E3035" w:rsidRPr="00F3339D" w:rsidRDefault="00461EDC" w:rsidP="008E3035">
      <w:pPr>
        <w:pStyle w:val="Heading1"/>
        <w:spacing w:line="360" w:lineRule="auto"/>
        <w:ind w:left="0" w:firstLine="0"/>
        <w:contextualSpacing/>
        <w:mirrorIndents/>
        <w:jc w:val="both"/>
        <w:rPr>
          <w:sz w:val="20"/>
          <w:szCs w:val="20"/>
        </w:rPr>
      </w:pPr>
      <w:r>
        <w:rPr>
          <w:sz w:val="20"/>
          <w:szCs w:val="20"/>
        </w:rPr>
        <w:t>7.4</w:t>
      </w:r>
      <w:r w:rsidR="00E77678">
        <w:rPr>
          <w:sz w:val="20"/>
          <w:szCs w:val="20"/>
        </w:rPr>
        <w:t xml:space="preserve"> </w:t>
      </w:r>
      <w:r w:rsidR="008E3035" w:rsidRPr="00F3339D">
        <w:rPr>
          <w:sz w:val="20"/>
          <w:szCs w:val="20"/>
        </w:rPr>
        <w:t>Controversy</w:t>
      </w:r>
      <w:r w:rsidR="008E3035" w:rsidRPr="00F3339D">
        <w:rPr>
          <w:spacing w:val="-7"/>
          <w:sz w:val="20"/>
          <w:szCs w:val="20"/>
        </w:rPr>
        <w:t xml:space="preserve"> </w:t>
      </w:r>
      <w:r w:rsidR="008E3035" w:rsidRPr="00F3339D">
        <w:rPr>
          <w:sz w:val="20"/>
          <w:szCs w:val="20"/>
        </w:rPr>
        <w:t>2:</w:t>
      </w:r>
      <w:r w:rsidR="008E3035" w:rsidRPr="00F3339D">
        <w:rPr>
          <w:spacing w:val="-6"/>
          <w:sz w:val="20"/>
          <w:szCs w:val="20"/>
        </w:rPr>
        <w:t xml:space="preserve"> </w:t>
      </w:r>
      <w:r w:rsidR="008E3035" w:rsidRPr="00F3339D">
        <w:rPr>
          <w:sz w:val="20"/>
          <w:szCs w:val="20"/>
        </w:rPr>
        <w:t>The</w:t>
      </w:r>
      <w:r w:rsidR="008E3035" w:rsidRPr="00F3339D">
        <w:rPr>
          <w:spacing w:val="-6"/>
          <w:sz w:val="20"/>
          <w:szCs w:val="20"/>
        </w:rPr>
        <w:t xml:space="preserve"> </w:t>
      </w:r>
      <w:r w:rsidR="008E3035" w:rsidRPr="00F3339D">
        <w:rPr>
          <w:sz w:val="20"/>
          <w:szCs w:val="20"/>
        </w:rPr>
        <w:t>Biomarker</w:t>
      </w:r>
      <w:r w:rsidR="008E3035" w:rsidRPr="00F3339D">
        <w:rPr>
          <w:spacing w:val="-6"/>
          <w:sz w:val="20"/>
          <w:szCs w:val="20"/>
        </w:rPr>
        <w:t xml:space="preserve"> </w:t>
      </w:r>
      <w:r w:rsidR="008E3035" w:rsidRPr="00F3339D">
        <w:rPr>
          <w:spacing w:val="-2"/>
          <w:sz w:val="20"/>
          <w:szCs w:val="20"/>
        </w:rPr>
        <w:t>Problem</w:t>
      </w:r>
    </w:p>
    <w:p w14:paraId="7CAF1840" w14:textId="3A102FCA" w:rsidR="008E3035" w:rsidRDefault="008E3035" w:rsidP="008E3035">
      <w:pPr>
        <w:pStyle w:val="BodyText"/>
        <w:spacing w:line="360" w:lineRule="auto"/>
        <w:ind w:firstLine="0"/>
        <w:contextualSpacing/>
        <w:mirrorIndents/>
        <w:rPr>
          <w:rFonts w:ascii="Times New Roman" w:hAnsi="Times New Roman" w:cs="Times New Roman"/>
          <w:spacing w:val="-2"/>
          <w:sz w:val="20"/>
          <w:szCs w:val="20"/>
        </w:rPr>
      </w:pPr>
      <w:r w:rsidRPr="00F3339D">
        <w:rPr>
          <w:rFonts w:ascii="Times New Roman" w:hAnsi="Times New Roman" w:cs="Times New Roman"/>
          <w:sz w:val="20"/>
          <w:szCs w:val="20"/>
        </w:rPr>
        <w:t xml:space="preserve">The absence of validated biomarkers remains perhaps the single greatest obstacle to scientific progress. Most medical disorders ultimately become easier to study once objective diagnostic tests are developed. In contrast, PANDAS diagnosis continues to rely primarily upon clinical judgment </w:t>
      </w:r>
      <w:r w:rsidRPr="00F3339D">
        <w:rPr>
          <w:rFonts w:ascii="Times New Roman" w:hAnsi="Times New Roman" w:cs="Times New Roman"/>
          <w:spacing w:val="-2"/>
          <w:sz w:val="20"/>
          <w:szCs w:val="20"/>
        </w:rPr>
        <w:t>[10,44</w:t>
      </w:r>
      <w:r w:rsidR="00E77678">
        <w:rPr>
          <w:rFonts w:ascii="Times New Roman" w:hAnsi="Times New Roman" w:cs="Times New Roman"/>
          <w:spacing w:val="-2"/>
          <w:sz w:val="20"/>
          <w:szCs w:val="20"/>
        </w:rPr>
        <w:t>-</w:t>
      </w:r>
      <w:r w:rsidRPr="00F3339D">
        <w:rPr>
          <w:rFonts w:ascii="Times New Roman" w:hAnsi="Times New Roman" w:cs="Times New Roman"/>
          <w:spacing w:val="-2"/>
          <w:sz w:val="20"/>
          <w:szCs w:val="20"/>
        </w:rPr>
        <w:t>46].</w:t>
      </w:r>
    </w:p>
    <w:p w14:paraId="7A00BAC9" w14:textId="77777777" w:rsidR="00E77678" w:rsidRPr="00E77678" w:rsidRDefault="00E77678" w:rsidP="008E3035">
      <w:pPr>
        <w:pStyle w:val="BodyText"/>
        <w:spacing w:line="360" w:lineRule="auto"/>
        <w:ind w:firstLine="0"/>
        <w:contextualSpacing/>
        <w:mirrorIndents/>
        <w:rPr>
          <w:rFonts w:ascii="Times New Roman" w:hAnsi="Times New Roman" w:cs="Times New Roman"/>
          <w:sz w:val="10"/>
          <w:szCs w:val="10"/>
        </w:rPr>
      </w:pPr>
    </w:p>
    <w:p w14:paraId="64423DC4" w14:textId="7A41613D"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The Cunningham Panel controversy exemplifies this challenge [10]</w:t>
      </w:r>
      <w:r w:rsidR="00DA2DEA">
        <w:rPr>
          <w:rFonts w:ascii="Times New Roman" w:hAnsi="Times New Roman" w:cs="Times New Roman"/>
          <w:sz w:val="20"/>
          <w:szCs w:val="20"/>
        </w:rPr>
        <w:t>.</w:t>
      </w:r>
      <w:r w:rsidRPr="00F3339D">
        <w:rPr>
          <w:rFonts w:ascii="Times New Roman" w:hAnsi="Times New Roman" w:cs="Times New Roman"/>
          <w:sz w:val="20"/>
          <w:szCs w:val="20"/>
        </w:rPr>
        <w:t xml:space="preserve"> Initial investigations generated enthusiasm by suggesting that antineuronal antibodies and CaMKII activation might provide objective evidence</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autoimmune</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neuropsychiatric</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disease</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[5].</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However,</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independent</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validation</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studies</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failed</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to consistently replicate these findings [10].</w:t>
      </w:r>
    </w:p>
    <w:p w14:paraId="0630865E" w14:textId="77777777" w:rsidR="00E77678" w:rsidRPr="00E77678" w:rsidRDefault="00E77678" w:rsidP="008E3035">
      <w:pPr>
        <w:pStyle w:val="BodyText"/>
        <w:spacing w:line="360" w:lineRule="auto"/>
        <w:ind w:firstLine="0"/>
        <w:contextualSpacing/>
        <w:mirrorIndents/>
        <w:rPr>
          <w:rFonts w:ascii="Times New Roman" w:hAnsi="Times New Roman" w:cs="Times New Roman"/>
          <w:sz w:val="10"/>
          <w:szCs w:val="10"/>
        </w:rPr>
      </w:pPr>
    </w:p>
    <w:p w14:paraId="5C488568"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Importantly, failure of a particular biomarker does not necessarily invalidate the underlying disease hypothesis. Many neurologic and autoimmune disorders required decades of research before reliable biomarkers emerged. Nevertheless, the absence of validated laboratory testing continues to limit diagnostic precision and contributes substantially to ongoing skepticism [10,44].</w:t>
      </w:r>
    </w:p>
    <w:p w14:paraId="7AB943F7" w14:textId="77777777" w:rsidR="00E77678" w:rsidRPr="00E77678" w:rsidRDefault="00E77678" w:rsidP="008E3035">
      <w:pPr>
        <w:pStyle w:val="BodyText"/>
        <w:spacing w:line="360" w:lineRule="auto"/>
        <w:ind w:firstLine="0"/>
        <w:contextualSpacing/>
        <w:mirrorIndents/>
        <w:rPr>
          <w:rFonts w:ascii="Times New Roman" w:hAnsi="Times New Roman" w:cs="Times New Roman"/>
          <w:sz w:val="10"/>
          <w:szCs w:val="10"/>
        </w:rPr>
      </w:pPr>
    </w:p>
    <w:p w14:paraId="6532D4A0"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Future</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biomarker</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development</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will</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likely</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require</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integration</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multiple</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biologic</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domains</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rather</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than reliance</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upon</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single</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laboratory</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assays.</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Composite</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approaches</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incorporating</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immune</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markers,</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imaging findings, genomics, and clinical features may ultimately prove more successful than antibody testing alone [41,44].</w:t>
      </w:r>
    </w:p>
    <w:p w14:paraId="6A13E2E7" w14:textId="77777777" w:rsidR="008E3035" w:rsidRPr="00AA156B" w:rsidRDefault="008E3035" w:rsidP="008E3035">
      <w:pPr>
        <w:pStyle w:val="BodyText"/>
        <w:spacing w:line="360" w:lineRule="auto"/>
        <w:ind w:firstLine="0"/>
        <w:contextualSpacing/>
        <w:mirrorIndents/>
        <w:rPr>
          <w:rFonts w:ascii="Times New Roman" w:hAnsi="Times New Roman" w:cs="Times New Roman"/>
          <w:sz w:val="10"/>
          <w:szCs w:val="10"/>
        </w:rPr>
      </w:pPr>
    </w:p>
    <w:p w14:paraId="17F49D86" w14:textId="259EDF1E" w:rsidR="008E3035" w:rsidRPr="00F3339D" w:rsidRDefault="00461EDC" w:rsidP="008E3035">
      <w:pPr>
        <w:pStyle w:val="Heading1"/>
        <w:spacing w:line="360" w:lineRule="auto"/>
        <w:ind w:left="0" w:firstLine="0"/>
        <w:contextualSpacing/>
        <w:mirrorIndents/>
        <w:jc w:val="both"/>
        <w:rPr>
          <w:sz w:val="20"/>
          <w:szCs w:val="20"/>
        </w:rPr>
      </w:pPr>
      <w:r>
        <w:rPr>
          <w:sz w:val="20"/>
          <w:szCs w:val="20"/>
        </w:rPr>
        <w:t>7.5</w:t>
      </w:r>
      <w:r w:rsidR="00AA156B">
        <w:rPr>
          <w:sz w:val="20"/>
          <w:szCs w:val="20"/>
        </w:rPr>
        <w:t xml:space="preserve"> </w:t>
      </w:r>
      <w:r w:rsidR="008E3035" w:rsidRPr="00F3339D">
        <w:rPr>
          <w:sz w:val="20"/>
          <w:szCs w:val="20"/>
        </w:rPr>
        <w:t>Controversy</w:t>
      </w:r>
      <w:r w:rsidR="008E3035" w:rsidRPr="00F3339D">
        <w:rPr>
          <w:spacing w:val="-8"/>
          <w:sz w:val="20"/>
          <w:szCs w:val="20"/>
        </w:rPr>
        <w:t xml:space="preserve"> </w:t>
      </w:r>
      <w:r w:rsidR="008E3035" w:rsidRPr="00F3339D">
        <w:rPr>
          <w:sz w:val="20"/>
          <w:szCs w:val="20"/>
        </w:rPr>
        <w:t>3:</w:t>
      </w:r>
      <w:r w:rsidR="008E3035" w:rsidRPr="00F3339D">
        <w:rPr>
          <w:spacing w:val="-8"/>
          <w:sz w:val="20"/>
          <w:szCs w:val="20"/>
        </w:rPr>
        <w:t xml:space="preserve"> </w:t>
      </w:r>
      <w:r w:rsidR="008E3035" w:rsidRPr="00F3339D">
        <w:rPr>
          <w:sz w:val="20"/>
          <w:szCs w:val="20"/>
        </w:rPr>
        <w:t>Overdiagnosis</w:t>
      </w:r>
      <w:r w:rsidR="008E3035" w:rsidRPr="00F3339D">
        <w:rPr>
          <w:spacing w:val="-8"/>
          <w:sz w:val="20"/>
          <w:szCs w:val="20"/>
        </w:rPr>
        <w:t xml:space="preserve"> </w:t>
      </w:r>
      <w:r w:rsidR="008E3035" w:rsidRPr="00F3339D">
        <w:rPr>
          <w:sz w:val="20"/>
          <w:szCs w:val="20"/>
        </w:rPr>
        <w:t>and</w:t>
      </w:r>
      <w:r w:rsidR="008E3035" w:rsidRPr="00F3339D">
        <w:rPr>
          <w:spacing w:val="-8"/>
          <w:sz w:val="20"/>
          <w:szCs w:val="20"/>
        </w:rPr>
        <w:t xml:space="preserve"> </w:t>
      </w:r>
      <w:r w:rsidR="008E3035" w:rsidRPr="00F3339D">
        <w:rPr>
          <w:sz w:val="20"/>
          <w:szCs w:val="20"/>
        </w:rPr>
        <w:t>Diagnostic</w:t>
      </w:r>
      <w:r w:rsidR="008E3035" w:rsidRPr="00F3339D">
        <w:rPr>
          <w:spacing w:val="-7"/>
          <w:sz w:val="20"/>
          <w:szCs w:val="20"/>
        </w:rPr>
        <w:t xml:space="preserve"> </w:t>
      </w:r>
      <w:r w:rsidR="008E3035" w:rsidRPr="00F3339D">
        <w:rPr>
          <w:spacing w:val="-2"/>
          <w:sz w:val="20"/>
          <w:szCs w:val="20"/>
        </w:rPr>
        <w:t>Expansion</w:t>
      </w:r>
    </w:p>
    <w:p w14:paraId="1E4BDCD9"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Increasing</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awareness</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of PANDAS</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has</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produced</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both</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benefits</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challenges. Greater recognition may facilitate identification of children with potentially treatable neuroimmune disorders. At the same time, concerns regarding overdiagnosis have become increasingly prominent [9,44].</w:t>
      </w:r>
    </w:p>
    <w:p w14:paraId="23F3AFA5" w14:textId="77777777" w:rsidR="00AA156B" w:rsidRPr="00AA156B" w:rsidRDefault="00AA156B" w:rsidP="008E3035">
      <w:pPr>
        <w:pStyle w:val="BodyText"/>
        <w:spacing w:line="360" w:lineRule="auto"/>
        <w:ind w:firstLine="0"/>
        <w:contextualSpacing/>
        <w:mirrorIndents/>
        <w:rPr>
          <w:rFonts w:ascii="Times New Roman" w:hAnsi="Times New Roman" w:cs="Times New Roman"/>
          <w:sz w:val="10"/>
          <w:szCs w:val="10"/>
        </w:rPr>
      </w:pPr>
    </w:p>
    <w:p w14:paraId="5F642907"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Many symptoms associated with PANDAS—including anxiety, emotional dysregulation, obsessive thoughts, sensory sensitivities, sleep disturbances, and transient tics—occur commonly in pediatric psychiatric populations. Consequently, broad application of the diagnosis may result in attribution of nonspecific symptoms to immune mechanisms despite limited supporting evidence [9].</w:t>
      </w:r>
    </w:p>
    <w:p w14:paraId="3E923F2F" w14:textId="77777777" w:rsidR="00AA156B" w:rsidRPr="00AA156B" w:rsidRDefault="00AA156B" w:rsidP="008E3035">
      <w:pPr>
        <w:pStyle w:val="BodyText"/>
        <w:spacing w:line="360" w:lineRule="auto"/>
        <w:ind w:firstLine="0"/>
        <w:contextualSpacing/>
        <w:mirrorIndents/>
        <w:rPr>
          <w:rFonts w:ascii="Times New Roman" w:hAnsi="Times New Roman" w:cs="Times New Roman"/>
          <w:sz w:val="10"/>
          <w:szCs w:val="10"/>
        </w:rPr>
      </w:pPr>
    </w:p>
    <w:p w14:paraId="2086D43A"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The evolution from PANDAS to PANS has further complicated this issue. While the broader PANS framework may improve sensitivity for identifying affected patients, it may simultaneously reduce diagnostic specificity. As diagnostic boundaries expand, distinguishing true neuroimmune disease from conventional psychiatric illness becomes increasingly difficult [9,11,41].</w:t>
      </w:r>
    </w:p>
    <w:p w14:paraId="7DC3A2C2" w14:textId="77777777" w:rsidR="00AA156B" w:rsidRPr="00AA156B" w:rsidRDefault="00AA156B" w:rsidP="008E3035">
      <w:pPr>
        <w:pStyle w:val="BodyText"/>
        <w:spacing w:line="360" w:lineRule="auto"/>
        <w:ind w:firstLine="0"/>
        <w:contextualSpacing/>
        <w:mirrorIndents/>
        <w:rPr>
          <w:rFonts w:ascii="Times New Roman" w:hAnsi="Times New Roman" w:cs="Times New Roman"/>
          <w:sz w:val="10"/>
          <w:szCs w:val="10"/>
        </w:rPr>
      </w:pPr>
    </w:p>
    <w:p w14:paraId="6F887103" w14:textId="77777777" w:rsidR="008E3035" w:rsidRDefault="008E3035" w:rsidP="008E3035">
      <w:pPr>
        <w:pStyle w:val="BodyText"/>
        <w:spacing w:line="360" w:lineRule="auto"/>
        <w:ind w:firstLine="0"/>
        <w:contextualSpacing/>
        <w:mirrorIndents/>
        <w:rPr>
          <w:rFonts w:ascii="Times New Roman" w:hAnsi="Times New Roman" w:cs="Times New Roman"/>
          <w:spacing w:val="-2"/>
          <w:sz w:val="20"/>
          <w:szCs w:val="20"/>
        </w:rPr>
      </w:pPr>
      <w:r w:rsidRPr="00F3339D">
        <w:rPr>
          <w:rFonts w:ascii="Times New Roman" w:hAnsi="Times New Roman" w:cs="Times New Roman"/>
          <w:sz w:val="20"/>
          <w:szCs w:val="20"/>
        </w:rPr>
        <w:t xml:space="preserve">Maintaining rigorous diagnostic standards therefore remains essential for both clinical practice and </w:t>
      </w:r>
      <w:r w:rsidRPr="00F3339D">
        <w:rPr>
          <w:rFonts w:ascii="Times New Roman" w:hAnsi="Times New Roman" w:cs="Times New Roman"/>
          <w:spacing w:val="-2"/>
          <w:sz w:val="20"/>
          <w:szCs w:val="20"/>
        </w:rPr>
        <w:t>research.</w:t>
      </w:r>
    </w:p>
    <w:p w14:paraId="2A896D69" w14:textId="77777777" w:rsidR="008E3035" w:rsidRPr="00AA156B" w:rsidRDefault="008E3035" w:rsidP="008E3035">
      <w:pPr>
        <w:pStyle w:val="BodyText"/>
        <w:spacing w:line="360" w:lineRule="auto"/>
        <w:ind w:firstLine="0"/>
        <w:contextualSpacing/>
        <w:mirrorIndents/>
        <w:rPr>
          <w:rFonts w:ascii="Times New Roman" w:hAnsi="Times New Roman" w:cs="Times New Roman"/>
          <w:spacing w:val="-2"/>
          <w:sz w:val="10"/>
          <w:szCs w:val="10"/>
        </w:rPr>
      </w:pPr>
    </w:p>
    <w:p w14:paraId="61DF7EB1" w14:textId="2DC18288" w:rsidR="008E3035" w:rsidRPr="00F3339D" w:rsidRDefault="00461EDC" w:rsidP="008E3035">
      <w:pPr>
        <w:pStyle w:val="Heading1"/>
        <w:spacing w:line="360" w:lineRule="auto"/>
        <w:ind w:left="0" w:firstLine="0"/>
        <w:contextualSpacing/>
        <w:mirrorIndents/>
        <w:jc w:val="both"/>
        <w:rPr>
          <w:sz w:val="20"/>
          <w:szCs w:val="20"/>
        </w:rPr>
      </w:pPr>
      <w:r>
        <w:rPr>
          <w:sz w:val="20"/>
          <w:szCs w:val="20"/>
        </w:rPr>
        <w:t>7.6</w:t>
      </w:r>
      <w:r w:rsidR="00AA156B">
        <w:rPr>
          <w:sz w:val="20"/>
          <w:szCs w:val="20"/>
        </w:rPr>
        <w:t xml:space="preserve"> </w:t>
      </w:r>
      <w:r w:rsidR="008E3035" w:rsidRPr="00F3339D">
        <w:rPr>
          <w:sz w:val="20"/>
          <w:szCs w:val="20"/>
        </w:rPr>
        <w:t>Controversy</w:t>
      </w:r>
      <w:r w:rsidR="008E3035" w:rsidRPr="00F3339D">
        <w:rPr>
          <w:spacing w:val="-9"/>
          <w:sz w:val="20"/>
          <w:szCs w:val="20"/>
        </w:rPr>
        <w:t xml:space="preserve"> </w:t>
      </w:r>
      <w:r w:rsidR="008E3035" w:rsidRPr="00F3339D">
        <w:rPr>
          <w:sz w:val="20"/>
          <w:szCs w:val="20"/>
        </w:rPr>
        <w:t>4:</w:t>
      </w:r>
      <w:r w:rsidR="008E3035" w:rsidRPr="00F3339D">
        <w:rPr>
          <w:spacing w:val="-9"/>
          <w:sz w:val="20"/>
          <w:szCs w:val="20"/>
        </w:rPr>
        <w:t xml:space="preserve"> </w:t>
      </w:r>
      <w:r w:rsidR="008E3035" w:rsidRPr="00F3339D">
        <w:rPr>
          <w:sz w:val="20"/>
          <w:szCs w:val="20"/>
        </w:rPr>
        <w:t>Immunotherapy</w:t>
      </w:r>
      <w:r w:rsidR="008E3035" w:rsidRPr="00F3339D">
        <w:rPr>
          <w:spacing w:val="-8"/>
          <w:sz w:val="20"/>
          <w:szCs w:val="20"/>
        </w:rPr>
        <w:t xml:space="preserve"> </w:t>
      </w:r>
      <w:r w:rsidR="008E3035" w:rsidRPr="00F3339D">
        <w:rPr>
          <w:spacing w:val="-2"/>
          <w:sz w:val="20"/>
          <w:szCs w:val="20"/>
        </w:rPr>
        <w:t>Skepticism</w:t>
      </w:r>
    </w:p>
    <w:p w14:paraId="560C3161" w14:textId="3CF880CC" w:rsidR="008E3035" w:rsidRDefault="008E3035" w:rsidP="008E3035">
      <w:pPr>
        <w:pStyle w:val="BodyText"/>
        <w:spacing w:line="360" w:lineRule="auto"/>
        <w:ind w:firstLine="0"/>
        <w:contextualSpacing/>
        <w:mirrorIndents/>
        <w:rPr>
          <w:rFonts w:ascii="Times New Roman" w:hAnsi="Times New Roman" w:cs="Times New Roman"/>
          <w:spacing w:val="-2"/>
          <w:sz w:val="20"/>
          <w:szCs w:val="20"/>
        </w:rPr>
      </w:pPr>
      <w:r w:rsidRPr="00F3339D">
        <w:rPr>
          <w:rFonts w:ascii="Times New Roman" w:hAnsi="Times New Roman" w:cs="Times New Roman"/>
          <w:sz w:val="20"/>
          <w:szCs w:val="20"/>
        </w:rPr>
        <w:t xml:space="preserve">The use of immunomodulatory therapies represents one of the most polarizing issues in the field. Proponents cite dramatic </w:t>
      </w:r>
      <w:r w:rsidRPr="00F3339D">
        <w:rPr>
          <w:rFonts w:ascii="Times New Roman" w:hAnsi="Times New Roman" w:cs="Times New Roman"/>
          <w:sz w:val="20"/>
          <w:szCs w:val="20"/>
        </w:rPr>
        <w:lastRenderedPageBreak/>
        <w:t xml:space="preserve">clinical responses observed following corticosteroids, intravenous immunoglobulin (IVIG), and plasma exchange as evidence supporting autoimmune mechanisms </w:t>
      </w:r>
      <w:r w:rsidRPr="00F3339D">
        <w:rPr>
          <w:rFonts w:ascii="Times New Roman" w:hAnsi="Times New Roman" w:cs="Times New Roman"/>
          <w:spacing w:val="-2"/>
          <w:sz w:val="20"/>
          <w:szCs w:val="20"/>
        </w:rPr>
        <w:t>[35</w:t>
      </w:r>
      <w:r w:rsidR="00AA156B">
        <w:rPr>
          <w:rFonts w:ascii="Times New Roman" w:hAnsi="Times New Roman" w:cs="Times New Roman"/>
          <w:spacing w:val="-2"/>
          <w:sz w:val="20"/>
          <w:szCs w:val="20"/>
        </w:rPr>
        <w:t>-</w:t>
      </w:r>
      <w:r w:rsidRPr="00F3339D">
        <w:rPr>
          <w:rFonts w:ascii="Times New Roman" w:hAnsi="Times New Roman" w:cs="Times New Roman"/>
          <w:spacing w:val="-2"/>
          <w:sz w:val="20"/>
          <w:szCs w:val="20"/>
        </w:rPr>
        <w:t>39,55,56].</w:t>
      </w:r>
    </w:p>
    <w:p w14:paraId="0F84235C" w14:textId="77777777" w:rsidR="00AA156B" w:rsidRPr="00AA156B" w:rsidRDefault="00AA156B" w:rsidP="008E3035">
      <w:pPr>
        <w:pStyle w:val="BodyText"/>
        <w:spacing w:line="360" w:lineRule="auto"/>
        <w:ind w:firstLine="0"/>
        <w:contextualSpacing/>
        <w:mirrorIndents/>
        <w:rPr>
          <w:rFonts w:ascii="Times New Roman" w:hAnsi="Times New Roman" w:cs="Times New Roman"/>
          <w:sz w:val="10"/>
          <w:szCs w:val="10"/>
        </w:rPr>
      </w:pPr>
    </w:p>
    <w:p w14:paraId="2CCF315A"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Critics</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emphasize</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that</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much</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the</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treatment</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literature</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relies</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upon</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small</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sample</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sizes,</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observational designs, and subjective outcome measures. Placebo effects, regression to the mean, natural symptom fluctuation, and selection bias may contribute significantly to observed improvements [12,40].</w:t>
      </w:r>
    </w:p>
    <w:p w14:paraId="3B5415A9" w14:textId="77777777" w:rsidR="00AA156B" w:rsidRPr="00AA156B" w:rsidRDefault="00AA156B" w:rsidP="008E3035">
      <w:pPr>
        <w:pStyle w:val="BodyText"/>
        <w:spacing w:line="360" w:lineRule="auto"/>
        <w:ind w:firstLine="0"/>
        <w:contextualSpacing/>
        <w:mirrorIndents/>
        <w:rPr>
          <w:rFonts w:ascii="Times New Roman" w:hAnsi="Times New Roman" w:cs="Times New Roman"/>
          <w:sz w:val="10"/>
          <w:szCs w:val="10"/>
        </w:rPr>
      </w:pPr>
    </w:p>
    <w:p w14:paraId="23A51EBE" w14:textId="1C7E5CBA"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The</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reality</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is</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likely</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nuanced.</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Available</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evidence</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suggests</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that</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some</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patients</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experience</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meaningful benefit</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from</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immunotherapy</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[37</w:t>
      </w:r>
      <w:r w:rsidR="00AA156B">
        <w:rPr>
          <w:rFonts w:ascii="Times New Roman" w:hAnsi="Times New Roman" w:cs="Times New Roman"/>
          <w:sz w:val="20"/>
          <w:szCs w:val="20"/>
        </w:rPr>
        <w:t>-</w:t>
      </w:r>
      <w:r w:rsidRPr="00F3339D">
        <w:rPr>
          <w:rFonts w:ascii="Times New Roman" w:hAnsi="Times New Roman" w:cs="Times New Roman"/>
          <w:sz w:val="20"/>
          <w:szCs w:val="20"/>
        </w:rPr>
        <w:t>40,56].</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However,</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current</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data</w:t>
      </w:r>
      <w:r w:rsidRPr="00F3339D">
        <w:rPr>
          <w:rFonts w:ascii="Times New Roman" w:hAnsi="Times New Roman" w:cs="Times New Roman"/>
          <w:spacing w:val="-13"/>
          <w:sz w:val="20"/>
          <w:szCs w:val="20"/>
        </w:rPr>
        <w:t xml:space="preserve"> </w:t>
      </w:r>
      <w:proofErr w:type="gramStart"/>
      <w:r w:rsidRPr="00F3339D">
        <w:rPr>
          <w:rFonts w:ascii="Times New Roman" w:hAnsi="Times New Roman" w:cs="Times New Roman"/>
          <w:sz w:val="20"/>
          <w:szCs w:val="20"/>
        </w:rPr>
        <w:t>remain</w:t>
      </w:r>
      <w:proofErr w:type="gramEnd"/>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insufficient</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to</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define</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optimal treatment algorithms or identify the patients most likely to respond.</w:t>
      </w:r>
    </w:p>
    <w:p w14:paraId="10FD213D" w14:textId="77777777" w:rsidR="00E434AC" w:rsidRPr="00E434AC" w:rsidRDefault="00E434AC" w:rsidP="008E3035">
      <w:pPr>
        <w:pStyle w:val="BodyText"/>
        <w:spacing w:line="360" w:lineRule="auto"/>
        <w:ind w:firstLine="0"/>
        <w:contextualSpacing/>
        <w:mirrorIndents/>
        <w:rPr>
          <w:rFonts w:ascii="Times New Roman" w:hAnsi="Times New Roman" w:cs="Times New Roman"/>
          <w:sz w:val="10"/>
          <w:szCs w:val="10"/>
        </w:rPr>
      </w:pPr>
    </w:p>
    <w:p w14:paraId="109918B9"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Future randomized controlled trials incorporating standardized diagnostic criteria and objective outcome measures will be necessary to clarify the role of immunomodulatory interventions [40,41].</w:t>
      </w:r>
    </w:p>
    <w:p w14:paraId="5C561F70" w14:textId="77777777" w:rsidR="008E3035" w:rsidRPr="00AA156B" w:rsidRDefault="008E3035" w:rsidP="008E3035">
      <w:pPr>
        <w:pStyle w:val="BodyText"/>
        <w:spacing w:line="360" w:lineRule="auto"/>
        <w:ind w:firstLine="0"/>
        <w:contextualSpacing/>
        <w:mirrorIndents/>
        <w:rPr>
          <w:rFonts w:ascii="Times New Roman" w:hAnsi="Times New Roman" w:cs="Times New Roman"/>
          <w:sz w:val="10"/>
          <w:szCs w:val="10"/>
        </w:rPr>
      </w:pPr>
    </w:p>
    <w:p w14:paraId="6F00E84C" w14:textId="51623984" w:rsidR="008E3035" w:rsidRPr="00F3339D" w:rsidRDefault="00461EDC" w:rsidP="008E3035">
      <w:pPr>
        <w:pStyle w:val="Heading1"/>
        <w:spacing w:line="360" w:lineRule="auto"/>
        <w:ind w:left="0" w:firstLine="0"/>
        <w:contextualSpacing/>
        <w:mirrorIndents/>
        <w:jc w:val="both"/>
        <w:rPr>
          <w:sz w:val="20"/>
          <w:szCs w:val="20"/>
        </w:rPr>
      </w:pPr>
      <w:r>
        <w:rPr>
          <w:sz w:val="20"/>
          <w:szCs w:val="20"/>
        </w:rPr>
        <w:t>7.7</w:t>
      </w:r>
      <w:r w:rsidR="00AA156B">
        <w:rPr>
          <w:sz w:val="20"/>
          <w:szCs w:val="20"/>
        </w:rPr>
        <w:t xml:space="preserve"> </w:t>
      </w:r>
      <w:r w:rsidR="008E3035" w:rsidRPr="00F3339D">
        <w:rPr>
          <w:sz w:val="20"/>
          <w:szCs w:val="20"/>
        </w:rPr>
        <w:t>Controversy</w:t>
      </w:r>
      <w:r w:rsidR="008E3035" w:rsidRPr="00F3339D">
        <w:rPr>
          <w:spacing w:val="-7"/>
          <w:sz w:val="20"/>
          <w:szCs w:val="20"/>
        </w:rPr>
        <w:t xml:space="preserve"> </w:t>
      </w:r>
      <w:r w:rsidR="008E3035" w:rsidRPr="00F3339D">
        <w:rPr>
          <w:sz w:val="20"/>
          <w:szCs w:val="20"/>
        </w:rPr>
        <w:t>5:</w:t>
      </w:r>
      <w:r w:rsidR="008E3035" w:rsidRPr="00F3339D">
        <w:rPr>
          <w:spacing w:val="-6"/>
          <w:sz w:val="20"/>
          <w:szCs w:val="20"/>
        </w:rPr>
        <w:t xml:space="preserve"> </w:t>
      </w:r>
      <w:r w:rsidR="008E3035" w:rsidRPr="00F3339D">
        <w:rPr>
          <w:sz w:val="20"/>
          <w:szCs w:val="20"/>
        </w:rPr>
        <w:t>Referral</w:t>
      </w:r>
      <w:r w:rsidR="008E3035" w:rsidRPr="00F3339D">
        <w:rPr>
          <w:spacing w:val="-6"/>
          <w:sz w:val="20"/>
          <w:szCs w:val="20"/>
        </w:rPr>
        <w:t xml:space="preserve"> </w:t>
      </w:r>
      <w:r w:rsidR="008E3035" w:rsidRPr="00F3339D">
        <w:rPr>
          <w:sz w:val="20"/>
          <w:szCs w:val="20"/>
        </w:rPr>
        <w:t>Bias,</w:t>
      </w:r>
      <w:r w:rsidR="008E3035" w:rsidRPr="00F3339D">
        <w:rPr>
          <w:spacing w:val="-6"/>
          <w:sz w:val="20"/>
          <w:szCs w:val="20"/>
        </w:rPr>
        <w:t xml:space="preserve"> </w:t>
      </w:r>
      <w:r w:rsidR="008E3035" w:rsidRPr="00F3339D">
        <w:rPr>
          <w:sz w:val="20"/>
          <w:szCs w:val="20"/>
        </w:rPr>
        <w:t>Selection</w:t>
      </w:r>
      <w:r w:rsidR="008E3035" w:rsidRPr="00F3339D">
        <w:rPr>
          <w:spacing w:val="-7"/>
          <w:sz w:val="20"/>
          <w:szCs w:val="20"/>
        </w:rPr>
        <w:t xml:space="preserve"> </w:t>
      </w:r>
      <w:r w:rsidR="008E3035" w:rsidRPr="00F3339D">
        <w:rPr>
          <w:sz w:val="20"/>
          <w:szCs w:val="20"/>
        </w:rPr>
        <w:t>Bias,</w:t>
      </w:r>
      <w:r w:rsidR="008E3035" w:rsidRPr="00F3339D">
        <w:rPr>
          <w:spacing w:val="-6"/>
          <w:sz w:val="20"/>
          <w:szCs w:val="20"/>
        </w:rPr>
        <w:t xml:space="preserve"> </w:t>
      </w:r>
      <w:r w:rsidR="008E3035" w:rsidRPr="00F3339D">
        <w:rPr>
          <w:sz w:val="20"/>
          <w:szCs w:val="20"/>
        </w:rPr>
        <w:t>and</w:t>
      </w:r>
      <w:r w:rsidR="008E3035" w:rsidRPr="00F3339D">
        <w:rPr>
          <w:spacing w:val="-6"/>
          <w:sz w:val="20"/>
          <w:szCs w:val="20"/>
        </w:rPr>
        <w:t xml:space="preserve"> </w:t>
      </w:r>
      <w:r w:rsidR="008E3035" w:rsidRPr="00F3339D">
        <w:rPr>
          <w:sz w:val="20"/>
          <w:szCs w:val="20"/>
        </w:rPr>
        <w:t>Limited</w:t>
      </w:r>
      <w:r w:rsidR="008E3035" w:rsidRPr="00F3339D">
        <w:rPr>
          <w:spacing w:val="-6"/>
          <w:sz w:val="20"/>
          <w:szCs w:val="20"/>
        </w:rPr>
        <w:t xml:space="preserve"> </w:t>
      </w:r>
      <w:r w:rsidR="008E3035" w:rsidRPr="00F3339D">
        <w:rPr>
          <w:spacing w:val="-2"/>
          <w:sz w:val="20"/>
          <w:szCs w:val="20"/>
        </w:rPr>
        <w:t>Reproducibility</w:t>
      </w:r>
    </w:p>
    <w:p w14:paraId="10DC98EF" w14:textId="393C651C" w:rsidR="008E3035" w:rsidRDefault="008E3035" w:rsidP="008E3035">
      <w:pPr>
        <w:pStyle w:val="BodyText"/>
        <w:spacing w:line="360" w:lineRule="auto"/>
        <w:ind w:firstLine="0"/>
        <w:contextualSpacing/>
        <w:mirrorIndents/>
        <w:rPr>
          <w:rFonts w:ascii="Times New Roman" w:hAnsi="Times New Roman" w:cs="Times New Roman"/>
          <w:spacing w:val="-2"/>
          <w:sz w:val="20"/>
          <w:szCs w:val="20"/>
        </w:rPr>
      </w:pPr>
      <w:r w:rsidRPr="00F3339D">
        <w:rPr>
          <w:rFonts w:ascii="Times New Roman" w:hAnsi="Times New Roman" w:cs="Times New Roman"/>
          <w:sz w:val="20"/>
          <w:szCs w:val="20"/>
        </w:rPr>
        <w:t>Another major methodological concern involves referral bias. Much of the published literature</w:t>
      </w:r>
      <w:r w:rsidR="00411BD2">
        <w:rPr>
          <w:rFonts w:ascii="Times New Roman" w:hAnsi="Times New Roman" w:cs="Times New Roman"/>
          <w:sz w:val="20"/>
          <w:szCs w:val="20"/>
        </w:rPr>
        <w:t xml:space="preserve"> on PANDAS</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originates</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from</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highly</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specialized</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academic</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centers</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tertiary</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referral clinics</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 xml:space="preserve">[9,12]. Patients referred to these centers often represent unusually severe, treatment-resistant, or medically complex </w:t>
      </w:r>
      <w:r w:rsidRPr="00F3339D">
        <w:rPr>
          <w:rFonts w:ascii="Times New Roman" w:hAnsi="Times New Roman" w:cs="Times New Roman"/>
          <w:spacing w:val="-2"/>
          <w:sz w:val="20"/>
          <w:szCs w:val="20"/>
        </w:rPr>
        <w:t>cases.</w:t>
      </w:r>
    </w:p>
    <w:p w14:paraId="2C60F64C" w14:textId="77777777" w:rsidR="00AA156B" w:rsidRPr="00AA156B" w:rsidRDefault="00AA156B" w:rsidP="008E3035">
      <w:pPr>
        <w:pStyle w:val="BodyText"/>
        <w:spacing w:line="360" w:lineRule="auto"/>
        <w:ind w:firstLine="0"/>
        <w:contextualSpacing/>
        <w:mirrorIndents/>
        <w:rPr>
          <w:rFonts w:ascii="Times New Roman" w:hAnsi="Times New Roman" w:cs="Times New Roman"/>
          <w:sz w:val="10"/>
          <w:szCs w:val="10"/>
        </w:rPr>
      </w:pPr>
    </w:p>
    <w:p w14:paraId="79E3BCE5"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As a result, findings derived from</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specialty clinics may not accurately reflect the broader population of children presenting with OCD, tic disorders, or acute neuropsychiatric symptoms. Referral bias can artificially</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inflate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estimates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disease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severity,</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treatment</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responsiveness,</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prevalence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autoimmune abnormalities [9,12].</w:t>
      </w:r>
    </w:p>
    <w:p w14:paraId="0180360F" w14:textId="77777777" w:rsidR="00AA156B" w:rsidRPr="00AA156B" w:rsidRDefault="00AA156B" w:rsidP="008E3035">
      <w:pPr>
        <w:pStyle w:val="BodyText"/>
        <w:spacing w:line="360" w:lineRule="auto"/>
        <w:ind w:firstLine="0"/>
        <w:contextualSpacing/>
        <w:mirrorIndents/>
        <w:rPr>
          <w:rFonts w:ascii="Times New Roman" w:hAnsi="Times New Roman" w:cs="Times New Roman"/>
          <w:sz w:val="10"/>
          <w:szCs w:val="10"/>
        </w:rPr>
      </w:pPr>
    </w:p>
    <w:p w14:paraId="30D2A69C"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Selection bias may similarly influence immunologic and neuroimaging investigations. Studies frequently recruit participants who already exhibit clinical features suggestive of immune dysfunction, increasing the likelihood of identifying biologic abnormalities. Such approaches may inadvertently overestimate associations between immune markers and psychiatric symptoms [10,12].</w:t>
      </w:r>
    </w:p>
    <w:p w14:paraId="1C4E8D9C" w14:textId="77777777" w:rsidR="008E3035" w:rsidRPr="00AA156B" w:rsidRDefault="008E3035" w:rsidP="008E3035">
      <w:pPr>
        <w:pStyle w:val="BodyText"/>
        <w:spacing w:line="360" w:lineRule="auto"/>
        <w:ind w:firstLine="0"/>
        <w:contextualSpacing/>
        <w:mirrorIndents/>
        <w:rPr>
          <w:rFonts w:ascii="Times New Roman" w:hAnsi="Times New Roman" w:cs="Times New Roman"/>
          <w:sz w:val="10"/>
          <w:szCs w:val="10"/>
        </w:rPr>
      </w:pPr>
    </w:p>
    <w:p w14:paraId="0C9B5279" w14:textId="7D683FEC" w:rsidR="008E3035" w:rsidRPr="00F3339D" w:rsidRDefault="00461EDC" w:rsidP="008E3035">
      <w:pPr>
        <w:pStyle w:val="Heading1"/>
        <w:spacing w:line="360" w:lineRule="auto"/>
        <w:ind w:left="0" w:firstLine="0"/>
        <w:contextualSpacing/>
        <w:mirrorIndents/>
        <w:jc w:val="both"/>
        <w:rPr>
          <w:sz w:val="20"/>
          <w:szCs w:val="20"/>
        </w:rPr>
      </w:pPr>
      <w:r>
        <w:rPr>
          <w:sz w:val="20"/>
          <w:szCs w:val="20"/>
        </w:rPr>
        <w:t>7.8</w:t>
      </w:r>
      <w:r w:rsidR="00AA156B">
        <w:rPr>
          <w:sz w:val="20"/>
          <w:szCs w:val="20"/>
        </w:rPr>
        <w:t xml:space="preserve"> </w:t>
      </w:r>
      <w:r w:rsidR="008E3035" w:rsidRPr="00F3339D">
        <w:rPr>
          <w:sz w:val="20"/>
          <w:szCs w:val="20"/>
        </w:rPr>
        <w:t>Why</w:t>
      </w:r>
      <w:r w:rsidR="008E3035" w:rsidRPr="00F3339D">
        <w:rPr>
          <w:spacing w:val="-6"/>
          <w:sz w:val="20"/>
          <w:szCs w:val="20"/>
        </w:rPr>
        <w:t xml:space="preserve"> </w:t>
      </w:r>
      <w:r w:rsidR="008E3035" w:rsidRPr="00F3339D">
        <w:rPr>
          <w:sz w:val="20"/>
          <w:szCs w:val="20"/>
        </w:rPr>
        <w:t>the</w:t>
      </w:r>
      <w:r w:rsidR="008E3035" w:rsidRPr="00F3339D">
        <w:rPr>
          <w:spacing w:val="-6"/>
          <w:sz w:val="20"/>
          <w:szCs w:val="20"/>
        </w:rPr>
        <w:t xml:space="preserve"> </w:t>
      </w:r>
      <w:r w:rsidR="008E3035" w:rsidRPr="00F3339D">
        <w:rPr>
          <w:sz w:val="20"/>
          <w:szCs w:val="20"/>
        </w:rPr>
        <w:t>Controversy</w:t>
      </w:r>
      <w:r w:rsidR="008E3035" w:rsidRPr="00F3339D">
        <w:rPr>
          <w:spacing w:val="-5"/>
          <w:sz w:val="20"/>
          <w:szCs w:val="20"/>
        </w:rPr>
        <w:t xml:space="preserve"> </w:t>
      </w:r>
      <w:r w:rsidR="008E3035" w:rsidRPr="00F3339D">
        <w:rPr>
          <w:spacing w:val="-2"/>
          <w:sz w:val="20"/>
          <w:szCs w:val="20"/>
        </w:rPr>
        <w:t>Persists</w:t>
      </w:r>
    </w:p>
    <w:p w14:paraId="2184E708"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The controversy persists because current criteria identify a clinical syndrome rather than a biologically validated disease; biomarkers are not reproducible enough for diagnosis; cohorts are heterogeneous; psychiatric overlap complicates causal inference; and treatment studies remain small</w:t>
      </w:r>
      <w:r>
        <w:rPr>
          <w:rFonts w:ascii="Times New Roman" w:hAnsi="Times New Roman" w:cs="Times New Roman"/>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40"/>
          <w:sz w:val="20"/>
          <w:szCs w:val="20"/>
        </w:rPr>
        <w:t xml:space="preserve"> </w:t>
      </w:r>
      <w:r w:rsidRPr="00F3339D">
        <w:rPr>
          <w:rFonts w:ascii="Times New Roman" w:hAnsi="Times New Roman" w:cs="Times New Roman"/>
          <w:sz w:val="20"/>
          <w:szCs w:val="20"/>
        </w:rPr>
        <w:t>methodologically</w:t>
      </w:r>
      <w:r w:rsidRPr="00F3339D">
        <w:rPr>
          <w:rFonts w:ascii="Times New Roman" w:hAnsi="Times New Roman" w:cs="Times New Roman"/>
          <w:spacing w:val="40"/>
          <w:sz w:val="20"/>
          <w:szCs w:val="20"/>
        </w:rPr>
        <w:t xml:space="preserve"> </w:t>
      </w:r>
      <w:r w:rsidRPr="00F3339D">
        <w:rPr>
          <w:rFonts w:ascii="Times New Roman" w:hAnsi="Times New Roman" w:cs="Times New Roman"/>
          <w:sz w:val="20"/>
          <w:szCs w:val="20"/>
        </w:rPr>
        <w:t>variable.</w:t>
      </w:r>
      <w:r w:rsidRPr="00F3339D">
        <w:rPr>
          <w:rFonts w:ascii="Times New Roman" w:hAnsi="Times New Roman" w:cs="Times New Roman"/>
          <w:spacing w:val="40"/>
          <w:sz w:val="20"/>
          <w:szCs w:val="20"/>
        </w:rPr>
        <w:t xml:space="preserve"> </w:t>
      </w:r>
      <w:r w:rsidRPr="00F3339D">
        <w:rPr>
          <w:rFonts w:ascii="Times New Roman" w:hAnsi="Times New Roman" w:cs="Times New Roman"/>
          <w:sz w:val="20"/>
          <w:szCs w:val="20"/>
        </w:rPr>
        <w:t>These</w:t>
      </w:r>
      <w:r w:rsidRPr="00F3339D">
        <w:rPr>
          <w:rFonts w:ascii="Times New Roman" w:hAnsi="Times New Roman" w:cs="Times New Roman"/>
          <w:spacing w:val="40"/>
          <w:sz w:val="20"/>
          <w:szCs w:val="20"/>
        </w:rPr>
        <w:t xml:space="preserve"> </w:t>
      </w:r>
      <w:r w:rsidRPr="00F3339D">
        <w:rPr>
          <w:rFonts w:ascii="Times New Roman" w:hAnsi="Times New Roman" w:cs="Times New Roman"/>
          <w:sz w:val="20"/>
          <w:szCs w:val="20"/>
        </w:rPr>
        <w:t>factors</w:t>
      </w:r>
      <w:r w:rsidRPr="00F3339D">
        <w:rPr>
          <w:rFonts w:ascii="Times New Roman" w:hAnsi="Times New Roman" w:cs="Times New Roman"/>
          <w:spacing w:val="40"/>
          <w:sz w:val="20"/>
          <w:szCs w:val="20"/>
        </w:rPr>
        <w:t xml:space="preserve"> </w:t>
      </w:r>
      <w:r w:rsidRPr="00F3339D">
        <w:rPr>
          <w:rFonts w:ascii="Times New Roman" w:hAnsi="Times New Roman" w:cs="Times New Roman"/>
          <w:sz w:val="20"/>
          <w:szCs w:val="20"/>
        </w:rPr>
        <w:t>explain</w:t>
      </w:r>
      <w:r w:rsidRPr="00F3339D">
        <w:rPr>
          <w:rFonts w:ascii="Times New Roman" w:hAnsi="Times New Roman" w:cs="Times New Roman"/>
          <w:spacing w:val="40"/>
          <w:sz w:val="20"/>
          <w:szCs w:val="20"/>
        </w:rPr>
        <w:t xml:space="preserve"> </w:t>
      </w:r>
      <w:r w:rsidRPr="00F3339D">
        <w:rPr>
          <w:rFonts w:ascii="Times New Roman" w:hAnsi="Times New Roman" w:cs="Times New Roman"/>
          <w:sz w:val="20"/>
          <w:szCs w:val="20"/>
        </w:rPr>
        <w:t>why</w:t>
      </w:r>
      <w:r w:rsidRPr="00F3339D">
        <w:rPr>
          <w:rFonts w:ascii="Times New Roman" w:hAnsi="Times New Roman" w:cs="Times New Roman"/>
          <w:spacing w:val="40"/>
          <w:sz w:val="20"/>
          <w:szCs w:val="20"/>
        </w:rPr>
        <w:t xml:space="preserve"> </w:t>
      </w:r>
      <w:r w:rsidRPr="00F3339D">
        <w:rPr>
          <w:rFonts w:ascii="Times New Roman" w:hAnsi="Times New Roman" w:cs="Times New Roman"/>
          <w:sz w:val="20"/>
          <w:szCs w:val="20"/>
        </w:rPr>
        <w:t>compelling</w:t>
      </w:r>
      <w:r w:rsidRPr="00F3339D">
        <w:rPr>
          <w:rFonts w:ascii="Times New Roman" w:hAnsi="Times New Roman" w:cs="Times New Roman"/>
          <w:spacing w:val="40"/>
          <w:sz w:val="20"/>
          <w:szCs w:val="20"/>
        </w:rPr>
        <w:t xml:space="preserve"> </w:t>
      </w:r>
      <w:r w:rsidRPr="00F3339D">
        <w:rPr>
          <w:rFonts w:ascii="Times New Roman" w:hAnsi="Times New Roman" w:cs="Times New Roman"/>
          <w:sz w:val="20"/>
          <w:szCs w:val="20"/>
        </w:rPr>
        <w:t>individual</w:t>
      </w:r>
      <w:r w:rsidRPr="00F3339D">
        <w:rPr>
          <w:rFonts w:ascii="Times New Roman" w:hAnsi="Times New Roman" w:cs="Times New Roman"/>
          <w:spacing w:val="40"/>
          <w:sz w:val="20"/>
          <w:szCs w:val="20"/>
        </w:rPr>
        <w:t xml:space="preserve"> </w:t>
      </w:r>
      <w:r w:rsidRPr="00F3339D">
        <w:rPr>
          <w:rFonts w:ascii="Times New Roman" w:hAnsi="Times New Roman" w:cs="Times New Roman"/>
          <w:sz w:val="20"/>
          <w:szCs w:val="20"/>
        </w:rPr>
        <w:t>cases</w:t>
      </w:r>
      <w:r w:rsidRPr="00F3339D">
        <w:rPr>
          <w:rFonts w:ascii="Times New Roman" w:hAnsi="Times New Roman" w:cs="Times New Roman"/>
          <w:spacing w:val="40"/>
          <w:sz w:val="20"/>
          <w:szCs w:val="20"/>
        </w:rPr>
        <w:t xml:space="preserve"> </w:t>
      </w:r>
      <w:r w:rsidRPr="00F3339D">
        <w:rPr>
          <w:rFonts w:ascii="Times New Roman" w:hAnsi="Times New Roman" w:cs="Times New Roman"/>
          <w:sz w:val="20"/>
          <w:szCs w:val="20"/>
        </w:rPr>
        <w:t>coexist</w:t>
      </w:r>
      <w:r w:rsidRPr="00F3339D">
        <w:rPr>
          <w:rFonts w:ascii="Times New Roman" w:hAnsi="Times New Roman" w:cs="Times New Roman"/>
          <w:spacing w:val="40"/>
          <w:sz w:val="20"/>
          <w:szCs w:val="20"/>
        </w:rPr>
        <w:t xml:space="preserve"> </w:t>
      </w:r>
      <w:r w:rsidRPr="00F3339D">
        <w:rPr>
          <w:rFonts w:ascii="Times New Roman" w:hAnsi="Times New Roman" w:cs="Times New Roman"/>
          <w:sz w:val="20"/>
          <w:szCs w:val="20"/>
        </w:rPr>
        <w:t>with inconsistent population-level evidence [9,10,12,40,41].</w:t>
      </w:r>
    </w:p>
    <w:p w14:paraId="029FD522" w14:textId="77777777" w:rsidR="008E3035" w:rsidRPr="00AA156B" w:rsidRDefault="008E3035" w:rsidP="008E3035">
      <w:pPr>
        <w:pStyle w:val="BodyText"/>
        <w:spacing w:line="360" w:lineRule="auto"/>
        <w:ind w:firstLine="0"/>
        <w:contextualSpacing/>
        <w:mirrorIndents/>
        <w:rPr>
          <w:rFonts w:ascii="Times New Roman" w:hAnsi="Times New Roman" w:cs="Times New Roman"/>
          <w:sz w:val="10"/>
          <w:szCs w:val="10"/>
        </w:rPr>
      </w:pPr>
    </w:p>
    <w:p w14:paraId="48C027CF" w14:textId="2520E606" w:rsidR="008E3035" w:rsidRPr="00461EDC" w:rsidRDefault="00461EDC" w:rsidP="008E3035">
      <w:pPr>
        <w:pStyle w:val="Heading1"/>
        <w:spacing w:line="360" w:lineRule="auto"/>
        <w:ind w:left="0" w:firstLine="0"/>
        <w:contextualSpacing/>
        <w:mirrorIndents/>
        <w:jc w:val="both"/>
        <w:rPr>
          <w:color w:val="0070C0"/>
          <w:sz w:val="22"/>
          <w:szCs w:val="22"/>
        </w:rPr>
      </w:pPr>
      <w:r w:rsidRPr="00461EDC">
        <w:rPr>
          <w:color w:val="0070C0"/>
          <w:sz w:val="22"/>
          <w:szCs w:val="22"/>
        </w:rPr>
        <w:t>8.</w:t>
      </w:r>
      <w:r w:rsidR="00AA156B" w:rsidRPr="00461EDC">
        <w:rPr>
          <w:color w:val="0070C0"/>
          <w:sz w:val="22"/>
          <w:szCs w:val="22"/>
        </w:rPr>
        <w:t xml:space="preserve"> </w:t>
      </w:r>
      <w:r w:rsidR="008E3035" w:rsidRPr="00461EDC">
        <w:rPr>
          <w:color w:val="0070C0"/>
          <w:sz w:val="22"/>
          <w:szCs w:val="22"/>
        </w:rPr>
        <w:t>Recent</w:t>
      </w:r>
      <w:r w:rsidR="008E3035" w:rsidRPr="00461EDC">
        <w:rPr>
          <w:color w:val="0070C0"/>
          <w:spacing w:val="-12"/>
          <w:sz w:val="22"/>
          <w:szCs w:val="22"/>
        </w:rPr>
        <w:t xml:space="preserve"> </w:t>
      </w:r>
      <w:r w:rsidR="008E3035" w:rsidRPr="00461EDC">
        <w:rPr>
          <w:color w:val="0070C0"/>
          <w:sz w:val="22"/>
          <w:szCs w:val="22"/>
        </w:rPr>
        <w:t>Literature</w:t>
      </w:r>
      <w:r w:rsidR="008E3035" w:rsidRPr="00461EDC">
        <w:rPr>
          <w:color w:val="0070C0"/>
          <w:spacing w:val="-10"/>
          <w:sz w:val="22"/>
          <w:szCs w:val="22"/>
        </w:rPr>
        <w:t xml:space="preserve"> </w:t>
      </w:r>
      <w:r w:rsidR="008E3035" w:rsidRPr="00461EDC">
        <w:rPr>
          <w:color w:val="0070C0"/>
          <w:sz w:val="22"/>
          <w:szCs w:val="22"/>
        </w:rPr>
        <w:t>Updates</w:t>
      </w:r>
      <w:r w:rsidR="008E3035" w:rsidRPr="00461EDC">
        <w:rPr>
          <w:color w:val="0070C0"/>
          <w:spacing w:val="-9"/>
          <w:sz w:val="22"/>
          <w:szCs w:val="22"/>
        </w:rPr>
        <w:t xml:space="preserve"> </w:t>
      </w:r>
      <w:r w:rsidR="008E3035" w:rsidRPr="00461EDC">
        <w:rPr>
          <w:color w:val="0070C0"/>
          <w:sz w:val="22"/>
          <w:szCs w:val="22"/>
        </w:rPr>
        <w:t>(2021–</w:t>
      </w:r>
      <w:r w:rsidR="008E3035" w:rsidRPr="00461EDC">
        <w:rPr>
          <w:color w:val="0070C0"/>
          <w:spacing w:val="-2"/>
          <w:sz w:val="22"/>
          <w:szCs w:val="22"/>
        </w:rPr>
        <w:t>2026)</w:t>
      </w:r>
    </w:p>
    <w:p w14:paraId="0EC3FB5C" w14:textId="6FD1846F" w:rsidR="008E3035" w:rsidRDefault="008E3035" w:rsidP="008E3035">
      <w:pPr>
        <w:pStyle w:val="BodyText"/>
        <w:spacing w:line="360" w:lineRule="auto"/>
        <w:ind w:firstLine="0"/>
        <w:contextualSpacing/>
        <w:mirrorIndents/>
        <w:rPr>
          <w:rFonts w:ascii="Times New Roman" w:hAnsi="Times New Roman" w:cs="Times New Roman"/>
          <w:spacing w:val="-2"/>
          <w:sz w:val="20"/>
          <w:szCs w:val="20"/>
        </w:rPr>
      </w:pPr>
      <w:r w:rsidRPr="00F3339D">
        <w:rPr>
          <w:rFonts w:ascii="Times New Roman" w:hAnsi="Times New Roman" w:cs="Times New Roman"/>
          <w:sz w:val="20"/>
          <w:szCs w:val="20"/>
        </w:rPr>
        <w:t>The</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2021–2026</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literature</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meaningfully</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strengthens</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several</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parts</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the</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manuscript</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while</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preserving the need for caution. Updated clinical guidance from Nordic experts, an Italian Delphi consensus, and the American Academy of Pediatrics supports careful recognition of PANS/PANDAS while emphasizing multidisciplinary assessment and diagnostic uncertainty [44,45,47]. Systematic review evidence continues to characterize treatment studies as promising but methodologically limited. [40] Recent neuroimaging</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immunology</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studies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suggest</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that</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basal</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ganglia</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dysfunction</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immune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abnormalities remain biologically plausible contributors to disease pathophysiology [30,34,39]. New cohort evidence also</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supports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the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possibility</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that</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some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PANS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patients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have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broader</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immune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dysregulation</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or</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 xml:space="preserve">subsequent </w:t>
      </w:r>
      <w:r w:rsidRPr="00F3339D">
        <w:rPr>
          <w:rFonts w:ascii="Times New Roman" w:hAnsi="Times New Roman" w:cs="Times New Roman"/>
          <w:sz w:val="20"/>
          <w:szCs w:val="20"/>
        </w:rPr>
        <w:lastRenderedPageBreak/>
        <w:t>autoimmune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disease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risk</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[18].</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Finally,</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recent</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IVIG</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studies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suggest</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clinical</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immunologic</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 xml:space="preserve">improvement in selected patients but remain primarily open-label and require confirmation in larger randomized trials </w:t>
      </w:r>
      <w:r w:rsidRPr="00F3339D">
        <w:rPr>
          <w:rFonts w:ascii="Times New Roman" w:hAnsi="Times New Roman" w:cs="Times New Roman"/>
          <w:spacing w:val="-2"/>
          <w:sz w:val="20"/>
          <w:szCs w:val="20"/>
        </w:rPr>
        <w:t>[37</w:t>
      </w:r>
      <w:r w:rsidR="00AA156B">
        <w:rPr>
          <w:rFonts w:ascii="Times New Roman" w:hAnsi="Times New Roman" w:cs="Times New Roman"/>
          <w:spacing w:val="-2"/>
          <w:sz w:val="20"/>
          <w:szCs w:val="20"/>
        </w:rPr>
        <w:t>-</w:t>
      </w:r>
      <w:r w:rsidRPr="00F3339D">
        <w:rPr>
          <w:rFonts w:ascii="Times New Roman" w:hAnsi="Times New Roman" w:cs="Times New Roman"/>
          <w:spacing w:val="-2"/>
          <w:sz w:val="20"/>
          <w:szCs w:val="20"/>
        </w:rPr>
        <w:t>39,56].</w:t>
      </w:r>
    </w:p>
    <w:p w14:paraId="12C3085D" w14:textId="77777777" w:rsidR="00AA156B" w:rsidRPr="00AA156B" w:rsidRDefault="00AA156B" w:rsidP="008E3035">
      <w:pPr>
        <w:pStyle w:val="BodyText"/>
        <w:spacing w:line="360" w:lineRule="auto"/>
        <w:ind w:firstLine="0"/>
        <w:contextualSpacing/>
        <w:mirrorIndents/>
        <w:rPr>
          <w:rFonts w:ascii="Times New Roman" w:hAnsi="Times New Roman" w:cs="Times New Roman"/>
          <w:sz w:val="10"/>
          <w:szCs w:val="10"/>
        </w:rPr>
      </w:pPr>
    </w:p>
    <w:p w14:paraId="0F8EA3A9"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Taken together, recent literature does not resolve the controversy but reinforces the likelihood of heterogeneous subgroups, some infection-triggered or immune-mediated. The most defensible position is</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therefore</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a</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precision-medicine</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framework</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focused</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on</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reproducible</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clinical,</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immunologic,</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imaging,</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and longitudinal features.</w:t>
      </w:r>
    </w:p>
    <w:p w14:paraId="6E293673" w14:textId="77777777" w:rsidR="008E3035" w:rsidRPr="00AA156B" w:rsidRDefault="008E3035" w:rsidP="008E3035">
      <w:pPr>
        <w:pStyle w:val="BodyText"/>
        <w:spacing w:line="360" w:lineRule="auto"/>
        <w:ind w:firstLine="0"/>
        <w:contextualSpacing/>
        <w:mirrorIndents/>
        <w:rPr>
          <w:rFonts w:ascii="Times New Roman" w:hAnsi="Times New Roman" w:cs="Times New Roman"/>
          <w:sz w:val="10"/>
          <w:szCs w:val="10"/>
        </w:rPr>
      </w:pPr>
    </w:p>
    <w:p w14:paraId="3E1AD27D" w14:textId="7EEDA402" w:rsidR="008E3035" w:rsidRPr="00AA156B" w:rsidRDefault="00461EDC" w:rsidP="008E3035">
      <w:pPr>
        <w:pStyle w:val="Heading1"/>
        <w:spacing w:line="360" w:lineRule="auto"/>
        <w:ind w:left="0" w:firstLine="0"/>
        <w:contextualSpacing/>
        <w:mirrorIndents/>
        <w:jc w:val="both"/>
        <w:rPr>
          <w:color w:val="0070C0"/>
          <w:sz w:val="22"/>
          <w:szCs w:val="22"/>
        </w:rPr>
      </w:pPr>
      <w:r>
        <w:rPr>
          <w:color w:val="0070C0"/>
          <w:sz w:val="22"/>
          <w:szCs w:val="22"/>
        </w:rPr>
        <w:t>9</w:t>
      </w:r>
      <w:r w:rsidR="00AA156B" w:rsidRPr="00AA156B">
        <w:rPr>
          <w:color w:val="0070C0"/>
          <w:sz w:val="22"/>
          <w:szCs w:val="22"/>
        </w:rPr>
        <w:t xml:space="preserve">. </w:t>
      </w:r>
      <w:r w:rsidR="008E3035" w:rsidRPr="00AA156B">
        <w:rPr>
          <w:color w:val="0070C0"/>
          <w:sz w:val="22"/>
          <w:szCs w:val="22"/>
        </w:rPr>
        <w:t>Limitations</w:t>
      </w:r>
      <w:r w:rsidR="008E3035" w:rsidRPr="00AA156B">
        <w:rPr>
          <w:color w:val="0070C0"/>
          <w:spacing w:val="-7"/>
          <w:sz w:val="22"/>
          <w:szCs w:val="22"/>
        </w:rPr>
        <w:t xml:space="preserve"> </w:t>
      </w:r>
      <w:r w:rsidR="008E3035" w:rsidRPr="00AA156B">
        <w:rPr>
          <w:color w:val="0070C0"/>
          <w:sz w:val="22"/>
          <w:szCs w:val="22"/>
        </w:rPr>
        <w:t>of</w:t>
      </w:r>
      <w:r w:rsidR="008E3035" w:rsidRPr="00AA156B">
        <w:rPr>
          <w:color w:val="0070C0"/>
          <w:spacing w:val="-7"/>
          <w:sz w:val="22"/>
          <w:szCs w:val="22"/>
        </w:rPr>
        <w:t xml:space="preserve"> </w:t>
      </w:r>
      <w:r w:rsidR="008E3035" w:rsidRPr="00AA156B">
        <w:rPr>
          <w:color w:val="0070C0"/>
          <w:sz w:val="22"/>
          <w:szCs w:val="22"/>
        </w:rPr>
        <w:t>Current</w:t>
      </w:r>
      <w:r w:rsidR="008E3035" w:rsidRPr="00AA156B">
        <w:rPr>
          <w:color w:val="0070C0"/>
          <w:spacing w:val="-6"/>
          <w:sz w:val="22"/>
          <w:szCs w:val="22"/>
        </w:rPr>
        <w:t xml:space="preserve"> </w:t>
      </w:r>
      <w:r w:rsidR="008E3035" w:rsidRPr="00AA156B">
        <w:rPr>
          <w:color w:val="0070C0"/>
          <w:spacing w:val="-2"/>
          <w:sz w:val="22"/>
          <w:szCs w:val="22"/>
        </w:rPr>
        <w:t>Evidence</w:t>
      </w:r>
    </w:p>
    <w:p w14:paraId="2609D0DD"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Within</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the</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PANDAS</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literature,</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reproducibility</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remains</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a</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persistent</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challenge</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[10,40].</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Several</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factors contribute to this problem: small sample sizes, referral-center recruitment, variable diagnostic criteria, inconsistent laboratory methodology, heterogeneous outcome measures, lack of blinded assessment, and limited longitudinal follow-up. These issues complicate interpretation of both positive and negative findings. Importantly, many apparent contradictions within the literature may reflect methodological differences rather than true biologic disagreement [9,10,12].</w:t>
      </w:r>
    </w:p>
    <w:p w14:paraId="50501184" w14:textId="77777777" w:rsidR="00AA156B" w:rsidRPr="00AA156B" w:rsidRDefault="00AA156B" w:rsidP="008E3035">
      <w:pPr>
        <w:pStyle w:val="BodyText"/>
        <w:spacing w:line="360" w:lineRule="auto"/>
        <w:ind w:firstLine="0"/>
        <w:contextualSpacing/>
        <w:mirrorIndents/>
        <w:rPr>
          <w:rFonts w:ascii="Times New Roman" w:hAnsi="Times New Roman" w:cs="Times New Roman"/>
          <w:sz w:val="10"/>
          <w:szCs w:val="10"/>
        </w:rPr>
      </w:pPr>
    </w:p>
    <w:p w14:paraId="619E84C0"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Interpretation of the PANDAS/PANS literature is constrained by several recurring methodological limitations. Many studies are small, originate from specialty referral centers, and enroll patients with severe or diagnostically complex presentations. These factors limit generalizability and may inflate estimates of disease severity, immune abnormalities, and treatment responsiveness [9,12].</w:t>
      </w:r>
    </w:p>
    <w:p w14:paraId="26EEC396" w14:textId="77777777" w:rsidR="00AA156B" w:rsidRPr="00AA156B" w:rsidRDefault="00AA156B" w:rsidP="008E3035">
      <w:pPr>
        <w:pStyle w:val="BodyText"/>
        <w:spacing w:line="360" w:lineRule="auto"/>
        <w:ind w:firstLine="0"/>
        <w:contextualSpacing/>
        <w:mirrorIndents/>
        <w:rPr>
          <w:rFonts w:ascii="Times New Roman" w:hAnsi="Times New Roman" w:cs="Times New Roman"/>
          <w:sz w:val="10"/>
          <w:szCs w:val="10"/>
        </w:rPr>
      </w:pPr>
    </w:p>
    <w:p w14:paraId="656E9628"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Diagnostic heterogeneity is a central problem. Studies vary in how they define PANDAS, PANS, acute-onset OCD, tic disorders, infectious exposure, symptom exacerbation, and clinical severity. Methods for confirming GAS infection also differ, and many investigations rely on single throat cultures,</w:t>
      </w:r>
      <w:r>
        <w:rPr>
          <w:rFonts w:ascii="Times New Roman" w:hAnsi="Times New Roman" w:cs="Times New Roman"/>
          <w:sz w:val="20"/>
          <w:szCs w:val="20"/>
        </w:rPr>
        <w:t xml:space="preserve"> </w:t>
      </w:r>
      <w:r w:rsidRPr="00F3339D">
        <w:rPr>
          <w:rFonts w:ascii="Times New Roman" w:hAnsi="Times New Roman" w:cs="Times New Roman"/>
          <w:sz w:val="20"/>
          <w:szCs w:val="20"/>
        </w:rPr>
        <w:t>serologic titers, administrative codes, or retrospective histories. These differences complicate direct comparison across cohorts [9,20,21].</w:t>
      </w:r>
    </w:p>
    <w:p w14:paraId="0679B439" w14:textId="77777777" w:rsidR="00AA156B" w:rsidRPr="00AA156B" w:rsidRDefault="00AA156B" w:rsidP="008E3035">
      <w:pPr>
        <w:pStyle w:val="BodyText"/>
        <w:spacing w:line="360" w:lineRule="auto"/>
        <w:ind w:firstLine="0"/>
        <w:contextualSpacing/>
        <w:mirrorIndents/>
        <w:rPr>
          <w:rFonts w:ascii="Times New Roman" w:hAnsi="Times New Roman" w:cs="Times New Roman"/>
          <w:sz w:val="10"/>
          <w:szCs w:val="10"/>
        </w:rPr>
      </w:pPr>
    </w:p>
    <w:p w14:paraId="5E83577E"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Biomarker and treatment studies face additional challenges. Proposed immune markers, including antineuronal antibodies, CaMKII activation, cytokine profiles, and imaging abnormalities, have not demonstrated sufficient reproducibility for routine diagnosis [10,29]. Treatment evidence is limited by open-label</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designs,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small</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samples,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variable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outcome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measures,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placebo</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effects,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regression</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to</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the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mean, and natural symptom fluctuation [12,40].</w:t>
      </w:r>
    </w:p>
    <w:p w14:paraId="550FCFA2" w14:textId="77777777" w:rsidR="00AA156B" w:rsidRPr="00AA156B" w:rsidRDefault="00AA156B" w:rsidP="008E3035">
      <w:pPr>
        <w:pStyle w:val="BodyText"/>
        <w:spacing w:line="360" w:lineRule="auto"/>
        <w:ind w:firstLine="0"/>
        <w:contextualSpacing/>
        <w:mirrorIndents/>
        <w:rPr>
          <w:rFonts w:ascii="Times New Roman" w:hAnsi="Times New Roman" w:cs="Times New Roman"/>
          <w:sz w:val="10"/>
          <w:szCs w:val="10"/>
        </w:rPr>
      </w:pPr>
    </w:p>
    <w:p w14:paraId="6FC06A3E"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Finally,</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long-term</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outcome</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data</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remain</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sparse.</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Few</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studies</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follow</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patients</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into</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adulthood</w:t>
      </w:r>
      <w:r w:rsidRPr="00F3339D">
        <w:rPr>
          <w:rFonts w:ascii="Times New Roman" w:hAnsi="Times New Roman" w:cs="Times New Roman"/>
          <w:spacing w:val="-10"/>
          <w:sz w:val="20"/>
          <w:szCs w:val="20"/>
        </w:rPr>
        <w:t xml:space="preserve"> </w:t>
      </w:r>
      <w:r w:rsidRPr="00F3339D">
        <w:rPr>
          <w:rFonts w:ascii="Times New Roman" w:hAnsi="Times New Roman" w:cs="Times New Roman"/>
          <w:sz w:val="20"/>
          <w:szCs w:val="20"/>
        </w:rPr>
        <w:t>or</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 xml:space="preserve">assess school functioning, quality of life, caregiver burden, and relapse patterns with standardized measures. These limitations do not negate the biologic plausibility of infection-triggered neuroimmune syndromes, but they do require cautious interpretation and highlight the need for rigorous multicenter prospective </w:t>
      </w:r>
      <w:r w:rsidRPr="00F3339D">
        <w:rPr>
          <w:rFonts w:ascii="Times New Roman" w:hAnsi="Times New Roman" w:cs="Times New Roman"/>
          <w:spacing w:val="-2"/>
          <w:sz w:val="20"/>
          <w:szCs w:val="20"/>
        </w:rPr>
        <w:t>research.</w:t>
      </w:r>
    </w:p>
    <w:p w14:paraId="43B8B4D3" w14:textId="77777777" w:rsidR="008E3035" w:rsidRPr="00AA156B" w:rsidRDefault="008E3035" w:rsidP="008E3035">
      <w:pPr>
        <w:pStyle w:val="BodyText"/>
        <w:spacing w:line="360" w:lineRule="auto"/>
        <w:ind w:firstLine="0"/>
        <w:contextualSpacing/>
        <w:mirrorIndents/>
        <w:rPr>
          <w:rFonts w:ascii="Times New Roman" w:hAnsi="Times New Roman" w:cs="Times New Roman"/>
          <w:sz w:val="10"/>
          <w:szCs w:val="10"/>
        </w:rPr>
      </w:pPr>
    </w:p>
    <w:p w14:paraId="1FFDD680" w14:textId="54D2FED1" w:rsidR="008E3035" w:rsidRPr="00F3339D" w:rsidRDefault="00461EDC" w:rsidP="008E3035">
      <w:pPr>
        <w:pStyle w:val="Heading1"/>
        <w:spacing w:line="360" w:lineRule="auto"/>
        <w:ind w:left="0" w:firstLine="0"/>
        <w:contextualSpacing/>
        <w:mirrorIndents/>
        <w:jc w:val="both"/>
        <w:rPr>
          <w:sz w:val="20"/>
          <w:szCs w:val="20"/>
        </w:rPr>
      </w:pPr>
      <w:r>
        <w:rPr>
          <w:color w:val="0070C0"/>
          <w:sz w:val="22"/>
          <w:szCs w:val="22"/>
        </w:rPr>
        <w:t>10</w:t>
      </w:r>
      <w:r w:rsidR="00AA156B" w:rsidRPr="00AA156B">
        <w:rPr>
          <w:color w:val="0070C0"/>
          <w:sz w:val="22"/>
          <w:szCs w:val="22"/>
        </w:rPr>
        <w:t xml:space="preserve">. </w:t>
      </w:r>
      <w:r w:rsidR="008E3035" w:rsidRPr="00AA156B">
        <w:rPr>
          <w:color w:val="0070C0"/>
          <w:sz w:val="22"/>
          <w:szCs w:val="22"/>
        </w:rPr>
        <w:t>Future</w:t>
      </w:r>
      <w:r w:rsidR="008E3035" w:rsidRPr="00AA156B">
        <w:rPr>
          <w:color w:val="0070C0"/>
          <w:spacing w:val="-6"/>
          <w:sz w:val="22"/>
          <w:szCs w:val="22"/>
        </w:rPr>
        <w:t xml:space="preserve"> </w:t>
      </w:r>
      <w:r w:rsidR="008E3035" w:rsidRPr="00AA156B">
        <w:rPr>
          <w:color w:val="0070C0"/>
          <w:spacing w:val="-2"/>
          <w:sz w:val="22"/>
          <w:szCs w:val="22"/>
        </w:rPr>
        <w:t>Directions</w:t>
      </w:r>
    </w:p>
    <w:p w14:paraId="681AA9CA"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Future progress will depend on moving from symptom-based labels toward biologically informed classification. The highest priority is development of prospective multicenter cohorts using standardized diagnostic criteria, uniform infectious testing, blinded assessments, validated outcome measures, and longitudinal follow-up across acute illness, remission, relapse, and recovery.</w:t>
      </w:r>
    </w:p>
    <w:p w14:paraId="5DD45754" w14:textId="77777777" w:rsidR="00AA156B" w:rsidRPr="00AA156B" w:rsidRDefault="00AA156B" w:rsidP="008E3035">
      <w:pPr>
        <w:pStyle w:val="BodyText"/>
        <w:spacing w:line="360" w:lineRule="auto"/>
        <w:ind w:firstLine="0"/>
        <w:contextualSpacing/>
        <w:mirrorIndents/>
        <w:rPr>
          <w:rFonts w:ascii="Times New Roman" w:hAnsi="Times New Roman" w:cs="Times New Roman"/>
          <w:sz w:val="10"/>
          <w:szCs w:val="10"/>
        </w:rPr>
      </w:pPr>
    </w:p>
    <w:p w14:paraId="61F09A8C"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Precision immunophenotyping should be central to this effort. Longitudinal studies measuring autoantibodies,</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cytokines,</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lastRenderedPageBreak/>
        <w:t>immune-cell</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subsets,</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complement</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activation,</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inflammatory</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signaling</w:t>
      </w:r>
      <w:r w:rsidRPr="00F3339D">
        <w:rPr>
          <w:rFonts w:ascii="Times New Roman" w:hAnsi="Times New Roman" w:cs="Times New Roman"/>
          <w:spacing w:val="-9"/>
          <w:sz w:val="20"/>
          <w:szCs w:val="20"/>
        </w:rPr>
        <w:t xml:space="preserve"> </w:t>
      </w:r>
      <w:r w:rsidRPr="00F3339D">
        <w:rPr>
          <w:rFonts w:ascii="Times New Roman" w:hAnsi="Times New Roman" w:cs="Times New Roman"/>
          <w:sz w:val="20"/>
          <w:szCs w:val="20"/>
        </w:rPr>
        <w:t>may help distinguish causal mechanisms from nonspecific immune activation or consequences of severe psychiatric stress.</w:t>
      </w:r>
    </w:p>
    <w:p w14:paraId="1677CADE" w14:textId="77777777" w:rsidR="00AA156B" w:rsidRPr="00AA156B" w:rsidRDefault="00AA156B" w:rsidP="008E3035">
      <w:pPr>
        <w:pStyle w:val="BodyText"/>
        <w:spacing w:line="360" w:lineRule="auto"/>
        <w:ind w:firstLine="0"/>
        <w:contextualSpacing/>
        <w:mirrorIndents/>
        <w:rPr>
          <w:rFonts w:ascii="Times New Roman" w:hAnsi="Times New Roman" w:cs="Times New Roman"/>
          <w:sz w:val="10"/>
          <w:szCs w:val="10"/>
        </w:rPr>
      </w:pPr>
    </w:p>
    <w:p w14:paraId="6665E9D6"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Neuroimaging</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research</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should</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shift from</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isolated</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structural findings</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toward</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multimodal models</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that integrate diffusion imaging, functional connectivity, inflammatory imaging, symptom trajectories, and immune biomarkers. Such approaches may clarify whether basal ganglia and cortico-</w:t>
      </w:r>
      <w:proofErr w:type="spellStart"/>
      <w:r w:rsidRPr="00F3339D">
        <w:rPr>
          <w:rFonts w:ascii="Times New Roman" w:hAnsi="Times New Roman" w:cs="Times New Roman"/>
          <w:sz w:val="20"/>
          <w:szCs w:val="20"/>
        </w:rPr>
        <w:t>striato</w:t>
      </w:r>
      <w:proofErr w:type="spellEnd"/>
      <w:r w:rsidRPr="00F3339D">
        <w:rPr>
          <w:rFonts w:ascii="Times New Roman" w:hAnsi="Times New Roman" w:cs="Times New Roman"/>
          <w:sz w:val="20"/>
          <w:szCs w:val="20"/>
        </w:rPr>
        <w:t>-</w:t>
      </w:r>
      <w:proofErr w:type="spellStart"/>
      <w:r w:rsidRPr="00F3339D">
        <w:rPr>
          <w:rFonts w:ascii="Times New Roman" w:hAnsi="Times New Roman" w:cs="Times New Roman"/>
          <w:sz w:val="20"/>
          <w:szCs w:val="20"/>
        </w:rPr>
        <w:t>thalamo</w:t>
      </w:r>
      <w:proofErr w:type="spellEnd"/>
      <w:r w:rsidRPr="00F3339D">
        <w:rPr>
          <w:rFonts w:ascii="Times New Roman" w:hAnsi="Times New Roman" w:cs="Times New Roman"/>
          <w:sz w:val="20"/>
          <w:szCs w:val="20"/>
        </w:rPr>
        <w:t>-cortical abnormalities define biologically meaningful subgroups or represent nonspecific correlates of pediatric neuropsychiatric illness.</w:t>
      </w:r>
    </w:p>
    <w:p w14:paraId="18038C74" w14:textId="77777777" w:rsidR="00AA156B" w:rsidRPr="00AA156B" w:rsidRDefault="00AA156B" w:rsidP="008E3035">
      <w:pPr>
        <w:pStyle w:val="BodyText"/>
        <w:spacing w:line="360" w:lineRule="auto"/>
        <w:ind w:firstLine="0"/>
        <w:contextualSpacing/>
        <w:mirrorIndents/>
        <w:rPr>
          <w:rFonts w:ascii="Times New Roman" w:hAnsi="Times New Roman" w:cs="Times New Roman"/>
          <w:sz w:val="10"/>
          <w:szCs w:val="10"/>
        </w:rPr>
      </w:pPr>
    </w:p>
    <w:p w14:paraId="6EC8B60B"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Genomic, microbiome, and cerebrospinal fluid studies may further refine patient stratification. Genetic susceptibility, blood-brain barrier biology, host-microbiome interactions, and central nervous system immune signatures remain plausible but underdeveloped areas of investigation.</w:t>
      </w:r>
    </w:p>
    <w:p w14:paraId="24FCB524"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Computational and machine-learning approaches may eventually integrate clinical phenotype, infection</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history,</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laboratory</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data,</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neuroimaging,</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genetics,</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treatment</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response,</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longitudinal</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course</w:t>
      </w:r>
      <w:r w:rsidRPr="00F3339D">
        <w:rPr>
          <w:rFonts w:ascii="Times New Roman" w:hAnsi="Times New Roman" w:cs="Times New Roman"/>
          <w:spacing w:val="-11"/>
          <w:sz w:val="20"/>
          <w:szCs w:val="20"/>
        </w:rPr>
        <w:t xml:space="preserve"> </w:t>
      </w:r>
      <w:r w:rsidRPr="00F3339D">
        <w:rPr>
          <w:rFonts w:ascii="Times New Roman" w:hAnsi="Times New Roman" w:cs="Times New Roman"/>
          <w:sz w:val="20"/>
          <w:szCs w:val="20"/>
        </w:rPr>
        <w:t>to improve classification and treatment selection. These tools will be useful only if trained on large, well-characterized, externally validated datasets.</w:t>
      </w:r>
    </w:p>
    <w:p w14:paraId="71DD21FA" w14:textId="77777777" w:rsidR="008E3035" w:rsidRPr="00AA156B" w:rsidRDefault="008E3035" w:rsidP="008E3035">
      <w:pPr>
        <w:pStyle w:val="BodyText"/>
        <w:spacing w:line="360" w:lineRule="auto"/>
        <w:ind w:firstLine="0"/>
        <w:contextualSpacing/>
        <w:mirrorIndents/>
        <w:rPr>
          <w:rFonts w:ascii="Times New Roman" w:hAnsi="Times New Roman" w:cs="Times New Roman"/>
          <w:sz w:val="10"/>
          <w:szCs w:val="10"/>
        </w:rPr>
      </w:pPr>
    </w:p>
    <w:p w14:paraId="7F9E3D07"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Therapeutic trials should increasingly use biomarker-informed enrollment, blinded outcome assessment, standardized psychiatric co-interventions, and longer follow-up. The goal should not be to prove</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that</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one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treatment</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applies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to</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all</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patients</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labeled</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PANDAS/PANS,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but</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to</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identify</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which</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interventions benefit which biologically defined subgroups and at what stage of illness.</w:t>
      </w:r>
    </w:p>
    <w:p w14:paraId="7498343E" w14:textId="77777777" w:rsidR="008E3035" w:rsidRPr="00AA156B" w:rsidRDefault="008E3035" w:rsidP="008E3035">
      <w:pPr>
        <w:pStyle w:val="BodyText"/>
        <w:spacing w:line="360" w:lineRule="auto"/>
        <w:ind w:firstLine="0"/>
        <w:contextualSpacing/>
        <w:mirrorIndents/>
        <w:rPr>
          <w:rFonts w:ascii="Times New Roman" w:hAnsi="Times New Roman" w:cs="Times New Roman"/>
          <w:sz w:val="10"/>
          <w:szCs w:val="10"/>
        </w:rPr>
      </w:pPr>
    </w:p>
    <w:p w14:paraId="0E1934B9" w14:textId="3A59AC44" w:rsidR="008E3035" w:rsidRPr="00AA156B" w:rsidRDefault="00461EDC" w:rsidP="008E3035">
      <w:pPr>
        <w:pStyle w:val="Heading1"/>
        <w:spacing w:line="360" w:lineRule="auto"/>
        <w:ind w:left="0" w:firstLine="0"/>
        <w:contextualSpacing/>
        <w:mirrorIndents/>
        <w:jc w:val="both"/>
        <w:rPr>
          <w:color w:val="0070C0"/>
          <w:sz w:val="22"/>
          <w:szCs w:val="22"/>
        </w:rPr>
      </w:pPr>
      <w:r>
        <w:rPr>
          <w:color w:val="0070C0"/>
          <w:spacing w:val="-2"/>
          <w:sz w:val="22"/>
          <w:szCs w:val="22"/>
        </w:rPr>
        <w:t>11</w:t>
      </w:r>
      <w:r w:rsidR="00AA156B" w:rsidRPr="00AA156B">
        <w:rPr>
          <w:color w:val="0070C0"/>
          <w:spacing w:val="-2"/>
          <w:sz w:val="22"/>
          <w:szCs w:val="22"/>
        </w:rPr>
        <w:t xml:space="preserve">. </w:t>
      </w:r>
      <w:r w:rsidR="008E3035" w:rsidRPr="00AA156B">
        <w:rPr>
          <w:color w:val="0070C0"/>
          <w:spacing w:val="-2"/>
          <w:sz w:val="22"/>
          <w:szCs w:val="22"/>
        </w:rPr>
        <w:t>Conclusion</w:t>
      </w:r>
    </w:p>
    <w:p w14:paraId="78085CF8"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More than a quarter century after its initial description, Pediatric Autoimmune Neuropsychiatric Disorders Associated with Streptococcal Infections (PANDAS) remains a scientifically important but contested construct in pediatric neuropsychiatry. The evidence reviewed here supports the biologic plausibility of infection-triggered neuroimmune mechanisms contributing to abrupt-onset obsessive-compulsive symptoms, tic disorders, and related neuropsychiatric manifestations in at least a subset of children. Parallels with Sydenham chorea, epidemiologic associations with streptococcal exposure, antineuronal antibody studies, basal ganglia and network-level neuroimaging findings, translational animal models, and selective responses to immunomodulatory therapies collectively indicate that immune-mediated neuropsychiatric disease can occur in pediatric populations [1,8,31].</w:t>
      </w:r>
    </w:p>
    <w:p w14:paraId="787C58C4" w14:textId="77777777" w:rsidR="00AA156B" w:rsidRPr="00AA156B" w:rsidRDefault="00AA156B" w:rsidP="008E3035">
      <w:pPr>
        <w:pStyle w:val="BodyText"/>
        <w:spacing w:line="360" w:lineRule="auto"/>
        <w:ind w:firstLine="0"/>
        <w:contextualSpacing/>
        <w:mirrorIndents/>
        <w:rPr>
          <w:rFonts w:ascii="Times New Roman" w:hAnsi="Times New Roman" w:cs="Times New Roman"/>
          <w:sz w:val="10"/>
          <w:szCs w:val="10"/>
        </w:rPr>
      </w:pPr>
    </w:p>
    <w:p w14:paraId="73E38609"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At</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the</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same</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time,</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the</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current</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evidence</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base</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does</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not</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support</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a</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single</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uniform</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disease</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model</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for</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all patients meeting PANDAS or PANS criteria. Diagnostic definitions vary across studies, validated biomarkers</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remain</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unavailable,</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findings</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from</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antibody,</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epidemiologic,</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neuroimaging,</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treatment investigations have not been consistently replicated. Small sample sizes, referral-center recruitment, retrospective</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designs,</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inconsistent</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outcome</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measures,</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limited</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long-term</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follow-up</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further</w:t>
      </w:r>
      <w:r w:rsidRPr="00F3339D">
        <w:rPr>
          <w:rFonts w:ascii="Times New Roman" w:hAnsi="Times New Roman" w:cs="Times New Roman"/>
          <w:spacing w:val="-2"/>
          <w:sz w:val="20"/>
          <w:szCs w:val="20"/>
        </w:rPr>
        <w:t xml:space="preserve"> </w:t>
      </w:r>
      <w:r w:rsidRPr="00F3339D">
        <w:rPr>
          <w:rFonts w:ascii="Times New Roman" w:hAnsi="Times New Roman" w:cs="Times New Roman"/>
          <w:sz w:val="20"/>
          <w:szCs w:val="20"/>
        </w:rPr>
        <w:t>constrain causal inference. Accordingly, neither uncritical acceptance nor categorical rejection of the PANDAS construct is justified by the available literature [10,40].</w:t>
      </w:r>
    </w:p>
    <w:p w14:paraId="50D83240" w14:textId="77777777" w:rsidR="00AA156B" w:rsidRPr="00AA156B" w:rsidRDefault="00AA156B" w:rsidP="008E3035">
      <w:pPr>
        <w:pStyle w:val="BodyText"/>
        <w:spacing w:line="360" w:lineRule="auto"/>
        <w:ind w:firstLine="0"/>
        <w:contextualSpacing/>
        <w:mirrorIndents/>
        <w:rPr>
          <w:rFonts w:ascii="Times New Roman" w:hAnsi="Times New Roman" w:cs="Times New Roman"/>
          <w:sz w:val="10"/>
          <w:szCs w:val="10"/>
        </w:rPr>
      </w:pPr>
    </w:p>
    <w:p w14:paraId="7A99EF7E"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The most defensible interpretation is that PANDAS and related acute-onset neuropsychiatric presentations likely represent biologically heterogeneous conditions rather than a single discrete disorder. Infection-triggered or immune-mediated mechanisms may be central in some patients, contributory</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in</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others,</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absent</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in</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cases</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better</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explained</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by</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primary</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psychiatric,</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 xml:space="preserve">neurodevelopmental, or functional disorders. This heterogeneity provides a plausible explanation for </w:t>
      </w:r>
      <w:r w:rsidRPr="00F3339D">
        <w:rPr>
          <w:rFonts w:ascii="Times New Roman" w:hAnsi="Times New Roman" w:cs="Times New Roman"/>
          <w:sz w:val="20"/>
          <w:szCs w:val="20"/>
        </w:rPr>
        <w:lastRenderedPageBreak/>
        <w:t>inconsistent biomarker performance, variable treatment responsiveness, and divergent long-term outcomes.</w:t>
      </w:r>
    </w:p>
    <w:p w14:paraId="2DA91BE1" w14:textId="77777777" w:rsidR="00AA156B" w:rsidRPr="00AA156B" w:rsidRDefault="00AA156B" w:rsidP="008E3035">
      <w:pPr>
        <w:pStyle w:val="BodyText"/>
        <w:spacing w:line="360" w:lineRule="auto"/>
        <w:ind w:firstLine="0"/>
        <w:contextualSpacing/>
        <w:mirrorIndents/>
        <w:rPr>
          <w:rFonts w:ascii="Times New Roman" w:hAnsi="Times New Roman" w:cs="Times New Roman"/>
          <w:sz w:val="10"/>
          <w:szCs w:val="10"/>
        </w:rPr>
      </w:pPr>
    </w:p>
    <w:p w14:paraId="74E0F8F3" w14:textId="77777777" w:rsidR="008E3035"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Clinically, the evidence supports a balanced multidisciplinary approach. Children with abrupt-onset OCD, tics, restrictive eating, neurologic abnormalities, or severe functional decline warrant careful evaluation for infectious, inflammatory, neurologic, and psychiatric contributors. At the same time, clinicians</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should</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avoid</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over</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attribution</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common</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pediatric</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psychiatric</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symptoms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to</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autoimmune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disease in the absence of supportive clinical features. Evidence-based psychiatric care remains essential, while</w:t>
      </w:r>
      <w:r>
        <w:rPr>
          <w:rFonts w:ascii="Times New Roman" w:hAnsi="Times New Roman" w:cs="Times New Roman"/>
          <w:sz w:val="20"/>
          <w:szCs w:val="20"/>
        </w:rPr>
        <w:t xml:space="preserve"> </w:t>
      </w:r>
      <w:r w:rsidRPr="00F3339D">
        <w:rPr>
          <w:rFonts w:ascii="Times New Roman" w:hAnsi="Times New Roman" w:cs="Times New Roman"/>
          <w:sz w:val="20"/>
          <w:szCs w:val="20"/>
        </w:rPr>
        <w:t>antimicrobial and immunomodulatory treatments should be individualized according to documented infection, illness severity, comorbidity, risk-benefit considerations, and specialist input [44,45,51,52].</w:t>
      </w:r>
    </w:p>
    <w:p w14:paraId="3AE74F58" w14:textId="77777777" w:rsidR="00AA156B" w:rsidRPr="00AA156B" w:rsidRDefault="00AA156B" w:rsidP="008E3035">
      <w:pPr>
        <w:pStyle w:val="BodyText"/>
        <w:spacing w:line="360" w:lineRule="auto"/>
        <w:ind w:firstLine="0"/>
        <w:contextualSpacing/>
        <w:mirrorIndents/>
        <w:rPr>
          <w:rFonts w:ascii="Times New Roman" w:hAnsi="Times New Roman" w:cs="Times New Roman"/>
          <w:sz w:val="10"/>
          <w:szCs w:val="10"/>
        </w:rPr>
      </w:pPr>
    </w:p>
    <w:p w14:paraId="75BB7271"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F3339D">
        <w:rPr>
          <w:rFonts w:ascii="Times New Roman" w:hAnsi="Times New Roman" w:cs="Times New Roman"/>
          <w:sz w:val="20"/>
          <w:szCs w:val="20"/>
        </w:rPr>
        <w:t>The</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central</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task</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for</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the</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field</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is</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to</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move</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beyond</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debate</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over</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diagnostic</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labels</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toward</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a</w:t>
      </w:r>
      <w:r w:rsidRPr="00F3339D">
        <w:rPr>
          <w:rFonts w:ascii="Times New Roman" w:hAnsi="Times New Roman" w:cs="Times New Roman"/>
          <w:spacing w:val="-13"/>
          <w:sz w:val="20"/>
          <w:szCs w:val="20"/>
        </w:rPr>
        <w:t xml:space="preserve"> </w:t>
      </w:r>
      <w:r w:rsidRPr="00F3339D">
        <w:rPr>
          <w:rFonts w:ascii="Times New Roman" w:hAnsi="Times New Roman" w:cs="Times New Roman"/>
          <w:sz w:val="20"/>
          <w:szCs w:val="20"/>
        </w:rPr>
        <w:t xml:space="preserve">precision-medicine framework for childhood neuroimmune neuropsychiatry. </w:t>
      </w:r>
      <w:proofErr w:type="gramStart"/>
      <w:r w:rsidRPr="00F3339D">
        <w:rPr>
          <w:rFonts w:ascii="Times New Roman" w:hAnsi="Times New Roman" w:cs="Times New Roman"/>
          <w:sz w:val="20"/>
          <w:szCs w:val="20"/>
        </w:rPr>
        <w:t>Rigorous prospective multicenter studies,</w:t>
      </w:r>
      <w:proofErr w:type="gramEnd"/>
      <w:r w:rsidRPr="00F3339D">
        <w:rPr>
          <w:rFonts w:ascii="Times New Roman" w:hAnsi="Times New Roman" w:cs="Times New Roman"/>
          <w:sz w:val="20"/>
          <w:szCs w:val="20"/>
        </w:rPr>
        <w:t xml:space="preserve"> standardized diagnostic criteria, validated outcome measures, longitudinal follow-up, and integration of immunophenotyping, genomics, neuroimaging, microbiome science, and computational modeling</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will</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be</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necessary</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to</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clarify</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mechanisms</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identify</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immune-responsive</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subgroups.</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Such</w:t>
      </w:r>
      <w:r w:rsidRPr="00F3339D">
        <w:rPr>
          <w:rFonts w:ascii="Times New Roman" w:hAnsi="Times New Roman" w:cs="Times New Roman"/>
          <w:spacing w:val="-14"/>
          <w:sz w:val="20"/>
          <w:szCs w:val="20"/>
        </w:rPr>
        <w:t xml:space="preserve"> </w:t>
      </w:r>
      <w:r w:rsidRPr="00F3339D">
        <w:rPr>
          <w:rFonts w:ascii="Times New Roman" w:hAnsi="Times New Roman" w:cs="Times New Roman"/>
          <w:sz w:val="20"/>
          <w:szCs w:val="20"/>
        </w:rPr>
        <w:t>work has the potential not only to refine the PANDAS/PANS construct but also to advance broader understanding of how infection, immunity, and brain development interact to shape pediatric neuropsychiatric disease.</w:t>
      </w:r>
    </w:p>
    <w:p w14:paraId="3322561B" w14:textId="77777777" w:rsidR="008E3035" w:rsidRPr="00AA156B" w:rsidRDefault="008E3035" w:rsidP="008E3035">
      <w:pPr>
        <w:pStyle w:val="BodyText"/>
        <w:spacing w:line="360" w:lineRule="auto"/>
        <w:ind w:firstLine="0"/>
        <w:contextualSpacing/>
        <w:mirrorIndents/>
        <w:rPr>
          <w:rFonts w:ascii="Times New Roman" w:hAnsi="Times New Roman" w:cs="Times New Roman"/>
          <w:sz w:val="10"/>
          <w:szCs w:val="10"/>
        </w:rPr>
      </w:pPr>
    </w:p>
    <w:p w14:paraId="474E29CB" w14:textId="2E5FBB8B" w:rsidR="008E3035" w:rsidRPr="00AA156B" w:rsidRDefault="00461EDC" w:rsidP="008E3035">
      <w:pPr>
        <w:pStyle w:val="Heading1"/>
        <w:spacing w:line="360" w:lineRule="auto"/>
        <w:ind w:left="0" w:firstLine="0"/>
        <w:contextualSpacing/>
        <w:mirrorIndents/>
        <w:jc w:val="both"/>
        <w:rPr>
          <w:b w:val="0"/>
          <w:color w:val="0070C0"/>
          <w:sz w:val="22"/>
          <w:szCs w:val="22"/>
        </w:rPr>
      </w:pPr>
      <w:r>
        <w:rPr>
          <w:color w:val="0070C0"/>
          <w:sz w:val="22"/>
          <w:szCs w:val="22"/>
        </w:rPr>
        <w:t xml:space="preserve">12. </w:t>
      </w:r>
      <w:r w:rsidR="008E3035" w:rsidRPr="00AA156B">
        <w:rPr>
          <w:color w:val="0070C0"/>
          <w:sz w:val="22"/>
          <w:szCs w:val="22"/>
        </w:rPr>
        <w:t>Key</w:t>
      </w:r>
      <w:r w:rsidR="008E3035" w:rsidRPr="00AA156B">
        <w:rPr>
          <w:color w:val="0070C0"/>
          <w:spacing w:val="-5"/>
          <w:sz w:val="22"/>
          <w:szCs w:val="22"/>
        </w:rPr>
        <w:t xml:space="preserve"> </w:t>
      </w:r>
      <w:r w:rsidR="008E3035" w:rsidRPr="00AA156B">
        <w:rPr>
          <w:color w:val="0070C0"/>
          <w:spacing w:val="-2"/>
          <w:sz w:val="22"/>
          <w:szCs w:val="22"/>
        </w:rPr>
        <w:t>Points</w:t>
      </w:r>
      <w:r w:rsidR="008E3035" w:rsidRPr="00AA156B">
        <w:rPr>
          <w:b w:val="0"/>
          <w:color w:val="0070C0"/>
          <w:spacing w:val="-2"/>
          <w:sz w:val="22"/>
          <w:szCs w:val="22"/>
        </w:rPr>
        <w:t>:</w:t>
      </w:r>
    </w:p>
    <w:p w14:paraId="2BE8033F" w14:textId="77777777" w:rsidR="008E3035" w:rsidRPr="00F3339D" w:rsidRDefault="008E3035" w:rsidP="00AA156B">
      <w:pPr>
        <w:pStyle w:val="ListParagraph"/>
        <w:numPr>
          <w:ilvl w:val="0"/>
          <w:numId w:val="3"/>
        </w:numPr>
        <w:tabs>
          <w:tab w:val="left" w:pos="426"/>
        </w:tabs>
        <w:spacing w:before="0" w:line="360" w:lineRule="auto"/>
        <w:ind w:left="284" w:right="0" w:hanging="284"/>
        <w:contextualSpacing/>
        <w:mirrorIndents/>
        <w:jc w:val="both"/>
        <w:rPr>
          <w:rFonts w:ascii="Times New Roman" w:hAnsi="Times New Roman" w:cs="Times New Roman"/>
          <w:sz w:val="20"/>
          <w:szCs w:val="20"/>
        </w:rPr>
      </w:pPr>
      <w:r w:rsidRPr="00F3339D">
        <w:rPr>
          <w:rFonts w:ascii="Times New Roman" w:hAnsi="Times New Roman" w:cs="Times New Roman"/>
          <w:sz w:val="20"/>
          <w:szCs w:val="20"/>
        </w:rPr>
        <w:t>PANDAS is a clinically recognized syndrome characterized by the abrupt onset of obsessive-compulsive symptoms and/or tic disorders temporally associated with Group A streptococcal infection,</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but</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its</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precise</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diagnostic</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boundaries</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biologic</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validity</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remain</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incompletely</w:t>
      </w:r>
      <w:r w:rsidRPr="00F3339D">
        <w:rPr>
          <w:rFonts w:ascii="Times New Roman" w:hAnsi="Times New Roman" w:cs="Times New Roman"/>
          <w:spacing w:val="-1"/>
          <w:sz w:val="20"/>
          <w:szCs w:val="20"/>
        </w:rPr>
        <w:t xml:space="preserve"> </w:t>
      </w:r>
      <w:r w:rsidRPr="00F3339D">
        <w:rPr>
          <w:rFonts w:ascii="Times New Roman" w:hAnsi="Times New Roman" w:cs="Times New Roman"/>
          <w:sz w:val="20"/>
          <w:szCs w:val="20"/>
        </w:rPr>
        <w:t>defined.</w:t>
      </w:r>
    </w:p>
    <w:p w14:paraId="7ED14E77" w14:textId="77777777" w:rsidR="008E3035" w:rsidRPr="00F3339D" w:rsidRDefault="008E3035" w:rsidP="00AA156B">
      <w:pPr>
        <w:pStyle w:val="ListParagraph"/>
        <w:numPr>
          <w:ilvl w:val="0"/>
          <w:numId w:val="3"/>
        </w:numPr>
        <w:tabs>
          <w:tab w:val="left" w:pos="426"/>
        </w:tabs>
        <w:spacing w:before="0" w:line="360" w:lineRule="auto"/>
        <w:ind w:left="284" w:right="0" w:hanging="284"/>
        <w:contextualSpacing/>
        <w:mirrorIndents/>
        <w:jc w:val="both"/>
        <w:rPr>
          <w:rFonts w:ascii="Times New Roman" w:hAnsi="Times New Roman" w:cs="Times New Roman"/>
          <w:sz w:val="20"/>
          <w:szCs w:val="20"/>
        </w:rPr>
      </w:pPr>
      <w:r w:rsidRPr="00F3339D">
        <w:rPr>
          <w:rFonts w:ascii="Times New Roman" w:hAnsi="Times New Roman" w:cs="Times New Roman"/>
          <w:sz w:val="20"/>
          <w:szCs w:val="20"/>
        </w:rPr>
        <w:t>Current evidence supports biologically plausible immune-mediated mechanisms, including as molecular mimicry, antineuronal antibodies, neuroinflammation, blood-brain barrier dysfunction, and basal ganglia involvement, in a subset of affected children, although no single mechanism has been conclusively established.</w:t>
      </w:r>
    </w:p>
    <w:p w14:paraId="3EBC2F7B" w14:textId="77777777" w:rsidR="008E3035" w:rsidRPr="00F3339D" w:rsidRDefault="008E3035" w:rsidP="00AA156B">
      <w:pPr>
        <w:pStyle w:val="ListParagraph"/>
        <w:numPr>
          <w:ilvl w:val="0"/>
          <w:numId w:val="3"/>
        </w:numPr>
        <w:tabs>
          <w:tab w:val="left" w:pos="426"/>
        </w:tabs>
        <w:spacing w:before="0" w:line="360" w:lineRule="auto"/>
        <w:ind w:left="284" w:right="0" w:hanging="284"/>
        <w:contextualSpacing/>
        <w:mirrorIndents/>
        <w:jc w:val="both"/>
        <w:rPr>
          <w:rFonts w:ascii="Times New Roman" w:hAnsi="Times New Roman" w:cs="Times New Roman"/>
          <w:sz w:val="20"/>
          <w:szCs w:val="20"/>
        </w:rPr>
      </w:pPr>
      <w:r w:rsidRPr="00F3339D">
        <w:rPr>
          <w:rFonts w:ascii="Times New Roman" w:hAnsi="Times New Roman" w:cs="Times New Roman"/>
          <w:sz w:val="20"/>
          <w:szCs w:val="20"/>
        </w:rPr>
        <w:t>Although</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neuroimaging,</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immunologic,</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translational</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animal,</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epidemiologic</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studies</w:t>
      </w:r>
      <w:r w:rsidRPr="00F3339D">
        <w:rPr>
          <w:rFonts w:ascii="Times New Roman" w:hAnsi="Times New Roman" w:cs="Times New Roman"/>
          <w:spacing w:val="-12"/>
          <w:sz w:val="20"/>
          <w:szCs w:val="20"/>
        </w:rPr>
        <w:t xml:space="preserve"> </w:t>
      </w:r>
      <w:r w:rsidRPr="00F3339D">
        <w:rPr>
          <w:rFonts w:ascii="Times New Roman" w:hAnsi="Times New Roman" w:cs="Times New Roman"/>
          <w:sz w:val="20"/>
          <w:szCs w:val="20"/>
        </w:rPr>
        <w:t>collectively support</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the</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concept</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infection-triggered</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neuroimmune</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dysfunction,</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inconsistent</w:t>
      </w:r>
      <w:r w:rsidRPr="00F3339D">
        <w:rPr>
          <w:rFonts w:ascii="Times New Roman" w:hAnsi="Times New Roman" w:cs="Times New Roman"/>
          <w:spacing w:val="-3"/>
          <w:sz w:val="20"/>
          <w:szCs w:val="20"/>
        </w:rPr>
        <w:t xml:space="preserve"> </w:t>
      </w:r>
      <w:r w:rsidRPr="00F3339D">
        <w:rPr>
          <w:rFonts w:ascii="Times New Roman" w:hAnsi="Times New Roman" w:cs="Times New Roman"/>
          <w:sz w:val="20"/>
          <w:szCs w:val="20"/>
        </w:rPr>
        <w:t>replication</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and methodological heterogeneity continue to limit definitive causal inference.</w:t>
      </w:r>
    </w:p>
    <w:p w14:paraId="54764C16" w14:textId="77777777" w:rsidR="008E3035" w:rsidRPr="00F3339D" w:rsidRDefault="008E3035" w:rsidP="00AA156B">
      <w:pPr>
        <w:pStyle w:val="ListParagraph"/>
        <w:numPr>
          <w:ilvl w:val="0"/>
          <w:numId w:val="3"/>
        </w:numPr>
        <w:tabs>
          <w:tab w:val="left" w:pos="426"/>
        </w:tabs>
        <w:spacing w:before="0" w:line="360" w:lineRule="auto"/>
        <w:ind w:left="284" w:right="0" w:hanging="284"/>
        <w:contextualSpacing/>
        <w:mirrorIndents/>
        <w:jc w:val="both"/>
        <w:rPr>
          <w:rFonts w:ascii="Times New Roman" w:hAnsi="Times New Roman" w:cs="Times New Roman"/>
          <w:sz w:val="20"/>
          <w:szCs w:val="20"/>
        </w:rPr>
      </w:pPr>
      <w:r w:rsidRPr="00F3339D">
        <w:rPr>
          <w:rFonts w:ascii="Times New Roman" w:hAnsi="Times New Roman" w:cs="Times New Roman"/>
          <w:sz w:val="20"/>
          <w:szCs w:val="20"/>
        </w:rPr>
        <w:t>No validated biomarker currently possesses sufficient sensitivity or specificity for routine clinical diagnosis, making PANDAS a diagnosis based primarily on clinical assessment and careful exclusion of alternative neurologic and psychiatric disorders.</w:t>
      </w:r>
    </w:p>
    <w:p w14:paraId="5951CFFE" w14:textId="77777777" w:rsidR="008E3035" w:rsidRPr="00F3339D" w:rsidRDefault="008E3035" w:rsidP="00AA156B">
      <w:pPr>
        <w:pStyle w:val="ListParagraph"/>
        <w:numPr>
          <w:ilvl w:val="0"/>
          <w:numId w:val="3"/>
        </w:numPr>
        <w:tabs>
          <w:tab w:val="left" w:pos="426"/>
        </w:tabs>
        <w:spacing w:before="0" w:line="360" w:lineRule="auto"/>
        <w:ind w:left="284" w:right="0" w:hanging="284"/>
        <w:contextualSpacing/>
        <w:mirrorIndents/>
        <w:jc w:val="both"/>
        <w:rPr>
          <w:rFonts w:ascii="Times New Roman" w:hAnsi="Times New Roman" w:cs="Times New Roman"/>
          <w:sz w:val="20"/>
          <w:szCs w:val="20"/>
        </w:rPr>
      </w:pPr>
      <w:r w:rsidRPr="00F3339D">
        <w:rPr>
          <w:rFonts w:ascii="Times New Roman" w:hAnsi="Times New Roman" w:cs="Times New Roman"/>
          <w:sz w:val="20"/>
          <w:szCs w:val="20"/>
        </w:rPr>
        <w:t>Evidence-based</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psychiatric</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management</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such</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as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cognitive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behavioral</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therapy</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with</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exposure</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and response prevention and appropriately titrated SSRIs remains a cornerstone of treatment regardless of the suspected underlying immune mechanism.</w:t>
      </w:r>
    </w:p>
    <w:p w14:paraId="32A5219C" w14:textId="77777777" w:rsidR="008E3035" w:rsidRPr="00F3339D" w:rsidRDefault="008E3035" w:rsidP="00AA156B">
      <w:pPr>
        <w:pStyle w:val="ListParagraph"/>
        <w:numPr>
          <w:ilvl w:val="0"/>
          <w:numId w:val="3"/>
        </w:numPr>
        <w:tabs>
          <w:tab w:val="left" w:pos="426"/>
        </w:tabs>
        <w:spacing w:before="0" w:line="360" w:lineRule="auto"/>
        <w:ind w:left="284" w:right="0" w:hanging="284"/>
        <w:contextualSpacing/>
        <w:mirrorIndents/>
        <w:jc w:val="both"/>
        <w:rPr>
          <w:rFonts w:ascii="Times New Roman" w:hAnsi="Times New Roman" w:cs="Times New Roman"/>
          <w:sz w:val="20"/>
          <w:szCs w:val="20"/>
        </w:rPr>
      </w:pPr>
      <w:r w:rsidRPr="00F3339D">
        <w:rPr>
          <w:rFonts w:ascii="Times New Roman" w:hAnsi="Times New Roman" w:cs="Times New Roman"/>
          <w:sz w:val="20"/>
          <w:szCs w:val="20"/>
        </w:rPr>
        <w:t>Immunomodulatory</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therapies,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including</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corticosteroids,</w:t>
      </w:r>
      <w:r w:rsidRPr="00F3339D">
        <w:rPr>
          <w:rFonts w:ascii="Times New Roman" w:hAnsi="Times New Roman" w:cs="Times New Roman"/>
          <w:spacing w:val="-16"/>
          <w:sz w:val="20"/>
          <w:szCs w:val="20"/>
        </w:rPr>
        <w:t xml:space="preserve"> </w:t>
      </w:r>
      <w:r w:rsidRPr="00F3339D">
        <w:rPr>
          <w:rFonts w:ascii="Times New Roman" w:hAnsi="Times New Roman" w:cs="Times New Roman"/>
          <w:sz w:val="20"/>
          <w:szCs w:val="20"/>
        </w:rPr>
        <w:t>intravenous</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immunoglobulin,</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and</w:t>
      </w:r>
      <w:r w:rsidRPr="00F3339D">
        <w:rPr>
          <w:rFonts w:ascii="Times New Roman" w:hAnsi="Times New Roman" w:cs="Times New Roman"/>
          <w:spacing w:val="-15"/>
          <w:sz w:val="20"/>
          <w:szCs w:val="20"/>
        </w:rPr>
        <w:t xml:space="preserve"> </w:t>
      </w:r>
      <w:r w:rsidRPr="00F3339D">
        <w:rPr>
          <w:rFonts w:ascii="Times New Roman" w:hAnsi="Times New Roman" w:cs="Times New Roman"/>
          <w:sz w:val="20"/>
          <w:szCs w:val="20"/>
        </w:rPr>
        <w:t xml:space="preserve">plasma exchange, may benefit carefully selected patients with moderate-to-severe disease, but current evidence remains insufficient to support their routine use outside multidisciplinary specialist </w:t>
      </w:r>
      <w:r w:rsidRPr="00F3339D">
        <w:rPr>
          <w:rFonts w:ascii="Times New Roman" w:hAnsi="Times New Roman" w:cs="Times New Roman"/>
          <w:spacing w:val="-2"/>
          <w:sz w:val="20"/>
          <w:szCs w:val="20"/>
        </w:rPr>
        <w:t>evaluation.</w:t>
      </w:r>
    </w:p>
    <w:p w14:paraId="04072B74" w14:textId="77777777" w:rsidR="008E3035" w:rsidRPr="00F3339D" w:rsidRDefault="008E3035" w:rsidP="00AA156B">
      <w:pPr>
        <w:pStyle w:val="ListParagraph"/>
        <w:numPr>
          <w:ilvl w:val="0"/>
          <w:numId w:val="3"/>
        </w:numPr>
        <w:tabs>
          <w:tab w:val="left" w:pos="426"/>
        </w:tabs>
        <w:spacing w:before="0" w:line="360" w:lineRule="auto"/>
        <w:ind w:left="284" w:right="0" w:hanging="284"/>
        <w:contextualSpacing/>
        <w:mirrorIndents/>
        <w:jc w:val="both"/>
        <w:rPr>
          <w:rFonts w:ascii="Times New Roman" w:hAnsi="Times New Roman" w:cs="Times New Roman"/>
          <w:sz w:val="20"/>
          <w:szCs w:val="20"/>
        </w:rPr>
      </w:pPr>
      <w:r w:rsidRPr="00F3339D">
        <w:rPr>
          <w:rFonts w:ascii="Times New Roman" w:hAnsi="Times New Roman" w:cs="Times New Roman"/>
          <w:sz w:val="20"/>
          <w:szCs w:val="20"/>
        </w:rPr>
        <w:t>Long-term</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outcomes</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are</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heterogeneous,</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ranging</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from</w:t>
      </w:r>
      <w:r w:rsidRPr="00F3339D">
        <w:rPr>
          <w:rFonts w:ascii="Times New Roman" w:hAnsi="Times New Roman" w:cs="Times New Roman"/>
          <w:spacing w:val="-5"/>
          <w:sz w:val="20"/>
          <w:szCs w:val="20"/>
        </w:rPr>
        <w:t xml:space="preserve"> </w:t>
      </w:r>
      <w:r w:rsidRPr="00F3339D">
        <w:rPr>
          <w:rFonts w:ascii="Times New Roman" w:hAnsi="Times New Roman" w:cs="Times New Roman"/>
          <w:sz w:val="20"/>
          <w:szCs w:val="20"/>
        </w:rPr>
        <w:t>complete</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remission</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to</w:t>
      </w:r>
      <w:r w:rsidRPr="00F3339D">
        <w:rPr>
          <w:rFonts w:ascii="Times New Roman" w:hAnsi="Times New Roman" w:cs="Times New Roman"/>
          <w:spacing w:val="-4"/>
          <w:sz w:val="20"/>
          <w:szCs w:val="20"/>
        </w:rPr>
        <w:t xml:space="preserve"> </w:t>
      </w:r>
      <w:r w:rsidRPr="00F3339D">
        <w:rPr>
          <w:rFonts w:ascii="Times New Roman" w:hAnsi="Times New Roman" w:cs="Times New Roman"/>
          <w:sz w:val="20"/>
          <w:szCs w:val="20"/>
        </w:rPr>
        <w:t>relapsing-remitting illness or persistent psychiatric morbidity, underscoring the importance of individualized management and long-term follow-up.</w:t>
      </w:r>
    </w:p>
    <w:p w14:paraId="0AD6FBAD" w14:textId="77777777" w:rsidR="008E3035" w:rsidRPr="00F3339D" w:rsidRDefault="008E3035" w:rsidP="00AA156B">
      <w:pPr>
        <w:pStyle w:val="ListParagraph"/>
        <w:numPr>
          <w:ilvl w:val="0"/>
          <w:numId w:val="3"/>
        </w:numPr>
        <w:tabs>
          <w:tab w:val="left" w:pos="426"/>
        </w:tabs>
        <w:spacing w:before="0" w:line="360" w:lineRule="auto"/>
        <w:ind w:left="284" w:right="0" w:hanging="284"/>
        <w:contextualSpacing/>
        <w:mirrorIndents/>
        <w:jc w:val="both"/>
        <w:rPr>
          <w:rFonts w:ascii="Times New Roman" w:hAnsi="Times New Roman" w:cs="Times New Roman"/>
          <w:sz w:val="20"/>
          <w:szCs w:val="20"/>
        </w:rPr>
      </w:pPr>
      <w:r w:rsidRPr="00F3339D">
        <w:rPr>
          <w:rFonts w:ascii="Times New Roman" w:hAnsi="Times New Roman" w:cs="Times New Roman"/>
          <w:sz w:val="20"/>
          <w:szCs w:val="20"/>
        </w:rPr>
        <w:t xml:space="preserve">The principal controversies surrounding PANDAS involve diagnostic specificity, biomarker reproducibility, causal </w:t>
      </w:r>
      <w:r w:rsidRPr="00F3339D">
        <w:rPr>
          <w:rFonts w:ascii="Times New Roman" w:hAnsi="Times New Roman" w:cs="Times New Roman"/>
          <w:sz w:val="20"/>
          <w:szCs w:val="20"/>
        </w:rPr>
        <w:lastRenderedPageBreak/>
        <w:t>attribution of streptococcal infection, potential overdiagnosis, and interpretation</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immunotherapy</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studies</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rather</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than</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the</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existence</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postinfectious</w:t>
      </w:r>
      <w:r w:rsidRPr="00F3339D">
        <w:rPr>
          <w:rFonts w:ascii="Times New Roman" w:hAnsi="Times New Roman" w:cs="Times New Roman"/>
          <w:spacing w:val="-8"/>
          <w:sz w:val="20"/>
          <w:szCs w:val="20"/>
        </w:rPr>
        <w:t xml:space="preserve"> </w:t>
      </w:r>
      <w:r w:rsidRPr="00F3339D">
        <w:rPr>
          <w:rFonts w:ascii="Times New Roman" w:hAnsi="Times New Roman" w:cs="Times New Roman"/>
          <w:sz w:val="20"/>
          <w:szCs w:val="20"/>
        </w:rPr>
        <w:t>neuroimmune disease itself.</w:t>
      </w:r>
    </w:p>
    <w:p w14:paraId="7481E38D" w14:textId="77777777" w:rsidR="008E3035" w:rsidRPr="00F3339D" w:rsidRDefault="008E3035" w:rsidP="00AA156B">
      <w:pPr>
        <w:pStyle w:val="ListParagraph"/>
        <w:numPr>
          <w:ilvl w:val="0"/>
          <w:numId w:val="3"/>
        </w:numPr>
        <w:tabs>
          <w:tab w:val="left" w:pos="426"/>
        </w:tabs>
        <w:spacing w:before="0" w:line="360" w:lineRule="auto"/>
        <w:ind w:left="284" w:right="0" w:hanging="284"/>
        <w:contextualSpacing/>
        <w:mirrorIndents/>
        <w:jc w:val="both"/>
        <w:rPr>
          <w:rFonts w:ascii="Times New Roman" w:hAnsi="Times New Roman" w:cs="Times New Roman"/>
          <w:sz w:val="20"/>
          <w:szCs w:val="20"/>
        </w:rPr>
      </w:pPr>
      <w:r w:rsidRPr="00F3339D">
        <w:rPr>
          <w:rFonts w:ascii="Times New Roman" w:hAnsi="Times New Roman" w:cs="Times New Roman"/>
          <w:sz w:val="20"/>
          <w:szCs w:val="20"/>
        </w:rPr>
        <w:t>Future progress will depend on large prospective multicenter studies integrating standardized diagnostic criteria, longitudinal clinical phenotyping, advanced immunologic profiling, neuroimaging, genomics, and precision-medicine approaches to identify biologically meaningful patient subgroups.</w:t>
      </w:r>
    </w:p>
    <w:p w14:paraId="360391E8" w14:textId="77777777" w:rsidR="008E3035" w:rsidRPr="00AA156B" w:rsidRDefault="008E3035" w:rsidP="008E3035">
      <w:pPr>
        <w:pStyle w:val="BodyText"/>
        <w:spacing w:line="360" w:lineRule="auto"/>
        <w:ind w:firstLine="0"/>
        <w:contextualSpacing/>
        <w:mirrorIndents/>
        <w:rPr>
          <w:rFonts w:ascii="Times New Roman" w:hAnsi="Times New Roman" w:cs="Times New Roman"/>
          <w:sz w:val="10"/>
          <w:szCs w:val="10"/>
        </w:rPr>
      </w:pPr>
    </w:p>
    <w:p w14:paraId="42014A85"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AA156B">
        <w:rPr>
          <w:rFonts w:ascii="Times New Roman" w:hAnsi="Times New Roman" w:cs="Times New Roman"/>
          <w:b/>
          <w:color w:val="0070C0"/>
        </w:rPr>
        <w:t>Funding</w:t>
      </w:r>
      <w:r w:rsidRPr="00AA156B">
        <w:rPr>
          <w:rFonts w:ascii="Times New Roman" w:hAnsi="Times New Roman" w:cs="Times New Roman"/>
          <w:color w:val="0070C0"/>
        </w:rPr>
        <w:t>:</w:t>
      </w:r>
      <w:r w:rsidRPr="00AA156B">
        <w:rPr>
          <w:rFonts w:ascii="Times New Roman" w:hAnsi="Times New Roman" w:cs="Times New Roman"/>
          <w:color w:val="0070C0"/>
          <w:spacing w:val="-6"/>
        </w:rPr>
        <w:t xml:space="preserve"> </w:t>
      </w:r>
      <w:r w:rsidRPr="00F3339D">
        <w:rPr>
          <w:rFonts w:ascii="Times New Roman" w:hAnsi="Times New Roman" w:cs="Times New Roman"/>
          <w:sz w:val="20"/>
          <w:szCs w:val="20"/>
        </w:rPr>
        <w:t>The</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research</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work</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of</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DKA</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is</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supported</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by</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the</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R25AI179582</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grant</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from</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the</w:t>
      </w:r>
      <w:r w:rsidRPr="00F3339D">
        <w:rPr>
          <w:rFonts w:ascii="Times New Roman" w:hAnsi="Times New Roman" w:cs="Times New Roman"/>
          <w:spacing w:val="-7"/>
          <w:sz w:val="20"/>
          <w:szCs w:val="20"/>
        </w:rPr>
        <w:t xml:space="preserve"> </w:t>
      </w:r>
      <w:r w:rsidRPr="00F3339D">
        <w:rPr>
          <w:rFonts w:ascii="Times New Roman" w:hAnsi="Times New Roman" w:cs="Times New Roman"/>
          <w:sz w:val="20"/>
          <w:szCs w:val="20"/>
        </w:rPr>
        <w:t>National</w:t>
      </w:r>
      <w:r w:rsidRPr="00F3339D">
        <w:rPr>
          <w:rFonts w:ascii="Times New Roman" w:hAnsi="Times New Roman" w:cs="Times New Roman"/>
          <w:spacing w:val="-6"/>
          <w:sz w:val="20"/>
          <w:szCs w:val="20"/>
        </w:rPr>
        <w:t xml:space="preserve"> </w:t>
      </w:r>
      <w:r w:rsidRPr="00F3339D">
        <w:rPr>
          <w:rFonts w:ascii="Times New Roman" w:hAnsi="Times New Roman" w:cs="Times New Roman"/>
          <w:sz w:val="20"/>
          <w:szCs w:val="20"/>
        </w:rPr>
        <w:t>Institutes of Health, USA. The contents of this article are solely the responsibility of the authors and do not necessarily represent the official views of the National Institutes of Health.</w:t>
      </w:r>
    </w:p>
    <w:p w14:paraId="4694B6F8" w14:textId="77777777" w:rsidR="008E3035" w:rsidRPr="00AA156B" w:rsidRDefault="008E3035" w:rsidP="008E3035">
      <w:pPr>
        <w:pStyle w:val="BodyText"/>
        <w:spacing w:line="360" w:lineRule="auto"/>
        <w:ind w:firstLine="0"/>
        <w:contextualSpacing/>
        <w:mirrorIndents/>
        <w:rPr>
          <w:rFonts w:ascii="Times New Roman" w:hAnsi="Times New Roman" w:cs="Times New Roman"/>
          <w:sz w:val="10"/>
          <w:szCs w:val="10"/>
        </w:rPr>
      </w:pPr>
    </w:p>
    <w:p w14:paraId="523C1C16" w14:textId="77777777" w:rsidR="008E3035" w:rsidRPr="00F3339D" w:rsidRDefault="008E3035" w:rsidP="008E3035">
      <w:pPr>
        <w:pStyle w:val="BodyText"/>
        <w:spacing w:line="360" w:lineRule="auto"/>
        <w:ind w:firstLine="0"/>
        <w:contextualSpacing/>
        <w:mirrorIndents/>
        <w:rPr>
          <w:rFonts w:ascii="Times New Roman" w:hAnsi="Times New Roman" w:cs="Times New Roman"/>
          <w:sz w:val="20"/>
          <w:szCs w:val="20"/>
        </w:rPr>
      </w:pPr>
      <w:r w:rsidRPr="00AA156B">
        <w:rPr>
          <w:rFonts w:ascii="Times New Roman" w:hAnsi="Times New Roman" w:cs="Times New Roman"/>
          <w:b/>
          <w:color w:val="0070C0"/>
        </w:rPr>
        <w:t>Competing interests</w:t>
      </w:r>
      <w:r w:rsidRPr="00AA156B">
        <w:rPr>
          <w:rFonts w:ascii="Times New Roman" w:hAnsi="Times New Roman" w:cs="Times New Roman"/>
          <w:color w:val="0070C0"/>
        </w:rPr>
        <w:t xml:space="preserve">: </w:t>
      </w:r>
      <w:r w:rsidRPr="00F3339D">
        <w:rPr>
          <w:rFonts w:ascii="Times New Roman" w:hAnsi="Times New Roman" w:cs="Times New Roman"/>
          <w:sz w:val="20"/>
          <w:szCs w:val="20"/>
        </w:rPr>
        <w:t>Both authors have read the manuscript and declare no conflict of interest. No writing assistance was utilized in the production of this manuscript.</w:t>
      </w:r>
    </w:p>
    <w:p w14:paraId="670E6995" w14:textId="77777777" w:rsidR="008E3035" w:rsidRPr="00AA156B" w:rsidRDefault="008E3035" w:rsidP="008E3035">
      <w:pPr>
        <w:pStyle w:val="BodyText"/>
        <w:spacing w:line="360" w:lineRule="auto"/>
        <w:ind w:firstLine="0"/>
        <w:contextualSpacing/>
        <w:mirrorIndents/>
        <w:rPr>
          <w:rFonts w:ascii="Times New Roman" w:hAnsi="Times New Roman" w:cs="Times New Roman"/>
          <w:sz w:val="10"/>
          <w:szCs w:val="10"/>
        </w:rPr>
      </w:pPr>
    </w:p>
    <w:p w14:paraId="2EF5610E" w14:textId="77777777" w:rsidR="008E3035" w:rsidRDefault="008E3035" w:rsidP="008E3035">
      <w:pPr>
        <w:spacing w:after="0" w:line="360" w:lineRule="auto"/>
        <w:ind w:left="0" w:firstLine="0"/>
        <w:contextualSpacing/>
        <w:mirrorIndents/>
        <w:rPr>
          <w:spacing w:val="-2"/>
        </w:rPr>
      </w:pPr>
      <w:r w:rsidRPr="00AA156B">
        <w:rPr>
          <w:b/>
          <w:color w:val="0070C0"/>
          <w:sz w:val="22"/>
          <w:szCs w:val="22"/>
        </w:rPr>
        <w:t>Consent</w:t>
      </w:r>
      <w:r w:rsidRPr="00AA156B">
        <w:rPr>
          <w:b/>
          <w:color w:val="0070C0"/>
          <w:spacing w:val="-8"/>
          <w:sz w:val="22"/>
          <w:szCs w:val="22"/>
        </w:rPr>
        <w:t xml:space="preserve"> </w:t>
      </w:r>
      <w:r w:rsidRPr="00AA156B">
        <w:rPr>
          <w:b/>
          <w:color w:val="0070C0"/>
          <w:sz w:val="22"/>
          <w:szCs w:val="22"/>
        </w:rPr>
        <w:t>for</w:t>
      </w:r>
      <w:r w:rsidRPr="00AA156B">
        <w:rPr>
          <w:b/>
          <w:color w:val="0070C0"/>
          <w:spacing w:val="-6"/>
          <w:sz w:val="22"/>
          <w:szCs w:val="22"/>
        </w:rPr>
        <w:t xml:space="preserve"> </w:t>
      </w:r>
      <w:r w:rsidRPr="00AA156B">
        <w:rPr>
          <w:b/>
          <w:color w:val="0070C0"/>
          <w:sz w:val="22"/>
          <w:szCs w:val="22"/>
        </w:rPr>
        <w:t>publication</w:t>
      </w:r>
      <w:r w:rsidRPr="00AA156B">
        <w:rPr>
          <w:color w:val="0070C0"/>
          <w:sz w:val="22"/>
          <w:szCs w:val="22"/>
        </w:rPr>
        <w:t>:</w:t>
      </w:r>
      <w:r w:rsidRPr="00AA156B">
        <w:rPr>
          <w:color w:val="0070C0"/>
          <w:spacing w:val="-6"/>
          <w:sz w:val="22"/>
          <w:szCs w:val="22"/>
        </w:rPr>
        <w:t xml:space="preserve"> </w:t>
      </w:r>
      <w:r w:rsidRPr="00F3339D">
        <w:t>Both</w:t>
      </w:r>
      <w:r w:rsidRPr="00F3339D">
        <w:rPr>
          <w:spacing w:val="-5"/>
        </w:rPr>
        <w:t xml:space="preserve"> </w:t>
      </w:r>
      <w:r w:rsidRPr="00F3339D">
        <w:t>authors</w:t>
      </w:r>
      <w:r w:rsidRPr="00F3339D">
        <w:rPr>
          <w:spacing w:val="-6"/>
        </w:rPr>
        <w:t xml:space="preserve"> </w:t>
      </w:r>
      <w:r w:rsidRPr="00F3339D">
        <w:t>have</w:t>
      </w:r>
      <w:r w:rsidRPr="00F3339D">
        <w:rPr>
          <w:spacing w:val="-6"/>
        </w:rPr>
        <w:t xml:space="preserve"> </w:t>
      </w:r>
      <w:r w:rsidRPr="00F3339D">
        <w:t>read</w:t>
      </w:r>
      <w:r w:rsidRPr="00F3339D">
        <w:rPr>
          <w:spacing w:val="-6"/>
        </w:rPr>
        <w:t xml:space="preserve"> </w:t>
      </w:r>
      <w:r w:rsidRPr="00F3339D">
        <w:t>the</w:t>
      </w:r>
      <w:r w:rsidRPr="00F3339D">
        <w:rPr>
          <w:spacing w:val="-5"/>
        </w:rPr>
        <w:t xml:space="preserve"> </w:t>
      </w:r>
      <w:r w:rsidRPr="00F3339D">
        <w:t>manuscript</w:t>
      </w:r>
      <w:r w:rsidRPr="00F3339D">
        <w:rPr>
          <w:spacing w:val="-6"/>
        </w:rPr>
        <w:t xml:space="preserve"> </w:t>
      </w:r>
      <w:r w:rsidRPr="00F3339D">
        <w:t>and</w:t>
      </w:r>
      <w:r w:rsidRPr="00F3339D">
        <w:rPr>
          <w:spacing w:val="-6"/>
        </w:rPr>
        <w:t xml:space="preserve"> </w:t>
      </w:r>
      <w:r w:rsidRPr="00F3339D">
        <w:t>consented</w:t>
      </w:r>
      <w:r w:rsidRPr="00F3339D">
        <w:rPr>
          <w:spacing w:val="-6"/>
        </w:rPr>
        <w:t xml:space="preserve"> </w:t>
      </w:r>
      <w:r w:rsidRPr="00F3339D">
        <w:t>for</w:t>
      </w:r>
      <w:r w:rsidRPr="00F3339D">
        <w:rPr>
          <w:spacing w:val="-5"/>
        </w:rPr>
        <w:t xml:space="preserve"> </w:t>
      </w:r>
      <w:r w:rsidRPr="00F3339D">
        <w:rPr>
          <w:spacing w:val="-2"/>
        </w:rPr>
        <w:t>publication.</w:t>
      </w:r>
    </w:p>
    <w:p w14:paraId="222DB7F3" w14:textId="77777777" w:rsidR="00ED4B1D" w:rsidRDefault="00ED4B1D" w:rsidP="008E3035">
      <w:pPr>
        <w:spacing w:after="0" w:line="360" w:lineRule="auto"/>
        <w:ind w:left="0" w:firstLine="0"/>
        <w:contextualSpacing/>
        <w:mirrorIndents/>
        <w:rPr>
          <w:spacing w:val="-2"/>
        </w:rPr>
      </w:pPr>
    </w:p>
    <w:p w14:paraId="70181F4C" w14:textId="77777777" w:rsidR="00FE782D" w:rsidRDefault="00000000">
      <w:pPr>
        <w:widowControl w:val="0"/>
        <w:spacing w:after="0" w:line="360" w:lineRule="auto"/>
        <w:ind w:left="0" w:firstLine="0"/>
        <w:rPr>
          <w:b/>
          <w:bCs/>
        </w:rPr>
      </w:pPr>
      <w:r>
        <w:rPr>
          <w:b/>
          <w:bCs/>
          <w:color w:val="0070C0"/>
          <w:sz w:val="22"/>
          <w:szCs w:val="22"/>
        </w:rPr>
        <w:t>References</w:t>
      </w:r>
      <w:r>
        <w:rPr>
          <w:b/>
          <w:bCs/>
        </w:rPr>
        <w:t xml:space="preserve"> </w:t>
      </w:r>
    </w:p>
    <w:p w14:paraId="5ADAC607"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Williams KA, Swedo SE. Post-infectious autoimmune disorders: Sydenham's chorea, PANDAS and beyond. Brain Research 1617 (2015): 144-154. </w:t>
      </w:r>
    </w:p>
    <w:p w14:paraId="15EBEE29"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Pavone P, </w:t>
      </w:r>
      <w:proofErr w:type="spellStart"/>
      <w:r w:rsidRPr="005B5C82">
        <w:rPr>
          <w:rFonts w:ascii="Times New Roman" w:hAnsi="Times New Roman" w:cs="Times New Roman"/>
          <w:sz w:val="20"/>
          <w:szCs w:val="20"/>
        </w:rPr>
        <w:t>Parano</w:t>
      </w:r>
      <w:proofErr w:type="spellEnd"/>
      <w:r w:rsidRPr="005B5C82">
        <w:rPr>
          <w:rFonts w:ascii="Times New Roman" w:hAnsi="Times New Roman" w:cs="Times New Roman"/>
          <w:sz w:val="20"/>
          <w:szCs w:val="20"/>
        </w:rPr>
        <w:t xml:space="preserve"> E, Rizzo R, et al. Autoimmune neuropsychiatric disorders associated with streptococcal infection: Sydenham chorea, PANDAS, and PANDAS variants. Journal of Child Neurology 21 (2006): 727-736. </w:t>
      </w:r>
    </w:p>
    <w:p w14:paraId="171C58CA"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Swedo SE, Leonard HL, Garvey M, et al. Pediatric autoimmune neuropsychiatric disorders associated with streptococcal infections: Clinical description of the first 50 cases. American Journal of Psychiatry 155 (1998): 264-271. </w:t>
      </w:r>
    </w:p>
    <w:p w14:paraId="3586F235"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Cunningham MW. Molecular Mimicry, Autoimmunity, and Infection: The Cross-Reactive Antigens of Group A Streptococci and their Sequelae. Microbiology Spectrum 7 (2019). </w:t>
      </w:r>
    </w:p>
    <w:p w14:paraId="1506B745"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Kirvan CA, Swedo SE, Snider LA, et al. Antibody-mediated neuronal cell signaling in behavior and movement disorders. Journal of Neuroimmunology 179 (2006): 173-179. </w:t>
      </w:r>
    </w:p>
    <w:p w14:paraId="3DB187A4"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Hornig M. The role of microbes and autoimmunity in the pathogenesis of neuropsychiatric illness. Current Opinion in Rheumatology 25 (2013): 488-495. </w:t>
      </w:r>
    </w:p>
    <w:p w14:paraId="5EAD738C"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proofErr w:type="spellStart"/>
      <w:r w:rsidRPr="005B5C82">
        <w:rPr>
          <w:rFonts w:ascii="Times New Roman" w:hAnsi="Times New Roman" w:cs="Times New Roman"/>
          <w:sz w:val="20"/>
          <w:szCs w:val="20"/>
        </w:rPr>
        <w:t>Dileepan</w:t>
      </w:r>
      <w:proofErr w:type="spellEnd"/>
      <w:r w:rsidRPr="005B5C82">
        <w:rPr>
          <w:rFonts w:ascii="Times New Roman" w:hAnsi="Times New Roman" w:cs="Times New Roman"/>
          <w:sz w:val="20"/>
          <w:szCs w:val="20"/>
        </w:rPr>
        <w:t xml:space="preserve"> T, Smith ED, Knowland D, et al. Group A Streptococcus intranasal infection promotes CNS infiltration by streptococcal-specific Th17 cells. Journal of Clinical Investigation 126 (2016): 303-317. </w:t>
      </w:r>
    </w:p>
    <w:p w14:paraId="3F369AF3"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Murphy TK, Gerardi DM, Leckman JF. Pediatric acute-onset neuropsychiatric syndrome. Psychiatric Clinics of North America 37 (2014): 353-374. </w:t>
      </w:r>
    </w:p>
    <w:p w14:paraId="2CE334FE"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Singer HS, Gilbert DL, Wolf DS, et al. Moving from PANDAS to CANS. Journal of Pediatrics 160 (2012): 725-731. </w:t>
      </w:r>
    </w:p>
    <w:p w14:paraId="2374D083"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Hesselmark E, </w:t>
      </w:r>
      <w:proofErr w:type="spellStart"/>
      <w:r w:rsidRPr="005B5C82">
        <w:rPr>
          <w:rFonts w:ascii="Times New Roman" w:hAnsi="Times New Roman" w:cs="Times New Roman"/>
          <w:sz w:val="20"/>
          <w:szCs w:val="20"/>
        </w:rPr>
        <w:t>Bejerot</w:t>
      </w:r>
      <w:proofErr w:type="spellEnd"/>
      <w:r w:rsidRPr="005B5C82">
        <w:rPr>
          <w:rFonts w:ascii="Times New Roman" w:hAnsi="Times New Roman" w:cs="Times New Roman"/>
          <w:sz w:val="20"/>
          <w:szCs w:val="20"/>
        </w:rPr>
        <w:t xml:space="preserve"> S. Biomarkers for diagnosis of Pediatric Acute Neuropsychiatric Syndrome (PANS): Sensitivity and specificity of the Cunningham Panel. Journal of Neuroimmunology 312 (2017): 31-37.</w:t>
      </w:r>
    </w:p>
    <w:p w14:paraId="536FFC11"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Swedo SE, Leckman JF, Rose NR. From research subgroup to clinical syndrome: Modifying the PANDAS criteria to describe PANS (Pediatric Acute-Onset Neuropsychiatric Syndrome). Pediatric Therapeutics 2 (2012): 113. </w:t>
      </w:r>
    </w:p>
    <w:p w14:paraId="0A260726"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proofErr w:type="spellStart"/>
      <w:r w:rsidRPr="005B5C82">
        <w:rPr>
          <w:rFonts w:ascii="Times New Roman" w:hAnsi="Times New Roman" w:cs="Times New Roman"/>
          <w:sz w:val="20"/>
          <w:szCs w:val="20"/>
        </w:rPr>
        <w:lastRenderedPageBreak/>
        <w:t>Sigra</w:t>
      </w:r>
      <w:proofErr w:type="spellEnd"/>
      <w:r w:rsidRPr="005B5C82">
        <w:rPr>
          <w:rFonts w:ascii="Times New Roman" w:hAnsi="Times New Roman" w:cs="Times New Roman"/>
          <w:sz w:val="20"/>
          <w:szCs w:val="20"/>
        </w:rPr>
        <w:t xml:space="preserve"> S, Hesselmark E, </w:t>
      </w:r>
      <w:proofErr w:type="spellStart"/>
      <w:r w:rsidRPr="005B5C82">
        <w:rPr>
          <w:rFonts w:ascii="Times New Roman" w:hAnsi="Times New Roman" w:cs="Times New Roman"/>
          <w:sz w:val="20"/>
          <w:szCs w:val="20"/>
        </w:rPr>
        <w:t>Bejerot</w:t>
      </w:r>
      <w:proofErr w:type="spellEnd"/>
      <w:r w:rsidRPr="005B5C82">
        <w:rPr>
          <w:rFonts w:ascii="Times New Roman" w:hAnsi="Times New Roman" w:cs="Times New Roman"/>
          <w:sz w:val="20"/>
          <w:szCs w:val="20"/>
        </w:rPr>
        <w:t xml:space="preserve"> S. Treatment of PANDAS and PANS: A systematic review. Neuroscience and Biobehavioral Reviews 86 (2018): 51-65. </w:t>
      </w:r>
    </w:p>
    <w:p w14:paraId="6FECF0A7"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Murphy TK, Storch EA, Lewin AB, et al. Clinical factors associated with pediatric autoimmune neuropsychiatric disorders associated with streptococcal infections. Journal of Pediatrics 160 (2012): 314-319. </w:t>
      </w:r>
    </w:p>
    <w:p w14:paraId="6FD92B2E"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proofErr w:type="spellStart"/>
      <w:r w:rsidRPr="005B5C82">
        <w:rPr>
          <w:rFonts w:ascii="Times New Roman" w:hAnsi="Times New Roman" w:cs="Times New Roman"/>
          <w:sz w:val="20"/>
          <w:szCs w:val="20"/>
        </w:rPr>
        <w:t>Calaprice</w:t>
      </w:r>
      <w:proofErr w:type="spellEnd"/>
      <w:r w:rsidRPr="005B5C82">
        <w:rPr>
          <w:rFonts w:ascii="Times New Roman" w:hAnsi="Times New Roman" w:cs="Times New Roman"/>
          <w:sz w:val="20"/>
          <w:szCs w:val="20"/>
        </w:rPr>
        <w:t xml:space="preserve"> D, Tona J, Parker-Athill EC, et al. A survey of Pediatric Acute-Onset Neuropsychiatric Syndrome characteristics and course. Journal of Child and Adolescent Psychopharmacology 27 (2017): 607-618. </w:t>
      </w:r>
    </w:p>
    <w:p w14:paraId="795A6EEE"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Kalra SK, Swedo SE. Children with obsessive-compulsive disorder: Are they just "little adults"? Journal of Clinical Investigation 119 (2009): 737-746. </w:t>
      </w:r>
    </w:p>
    <w:p w14:paraId="1D5E9DF8"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Murphy TK, Storch EA, Turner A, et al. Maternal history of autoimmune disease in children presenting with tics and/or obsessive-compulsive disorder. Journal of Neuroimmunology 229 (2010): 243-247. </w:t>
      </w:r>
    </w:p>
    <w:p w14:paraId="51DEF029"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Lougee L, Perlmutter SJ, Nicolson R, et al. Psychiatric disorders in first-degree relatives of children with pediatric autoimmune neuropsychiatric disorders associated with streptococcal infections (PANDAS). Journal of the American Academy of Child and Adolescent Psychiatry 39 (2000): 1120-1126. </w:t>
      </w:r>
    </w:p>
    <w:p w14:paraId="70B03028"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Ma M, Masterson EE, Gao J, et al. Development of autoimmune diseases among children with Pediatric Acute-Onset Neuropsychiatric Syndrome. JAMA Network Open 7 (2024). </w:t>
      </w:r>
    </w:p>
    <w:p w14:paraId="32345183"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Mell LK, Davis RL, Owens D. Association between streptococcal infection and obsessive-compulsive disorder, Tourette's syndrome, and tic disorder. Pediatrics 116 (2005): 56-60. </w:t>
      </w:r>
    </w:p>
    <w:p w14:paraId="1C27E67C"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Leslie DL, Kozma L, Martin A, et al. Neuropsychiatric disorders associated with streptococcal infection: A case-control study among privately insured children. Journal of the American Academy of Child and Adolescent Psychiatry 47 (2008): 1166-1172.</w:t>
      </w:r>
    </w:p>
    <w:p w14:paraId="41C1D8FF"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Leckman JF, King RA, Gilbert DL, et al. Streptococcal upper respiratory tract infections and exacerbations of tic and obsessive-compulsive symptoms: A prospective longitudinal study. Journal of the American Academy of Child and Adolescent Psychiatry 50 (2011): 108-118.e3. </w:t>
      </w:r>
    </w:p>
    <w:p w14:paraId="44AE8015"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Murphy TK, Snider LA, Mutch PJ, et al. Relationship of movements and behaviors to Group A </w:t>
      </w:r>
      <w:proofErr w:type="gramStart"/>
      <w:r w:rsidRPr="005B5C82">
        <w:rPr>
          <w:rFonts w:ascii="Times New Roman" w:hAnsi="Times New Roman" w:cs="Times New Roman"/>
          <w:i/>
          <w:iCs/>
          <w:sz w:val="20"/>
          <w:szCs w:val="20"/>
        </w:rPr>
        <w:t>Streptococcus</w:t>
      </w:r>
      <w:r w:rsidRPr="005B5C82">
        <w:rPr>
          <w:rFonts w:ascii="Times New Roman" w:hAnsi="Times New Roman" w:cs="Times New Roman"/>
          <w:sz w:val="20"/>
          <w:szCs w:val="20"/>
        </w:rPr>
        <w:t xml:space="preserve"> infections</w:t>
      </w:r>
      <w:proofErr w:type="gramEnd"/>
      <w:r w:rsidRPr="005B5C82">
        <w:rPr>
          <w:rFonts w:ascii="Times New Roman" w:hAnsi="Times New Roman" w:cs="Times New Roman"/>
          <w:sz w:val="20"/>
          <w:szCs w:val="20"/>
        </w:rPr>
        <w:t xml:space="preserve"> in elementary school children. Biological Psychiatry 61 (2007): 279-284. </w:t>
      </w:r>
    </w:p>
    <w:p w14:paraId="75749079"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Cooperstock MS, Swedo SE, Pasternack MS, et al. Clinical management of Pediatric Acute-Onset Neuropsychiatric Syndrome: Part III—Treatment and prevention of infections. Journal of Child and Adolescent Psychopharmacology 27 (2017): 594-606. </w:t>
      </w:r>
    </w:p>
    <w:p w14:paraId="13D772E9"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Murphy ML, </w:t>
      </w:r>
      <w:proofErr w:type="spellStart"/>
      <w:r w:rsidRPr="005B5C82">
        <w:rPr>
          <w:rFonts w:ascii="Times New Roman" w:hAnsi="Times New Roman" w:cs="Times New Roman"/>
          <w:sz w:val="20"/>
          <w:szCs w:val="20"/>
        </w:rPr>
        <w:t>Pichichero</w:t>
      </w:r>
      <w:proofErr w:type="spellEnd"/>
      <w:r w:rsidRPr="005B5C82">
        <w:rPr>
          <w:rFonts w:ascii="Times New Roman" w:hAnsi="Times New Roman" w:cs="Times New Roman"/>
          <w:sz w:val="20"/>
          <w:szCs w:val="20"/>
        </w:rPr>
        <w:t xml:space="preserve"> ME. Prospective identification and treatment of children with pediatric autoimmune neuropsychiatric disorder associated with Group A streptococcal infection (PANDAS). Archives of Pediatrics &amp; Adolescent Medicine 156 (2002): 356-361.</w:t>
      </w:r>
    </w:p>
    <w:p w14:paraId="4B601F59"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Murphy TK, </w:t>
      </w:r>
      <w:proofErr w:type="spellStart"/>
      <w:r w:rsidRPr="005B5C82">
        <w:rPr>
          <w:rFonts w:ascii="Times New Roman" w:hAnsi="Times New Roman" w:cs="Times New Roman"/>
          <w:sz w:val="20"/>
          <w:szCs w:val="20"/>
        </w:rPr>
        <w:t>Kurlan</w:t>
      </w:r>
      <w:proofErr w:type="spellEnd"/>
      <w:r w:rsidRPr="005B5C82">
        <w:rPr>
          <w:rFonts w:ascii="Times New Roman" w:hAnsi="Times New Roman" w:cs="Times New Roman"/>
          <w:sz w:val="20"/>
          <w:szCs w:val="20"/>
        </w:rPr>
        <w:t xml:space="preserve"> R, Leckman J. The immunobiology of Tourette's disorder, pediatric autoimmune neuropsychiatric disorders associated with </w:t>
      </w:r>
      <w:r w:rsidRPr="005B5C82">
        <w:rPr>
          <w:rFonts w:ascii="Times New Roman" w:hAnsi="Times New Roman" w:cs="Times New Roman"/>
          <w:i/>
          <w:iCs/>
          <w:sz w:val="20"/>
          <w:szCs w:val="20"/>
        </w:rPr>
        <w:t>Streptococcus</w:t>
      </w:r>
      <w:r w:rsidRPr="005B5C82">
        <w:rPr>
          <w:rFonts w:ascii="Times New Roman" w:hAnsi="Times New Roman" w:cs="Times New Roman"/>
          <w:sz w:val="20"/>
          <w:szCs w:val="20"/>
        </w:rPr>
        <w:t xml:space="preserve">, and related disorders: A way forward. Journal of Child and Adolescent Psychopharmacology 20 (2010): 317-331. </w:t>
      </w:r>
    </w:p>
    <w:p w14:paraId="419F76D8"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Martino D, Johnson I, Leckman JF. What does immunology have to do with normal brain development and the pathophysiology underlying Tourette syndrome and related neuropsychiatric disorders? Frontiers in Neurology 11 (2020): 567407. </w:t>
      </w:r>
    </w:p>
    <w:p w14:paraId="1D9F0A52"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lastRenderedPageBreak/>
        <w:t xml:space="preserve">Dale RC, Heyman I, Giovannoni G, et al. Incidence of anti-brain antibodies in children with obsessive-compulsive disorder. British Journal of Psychiatry 187 (2005): 314-319. </w:t>
      </w:r>
    </w:p>
    <w:p w14:paraId="795BBB0F"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Cox CJ, Sharma M, Leckman JF, et al. Brain human monoclonal autoantibody from Sydenham chorea targets dopaminergic neurons in transgenic mice and signals dopamine D2 receptor: Implications in human disease. Journal of Immunology 191 (2013): 5524-5541. </w:t>
      </w:r>
    </w:p>
    <w:p w14:paraId="4F243565"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Singer HS. Autoantibody-associated movement disorders in children: Proven and proposed. Seminars in Pediatric Neurology 24 (2017): 168-179. </w:t>
      </w:r>
    </w:p>
    <w:p w14:paraId="3B2142C7"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Xu J, Frankovich J, Liu RJ, et al. Elevated antibody binding to striatal cholinergic interneurons in patients with Pediatric Acute-Onset Neuropsychiatric Syndrome. Brain, Behavior, and Immunity 122 (2024): 241-255.</w:t>
      </w:r>
    </w:p>
    <w:p w14:paraId="060B9307"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Vreeland A, </w:t>
      </w:r>
      <w:proofErr w:type="spellStart"/>
      <w:r w:rsidRPr="005B5C82">
        <w:rPr>
          <w:rFonts w:ascii="Times New Roman" w:hAnsi="Times New Roman" w:cs="Times New Roman"/>
          <w:sz w:val="20"/>
          <w:szCs w:val="20"/>
        </w:rPr>
        <w:t>Calaprice</w:t>
      </w:r>
      <w:proofErr w:type="spellEnd"/>
      <w:r w:rsidRPr="005B5C82">
        <w:rPr>
          <w:rFonts w:ascii="Times New Roman" w:hAnsi="Times New Roman" w:cs="Times New Roman"/>
          <w:sz w:val="20"/>
          <w:szCs w:val="20"/>
        </w:rPr>
        <w:t xml:space="preserve"> D, Or-Geva N, et al. Postinfectious inflammation, autoimmunity, and obsessive-compulsive disorder: Sydenham chorea, pediatric autoimmune neuropsychiatric disorder associated with streptococcal infection, and Pediatric Acute-Onset Neuropsychiatric Syndrome. Developmental Neuroscience 45 (2023): 361-374. </w:t>
      </w:r>
    </w:p>
    <w:p w14:paraId="05143901"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Giedd JN, Rapoport JL, Leonard HL, et al. Case study: Acute basal ganglia enlargement and obsessive-compulsive symptoms in an adolescent boy. Journal of the American Academy of Child and Adolescent Psychiatry 35 (1996): 913-915. </w:t>
      </w:r>
    </w:p>
    <w:p w14:paraId="73DB9D72"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Kumar A, Williams MT, Chugani HT. Evaluation of basal ganglia and thalamic inflammation in children with pediatric autoimmune neuropsychiatric disorders associated with streptococcal infection and Tourette syndrome: A positron emission tomographic (PET) study using 11C-[R]-PK11195. Journal of Child Neurology 30 (2015): 749-756. </w:t>
      </w:r>
    </w:p>
    <w:p w14:paraId="4B34268F"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Zheng J, Frankovich J, McKenna ES, et al. Association of Pediatric Acute-Onset Neuropsychiatric Syndrome with microstructural differences in brain regions detected via diffusion-weighted magnetic resonance imaging. JAMA Network Open 3 (2020). </w:t>
      </w:r>
    </w:p>
    <w:p w14:paraId="2AB81770"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Perlmutter SJ, Leitman SF, Garvey MA, et al. Therapeutic plasma exchange and intravenous immunoglobulin for obsessive-compulsive disorder and tic disorders in childhood. The Lancet 354 (1999): 1153-1158. </w:t>
      </w:r>
    </w:p>
    <w:p w14:paraId="7367F535"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Frankovich J, Swedo S, Murphy T, et al. Clinical management of Pediatric Acute-Onset Neuropsychiatric Syndrome: Part II—Use of immunomodulatory therapies. Journal of Child and Adolescent Psychopharmacology 27 (2017): 574-593. </w:t>
      </w:r>
    </w:p>
    <w:p w14:paraId="7636E411"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Melamed I, Kobayashi RH, O'Connor M, et al. Evaluation of intravenous immunoglobulin in Pediatric Acute-Onset Neuropsychiatric Syndrome. Journal of Child and Adolescent Psychopharmacology 31 (2021): 118-128. </w:t>
      </w:r>
    </w:p>
    <w:p w14:paraId="32D85D15"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proofErr w:type="spellStart"/>
      <w:r w:rsidRPr="005B5C82">
        <w:rPr>
          <w:rFonts w:ascii="Times New Roman" w:hAnsi="Times New Roman" w:cs="Times New Roman"/>
          <w:sz w:val="20"/>
          <w:szCs w:val="20"/>
        </w:rPr>
        <w:t>Hajjari</w:t>
      </w:r>
      <w:proofErr w:type="spellEnd"/>
      <w:r w:rsidRPr="005B5C82">
        <w:rPr>
          <w:rFonts w:ascii="Times New Roman" w:hAnsi="Times New Roman" w:cs="Times New Roman"/>
          <w:sz w:val="20"/>
          <w:szCs w:val="20"/>
        </w:rPr>
        <w:t xml:space="preserve"> P, Oldmark MH, Fernell E, et al. </w:t>
      </w:r>
      <w:proofErr w:type="spellStart"/>
      <w:r w:rsidRPr="005B5C82">
        <w:rPr>
          <w:rFonts w:ascii="Times New Roman" w:hAnsi="Times New Roman" w:cs="Times New Roman"/>
          <w:sz w:val="20"/>
          <w:szCs w:val="20"/>
        </w:rPr>
        <w:t>Paediatric</w:t>
      </w:r>
      <w:proofErr w:type="spellEnd"/>
      <w:r w:rsidRPr="005B5C82">
        <w:rPr>
          <w:rFonts w:ascii="Times New Roman" w:hAnsi="Times New Roman" w:cs="Times New Roman"/>
          <w:sz w:val="20"/>
          <w:szCs w:val="20"/>
        </w:rPr>
        <w:t xml:space="preserve"> Acute-Onset Neuropsychiatric Syndrome (PANS) and intravenous immunoglobulin (IVIG): Comprehensive open-label trial in ten children. BMC Psychiatry 22 (2022): 535. </w:t>
      </w:r>
    </w:p>
    <w:p w14:paraId="3177C0AD"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Melamed I, Rahman S, Pein H, et al. IVIG response in Pediatric Acute-Onset Neuropsychiatric Syndrome correlates with reduction in pro-inflammatory monocytes and neuropsychiatric measures. Frontiers in Immunology 15 (2024): 1383973. </w:t>
      </w:r>
    </w:p>
    <w:p w14:paraId="5A2782B7"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Johnson M, Ehlers S, Fernell E, et al. Anti-inflammatory, antibacterial and immunomodulatory treatment in children with symptoms corresponding to the research condition PANS (Pediatric Acute-Onset Neuropsychiatric Syndrome): A systematic review. </w:t>
      </w:r>
      <w:proofErr w:type="spellStart"/>
      <w:r w:rsidRPr="005B5C82">
        <w:rPr>
          <w:rFonts w:ascii="Times New Roman" w:hAnsi="Times New Roman" w:cs="Times New Roman"/>
          <w:sz w:val="20"/>
          <w:szCs w:val="20"/>
        </w:rPr>
        <w:t>PLoS</w:t>
      </w:r>
      <w:proofErr w:type="spellEnd"/>
      <w:r w:rsidRPr="005B5C82">
        <w:rPr>
          <w:rFonts w:ascii="Times New Roman" w:hAnsi="Times New Roman" w:cs="Times New Roman"/>
          <w:sz w:val="20"/>
          <w:szCs w:val="20"/>
        </w:rPr>
        <w:t xml:space="preserve"> ONE 16 (2021).</w:t>
      </w:r>
    </w:p>
    <w:p w14:paraId="38CE8677"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Gagliano A, Carta A, </w:t>
      </w:r>
      <w:proofErr w:type="spellStart"/>
      <w:r w:rsidRPr="005B5C82">
        <w:rPr>
          <w:rFonts w:ascii="Times New Roman" w:hAnsi="Times New Roman" w:cs="Times New Roman"/>
          <w:sz w:val="20"/>
          <w:szCs w:val="20"/>
        </w:rPr>
        <w:t>Tanca</w:t>
      </w:r>
      <w:proofErr w:type="spellEnd"/>
      <w:r w:rsidRPr="005B5C82">
        <w:rPr>
          <w:rFonts w:ascii="Times New Roman" w:hAnsi="Times New Roman" w:cs="Times New Roman"/>
          <w:sz w:val="20"/>
          <w:szCs w:val="20"/>
        </w:rPr>
        <w:t xml:space="preserve"> MG, et al. Pediatric Acute-Onset Neuropsychiatric Syndrome: Current Perspectives. Neuropsychiatric Disease and Treatment 19 (2023): 1221-1250. </w:t>
      </w:r>
    </w:p>
    <w:p w14:paraId="660950DB"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lastRenderedPageBreak/>
        <w:t xml:space="preserve">Quagliariello A, Del </w:t>
      </w:r>
      <w:proofErr w:type="spellStart"/>
      <w:r w:rsidRPr="005B5C82">
        <w:rPr>
          <w:rFonts w:ascii="Times New Roman" w:hAnsi="Times New Roman" w:cs="Times New Roman"/>
          <w:sz w:val="20"/>
          <w:szCs w:val="20"/>
        </w:rPr>
        <w:t>Chierico</w:t>
      </w:r>
      <w:proofErr w:type="spellEnd"/>
      <w:r w:rsidRPr="005B5C82">
        <w:rPr>
          <w:rFonts w:ascii="Times New Roman" w:hAnsi="Times New Roman" w:cs="Times New Roman"/>
          <w:sz w:val="20"/>
          <w:szCs w:val="20"/>
        </w:rPr>
        <w:t xml:space="preserve"> F, Russo A, et al. Gut microbiota profiling and gut-brain crosstalk in children affected by Pediatric Acute-Onset Neuropsychiatric Syndrome and pediatric autoimmune neuropsychiatric disorders associated with streptococcal infections. Frontiers in Microbiology 9 (2018): 675. </w:t>
      </w:r>
    </w:p>
    <w:p w14:paraId="0E6FC24B"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Murphy TK, Patel PD, McGuire JF, et al. Characterization of the Pediatric Acute-Onset Neuropsychiatric Syndrome phenotype. Journal of Child and Adolescent Psychopharmacology 25 (2015): 14-25. </w:t>
      </w:r>
    </w:p>
    <w:p w14:paraId="707D7DD3"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Board of Directors. Pediatric Acute-Onset Neuropsychiatric Syndrome (PANS): Clinical Report. Pediatrics 155 (2025). </w:t>
      </w:r>
    </w:p>
    <w:p w14:paraId="19510BE7"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Pfeiffer HCV, Wickstrom R, Skov L, et al. Clinical guidance for diagnosis and management of suspected Pediatric Acute-Onset Neuropsychiatric Syndrome in the Nordic countries. Acta </w:t>
      </w:r>
      <w:proofErr w:type="spellStart"/>
      <w:r w:rsidRPr="005B5C82">
        <w:rPr>
          <w:rFonts w:ascii="Times New Roman" w:hAnsi="Times New Roman" w:cs="Times New Roman"/>
          <w:sz w:val="20"/>
          <w:szCs w:val="20"/>
        </w:rPr>
        <w:t>Paediatrica</w:t>
      </w:r>
      <w:proofErr w:type="spellEnd"/>
      <w:r w:rsidRPr="005B5C82">
        <w:rPr>
          <w:rFonts w:ascii="Times New Roman" w:hAnsi="Times New Roman" w:cs="Times New Roman"/>
          <w:sz w:val="20"/>
          <w:szCs w:val="20"/>
        </w:rPr>
        <w:t xml:space="preserve"> 110 (2021): 3153-3160. </w:t>
      </w:r>
    </w:p>
    <w:p w14:paraId="55426752"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Chang K, Frankovich J, Cooperstock M, et al. Clinical evaluation of youth with Pediatric Acute-Onset Neuropsychiatric Syndrome (PANS): Recommendations from the 2013 PANS Consensus Conference. Journal of Child and Adolescent Psychopharmacology 25 (2015): 3-13. </w:t>
      </w:r>
    </w:p>
    <w:p w14:paraId="6F829CC9"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Grandinetti R, Mussi N, </w:t>
      </w:r>
      <w:proofErr w:type="spellStart"/>
      <w:r w:rsidRPr="005B5C82">
        <w:rPr>
          <w:rFonts w:ascii="Times New Roman" w:hAnsi="Times New Roman" w:cs="Times New Roman"/>
          <w:sz w:val="20"/>
          <w:szCs w:val="20"/>
        </w:rPr>
        <w:t>Pilloni</w:t>
      </w:r>
      <w:proofErr w:type="spellEnd"/>
      <w:r w:rsidRPr="005B5C82">
        <w:rPr>
          <w:rFonts w:ascii="Times New Roman" w:hAnsi="Times New Roman" w:cs="Times New Roman"/>
          <w:sz w:val="20"/>
          <w:szCs w:val="20"/>
        </w:rPr>
        <w:t xml:space="preserve"> S, et al. Pediatric Acute-Onset Neuropsychiatric Syndrome and pediatric autoimmune neuropsychiatric disorder associated with streptococcal infections: A Delphi study and consensus document about definition, diagnostic criteria, treatment and follow-up. Frontiers in Immunology 15 (2024): 1420663. </w:t>
      </w:r>
    </w:p>
    <w:p w14:paraId="00C5CFB9"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Murphy TK, Brennan EM, </w:t>
      </w:r>
      <w:proofErr w:type="spellStart"/>
      <w:r w:rsidRPr="005B5C82">
        <w:rPr>
          <w:rFonts w:ascii="Times New Roman" w:hAnsi="Times New Roman" w:cs="Times New Roman"/>
          <w:sz w:val="20"/>
          <w:szCs w:val="20"/>
        </w:rPr>
        <w:t>Johnco</w:t>
      </w:r>
      <w:proofErr w:type="spellEnd"/>
      <w:r w:rsidRPr="005B5C82">
        <w:rPr>
          <w:rFonts w:ascii="Times New Roman" w:hAnsi="Times New Roman" w:cs="Times New Roman"/>
          <w:sz w:val="20"/>
          <w:szCs w:val="20"/>
        </w:rPr>
        <w:t xml:space="preserve"> C, et al. A double-blind randomized placebo-controlled pilot study of azithromycin in youth with acute-onset obsessive-compulsive disorder. Journal of Child and Adolescent Psychopharmacology 27 (2017): 640-651. </w:t>
      </w:r>
    </w:p>
    <w:p w14:paraId="3FBE93B2"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Murphy TK, Parker-Athill EC, Lewin AB, et al. Cefdinir for recent-onset pediatric neuropsychiatric disorders: A pilot randomized trial. Journal of Child and Adolescent Psychopharmacology 25 (2015): 57-64. </w:t>
      </w:r>
    </w:p>
    <w:p w14:paraId="0D34E2F1"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Snider LA, Lougee L, Slattery M, et al. Antibiotic prophylaxis with azithromycin or penicillin for childhood-onset neuropsychiatric disorders. Biological Psychiatry 57 (2005): 788-792.</w:t>
      </w:r>
    </w:p>
    <w:p w14:paraId="40F2FD3C"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proofErr w:type="spellStart"/>
      <w:r w:rsidRPr="005B5C82">
        <w:rPr>
          <w:rFonts w:ascii="Times New Roman" w:hAnsi="Times New Roman" w:cs="Times New Roman"/>
          <w:sz w:val="20"/>
          <w:szCs w:val="20"/>
        </w:rPr>
        <w:t>Thienemann</w:t>
      </w:r>
      <w:proofErr w:type="spellEnd"/>
      <w:r w:rsidRPr="005B5C82">
        <w:rPr>
          <w:rFonts w:ascii="Times New Roman" w:hAnsi="Times New Roman" w:cs="Times New Roman"/>
          <w:sz w:val="20"/>
          <w:szCs w:val="20"/>
        </w:rPr>
        <w:t xml:space="preserve"> M, Murphy T, Leckman J, et al. Clinical management of Pediatric Acute-Onset Neuropsychiatric Syndrome: Part I—Psychiatric and behavioral interventions. Journal of Child and Adolescent Psychopharmacology 27 (2017): 566-573. </w:t>
      </w:r>
    </w:p>
    <w:p w14:paraId="44E9BDCA"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Nadeau JM, Jordan C, Selles RR, et al. A pilot trial of cognitive-behavioral therapy augmentation of antibiotic treatment in youth with Pediatric Acute-Onset Neuropsychiatric Syndrome-related obsessive-compulsive disorder. Journal of Child and Adolescent Psychopharmacology 25 (2015): 337-343. </w:t>
      </w:r>
    </w:p>
    <w:p w14:paraId="5622C3CD"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Murphy TK, Storch EA, Strawser MS. Selective serotonin reuptake inhibitor-induced behavioral activation in the PANDAS subtype. Primary Psychiatry 13 (2006): 87. </w:t>
      </w:r>
    </w:p>
    <w:p w14:paraId="0EBE6C03"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Spartz EJ, Freeman GM Jr, Brown K, et al. Course of neuropsychiatric symptoms after introduction and removal of nonsteroidal anti-inflammatory drugs: A pediatric observational study. Journal of Child and Adolescent Psychopharmacology 27 (2017): 652-659. </w:t>
      </w:r>
    </w:p>
    <w:p w14:paraId="3A426F14" w14:textId="77777777" w:rsidR="00A3345F" w:rsidRPr="005B5C82" w:rsidRDefault="00A3345F" w:rsidP="00A3345F">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sz w:val="20"/>
          <w:szCs w:val="20"/>
        </w:rPr>
      </w:pPr>
      <w:r w:rsidRPr="005B5C82">
        <w:rPr>
          <w:rFonts w:ascii="Times New Roman" w:hAnsi="Times New Roman" w:cs="Times New Roman"/>
          <w:sz w:val="20"/>
          <w:szCs w:val="20"/>
        </w:rPr>
        <w:t xml:space="preserve">Brown K, Farmer C, Farhadian B, et al. Pediatric Acute-Onset Neuropsychiatric Syndrome response to oral corticosteroid bursts: An observational study of patients in an academic community-based PANS clinic. Journal of Child and Adolescent Psychopharmacology 27 (2017): 629-639. </w:t>
      </w:r>
    </w:p>
    <w:p w14:paraId="4FC3B78F" w14:textId="1CDF88E4" w:rsidR="00FE782D" w:rsidRPr="001C1989" w:rsidRDefault="00A3345F" w:rsidP="001C1989">
      <w:pPr>
        <w:pStyle w:val="ListParagraph"/>
        <w:widowControl/>
        <w:numPr>
          <w:ilvl w:val="0"/>
          <w:numId w:val="4"/>
        </w:numPr>
        <w:autoSpaceDE/>
        <w:autoSpaceDN/>
        <w:spacing w:before="0" w:line="360" w:lineRule="auto"/>
        <w:ind w:left="284" w:right="0" w:hanging="284"/>
        <w:contextualSpacing/>
        <w:mirrorIndents/>
        <w:jc w:val="both"/>
        <w:rPr>
          <w:rFonts w:ascii="Times New Roman" w:hAnsi="Times New Roman" w:cs="Times New Roman"/>
        </w:rPr>
      </w:pPr>
      <w:proofErr w:type="spellStart"/>
      <w:r w:rsidRPr="001C1989">
        <w:rPr>
          <w:rFonts w:ascii="Times New Roman" w:hAnsi="Times New Roman" w:cs="Times New Roman"/>
          <w:sz w:val="20"/>
          <w:szCs w:val="20"/>
        </w:rPr>
        <w:t>Eremija</w:t>
      </w:r>
      <w:proofErr w:type="spellEnd"/>
      <w:r w:rsidRPr="001C1989">
        <w:rPr>
          <w:rFonts w:ascii="Times New Roman" w:hAnsi="Times New Roman" w:cs="Times New Roman"/>
          <w:sz w:val="20"/>
          <w:szCs w:val="20"/>
        </w:rPr>
        <w:t xml:space="preserve"> J, Patel S, Rice S, et al. Intravenous immunoglobulin treatment improves multiple neuropsychiatric outcomes in patients with Pediatric Acute-Onset Neuropsychiatric Syndrome. Frontiers in Pediatrics 11 (2023): 1229150. </w:t>
      </w:r>
    </w:p>
    <w:p w14:paraId="2265D812" w14:textId="77777777" w:rsidR="00FE782D" w:rsidRDefault="00FE782D">
      <w:pPr>
        <w:spacing w:after="0" w:line="360" w:lineRule="auto"/>
        <w:ind w:left="0" w:firstLine="0"/>
      </w:pPr>
    </w:p>
    <w:p w14:paraId="61EED50F" w14:textId="77777777" w:rsidR="00A3345F" w:rsidRDefault="00A3345F">
      <w:pPr>
        <w:spacing w:after="0" w:line="360" w:lineRule="auto"/>
        <w:ind w:left="0" w:firstLine="0"/>
      </w:pPr>
    </w:p>
    <w:p w14:paraId="1FA5DA57" w14:textId="77777777" w:rsidR="001C1989" w:rsidRDefault="001C1989">
      <w:pPr>
        <w:spacing w:after="0" w:line="360" w:lineRule="auto"/>
        <w:ind w:left="0" w:firstLine="0"/>
      </w:pPr>
    </w:p>
    <w:p w14:paraId="38FA8F46" w14:textId="77777777" w:rsidR="001C1989" w:rsidRDefault="001C1989">
      <w:pPr>
        <w:spacing w:after="0" w:line="360" w:lineRule="auto"/>
        <w:ind w:left="0" w:firstLine="0"/>
      </w:pPr>
    </w:p>
    <w:p w14:paraId="2F7ED322" w14:textId="77777777" w:rsidR="00FE782D" w:rsidRDefault="00FE782D">
      <w:pPr>
        <w:spacing w:after="0" w:line="360" w:lineRule="auto"/>
        <w:ind w:left="0" w:firstLine="0"/>
      </w:pPr>
    </w:p>
    <w:p w14:paraId="2F768868" w14:textId="77777777" w:rsidR="00FE782D" w:rsidRDefault="00000000">
      <w:pPr>
        <w:ind w:left="0" w:firstLine="0"/>
      </w:pPr>
      <w:r>
        <w:t xml:space="preserve">This article is an open-access article distributed under the terms and conditions. </w:t>
      </w:r>
      <w:r>
        <w:rPr>
          <w:noProof/>
        </w:rPr>
        <w:drawing>
          <wp:anchor distT="0" distB="0" distL="114300" distR="114300" simplePos="0" relativeHeight="251658240" behindDoc="0" locked="0" layoutInCell="1" hidden="0" allowOverlap="1" wp14:anchorId="21B083FF" wp14:editId="0BC48217">
            <wp:simplePos x="0" y="0"/>
            <wp:positionH relativeFrom="column">
              <wp:posOffset>290767</wp:posOffset>
            </wp:positionH>
            <wp:positionV relativeFrom="paragraph">
              <wp:posOffset>4445</wp:posOffset>
            </wp:positionV>
            <wp:extent cx="1029335" cy="369570"/>
            <wp:effectExtent l="0" t="0" r="0" b="0"/>
            <wp:wrapSquare wrapText="bothSides" distT="0" distB="0" distL="114300" distR="11430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1029335" cy="369570"/>
                    </a:xfrm>
                    <a:prstGeom prst="rect">
                      <a:avLst/>
                    </a:prstGeom>
                    <a:ln/>
                  </pic:spPr>
                </pic:pic>
              </a:graphicData>
            </a:graphic>
          </wp:anchor>
        </w:drawing>
      </w:r>
    </w:p>
    <w:p w14:paraId="715BDB70" w14:textId="77777777" w:rsidR="00FE782D" w:rsidRDefault="00FE782D">
      <w:hyperlink r:id="rId15">
        <w:r>
          <w:rPr>
            <w:color w:val="0000FF"/>
            <w:u w:val="single"/>
          </w:rPr>
          <w:t>Creative Commons Attribution (CC-BY) license 4.0</w:t>
        </w:r>
      </w:hyperlink>
      <w:hyperlink r:id="rId16">
        <w:r>
          <w:rPr>
            <w:color w:val="0000FF"/>
            <w:sz w:val="16"/>
            <w:szCs w:val="16"/>
          </w:rPr>
          <w:t xml:space="preserve"> </w:t>
        </w:r>
      </w:hyperlink>
    </w:p>
    <w:sectPr w:rsidR="00FE782D" w:rsidSect="003339D3">
      <w:headerReference w:type="even" r:id="rId17"/>
      <w:headerReference w:type="default" r:id="rId18"/>
      <w:footerReference w:type="even" r:id="rId19"/>
      <w:footerReference w:type="default" r:id="rId20"/>
      <w:headerReference w:type="first" r:id="rId21"/>
      <w:footerReference w:type="first" r:id="rId22"/>
      <w:pgSz w:w="12240" w:h="15840"/>
      <w:pgMar w:top="1160" w:right="1464" w:bottom="1600" w:left="1045" w:header="738" w:footer="850" w:gutter="0"/>
      <w:pgNumType w:start="13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82BBA" w14:textId="77777777" w:rsidR="00003FB1" w:rsidRDefault="00003FB1">
      <w:pPr>
        <w:spacing w:after="0" w:line="240" w:lineRule="auto"/>
      </w:pPr>
      <w:r>
        <w:separator/>
      </w:r>
    </w:p>
  </w:endnote>
  <w:endnote w:type="continuationSeparator" w:id="0">
    <w:p w14:paraId="3191E431" w14:textId="77777777" w:rsidR="00003FB1" w:rsidRDefault="00003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D74C9238-3DCC-4927-987D-D5CEFFE7629B}"/>
  </w:font>
  <w:font w:name="Cambria">
    <w:panose1 w:val="02040503050406030204"/>
    <w:charset w:val="00"/>
    <w:family w:val="roman"/>
    <w:pitch w:val="variable"/>
    <w:sig w:usb0="E00006FF" w:usb1="420024FF" w:usb2="02000000" w:usb3="00000000" w:csb0="0000019F" w:csb1="00000000"/>
    <w:embedRegular r:id="rId2" w:fontKey="{77F21467-5D29-4BBD-A805-DED7F60649FC}"/>
  </w:font>
  <w:font w:name="Georgia">
    <w:panose1 w:val="02040502050405020303"/>
    <w:charset w:val="00"/>
    <w:family w:val="roman"/>
    <w:pitch w:val="variable"/>
    <w:sig w:usb0="00000287" w:usb1="00000000" w:usb2="00000000" w:usb3="00000000" w:csb0="0000009F" w:csb1="00000000"/>
    <w:embedItalic r:id="rId3" w:fontKey="{DEF48875-6859-46C9-B8BA-66250D33C265}"/>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C644C" w14:textId="77777777" w:rsidR="00FE782D" w:rsidRDefault="00000000">
    <w:pPr>
      <w:spacing w:after="0" w:line="259" w:lineRule="auto"/>
      <w:ind w:left="152" w:firstLine="0"/>
      <w:jc w:val="left"/>
    </w:pPr>
    <w:r>
      <w:rPr>
        <w:b/>
        <w:bCs/>
        <w:color w:val="2D74B5"/>
      </w:rPr>
      <w:t xml:space="preserve"> </w:t>
    </w:r>
  </w:p>
  <w:p w14:paraId="7BF09A49" w14:textId="77777777" w:rsidR="00FE782D" w:rsidRDefault="00000000">
    <w:pPr>
      <w:spacing w:after="0" w:line="259" w:lineRule="auto"/>
      <w:ind w:left="152" w:firstLine="0"/>
      <w:jc w:val="left"/>
    </w:pPr>
    <w:r>
      <w:rPr>
        <w:b/>
        <w:bCs/>
        <w:color w:val="2D74B5"/>
      </w:rPr>
      <w:t xml:space="preserve">Journal of Pediatrics, Perinatology and Child Health                                         </w:t>
    </w:r>
    <w:r>
      <w:fldChar w:fldCharType="begin"/>
    </w:r>
    <w:r>
      <w:instrText>PAGE</w:instrText>
    </w:r>
    <w:r>
      <w:fldChar w:fldCharType="separate"/>
    </w:r>
    <w:r>
      <w:fldChar w:fldCharType="end"/>
    </w:r>
    <w:r>
      <w:rPr>
        <w:b/>
        <w:bCs/>
        <w:color w:val="2D74B5"/>
      </w:rPr>
      <w:t xml:space="preserve">  </w:t>
    </w:r>
    <w:r>
      <w:rPr>
        <w:b/>
        <w:bCs/>
      </w:rPr>
      <w:t xml:space="preserve"> </w:t>
    </w:r>
  </w:p>
  <w:p w14:paraId="585BEB30" w14:textId="77777777" w:rsidR="00FE782D" w:rsidRDefault="00000000">
    <w:pPr>
      <w:spacing w:after="0" w:line="259" w:lineRule="auto"/>
      <w:ind w:left="89" w:firstLine="0"/>
      <w:jc w:val="left"/>
    </w:pPr>
    <w:r>
      <w:rPr>
        <w:sz w:val="22"/>
        <w:szCs w:val="22"/>
      </w:rPr>
      <w:t xml:space="preserve"> </w:t>
    </w:r>
  </w:p>
  <w:p w14:paraId="595A7644" w14:textId="77777777" w:rsidR="00FE782D" w:rsidRDefault="00FE782D"/>
  <w:p w14:paraId="7E77E2C5" w14:textId="77777777" w:rsidR="00FE782D" w:rsidRDefault="00FE782D"/>
  <w:p w14:paraId="58439820" w14:textId="77777777" w:rsidR="00FE782D" w:rsidRDefault="00FE782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11E93" w14:textId="77777777" w:rsidR="00FE782D" w:rsidRDefault="00FE782D">
    <w:pPr>
      <w:spacing w:after="0" w:line="259" w:lineRule="auto"/>
      <w:ind w:left="152" w:firstLine="0"/>
      <w:jc w:val="left"/>
    </w:pPr>
  </w:p>
  <w:p w14:paraId="6D8EB7A7" w14:textId="77777777" w:rsidR="00FE782D" w:rsidRDefault="00000000">
    <w:pPr>
      <w:spacing w:after="0" w:line="259" w:lineRule="auto"/>
      <w:ind w:left="152" w:firstLine="0"/>
      <w:jc w:val="left"/>
    </w:pPr>
    <w:r>
      <w:rPr>
        <w:b/>
        <w:bCs/>
        <w:color w:val="2D74B5"/>
      </w:rPr>
      <w:t xml:space="preserve">Journal of Pediatrics, Perinatology and Child Health                                                                                              </w:t>
    </w:r>
    <w:r>
      <w:rPr>
        <w:b/>
        <w:bCs/>
        <w:color w:val="0070C0"/>
      </w:rPr>
      <w:fldChar w:fldCharType="begin"/>
    </w:r>
    <w:r>
      <w:rPr>
        <w:b/>
        <w:bCs/>
        <w:color w:val="0070C0"/>
      </w:rPr>
      <w:instrText>PAGE</w:instrText>
    </w:r>
    <w:r>
      <w:rPr>
        <w:b/>
        <w:bCs/>
        <w:color w:val="0070C0"/>
      </w:rPr>
      <w:fldChar w:fldCharType="separate"/>
    </w:r>
    <w:r w:rsidR="00EC2273">
      <w:rPr>
        <w:b/>
        <w:bCs/>
        <w:noProof/>
        <w:color w:val="0070C0"/>
      </w:rPr>
      <w:t>128</w:t>
    </w:r>
    <w:r>
      <w:rPr>
        <w:b/>
        <w:bCs/>
        <w:color w:val="0070C0"/>
      </w:rPr>
      <w:fldChar w:fldCharType="end"/>
    </w:r>
    <w:r>
      <w:rPr>
        <w:b/>
        <w:bCs/>
        <w:color w:val="2D74B5"/>
      </w:rPr>
      <w:t xml:space="preserve">  </w:t>
    </w:r>
    <w:r>
      <w:rPr>
        <w:b/>
        <w:bCs/>
      </w:rPr>
      <w:t xml:space="preserve"> </w:t>
    </w:r>
  </w:p>
  <w:p w14:paraId="17288219" w14:textId="77777777" w:rsidR="00FE782D" w:rsidRDefault="00FE782D">
    <w:pPr>
      <w:spacing w:after="0" w:line="259" w:lineRule="auto"/>
      <w:ind w:left="89"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B93FC" w14:textId="77777777" w:rsidR="00FE782D" w:rsidRDefault="00000000">
    <w:pPr>
      <w:spacing w:after="0" w:line="259" w:lineRule="auto"/>
      <w:ind w:left="152" w:firstLine="0"/>
      <w:jc w:val="left"/>
    </w:pPr>
    <w:r>
      <w:rPr>
        <w:b/>
        <w:bCs/>
        <w:color w:val="2D74B5"/>
      </w:rPr>
      <w:t xml:space="preserve"> </w:t>
    </w:r>
  </w:p>
  <w:p w14:paraId="3CE8F4A7" w14:textId="77777777" w:rsidR="00FE782D" w:rsidRDefault="00000000">
    <w:pPr>
      <w:spacing w:after="0" w:line="259" w:lineRule="auto"/>
      <w:ind w:left="152" w:firstLine="0"/>
      <w:jc w:val="left"/>
    </w:pPr>
    <w:r>
      <w:rPr>
        <w:b/>
        <w:bCs/>
        <w:color w:val="2D74B5"/>
      </w:rPr>
      <w:t xml:space="preserve">Journal of Pediatrics, Perinatology and Child Health                                         </w:t>
    </w:r>
    <w:r>
      <w:fldChar w:fldCharType="begin"/>
    </w:r>
    <w:r>
      <w:instrText>PAGE</w:instrText>
    </w:r>
    <w:r>
      <w:fldChar w:fldCharType="separate"/>
    </w:r>
    <w:r>
      <w:fldChar w:fldCharType="end"/>
    </w:r>
    <w:r>
      <w:rPr>
        <w:b/>
        <w:bCs/>
        <w:color w:val="2D74B5"/>
      </w:rPr>
      <w:t xml:space="preserve">  </w:t>
    </w:r>
    <w:r>
      <w:rPr>
        <w:b/>
        <w:bCs/>
      </w:rPr>
      <w:t xml:space="preserve"> </w:t>
    </w:r>
  </w:p>
  <w:p w14:paraId="4FFE76CB" w14:textId="77777777" w:rsidR="00FE782D" w:rsidRDefault="00000000">
    <w:pPr>
      <w:spacing w:after="0" w:line="259" w:lineRule="auto"/>
      <w:ind w:left="89" w:firstLine="0"/>
      <w:jc w:val="left"/>
    </w:pPr>
    <w:r>
      <w:rPr>
        <w:sz w:val="22"/>
        <w:szCs w:val="22"/>
      </w:rPr>
      <w:t xml:space="preserve"> </w:t>
    </w:r>
  </w:p>
  <w:p w14:paraId="70203890" w14:textId="77777777" w:rsidR="00FE782D" w:rsidRDefault="00FE782D"/>
  <w:p w14:paraId="1F26DEF5" w14:textId="77777777" w:rsidR="00FE782D" w:rsidRDefault="00FE782D"/>
  <w:p w14:paraId="31440D2F" w14:textId="77777777" w:rsidR="00FE782D" w:rsidRDefault="00FE782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2E769" w14:textId="77777777" w:rsidR="00003FB1" w:rsidRDefault="00003FB1">
      <w:pPr>
        <w:spacing w:after="0" w:line="240" w:lineRule="auto"/>
      </w:pPr>
      <w:r>
        <w:separator/>
      </w:r>
    </w:p>
  </w:footnote>
  <w:footnote w:type="continuationSeparator" w:id="0">
    <w:p w14:paraId="277D5FB6" w14:textId="77777777" w:rsidR="00003FB1" w:rsidRDefault="00003F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79593" w14:textId="77777777" w:rsidR="00FE782D" w:rsidRDefault="00000000">
    <w:pPr>
      <w:spacing w:after="0" w:line="259" w:lineRule="auto"/>
      <w:ind w:left="109" w:firstLine="0"/>
      <w:jc w:val="left"/>
    </w:pPr>
    <w:r>
      <w:rPr>
        <w:b/>
        <w:bCs/>
        <w:i/>
        <w:iCs/>
        <w:color w:val="2D74B5"/>
        <w:sz w:val="18"/>
        <w:szCs w:val="18"/>
      </w:rPr>
      <w:t xml:space="preserve">     J Pediatr </w:t>
    </w:r>
    <w:proofErr w:type="spellStart"/>
    <w:r>
      <w:rPr>
        <w:b/>
        <w:bCs/>
        <w:i/>
        <w:iCs/>
        <w:color w:val="2D74B5"/>
        <w:sz w:val="18"/>
        <w:szCs w:val="18"/>
      </w:rPr>
      <w:t>Perinatol</w:t>
    </w:r>
    <w:proofErr w:type="spellEnd"/>
    <w:r>
      <w:rPr>
        <w:b/>
        <w:bCs/>
        <w:i/>
        <w:iCs/>
        <w:color w:val="2D74B5"/>
        <w:sz w:val="18"/>
        <w:szCs w:val="18"/>
      </w:rPr>
      <w:t xml:space="preserve"> Child Health 2024; 8 (4): -220-231                            DOI: 10.26502/jppch.74050204</w:t>
    </w:r>
    <w:r>
      <w:rPr>
        <w:b/>
        <w:bCs/>
        <w:i/>
        <w:iCs/>
        <w:sz w:val="18"/>
        <w:szCs w:val="18"/>
      </w:rPr>
      <w:t xml:space="preserve"> </w:t>
    </w:r>
  </w:p>
  <w:p w14:paraId="7D61EEC2" w14:textId="77777777" w:rsidR="00FE782D" w:rsidRDefault="00FE782D"/>
  <w:p w14:paraId="311177D2" w14:textId="77777777" w:rsidR="00FE782D" w:rsidRDefault="00FE782D"/>
  <w:p w14:paraId="062E8A23" w14:textId="77777777" w:rsidR="00FE782D" w:rsidRDefault="00FE782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12D28" w14:textId="53417984" w:rsidR="00FE782D" w:rsidRDefault="00000000">
    <w:pPr>
      <w:spacing w:after="0" w:line="259" w:lineRule="auto"/>
      <w:ind w:left="109" w:firstLine="0"/>
      <w:jc w:val="left"/>
      <w:rPr>
        <w:b/>
        <w:bCs/>
        <w:i/>
        <w:iCs/>
        <w:sz w:val="18"/>
        <w:szCs w:val="18"/>
      </w:rPr>
    </w:pPr>
    <w:r>
      <w:rPr>
        <w:b/>
        <w:bCs/>
        <w:i/>
        <w:iCs/>
        <w:color w:val="2D74B5"/>
        <w:sz w:val="18"/>
        <w:szCs w:val="18"/>
      </w:rPr>
      <w:t xml:space="preserve">       J Pediatr </w:t>
    </w:r>
    <w:proofErr w:type="spellStart"/>
    <w:r>
      <w:rPr>
        <w:b/>
        <w:bCs/>
        <w:i/>
        <w:iCs/>
        <w:color w:val="2D74B5"/>
        <w:sz w:val="18"/>
        <w:szCs w:val="18"/>
      </w:rPr>
      <w:t>Perinatol</w:t>
    </w:r>
    <w:proofErr w:type="spellEnd"/>
    <w:r>
      <w:rPr>
        <w:b/>
        <w:bCs/>
        <w:i/>
        <w:iCs/>
        <w:color w:val="2D74B5"/>
        <w:sz w:val="18"/>
        <w:szCs w:val="18"/>
      </w:rPr>
      <w:t xml:space="preserve"> Child Health 2026; 10 (</w:t>
    </w:r>
    <w:r w:rsidR="006D120A">
      <w:rPr>
        <w:b/>
        <w:bCs/>
        <w:i/>
        <w:iCs/>
        <w:color w:val="2D74B5"/>
        <w:sz w:val="18"/>
        <w:szCs w:val="18"/>
      </w:rPr>
      <w:t>3</w:t>
    </w:r>
    <w:r>
      <w:rPr>
        <w:b/>
        <w:bCs/>
        <w:i/>
        <w:iCs/>
        <w:color w:val="2D74B5"/>
        <w:sz w:val="18"/>
        <w:szCs w:val="18"/>
      </w:rPr>
      <w:t>): 1</w:t>
    </w:r>
    <w:r w:rsidR="00A42EEB">
      <w:rPr>
        <w:b/>
        <w:bCs/>
        <w:i/>
        <w:iCs/>
        <w:color w:val="2D74B5"/>
        <w:sz w:val="18"/>
        <w:szCs w:val="18"/>
      </w:rPr>
      <w:t>3</w:t>
    </w:r>
    <w:r>
      <w:rPr>
        <w:b/>
        <w:bCs/>
        <w:i/>
        <w:iCs/>
        <w:color w:val="2D74B5"/>
        <w:sz w:val="18"/>
        <w:szCs w:val="18"/>
      </w:rPr>
      <w:t>8-1</w:t>
    </w:r>
    <w:r w:rsidR="00110235">
      <w:rPr>
        <w:b/>
        <w:bCs/>
        <w:i/>
        <w:iCs/>
        <w:color w:val="2D74B5"/>
        <w:sz w:val="18"/>
        <w:szCs w:val="18"/>
      </w:rPr>
      <w:t>58</w:t>
    </w:r>
    <w:r>
      <w:rPr>
        <w:b/>
        <w:bCs/>
        <w:i/>
        <w:iCs/>
        <w:color w:val="2D74B5"/>
        <w:sz w:val="18"/>
        <w:szCs w:val="18"/>
      </w:rPr>
      <w:t xml:space="preserve">                                                            DOI: 10.26502/jppch.7405024</w:t>
    </w:r>
    <w:r w:rsidR="00A42EEB">
      <w:rPr>
        <w:b/>
        <w:bCs/>
        <w:i/>
        <w:iCs/>
        <w:color w:val="2D74B5"/>
        <w:sz w:val="18"/>
        <w:szCs w:val="18"/>
      </w:rPr>
      <w:t>4</w:t>
    </w:r>
  </w:p>
  <w:p w14:paraId="2D9E3D23" w14:textId="77777777" w:rsidR="00FE782D" w:rsidRDefault="00FE782D">
    <w:pPr>
      <w:spacing w:after="0" w:line="259" w:lineRule="auto"/>
      <w:ind w:left="109"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E2560" w14:textId="77777777" w:rsidR="00FE782D" w:rsidRDefault="00000000">
    <w:pPr>
      <w:spacing w:after="0" w:line="259" w:lineRule="auto"/>
      <w:ind w:left="109" w:firstLine="0"/>
      <w:jc w:val="left"/>
    </w:pPr>
    <w:r>
      <w:rPr>
        <w:b/>
        <w:bCs/>
        <w:i/>
        <w:iCs/>
        <w:color w:val="2D74B5"/>
        <w:sz w:val="18"/>
        <w:szCs w:val="18"/>
      </w:rPr>
      <w:t xml:space="preserve">     J Pediatr </w:t>
    </w:r>
    <w:proofErr w:type="spellStart"/>
    <w:r>
      <w:rPr>
        <w:b/>
        <w:bCs/>
        <w:i/>
        <w:iCs/>
        <w:color w:val="2D74B5"/>
        <w:sz w:val="18"/>
        <w:szCs w:val="18"/>
      </w:rPr>
      <w:t>Perinatol</w:t>
    </w:r>
    <w:proofErr w:type="spellEnd"/>
    <w:r>
      <w:rPr>
        <w:b/>
        <w:bCs/>
        <w:i/>
        <w:iCs/>
        <w:color w:val="2D74B5"/>
        <w:sz w:val="18"/>
        <w:szCs w:val="18"/>
      </w:rPr>
      <w:t xml:space="preserve"> Child Health 2024; 8 (4): -220-231                            DOI: 10.26502/jppch.74050204</w:t>
    </w:r>
    <w:r>
      <w:rPr>
        <w:b/>
        <w:bCs/>
        <w:i/>
        <w:iCs/>
        <w:sz w:val="18"/>
        <w:szCs w:val="18"/>
      </w:rPr>
      <w:t xml:space="preserve"> </w:t>
    </w:r>
  </w:p>
  <w:p w14:paraId="54ACC158" w14:textId="77777777" w:rsidR="00FE782D" w:rsidRDefault="00FE782D"/>
  <w:p w14:paraId="02823559" w14:textId="77777777" w:rsidR="00FE782D" w:rsidRDefault="00FE782D"/>
  <w:p w14:paraId="58454BC8" w14:textId="77777777" w:rsidR="00FE782D" w:rsidRDefault="00FE782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76CE"/>
    <w:multiLevelType w:val="multilevel"/>
    <w:tmpl w:val="151A0C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7304284"/>
    <w:multiLevelType w:val="hybridMultilevel"/>
    <w:tmpl w:val="F8649DD2"/>
    <w:lvl w:ilvl="0" w:tplc="1C2ACFA2">
      <w:start w:val="1"/>
      <w:numFmt w:val="decimal"/>
      <w:lvlText w:val="%1."/>
      <w:lvlJc w:val="left"/>
      <w:pPr>
        <w:ind w:left="720" w:hanging="360"/>
      </w:pPr>
      <w:rPr>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2496FB3"/>
    <w:multiLevelType w:val="hybridMultilevel"/>
    <w:tmpl w:val="2382B1BE"/>
    <w:lvl w:ilvl="0" w:tplc="40090001">
      <w:start w:val="1"/>
      <w:numFmt w:val="bullet"/>
      <w:lvlText w:val=""/>
      <w:lvlJc w:val="left"/>
      <w:pPr>
        <w:ind w:left="720" w:hanging="360"/>
      </w:pPr>
      <w:rPr>
        <w:rFonts w:ascii="Symbol" w:hAnsi="Symbol" w:hint="default"/>
        <w:b w:val="0"/>
        <w:bCs w:val="0"/>
        <w:i w:val="0"/>
        <w:iCs w:val="0"/>
        <w:spacing w:val="0"/>
        <w:w w:val="100"/>
        <w:sz w:val="22"/>
        <w:szCs w:val="22"/>
        <w:lang w:val="en-US" w:eastAsia="en-US" w:bidi="ar-SA"/>
      </w:rPr>
    </w:lvl>
    <w:lvl w:ilvl="1" w:tplc="FFFFFFFF">
      <w:numFmt w:val="bullet"/>
      <w:lvlText w:val="•"/>
      <w:lvlJc w:val="left"/>
      <w:pPr>
        <w:ind w:left="1692" w:hanging="360"/>
      </w:pPr>
      <w:rPr>
        <w:rFonts w:hint="default"/>
        <w:lang w:val="en-US" w:eastAsia="en-US" w:bidi="ar-SA"/>
      </w:rPr>
    </w:lvl>
    <w:lvl w:ilvl="2" w:tplc="FFFFFFFF">
      <w:numFmt w:val="bullet"/>
      <w:lvlText w:val="•"/>
      <w:lvlJc w:val="left"/>
      <w:pPr>
        <w:ind w:left="2664" w:hanging="360"/>
      </w:pPr>
      <w:rPr>
        <w:rFonts w:hint="default"/>
        <w:lang w:val="en-US" w:eastAsia="en-US" w:bidi="ar-SA"/>
      </w:rPr>
    </w:lvl>
    <w:lvl w:ilvl="3" w:tplc="FFFFFFFF">
      <w:numFmt w:val="bullet"/>
      <w:lvlText w:val="•"/>
      <w:lvlJc w:val="left"/>
      <w:pPr>
        <w:ind w:left="3636" w:hanging="360"/>
      </w:pPr>
      <w:rPr>
        <w:rFonts w:hint="default"/>
        <w:lang w:val="en-US" w:eastAsia="en-US" w:bidi="ar-SA"/>
      </w:rPr>
    </w:lvl>
    <w:lvl w:ilvl="4" w:tplc="FFFFFFFF">
      <w:numFmt w:val="bullet"/>
      <w:lvlText w:val="•"/>
      <w:lvlJc w:val="left"/>
      <w:pPr>
        <w:ind w:left="4608" w:hanging="360"/>
      </w:pPr>
      <w:rPr>
        <w:rFonts w:hint="default"/>
        <w:lang w:val="en-US" w:eastAsia="en-US" w:bidi="ar-SA"/>
      </w:rPr>
    </w:lvl>
    <w:lvl w:ilvl="5" w:tplc="FFFFFFFF">
      <w:numFmt w:val="bullet"/>
      <w:lvlText w:val="•"/>
      <w:lvlJc w:val="left"/>
      <w:pPr>
        <w:ind w:left="5580" w:hanging="360"/>
      </w:pPr>
      <w:rPr>
        <w:rFonts w:hint="default"/>
        <w:lang w:val="en-US" w:eastAsia="en-US" w:bidi="ar-SA"/>
      </w:rPr>
    </w:lvl>
    <w:lvl w:ilvl="6" w:tplc="FFFFFFFF">
      <w:numFmt w:val="bullet"/>
      <w:lvlText w:val="•"/>
      <w:lvlJc w:val="left"/>
      <w:pPr>
        <w:ind w:left="6552" w:hanging="360"/>
      </w:pPr>
      <w:rPr>
        <w:rFonts w:hint="default"/>
        <w:lang w:val="en-US" w:eastAsia="en-US" w:bidi="ar-SA"/>
      </w:rPr>
    </w:lvl>
    <w:lvl w:ilvl="7" w:tplc="FFFFFFFF">
      <w:numFmt w:val="bullet"/>
      <w:lvlText w:val="•"/>
      <w:lvlJc w:val="left"/>
      <w:pPr>
        <w:ind w:left="7524" w:hanging="360"/>
      </w:pPr>
      <w:rPr>
        <w:rFonts w:hint="default"/>
        <w:lang w:val="en-US" w:eastAsia="en-US" w:bidi="ar-SA"/>
      </w:rPr>
    </w:lvl>
    <w:lvl w:ilvl="8" w:tplc="FFFFFFFF">
      <w:numFmt w:val="bullet"/>
      <w:lvlText w:val="•"/>
      <w:lvlJc w:val="left"/>
      <w:pPr>
        <w:ind w:left="8496" w:hanging="360"/>
      </w:pPr>
      <w:rPr>
        <w:rFonts w:hint="default"/>
        <w:lang w:val="en-US" w:eastAsia="en-US" w:bidi="ar-SA"/>
      </w:rPr>
    </w:lvl>
  </w:abstractNum>
  <w:abstractNum w:abstractNumId="3" w15:restartNumberingAfterBreak="0">
    <w:nsid w:val="70F77A2F"/>
    <w:multiLevelType w:val="hybridMultilevel"/>
    <w:tmpl w:val="39FA8BCC"/>
    <w:lvl w:ilvl="0" w:tplc="B6B26232">
      <w:numFmt w:val="bullet"/>
      <w:lvlText w:val="●"/>
      <w:lvlJc w:val="left"/>
      <w:pPr>
        <w:ind w:left="720" w:hanging="360"/>
      </w:pPr>
      <w:rPr>
        <w:rFonts w:ascii="Calibri" w:eastAsia="Calibri" w:hAnsi="Calibri" w:cs="Calibri" w:hint="default"/>
        <w:b w:val="0"/>
        <w:bCs w:val="0"/>
        <w:i w:val="0"/>
        <w:iCs w:val="0"/>
        <w:spacing w:val="0"/>
        <w:w w:val="100"/>
        <w:sz w:val="22"/>
        <w:szCs w:val="22"/>
        <w:lang w:val="en-US" w:eastAsia="en-US" w:bidi="ar-SA"/>
      </w:rPr>
    </w:lvl>
    <w:lvl w:ilvl="1" w:tplc="7BC0F3E2">
      <w:numFmt w:val="bullet"/>
      <w:lvlText w:val="•"/>
      <w:lvlJc w:val="left"/>
      <w:pPr>
        <w:ind w:left="1692" w:hanging="360"/>
      </w:pPr>
      <w:rPr>
        <w:rFonts w:hint="default"/>
        <w:lang w:val="en-US" w:eastAsia="en-US" w:bidi="ar-SA"/>
      </w:rPr>
    </w:lvl>
    <w:lvl w:ilvl="2" w:tplc="AF9A3234">
      <w:numFmt w:val="bullet"/>
      <w:lvlText w:val="•"/>
      <w:lvlJc w:val="left"/>
      <w:pPr>
        <w:ind w:left="2664" w:hanging="360"/>
      </w:pPr>
      <w:rPr>
        <w:rFonts w:hint="default"/>
        <w:lang w:val="en-US" w:eastAsia="en-US" w:bidi="ar-SA"/>
      </w:rPr>
    </w:lvl>
    <w:lvl w:ilvl="3" w:tplc="495257DE">
      <w:numFmt w:val="bullet"/>
      <w:lvlText w:val="•"/>
      <w:lvlJc w:val="left"/>
      <w:pPr>
        <w:ind w:left="3636" w:hanging="360"/>
      </w:pPr>
      <w:rPr>
        <w:rFonts w:hint="default"/>
        <w:lang w:val="en-US" w:eastAsia="en-US" w:bidi="ar-SA"/>
      </w:rPr>
    </w:lvl>
    <w:lvl w:ilvl="4" w:tplc="40824612">
      <w:numFmt w:val="bullet"/>
      <w:lvlText w:val="•"/>
      <w:lvlJc w:val="left"/>
      <w:pPr>
        <w:ind w:left="4608" w:hanging="360"/>
      </w:pPr>
      <w:rPr>
        <w:rFonts w:hint="default"/>
        <w:lang w:val="en-US" w:eastAsia="en-US" w:bidi="ar-SA"/>
      </w:rPr>
    </w:lvl>
    <w:lvl w:ilvl="5" w:tplc="B364B866">
      <w:numFmt w:val="bullet"/>
      <w:lvlText w:val="•"/>
      <w:lvlJc w:val="left"/>
      <w:pPr>
        <w:ind w:left="5580" w:hanging="360"/>
      </w:pPr>
      <w:rPr>
        <w:rFonts w:hint="default"/>
        <w:lang w:val="en-US" w:eastAsia="en-US" w:bidi="ar-SA"/>
      </w:rPr>
    </w:lvl>
    <w:lvl w:ilvl="6" w:tplc="BFE2CDF8">
      <w:numFmt w:val="bullet"/>
      <w:lvlText w:val="•"/>
      <w:lvlJc w:val="left"/>
      <w:pPr>
        <w:ind w:left="6552" w:hanging="360"/>
      </w:pPr>
      <w:rPr>
        <w:rFonts w:hint="default"/>
        <w:lang w:val="en-US" w:eastAsia="en-US" w:bidi="ar-SA"/>
      </w:rPr>
    </w:lvl>
    <w:lvl w:ilvl="7" w:tplc="2B30227E">
      <w:numFmt w:val="bullet"/>
      <w:lvlText w:val="•"/>
      <w:lvlJc w:val="left"/>
      <w:pPr>
        <w:ind w:left="7524" w:hanging="360"/>
      </w:pPr>
      <w:rPr>
        <w:rFonts w:hint="default"/>
        <w:lang w:val="en-US" w:eastAsia="en-US" w:bidi="ar-SA"/>
      </w:rPr>
    </w:lvl>
    <w:lvl w:ilvl="8" w:tplc="AE5693BA">
      <w:numFmt w:val="bullet"/>
      <w:lvlText w:val="•"/>
      <w:lvlJc w:val="left"/>
      <w:pPr>
        <w:ind w:left="8496" w:hanging="360"/>
      </w:pPr>
      <w:rPr>
        <w:rFonts w:hint="default"/>
        <w:lang w:val="en-US" w:eastAsia="en-US" w:bidi="ar-SA"/>
      </w:rPr>
    </w:lvl>
  </w:abstractNum>
  <w:num w:numId="1" w16cid:durableId="1856460183">
    <w:abstractNumId w:val="0"/>
  </w:num>
  <w:num w:numId="2" w16cid:durableId="1737780609">
    <w:abstractNumId w:val="3"/>
  </w:num>
  <w:num w:numId="3" w16cid:durableId="113409746">
    <w:abstractNumId w:val="2"/>
  </w:num>
  <w:num w:numId="4" w16cid:durableId="239443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82D"/>
    <w:rsid w:val="00003FB1"/>
    <w:rsid w:val="0003062B"/>
    <w:rsid w:val="00032E77"/>
    <w:rsid w:val="00042F6A"/>
    <w:rsid w:val="00043FB9"/>
    <w:rsid w:val="00051167"/>
    <w:rsid w:val="00087E4B"/>
    <w:rsid w:val="000967EA"/>
    <w:rsid w:val="000B5885"/>
    <w:rsid w:val="000C1ED3"/>
    <w:rsid w:val="000C2173"/>
    <w:rsid w:val="00110235"/>
    <w:rsid w:val="0011498E"/>
    <w:rsid w:val="001264BA"/>
    <w:rsid w:val="00142AEB"/>
    <w:rsid w:val="00163B18"/>
    <w:rsid w:val="00191A8F"/>
    <w:rsid w:val="00196235"/>
    <w:rsid w:val="001A415E"/>
    <w:rsid w:val="001C1989"/>
    <w:rsid w:val="001C5512"/>
    <w:rsid w:val="001D7F03"/>
    <w:rsid w:val="001E2688"/>
    <w:rsid w:val="001F17A9"/>
    <w:rsid w:val="0023706D"/>
    <w:rsid w:val="002E50D4"/>
    <w:rsid w:val="002F6D31"/>
    <w:rsid w:val="003339D3"/>
    <w:rsid w:val="00334CD6"/>
    <w:rsid w:val="003515AA"/>
    <w:rsid w:val="003D106B"/>
    <w:rsid w:val="003D6553"/>
    <w:rsid w:val="00406E1F"/>
    <w:rsid w:val="00411BD2"/>
    <w:rsid w:val="00453B10"/>
    <w:rsid w:val="004572E0"/>
    <w:rsid w:val="00461EDC"/>
    <w:rsid w:val="004744EE"/>
    <w:rsid w:val="00484CE9"/>
    <w:rsid w:val="0049343B"/>
    <w:rsid w:val="00494BC9"/>
    <w:rsid w:val="004E4754"/>
    <w:rsid w:val="005542E5"/>
    <w:rsid w:val="00560EE5"/>
    <w:rsid w:val="005E4FD4"/>
    <w:rsid w:val="005E68FF"/>
    <w:rsid w:val="005E7901"/>
    <w:rsid w:val="005F6D71"/>
    <w:rsid w:val="00616761"/>
    <w:rsid w:val="00621213"/>
    <w:rsid w:val="00652C23"/>
    <w:rsid w:val="006C2487"/>
    <w:rsid w:val="006D120A"/>
    <w:rsid w:val="006E19F6"/>
    <w:rsid w:val="00734565"/>
    <w:rsid w:val="00794CDC"/>
    <w:rsid w:val="008069B9"/>
    <w:rsid w:val="00817A1B"/>
    <w:rsid w:val="008879A5"/>
    <w:rsid w:val="008A51AD"/>
    <w:rsid w:val="008D422A"/>
    <w:rsid w:val="008D64F1"/>
    <w:rsid w:val="008E3035"/>
    <w:rsid w:val="0091741D"/>
    <w:rsid w:val="00940F02"/>
    <w:rsid w:val="009430F3"/>
    <w:rsid w:val="009747D7"/>
    <w:rsid w:val="009B695D"/>
    <w:rsid w:val="009F5D9B"/>
    <w:rsid w:val="00A03FF2"/>
    <w:rsid w:val="00A3345F"/>
    <w:rsid w:val="00A42EEB"/>
    <w:rsid w:val="00A5331D"/>
    <w:rsid w:val="00A96CF7"/>
    <w:rsid w:val="00AA156B"/>
    <w:rsid w:val="00AB01F5"/>
    <w:rsid w:val="00AE00B7"/>
    <w:rsid w:val="00AE457D"/>
    <w:rsid w:val="00AF2BFC"/>
    <w:rsid w:val="00B2506F"/>
    <w:rsid w:val="00B47AB6"/>
    <w:rsid w:val="00B63C14"/>
    <w:rsid w:val="00C219DB"/>
    <w:rsid w:val="00C21AF5"/>
    <w:rsid w:val="00C471AF"/>
    <w:rsid w:val="00C72BCC"/>
    <w:rsid w:val="00C77362"/>
    <w:rsid w:val="00C84420"/>
    <w:rsid w:val="00CE5941"/>
    <w:rsid w:val="00D36499"/>
    <w:rsid w:val="00D54DFE"/>
    <w:rsid w:val="00D71E70"/>
    <w:rsid w:val="00D90E14"/>
    <w:rsid w:val="00D92D6F"/>
    <w:rsid w:val="00D96B1A"/>
    <w:rsid w:val="00DA2DEA"/>
    <w:rsid w:val="00DA77A1"/>
    <w:rsid w:val="00E17BB0"/>
    <w:rsid w:val="00E434AC"/>
    <w:rsid w:val="00E5791B"/>
    <w:rsid w:val="00E77678"/>
    <w:rsid w:val="00EC2273"/>
    <w:rsid w:val="00ED4B1D"/>
    <w:rsid w:val="00F07301"/>
    <w:rsid w:val="00F26CA9"/>
    <w:rsid w:val="00F46C89"/>
    <w:rsid w:val="00F774CE"/>
    <w:rsid w:val="00F858BE"/>
    <w:rsid w:val="00F94DBB"/>
    <w:rsid w:val="00FA26F2"/>
    <w:rsid w:val="00FA5E8E"/>
    <w:rsid w:val="00FE782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DA042"/>
  <w15:docId w15:val="{CF743C16-692F-4E2C-8431-6EA08A268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IN" w:bidi="ar-SA"/>
      </w:rPr>
    </w:rPrDefault>
    <w:pPrDefault>
      <w:pPr>
        <w:spacing w:after="4" w:line="366" w:lineRule="auto"/>
        <w:ind w:left="99" w:hanging="1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after="0" w:line="357" w:lineRule="auto"/>
      <w:ind w:left="187" w:hanging="187"/>
      <w:jc w:val="center"/>
      <w:outlineLvl w:val="0"/>
    </w:pPr>
    <w:rPr>
      <w:b/>
      <w:bCs/>
      <w:color w:val="000000"/>
      <w:sz w:val="32"/>
      <w:szCs w:val="32"/>
    </w:rPr>
  </w:style>
  <w:style w:type="paragraph" w:styleId="Heading2">
    <w:name w:val="heading 2"/>
    <w:basedOn w:val="Normal"/>
    <w:next w:val="Normal"/>
    <w:uiPriority w:val="9"/>
    <w:unhideWhenUsed/>
    <w:qFormat/>
    <w:pPr>
      <w:keepNext/>
      <w:keepLines/>
      <w:pBdr>
        <w:top w:val="nil"/>
        <w:left w:val="nil"/>
        <w:bottom w:val="nil"/>
        <w:right w:val="nil"/>
        <w:between w:val="nil"/>
      </w:pBdr>
      <w:spacing w:after="88" w:line="259" w:lineRule="auto"/>
      <w:jc w:val="left"/>
      <w:outlineLvl w:val="1"/>
    </w:pPr>
    <w:rPr>
      <w:b/>
      <w:bCs/>
      <w:color w:val="0070C0"/>
      <w:sz w:val="22"/>
      <w:szCs w:val="22"/>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after="97" w:line="259" w:lineRule="auto"/>
      <w:jc w:val="left"/>
      <w:outlineLvl w:val="2"/>
    </w:pPr>
    <w:rPr>
      <w:b/>
      <w:bCs/>
      <w:color w:val="000000"/>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widowControl w:val="0"/>
      <w:spacing w:before="157" w:after="0" w:line="240" w:lineRule="auto"/>
      <w:ind w:left="141" w:firstLine="0"/>
      <w:jc w:val="center"/>
    </w:pPr>
    <w:rPr>
      <w:rFonts w:ascii="Cambria" w:eastAsia="Cambria" w:hAnsi="Cambria" w:cs="Cambria"/>
      <w:color w:val="000000"/>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BodyText">
    <w:name w:val="Body Text"/>
    <w:basedOn w:val="Normal"/>
    <w:link w:val="BodyTextChar"/>
    <w:uiPriority w:val="1"/>
    <w:qFormat/>
    <w:rsid w:val="008E3035"/>
    <w:pPr>
      <w:widowControl w:val="0"/>
      <w:autoSpaceDE w:val="0"/>
      <w:autoSpaceDN w:val="0"/>
      <w:spacing w:after="0" w:line="240" w:lineRule="auto"/>
      <w:ind w:left="0" w:firstLine="432"/>
    </w:pPr>
    <w:rPr>
      <w:rFonts w:ascii="Arial MT" w:eastAsia="Arial MT" w:hAnsi="Arial MT" w:cs="Arial MT"/>
      <w:sz w:val="22"/>
      <w:szCs w:val="22"/>
      <w:lang w:val="en-US" w:eastAsia="en-US"/>
    </w:rPr>
  </w:style>
  <w:style w:type="character" w:customStyle="1" w:styleId="BodyTextChar">
    <w:name w:val="Body Text Char"/>
    <w:basedOn w:val="DefaultParagraphFont"/>
    <w:link w:val="BodyText"/>
    <w:uiPriority w:val="1"/>
    <w:rsid w:val="008E3035"/>
    <w:rPr>
      <w:rFonts w:ascii="Arial MT" w:eastAsia="Arial MT" w:hAnsi="Arial MT" w:cs="Arial MT"/>
      <w:sz w:val="22"/>
      <w:szCs w:val="22"/>
      <w:lang w:val="en-US" w:eastAsia="en-US"/>
    </w:rPr>
  </w:style>
  <w:style w:type="paragraph" w:customStyle="1" w:styleId="TableParagraph">
    <w:name w:val="Table Paragraph"/>
    <w:basedOn w:val="Normal"/>
    <w:uiPriority w:val="1"/>
    <w:qFormat/>
    <w:rsid w:val="008E3035"/>
    <w:pPr>
      <w:widowControl w:val="0"/>
      <w:autoSpaceDE w:val="0"/>
      <w:autoSpaceDN w:val="0"/>
      <w:spacing w:after="0" w:line="240" w:lineRule="auto"/>
      <w:ind w:left="0" w:firstLine="0"/>
      <w:jc w:val="left"/>
    </w:pPr>
    <w:rPr>
      <w:rFonts w:ascii="Arial MT" w:eastAsia="Arial MT" w:hAnsi="Arial MT" w:cs="Arial MT"/>
      <w:sz w:val="22"/>
      <w:szCs w:val="22"/>
      <w:lang w:val="en-US" w:eastAsia="en-US"/>
    </w:rPr>
  </w:style>
  <w:style w:type="paragraph" w:styleId="ListParagraph">
    <w:name w:val="List Paragraph"/>
    <w:basedOn w:val="Normal"/>
    <w:uiPriority w:val="34"/>
    <w:qFormat/>
    <w:rsid w:val="008E3035"/>
    <w:pPr>
      <w:widowControl w:val="0"/>
      <w:autoSpaceDE w:val="0"/>
      <w:autoSpaceDN w:val="0"/>
      <w:spacing w:before="201" w:after="0" w:line="240" w:lineRule="auto"/>
      <w:ind w:left="720" w:right="357" w:hanging="360"/>
      <w:jc w:val="left"/>
    </w:pPr>
    <w:rPr>
      <w:rFonts w:ascii="Arial MT" w:eastAsia="Arial MT" w:hAnsi="Arial MT" w:cs="Arial MT"/>
      <w:sz w:val="22"/>
      <w:szCs w:val="22"/>
      <w:lang w:val="en-US" w:eastAsia="en-US"/>
    </w:rPr>
  </w:style>
  <w:style w:type="paragraph" w:styleId="Revision">
    <w:name w:val="Revision"/>
    <w:hidden/>
    <w:uiPriority w:val="99"/>
    <w:semiHidden/>
    <w:rsid w:val="00DA2DEA"/>
    <w:pPr>
      <w:spacing w:after="0" w:line="240" w:lineRule="auto"/>
      <w:ind w:left="0"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creativecommons.org/licenses/by/4.0/"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creativecommons.org/licenses/by/4.0/" TargetMode="External"/><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32</Pages>
  <Words>14545</Words>
  <Characters>82913</Characters>
  <Application>Microsoft Office Word</Application>
  <DocSecurity>0</DocSecurity>
  <Lines>690</Lines>
  <Paragraphs>194</Paragraphs>
  <ScaleCrop>false</ScaleCrop>
  <HeadingPairs>
    <vt:vector size="2" baseType="variant">
      <vt:variant>
        <vt:lpstr>Title</vt:lpstr>
      </vt:variant>
      <vt:variant>
        <vt:i4>1</vt:i4>
      </vt:variant>
    </vt:vector>
  </HeadingPairs>
  <TitlesOfParts>
    <vt:vector size="1" baseType="lpstr">
      <vt:lpstr>Pediatric Autoimmune Neuropsychiatric Disorders Associated with Streptococcal Infections (PANDAS): Autoimmune Mechanisms, Diagnostic Controversies, and Therapeutic Implications</vt:lpstr>
    </vt:vector>
  </TitlesOfParts>
  <Company/>
  <LinksUpToDate>false</LinksUpToDate>
  <CharactersWithSpaces>97264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Pediatric Autoimmune Neuropsychiatric Disorders Associated with Streptococcal Infections (PANDAS): Autoimmune Mechanisms, Diagnostic Controversies, and Therapeutic Implications</dc:title>
  <dc:creator>Devendra K. Agrawal</dc:creator>
  <cp:keywords>Autoimmune encephalitis; Group A Streptococcus; Molecular mimicry; Neuroinflammation; Obsessive-compulsive disorder; Pediatric Autoimmune Neuropsychiatric Disorders Associated with Streptococcal Infections (PANDAS); Pediatric Acute-Onset Neuropsychiatric Syndrome (PANS); Pediatric neuropsychiatry; Tic disorders</cp:keywords>
  <cp:lastModifiedBy>t21617</cp:lastModifiedBy>
  <cp:revision>76</cp:revision>
  <dcterms:created xsi:type="dcterms:W3CDTF">2026-07-14T18:54:00Z</dcterms:created>
  <dcterms:modified xsi:type="dcterms:W3CDTF">2026-07-18T06:36:00Z</dcterms:modified>
</cp:coreProperties>
</file>