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8044B" w14:textId="33D421E0" w:rsidR="00510671" w:rsidRDefault="00E97107">
      <w:pPr>
        <w:pStyle w:val="NoSpacing"/>
        <w:tabs>
          <w:tab w:val="right" w:pos="8730"/>
        </w:tabs>
      </w:pPr>
      <w:r>
        <w:rPr>
          <w:noProof/>
        </w:rPr>
        <w:drawing>
          <wp:anchor distT="0" distB="0" distL="114300" distR="114300" simplePos="0" relativeHeight="251663360" behindDoc="0" locked="0" layoutInCell="1" allowOverlap="1" wp14:anchorId="4B6E7C5C" wp14:editId="23D049FF">
            <wp:simplePos x="0" y="0"/>
            <wp:positionH relativeFrom="column">
              <wp:posOffset>5198663</wp:posOffset>
            </wp:positionH>
            <wp:positionV relativeFrom="paragraph">
              <wp:posOffset>95338</wp:posOffset>
            </wp:positionV>
            <wp:extent cx="695325" cy="258445"/>
            <wp:effectExtent l="19050" t="95250" r="9525" b="16065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95325" cy="258445"/>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00F53255">
        <w:rPr>
          <w:noProof/>
        </w:rPr>
        <w:drawing>
          <wp:anchor distT="0" distB="0" distL="114300" distR="114300" simplePos="0" relativeHeight="251662336" behindDoc="0" locked="0" layoutInCell="1" allowOverlap="1" wp14:anchorId="3863C1F3" wp14:editId="582AF6C2">
            <wp:simplePos x="0" y="0"/>
            <wp:positionH relativeFrom="column">
              <wp:posOffset>3812477</wp:posOffset>
            </wp:positionH>
            <wp:positionV relativeFrom="paragraph">
              <wp:posOffset>19333</wp:posOffset>
            </wp:positionV>
            <wp:extent cx="1089025" cy="340995"/>
            <wp:effectExtent l="0" t="19050" r="15875" b="15430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089025" cy="340995"/>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bookmarkStart w:id="0" w:name="_Hlk214891428"/>
      <w:bookmarkEnd w:id="0"/>
    </w:p>
    <w:p w14:paraId="12868AE3" w14:textId="1123A2F9" w:rsidR="00510671" w:rsidRDefault="00D44F33" w:rsidP="00673BFD">
      <w:pPr>
        <w:tabs>
          <w:tab w:val="left" w:pos="9441"/>
        </w:tabs>
        <w:spacing w:before="89"/>
        <w:ind w:left="51"/>
        <w:jc w:val="center"/>
        <w:rPr>
          <w:b/>
          <w:color w:val="FFFFFF"/>
          <w:sz w:val="28"/>
          <w:shd w:val="clear" w:color="auto" w:fill="4F7A31"/>
        </w:rPr>
      </w:pPr>
      <w:r>
        <w:rPr>
          <w:b/>
          <w:color w:val="FFFFFF"/>
          <w:sz w:val="28"/>
          <w:shd w:val="clear" w:color="auto" w:fill="4F7A31"/>
        </w:rPr>
        <w:t>Case</w:t>
      </w:r>
      <w:r w:rsidR="001C1600">
        <w:rPr>
          <w:b/>
          <w:color w:val="FFFFFF"/>
          <w:sz w:val="28"/>
          <w:shd w:val="clear" w:color="auto" w:fill="4F7A31"/>
        </w:rPr>
        <w:t xml:space="preserve"> </w:t>
      </w:r>
      <w:r>
        <w:rPr>
          <w:b/>
          <w:color w:val="FFFFFF"/>
          <w:sz w:val="28"/>
          <w:shd w:val="clear" w:color="auto" w:fill="4F7A31"/>
        </w:rPr>
        <w:t>Report</w:t>
      </w:r>
      <w:r w:rsidR="002D7D0B">
        <w:rPr>
          <w:b/>
          <w:color w:val="FFFFFF"/>
          <w:sz w:val="28"/>
          <w:shd w:val="clear" w:color="auto" w:fill="4F7A31"/>
        </w:rPr>
        <w:tab/>
      </w:r>
    </w:p>
    <w:p w14:paraId="0DF12281" w14:textId="77777777" w:rsidR="00673BFD" w:rsidRPr="00673BFD" w:rsidRDefault="00673BFD" w:rsidP="00673BFD">
      <w:pPr>
        <w:tabs>
          <w:tab w:val="left" w:pos="9441"/>
        </w:tabs>
        <w:spacing w:before="89"/>
        <w:ind w:left="51"/>
        <w:jc w:val="center"/>
        <w:rPr>
          <w:b/>
          <w:sz w:val="28"/>
        </w:rPr>
      </w:pPr>
    </w:p>
    <w:p w14:paraId="7A3B54CB" w14:textId="77777777" w:rsidR="00215B08" w:rsidRPr="00215B08" w:rsidRDefault="00215B08" w:rsidP="0046774D">
      <w:pPr>
        <w:spacing w:line="360" w:lineRule="auto"/>
        <w:jc w:val="center"/>
        <w:rPr>
          <w:b/>
          <w:bCs/>
          <w:sz w:val="32"/>
          <w:szCs w:val="32"/>
        </w:rPr>
      </w:pPr>
      <w:r w:rsidRPr="00215B08">
        <w:rPr>
          <w:b/>
          <w:bCs/>
          <w:sz w:val="32"/>
          <w:szCs w:val="32"/>
        </w:rPr>
        <w:t xml:space="preserve">Regional Multifocal </w:t>
      </w:r>
      <w:proofErr w:type="spellStart"/>
      <w:r w:rsidRPr="00215B08">
        <w:rPr>
          <w:b/>
          <w:bCs/>
          <w:sz w:val="32"/>
          <w:szCs w:val="32"/>
        </w:rPr>
        <w:t>Pseudomyogenic</w:t>
      </w:r>
      <w:proofErr w:type="spellEnd"/>
      <w:r w:rsidRPr="00215B08">
        <w:rPr>
          <w:b/>
          <w:bCs/>
          <w:sz w:val="32"/>
          <w:szCs w:val="32"/>
        </w:rPr>
        <w:t xml:space="preserve"> Hemangioendothelioma of the Distal Lower Extremity: A Distinctive Multimodality Imaging Phenotype</w:t>
      </w:r>
    </w:p>
    <w:p w14:paraId="3B568C06" w14:textId="77777777" w:rsidR="007D27ED" w:rsidRPr="007D27ED" w:rsidRDefault="007D27ED" w:rsidP="0046774D">
      <w:pPr>
        <w:spacing w:line="360" w:lineRule="auto"/>
        <w:jc w:val="both"/>
        <w:rPr>
          <w:b/>
          <w:bCs/>
          <w:sz w:val="20"/>
          <w:szCs w:val="20"/>
        </w:rPr>
      </w:pPr>
    </w:p>
    <w:p w14:paraId="3EE0E2C6" w14:textId="1C5B011D" w:rsidR="00215B08" w:rsidRPr="00215B08" w:rsidRDefault="00215B08" w:rsidP="0046774D">
      <w:pPr>
        <w:spacing w:line="360" w:lineRule="auto"/>
        <w:jc w:val="both"/>
        <w:rPr>
          <w:b/>
          <w:bCs/>
          <w:vertAlign w:val="superscript"/>
        </w:rPr>
      </w:pPr>
      <w:r w:rsidRPr="00215B08">
        <w:rPr>
          <w:b/>
          <w:bCs/>
        </w:rPr>
        <w:t>Matthew C. Martinez, Kevin Pierre, Charles Carpenter,</w:t>
      </w:r>
      <w:r>
        <w:rPr>
          <w:b/>
          <w:bCs/>
        </w:rPr>
        <w:t xml:space="preserve"> </w:t>
      </w:r>
      <w:r w:rsidRPr="00215B08">
        <w:rPr>
          <w:b/>
          <w:bCs/>
        </w:rPr>
        <w:t>Diego A L Garcia</w:t>
      </w:r>
      <w:r>
        <w:rPr>
          <w:b/>
          <w:bCs/>
          <w:vertAlign w:val="superscript"/>
        </w:rPr>
        <w:t>*</w:t>
      </w:r>
    </w:p>
    <w:p w14:paraId="54689713" w14:textId="6A467AC4" w:rsidR="00215B08" w:rsidRPr="00215B08" w:rsidRDefault="00215B08" w:rsidP="0046774D">
      <w:pPr>
        <w:spacing w:line="360" w:lineRule="auto"/>
        <w:jc w:val="both"/>
        <w:rPr>
          <w:sz w:val="20"/>
          <w:szCs w:val="20"/>
        </w:rPr>
      </w:pPr>
      <w:r w:rsidRPr="00215B08">
        <w:rPr>
          <w:sz w:val="20"/>
          <w:szCs w:val="20"/>
        </w:rPr>
        <w:t>Department of Radiology, University of Florida, Gainesville, Florida, USA</w:t>
      </w:r>
    </w:p>
    <w:p w14:paraId="3C68846F" w14:textId="77777777" w:rsidR="00DB2A67" w:rsidRDefault="00DB2A67" w:rsidP="0046774D">
      <w:pPr>
        <w:spacing w:line="360" w:lineRule="auto"/>
        <w:jc w:val="both"/>
        <w:rPr>
          <w:sz w:val="20"/>
          <w:szCs w:val="20"/>
        </w:rPr>
      </w:pPr>
    </w:p>
    <w:p w14:paraId="1F64D3BA" w14:textId="0CFB998C" w:rsidR="007D27ED" w:rsidRPr="007D27ED" w:rsidRDefault="00000000" w:rsidP="0046774D">
      <w:pPr>
        <w:spacing w:line="360" w:lineRule="auto"/>
        <w:jc w:val="both"/>
        <w:rPr>
          <w:b/>
          <w:bCs/>
          <w:sz w:val="32"/>
          <w:szCs w:val="32"/>
        </w:rPr>
      </w:pPr>
      <w:r w:rsidRPr="007D27ED">
        <w:rPr>
          <w:b/>
          <w:color w:val="006FC0"/>
          <w:vertAlign w:val="superscript"/>
        </w:rPr>
        <w:t>*</w:t>
      </w:r>
      <w:r w:rsidRPr="007D27ED">
        <w:rPr>
          <w:b/>
          <w:color w:val="006FC0"/>
        </w:rPr>
        <w:t>Corresponding</w:t>
      </w:r>
      <w:r w:rsidRPr="007D27ED">
        <w:rPr>
          <w:b/>
          <w:color w:val="006FC0"/>
          <w:spacing w:val="1"/>
        </w:rPr>
        <w:t xml:space="preserve"> </w:t>
      </w:r>
      <w:r w:rsidRPr="007D27ED">
        <w:rPr>
          <w:b/>
          <w:color w:val="006FC0"/>
        </w:rPr>
        <w:t>Author:</w:t>
      </w:r>
      <w:r w:rsidRPr="007D27ED">
        <w:t xml:space="preserve"> </w:t>
      </w:r>
      <w:r w:rsidR="007D27ED" w:rsidRPr="007D27ED">
        <w:rPr>
          <w:sz w:val="20"/>
          <w:szCs w:val="20"/>
        </w:rPr>
        <w:t>Diego A L Garcia</w:t>
      </w:r>
      <w:r w:rsidR="00013DA8" w:rsidRPr="007D27ED">
        <w:rPr>
          <w:sz w:val="20"/>
          <w:szCs w:val="20"/>
        </w:rPr>
        <w:t>,</w:t>
      </w:r>
      <w:r w:rsidR="00A365FB">
        <w:rPr>
          <w:sz w:val="20"/>
          <w:szCs w:val="20"/>
        </w:rPr>
        <w:t xml:space="preserve"> </w:t>
      </w:r>
      <w:r w:rsidR="001C1600">
        <w:rPr>
          <w:sz w:val="20"/>
          <w:szCs w:val="20"/>
        </w:rPr>
        <w:t xml:space="preserve">Department of Radiology, </w:t>
      </w:r>
      <w:r w:rsidR="007D27ED" w:rsidRPr="007D27ED">
        <w:rPr>
          <w:sz w:val="20"/>
          <w:szCs w:val="20"/>
        </w:rPr>
        <w:t>University of Florida Gainesville, FL, USA</w:t>
      </w:r>
    </w:p>
    <w:p w14:paraId="7791405A" w14:textId="7A1B58EA" w:rsidR="00510671" w:rsidRDefault="00000000" w:rsidP="0046774D">
      <w:pPr>
        <w:spacing w:line="360" w:lineRule="auto"/>
        <w:jc w:val="both"/>
        <w:rPr>
          <w:sz w:val="20"/>
          <w:szCs w:val="20"/>
        </w:rPr>
      </w:pPr>
      <w:r>
        <w:rPr>
          <w:sz w:val="20"/>
          <w:szCs w:val="20"/>
        </w:rPr>
        <w:t xml:space="preserve"> </w:t>
      </w:r>
    </w:p>
    <w:p w14:paraId="1A5EA7EC" w14:textId="7FCE7736" w:rsidR="00510671" w:rsidRDefault="00000000" w:rsidP="0046774D">
      <w:pPr>
        <w:spacing w:line="360" w:lineRule="auto"/>
        <w:jc w:val="both"/>
        <w:rPr>
          <w:sz w:val="20"/>
          <w:szCs w:val="20"/>
        </w:rPr>
      </w:pPr>
      <w:r>
        <w:rPr>
          <w:b/>
          <w:color w:val="006EC0"/>
          <w:sz w:val="20"/>
        </w:rPr>
        <w:t xml:space="preserve">Received: </w:t>
      </w:r>
      <w:r w:rsidR="00215B08">
        <w:rPr>
          <w:bCs/>
          <w:spacing w:val="-2"/>
          <w:sz w:val="20"/>
        </w:rPr>
        <w:t>01</w:t>
      </w:r>
      <w:r>
        <w:rPr>
          <w:bCs/>
          <w:spacing w:val="-2"/>
          <w:sz w:val="20"/>
        </w:rPr>
        <w:t xml:space="preserve"> </w:t>
      </w:r>
      <w:r w:rsidR="00215B08">
        <w:rPr>
          <w:bCs/>
          <w:spacing w:val="-2"/>
          <w:sz w:val="20"/>
        </w:rPr>
        <w:t>August</w:t>
      </w:r>
      <w:r w:rsidR="00013DA8">
        <w:rPr>
          <w:bCs/>
          <w:spacing w:val="-2"/>
          <w:sz w:val="20"/>
        </w:rPr>
        <w:t xml:space="preserve"> </w:t>
      </w:r>
      <w:r>
        <w:rPr>
          <w:sz w:val="20"/>
        </w:rPr>
        <w:t xml:space="preserve">2026; </w:t>
      </w:r>
      <w:r>
        <w:rPr>
          <w:b/>
          <w:color w:val="006EC0"/>
          <w:sz w:val="20"/>
        </w:rPr>
        <w:t xml:space="preserve">Accepted: </w:t>
      </w:r>
      <w:r w:rsidR="00215B08">
        <w:rPr>
          <w:bCs/>
          <w:spacing w:val="-2"/>
          <w:sz w:val="20"/>
        </w:rPr>
        <w:t>06</w:t>
      </w:r>
      <w:r>
        <w:rPr>
          <w:bCs/>
          <w:spacing w:val="-2"/>
          <w:sz w:val="20"/>
        </w:rPr>
        <w:t xml:space="preserve"> </w:t>
      </w:r>
      <w:r w:rsidR="00215B08">
        <w:rPr>
          <w:bCs/>
          <w:spacing w:val="-2"/>
          <w:sz w:val="20"/>
        </w:rPr>
        <w:t xml:space="preserve">August </w:t>
      </w:r>
      <w:r>
        <w:rPr>
          <w:spacing w:val="-3"/>
          <w:sz w:val="20"/>
        </w:rPr>
        <w:t>2026</w:t>
      </w:r>
      <w:r>
        <w:rPr>
          <w:sz w:val="20"/>
        </w:rPr>
        <w:t xml:space="preserve">; </w:t>
      </w:r>
      <w:r>
        <w:rPr>
          <w:b/>
          <w:color w:val="006EC0"/>
          <w:sz w:val="20"/>
        </w:rPr>
        <w:t xml:space="preserve">Published: </w:t>
      </w:r>
      <w:r w:rsidR="0065435E">
        <w:rPr>
          <w:bCs/>
          <w:spacing w:val="-2"/>
          <w:sz w:val="20"/>
        </w:rPr>
        <w:t>21</w:t>
      </w:r>
      <w:r w:rsidR="003E2877">
        <w:rPr>
          <w:bCs/>
          <w:spacing w:val="-2"/>
          <w:sz w:val="20"/>
        </w:rPr>
        <w:t xml:space="preserve"> </w:t>
      </w:r>
      <w:r w:rsidR="00215B08">
        <w:rPr>
          <w:bCs/>
          <w:spacing w:val="-2"/>
          <w:sz w:val="20"/>
        </w:rPr>
        <w:t xml:space="preserve">August </w:t>
      </w:r>
      <w:r w:rsidR="001A5B1A">
        <w:rPr>
          <w:spacing w:val="-3"/>
          <w:sz w:val="20"/>
        </w:rPr>
        <w:t>2026</w:t>
      </w:r>
    </w:p>
    <w:p w14:paraId="3C5CB983" w14:textId="77777777" w:rsidR="00510671" w:rsidRPr="002B499C" w:rsidRDefault="00510671" w:rsidP="0046774D">
      <w:pPr>
        <w:spacing w:line="360" w:lineRule="auto"/>
        <w:jc w:val="both"/>
        <w:rPr>
          <w:sz w:val="20"/>
          <w:szCs w:val="20"/>
        </w:rPr>
      </w:pPr>
    </w:p>
    <w:p w14:paraId="4C45B9F2" w14:textId="1A7F6834" w:rsidR="00510671" w:rsidRPr="00215B08" w:rsidRDefault="00000000" w:rsidP="0046774D">
      <w:pPr>
        <w:spacing w:line="360" w:lineRule="auto"/>
        <w:jc w:val="both"/>
        <w:rPr>
          <w:sz w:val="20"/>
          <w:szCs w:val="20"/>
          <w:vertAlign w:val="superscript"/>
        </w:rPr>
      </w:pPr>
      <w:r w:rsidRPr="001C1600">
        <w:rPr>
          <w:b/>
          <w:color w:val="006FC0"/>
          <w:lang w:val="pt-BR"/>
        </w:rPr>
        <w:t>Citation:</w:t>
      </w:r>
      <w:r w:rsidR="00215B08">
        <w:rPr>
          <w:bCs/>
          <w:color w:val="FF0000"/>
          <w:lang w:val="pt-BR"/>
        </w:rPr>
        <w:t xml:space="preserve"> </w:t>
      </w:r>
      <w:r w:rsidR="00215B08" w:rsidRPr="00215B08">
        <w:rPr>
          <w:sz w:val="20"/>
          <w:szCs w:val="20"/>
        </w:rPr>
        <w:t>Matthew C. Martinez, Kevin Pierre, Charles Carpenter, Diego A L Garcia</w:t>
      </w:r>
      <w:r w:rsidR="00215B08" w:rsidRPr="00933C84">
        <w:rPr>
          <w:sz w:val="20"/>
          <w:szCs w:val="20"/>
        </w:rPr>
        <w:t>.</w:t>
      </w:r>
      <w:r w:rsidR="00215B08">
        <w:rPr>
          <w:sz w:val="20"/>
          <w:szCs w:val="20"/>
          <w:vertAlign w:val="superscript"/>
        </w:rPr>
        <w:t xml:space="preserve"> </w:t>
      </w:r>
      <w:r w:rsidR="00215B08" w:rsidRPr="00215B08">
        <w:rPr>
          <w:sz w:val="20"/>
          <w:szCs w:val="20"/>
        </w:rPr>
        <w:t xml:space="preserve">Regional Multifocal </w:t>
      </w:r>
      <w:proofErr w:type="spellStart"/>
      <w:r w:rsidR="00215B08" w:rsidRPr="00215B08">
        <w:rPr>
          <w:sz w:val="20"/>
          <w:szCs w:val="20"/>
        </w:rPr>
        <w:t>Pseudomyogenic</w:t>
      </w:r>
      <w:proofErr w:type="spellEnd"/>
      <w:r w:rsidR="00215B08" w:rsidRPr="00215B08">
        <w:rPr>
          <w:sz w:val="20"/>
          <w:szCs w:val="20"/>
        </w:rPr>
        <w:t xml:space="preserve"> Hemangioendothelioma of the Distal Lower Extremity: A Distinctive Multimodality Imaging Phenotype</w:t>
      </w:r>
      <w:r w:rsidR="00215B08">
        <w:rPr>
          <w:sz w:val="20"/>
          <w:szCs w:val="20"/>
        </w:rPr>
        <w:t xml:space="preserve">. </w:t>
      </w:r>
      <w:r>
        <w:rPr>
          <w:sz w:val="20"/>
          <w:szCs w:val="20"/>
        </w:rPr>
        <w:t xml:space="preserve">Journal of Orthopedics and Sports Medicine </w:t>
      </w:r>
      <w:r w:rsidR="0067634A">
        <w:rPr>
          <w:sz w:val="20"/>
          <w:szCs w:val="20"/>
        </w:rPr>
        <w:t>8</w:t>
      </w:r>
      <w:r>
        <w:rPr>
          <w:sz w:val="20"/>
          <w:szCs w:val="20"/>
        </w:rPr>
        <w:t xml:space="preserve"> (2026):</w:t>
      </w:r>
      <w:r w:rsidR="007D27ED">
        <w:rPr>
          <w:sz w:val="20"/>
          <w:szCs w:val="20"/>
        </w:rPr>
        <w:t xml:space="preserve"> </w:t>
      </w:r>
      <w:r w:rsidR="0065435E" w:rsidRPr="0065435E">
        <w:rPr>
          <w:sz w:val="20"/>
          <w:szCs w:val="20"/>
          <w:lang w:val="en-IN"/>
        </w:rPr>
        <w:t>249-253</w:t>
      </w:r>
      <w:r w:rsidR="00A365FB">
        <w:rPr>
          <w:sz w:val="20"/>
          <w:szCs w:val="20"/>
        </w:rPr>
        <w:t>.</w:t>
      </w:r>
    </w:p>
    <w:p w14:paraId="1852C22E" w14:textId="77777777" w:rsidR="00163179" w:rsidRPr="002B499C" w:rsidRDefault="00163179" w:rsidP="0046774D">
      <w:pPr>
        <w:spacing w:line="360" w:lineRule="auto"/>
        <w:jc w:val="both"/>
        <w:rPr>
          <w:sz w:val="20"/>
          <w:szCs w:val="20"/>
        </w:rPr>
      </w:pPr>
    </w:p>
    <w:p w14:paraId="04A80BBB" w14:textId="77777777" w:rsidR="00EC40B4" w:rsidRDefault="00EC40B4" w:rsidP="0046774D">
      <w:pPr>
        <w:pStyle w:val="ListParagraph"/>
        <w:spacing w:line="360" w:lineRule="auto"/>
        <w:ind w:left="0" w:firstLine="0"/>
        <w:rPr>
          <w:b/>
          <w:color w:val="0070C0"/>
        </w:rPr>
      </w:pPr>
      <w:r>
        <w:rPr>
          <w:b/>
          <w:color w:val="0070C0"/>
        </w:rPr>
        <w:t>Abstract</w:t>
      </w:r>
    </w:p>
    <w:p w14:paraId="5BACA2DE" w14:textId="40147CDE" w:rsidR="0046372F" w:rsidRPr="0046372F" w:rsidRDefault="0046372F" w:rsidP="0046774D">
      <w:pPr>
        <w:spacing w:line="360" w:lineRule="auto"/>
        <w:jc w:val="both"/>
        <w:rPr>
          <w:b/>
          <w:bCs/>
          <w:sz w:val="20"/>
          <w:szCs w:val="20"/>
        </w:rPr>
      </w:pPr>
      <w:bookmarkStart w:id="1" w:name="References_"/>
      <w:bookmarkEnd w:id="1"/>
      <w:r w:rsidRPr="0046372F">
        <w:rPr>
          <w:b/>
          <w:bCs/>
          <w:color w:val="0070C0"/>
          <w:sz w:val="20"/>
          <w:szCs w:val="20"/>
        </w:rPr>
        <w:t xml:space="preserve">Background: </w:t>
      </w:r>
      <w:proofErr w:type="spellStart"/>
      <w:r w:rsidRPr="0046372F">
        <w:rPr>
          <w:sz w:val="20"/>
          <w:szCs w:val="20"/>
        </w:rPr>
        <w:t>Pseudomyogenic</w:t>
      </w:r>
      <w:proofErr w:type="spellEnd"/>
      <w:r w:rsidRPr="0046372F">
        <w:rPr>
          <w:sz w:val="20"/>
          <w:szCs w:val="20"/>
        </w:rPr>
        <w:t xml:space="preserve"> hemangioendothelioma (PHE) is a rare vascular neoplasm of intermediate malignancy that predominantly affects young males and frequently presents as multifocal disease involving the lower extremities. Osseous involvement is uncommon and may mimic metastatic disease or other multifocal skeletal disorders.</w:t>
      </w:r>
    </w:p>
    <w:p w14:paraId="1F2368F7" w14:textId="31B97A37" w:rsidR="0046372F" w:rsidRPr="0046372F" w:rsidRDefault="0046372F" w:rsidP="0046774D">
      <w:pPr>
        <w:spacing w:line="360" w:lineRule="auto"/>
        <w:jc w:val="both"/>
        <w:rPr>
          <w:b/>
          <w:bCs/>
          <w:sz w:val="20"/>
          <w:szCs w:val="20"/>
        </w:rPr>
      </w:pPr>
      <w:r w:rsidRPr="0046372F">
        <w:rPr>
          <w:b/>
          <w:bCs/>
          <w:color w:val="0070C0"/>
          <w:sz w:val="20"/>
          <w:szCs w:val="20"/>
        </w:rPr>
        <w:t xml:space="preserve">Case Presentation: </w:t>
      </w:r>
      <w:r w:rsidRPr="0046372F">
        <w:rPr>
          <w:sz w:val="20"/>
          <w:szCs w:val="20"/>
        </w:rPr>
        <w:t xml:space="preserve">A 17-year-old male presented with progressive pain involving the left ankle and foot. Initial radiographs demonstrated multiple poorly defined lytic lesions involving the distal tibia and several bones of the ipsilateral foot. Magnetic resonance imaging revealed extensive multifocal marrow-replacing lesions with avid enhancement and a small focus of extraosseous extension along the anterior aspect of the distal tibia. CT-guided biopsy confirmed </w:t>
      </w:r>
      <w:proofErr w:type="spellStart"/>
      <w:r w:rsidRPr="0046372F">
        <w:rPr>
          <w:sz w:val="20"/>
          <w:szCs w:val="20"/>
        </w:rPr>
        <w:t>pseudomyogenic</w:t>
      </w:r>
      <w:proofErr w:type="spellEnd"/>
      <w:r w:rsidRPr="0046372F">
        <w:rPr>
          <w:sz w:val="20"/>
          <w:szCs w:val="20"/>
        </w:rPr>
        <w:t xml:space="preserve"> hemangioendothelioma. Subsequent whole-body bone scintigraphy and FDG PET-CT demonstrated abnormal tracer uptake confined exclusively to the distal left lower extremity without evidence of disease elsewhere.</w:t>
      </w:r>
    </w:p>
    <w:p w14:paraId="0D1957F6" w14:textId="446AEA6E" w:rsidR="0046372F" w:rsidRPr="0046372F" w:rsidRDefault="0046372F" w:rsidP="0046774D">
      <w:pPr>
        <w:spacing w:line="360" w:lineRule="auto"/>
        <w:jc w:val="both"/>
        <w:rPr>
          <w:b/>
          <w:bCs/>
          <w:sz w:val="20"/>
          <w:szCs w:val="20"/>
        </w:rPr>
      </w:pPr>
      <w:r w:rsidRPr="0046372F">
        <w:rPr>
          <w:b/>
          <w:bCs/>
          <w:color w:val="0070C0"/>
          <w:sz w:val="20"/>
          <w:szCs w:val="20"/>
        </w:rPr>
        <w:t xml:space="preserve">Conclusion: </w:t>
      </w:r>
      <w:r w:rsidRPr="0046372F">
        <w:rPr>
          <w:sz w:val="20"/>
          <w:szCs w:val="20"/>
        </w:rPr>
        <w:t>This case highlights a distinctive imaging phenotype characterized by multifocal lytic lesions involving contiguous bones of the distal lower extremity, limited extraosseous extension on MRI, and confinement to a single extremity on whole-body bone scintigraphy and FDG PET-CT. Recognition of this pattern may facilitate diagnosis and differentiation from systemic metastatic disease.</w:t>
      </w:r>
    </w:p>
    <w:p w14:paraId="7F7882C2" w14:textId="77777777" w:rsidR="00EC40B4" w:rsidRPr="007D27ED" w:rsidRDefault="00EC40B4" w:rsidP="0046774D">
      <w:pPr>
        <w:spacing w:line="360" w:lineRule="auto"/>
        <w:jc w:val="both"/>
        <w:rPr>
          <w:sz w:val="10"/>
          <w:szCs w:val="10"/>
        </w:rPr>
      </w:pPr>
    </w:p>
    <w:p w14:paraId="398CED24" w14:textId="703CC009" w:rsidR="0046372F" w:rsidRPr="0046372F" w:rsidRDefault="00EC40B4" w:rsidP="0046774D">
      <w:pPr>
        <w:spacing w:line="360" w:lineRule="auto"/>
        <w:jc w:val="both"/>
        <w:rPr>
          <w:sz w:val="20"/>
          <w:szCs w:val="20"/>
        </w:rPr>
      </w:pPr>
      <w:r w:rsidRPr="00943716">
        <w:rPr>
          <w:b/>
          <w:bCs/>
          <w:color w:val="0070C0"/>
        </w:rPr>
        <w:lastRenderedPageBreak/>
        <w:t xml:space="preserve">Keywords: </w:t>
      </w:r>
      <w:proofErr w:type="spellStart"/>
      <w:r w:rsidR="00E46A48">
        <w:rPr>
          <w:sz w:val="20"/>
          <w:szCs w:val="20"/>
        </w:rPr>
        <w:t>P</w:t>
      </w:r>
      <w:r w:rsidR="0046372F" w:rsidRPr="0046372F">
        <w:rPr>
          <w:sz w:val="20"/>
          <w:szCs w:val="20"/>
        </w:rPr>
        <w:t>seudomyogenic</w:t>
      </w:r>
      <w:proofErr w:type="spellEnd"/>
      <w:r w:rsidR="0046372F" w:rsidRPr="0046372F">
        <w:rPr>
          <w:sz w:val="20"/>
          <w:szCs w:val="20"/>
        </w:rPr>
        <w:t xml:space="preserve"> hemangioendothelioma; </w:t>
      </w:r>
      <w:r w:rsidR="00E46A48">
        <w:rPr>
          <w:sz w:val="20"/>
          <w:szCs w:val="20"/>
        </w:rPr>
        <w:t>B</w:t>
      </w:r>
      <w:r w:rsidR="0046372F" w:rsidRPr="0046372F">
        <w:rPr>
          <w:sz w:val="20"/>
          <w:szCs w:val="20"/>
        </w:rPr>
        <w:t xml:space="preserve">one tumor; </w:t>
      </w:r>
      <w:r w:rsidR="00E46A48">
        <w:rPr>
          <w:sz w:val="20"/>
          <w:szCs w:val="20"/>
        </w:rPr>
        <w:t>A</w:t>
      </w:r>
      <w:r w:rsidR="0046372F" w:rsidRPr="0046372F">
        <w:rPr>
          <w:sz w:val="20"/>
          <w:szCs w:val="20"/>
        </w:rPr>
        <w:t xml:space="preserve">nkle; </w:t>
      </w:r>
      <w:r w:rsidR="00E46A48">
        <w:rPr>
          <w:sz w:val="20"/>
          <w:szCs w:val="20"/>
        </w:rPr>
        <w:t>F</w:t>
      </w:r>
      <w:r w:rsidR="0046372F" w:rsidRPr="0046372F">
        <w:rPr>
          <w:sz w:val="20"/>
          <w:szCs w:val="20"/>
        </w:rPr>
        <w:t>oot; MRI; PET-CT.</w:t>
      </w:r>
    </w:p>
    <w:p w14:paraId="79BA13D3" w14:textId="77777777" w:rsidR="0046372F" w:rsidRPr="0046372F" w:rsidRDefault="0046372F" w:rsidP="0046774D">
      <w:pPr>
        <w:spacing w:line="360" w:lineRule="auto"/>
        <w:jc w:val="both"/>
        <w:rPr>
          <w:b/>
          <w:bCs/>
          <w:color w:val="0070C0"/>
          <w:sz w:val="20"/>
          <w:szCs w:val="20"/>
        </w:rPr>
      </w:pPr>
    </w:p>
    <w:p w14:paraId="32E407EA" w14:textId="3A44BAAB" w:rsidR="00EC40B4" w:rsidRPr="00132D4F" w:rsidRDefault="00EC40B4" w:rsidP="0046774D">
      <w:pPr>
        <w:spacing w:line="360" w:lineRule="auto"/>
        <w:jc w:val="both"/>
        <w:rPr>
          <w:b/>
          <w:bCs/>
          <w:color w:val="0070C0"/>
        </w:rPr>
      </w:pPr>
      <w:r w:rsidRPr="00132D4F">
        <w:rPr>
          <w:b/>
          <w:bCs/>
          <w:color w:val="0070C0"/>
        </w:rPr>
        <w:t>1. Introduction</w:t>
      </w:r>
    </w:p>
    <w:p w14:paraId="3A1E0B1F" w14:textId="6E4CA273" w:rsidR="006C0E1F" w:rsidRPr="006C0E1F" w:rsidRDefault="006C0E1F" w:rsidP="0046774D">
      <w:pPr>
        <w:spacing w:line="360" w:lineRule="auto"/>
        <w:jc w:val="both"/>
        <w:rPr>
          <w:sz w:val="20"/>
          <w:szCs w:val="20"/>
        </w:rPr>
      </w:pPr>
      <w:proofErr w:type="spellStart"/>
      <w:r w:rsidRPr="006C0E1F">
        <w:rPr>
          <w:sz w:val="20"/>
          <w:szCs w:val="20"/>
        </w:rPr>
        <w:t>Pseudomyogenic</w:t>
      </w:r>
      <w:proofErr w:type="spellEnd"/>
      <w:r w:rsidRPr="006C0E1F">
        <w:rPr>
          <w:sz w:val="20"/>
          <w:szCs w:val="20"/>
        </w:rPr>
        <w:t xml:space="preserve"> hemangioendothelioma (PHE) is a rare vascular neoplasm classified by the World Health Organization as a tumor of intermediate malignancy</w:t>
      </w:r>
      <w:r w:rsidR="006D6ED2">
        <w:rPr>
          <w:sz w:val="20"/>
          <w:szCs w:val="20"/>
        </w:rPr>
        <w:t xml:space="preserve"> [1].</w:t>
      </w:r>
      <w:r w:rsidRPr="006C0E1F">
        <w:rPr>
          <w:sz w:val="20"/>
          <w:szCs w:val="20"/>
        </w:rPr>
        <w:t xml:space="preserve"> The tumor predominantly affects young males during the second and third decades of life and demonstrates a marked predilection for the lower extremities</w:t>
      </w:r>
      <w:r w:rsidR="006D6ED2">
        <w:rPr>
          <w:sz w:val="20"/>
          <w:szCs w:val="20"/>
        </w:rPr>
        <w:t xml:space="preserve"> [2].</w:t>
      </w:r>
      <w:r>
        <w:rPr>
          <w:sz w:val="20"/>
          <w:szCs w:val="20"/>
        </w:rPr>
        <w:t xml:space="preserve"> </w:t>
      </w:r>
      <w:r w:rsidRPr="006C0E1F">
        <w:rPr>
          <w:sz w:val="20"/>
          <w:szCs w:val="20"/>
        </w:rPr>
        <w:t>Initially described as epithelioid sarcoma-like hemangioendothelioma</w:t>
      </w:r>
      <w:r w:rsidR="006D6ED2">
        <w:rPr>
          <w:sz w:val="20"/>
          <w:szCs w:val="20"/>
        </w:rPr>
        <w:t xml:space="preserve"> [3].</w:t>
      </w:r>
      <w:r w:rsidRPr="006C0E1F">
        <w:rPr>
          <w:sz w:val="20"/>
          <w:szCs w:val="20"/>
        </w:rPr>
        <w:t xml:space="preserve"> PHE is now recognized as a distinct clinicopathologic entity characterized by recurrent FOSB-associated gene rearrangements and a tendency toward multifocal disease</w:t>
      </w:r>
      <w:r w:rsidR="006D6ED2">
        <w:rPr>
          <w:sz w:val="20"/>
          <w:szCs w:val="20"/>
        </w:rPr>
        <w:t xml:space="preserve"> [2-4]. </w:t>
      </w:r>
      <w:r w:rsidRPr="006C0E1F">
        <w:rPr>
          <w:sz w:val="20"/>
          <w:szCs w:val="20"/>
        </w:rPr>
        <w:t>Unlike many musculoskeletal neoplasms, PHE frequently involves multiple lesions within a single anatomical region and may affect bone, skeletal muscle, subcutaneous tissue, and dermis</w:t>
      </w:r>
      <w:r w:rsidR="006D6ED2">
        <w:rPr>
          <w:sz w:val="20"/>
          <w:szCs w:val="20"/>
        </w:rPr>
        <w:t xml:space="preserve"> [2]. </w:t>
      </w:r>
      <w:r w:rsidRPr="006C0E1F">
        <w:rPr>
          <w:sz w:val="20"/>
          <w:szCs w:val="20"/>
        </w:rPr>
        <w:t>Osseous involvement is relatively uncommon, and primary bone PHE is exceedingly rare, with fewer than 50 cases reported in English literature, most of which invade surrounding soft tissue</w:t>
      </w:r>
      <w:r w:rsidR="006D6ED2">
        <w:rPr>
          <w:sz w:val="20"/>
          <w:szCs w:val="20"/>
        </w:rPr>
        <w:t xml:space="preserve"> [5,6]. </w:t>
      </w:r>
      <w:r w:rsidRPr="006C0E1F">
        <w:rPr>
          <w:sz w:val="20"/>
          <w:szCs w:val="20"/>
        </w:rPr>
        <w:t>Bony PHE may present a significant diagnostic challenge because the imaging appearance overlaps with metastatic disease, chronic osteomyelitis, Langerhans cell histiocytosis, epithelioid hemangioma, and other vascular neoplasms</w:t>
      </w:r>
      <w:r w:rsidR="006D6ED2">
        <w:rPr>
          <w:sz w:val="20"/>
          <w:szCs w:val="20"/>
        </w:rPr>
        <w:t xml:space="preserve"> [7].</w:t>
      </w:r>
      <w:r w:rsidRPr="006C0E1F">
        <w:rPr>
          <w:sz w:val="20"/>
          <w:szCs w:val="20"/>
        </w:rPr>
        <w:t xml:space="preserve"> Classic imaging findings of bony PHE include well circumscribed, lytic lesions on plain radiographs and CT. They may cause cortical destruction, and pathological fractures. On MRI they are hypointense on T1-weighted images and hyperintense on T2 and STIR-weighted images. Bone Scintigraphy and FDG PET-CT generally show increased uptake</w:t>
      </w:r>
      <w:r w:rsidR="006D6ED2">
        <w:rPr>
          <w:sz w:val="20"/>
          <w:szCs w:val="20"/>
        </w:rPr>
        <w:t xml:space="preserve"> [5,8-10].</w:t>
      </w:r>
      <w:r w:rsidRPr="006C0E1F">
        <w:rPr>
          <w:sz w:val="20"/>
          <w:szCs w:val="20"/>
        </w:rPr>
        <w:t xml:space="preserve"> The clustered distribution of lesions within a single extremity may create a particularly challenging diagnostic scenario because the appearance can mimic skeletal metastases despite the absence of systemic disease. The mainstay of treatment is surgical. Systemic chemotherapy, mTOR inhibitors, bisphosphonates and denosumab have also been used for treatment and symptom control in PHE with bony involvement</w:t>
      </w:r>
      <w:r w:rsidR="006D6ED2">
        <w:rPr>
          <w:sz w:val="20"/>
          <w:szCs w:val="20"/>
        </w:rPr>
        <w:t xml:space="preserve"> [11-14]. </w:t>
      </w:r>
      <w:r w:rsidRPr="006C0E1F">
        <w:rPr>
          <w:sz w:val="20"/>
          <w:szCs w:val="20"/>
        </w:rPr>
        <w:t>We report a case of regional multifocal PHE involving the distal tibia, ankle, and multiple bones of the foot in a 17-year-old male. Whole-body bone scintigraphy and FDG PET-CT demonstrated disease confined to a single lower extremity despite extensive multifocal involvement.</w:t>
      </w:r>
    </w:p>
    <w:p w14:paraId="2D9D708A" w14:textId="77777777" w:rsidR="006C0E1F" w:rsidRPr="006C0E1F" w:rsidRDefault="006C0E1F" w:rsidP="0046774D">
      <w:pPr>
        <w:spacing w:line="360" w:lineRule="auto"/>
        <w:jc w:val="both"/>
        <w:rPr>
          <w:sz w:val="20"/>
          <w:szCs w:val="20"/>
        </w:rPr>
      </w:pPr>
    </w:p>
    <w:p w14:paraId="0BF33487" w14:textId="468B88A3" w:rsidR="006C0E1F" w:rsidRPr="006C0E1F" w:rsidRDefault="006C0E1F" w:rsidP="0046774D">
      <w:pPr>
        <w:spacing w:line="360" w:lineRule="auto"/>
        <w:jc w:val="both"/>
        <w:rPr>
          <w:b/>
          <w:bCs/>
          <w:color w:val="0070C0"/>
        </w:rPr>
      </w:pPr>
      <w:r>
        <w:rPr>
          <w:b/>
          <w:bCs/>
          <w:color w:val="0070C0"/>
        </w:rPr>
        <w:t xml:space="preserve">2. </w:t>
      </w:r>
      <w:r w:rsidRPr="006C0E1F">
        <w:rPr>
          <w:b/>
          <w:bCs/>
          <w:color w:val="0070C0"/>
        </w:rPr>
        <w:t>Case Presentation</w:t>
      </w:r>
    </w:p>
    <w:p w14:paraId="4C2C7223" w14:textId="33819A61" w:rsidR="006C0E1F" w:rsidRPr="006C0E1F" w:rsidRDefault="006C0E1F" w:rsidP="0046774D">
      <w:pPr>
        <w:spacing w:line="360" w:lineRule="auto"/>
        <w:jc w:val="both"/>
        <w:rPr>
          <w:sz w:val="20"/>
          <w:szCs w:val="20"/>
        </w:rPr>
      </w:pPr>
      <w:r w:rsidRPr="006C0E1F">
        <w:rPr>
          <w:sz w:val="20"/>
          <w:szCs w:val="20"/>
        </w:rPr>
        <w:t>A 17-year-old previously healthy male presented with a six-month history of progressive pain involving the left ankle and foot. Symptoms were associated with intermittent limping and reduced participation in athletic activities. There was no history of trauma, fever, weight loss, night sweats, or other constitutional symptoms.</w:t>
      </w:r>
      <w:r>
        <w:rPr>
          <w:sz w:val="20"/>
          <w:szCs w:val="20"/>
        </w:rPr>
        <w:t xml:space="preserve"> </w:t>
      </w:r>
      <w:r w:rsidRPr="006C0E1F">
        <w:rPr>
          <w:sz w:val="20"/>
          <w:szCs w:val="20"/>
        </w:rPr>
        <w:t>Physical examination demonstrated focal tenderness over the distal tibia and hindfoot. No palpable soft tissue masses or cutaneous lesions were identified.</w:t>
      </w:r>
      <w:r>
        <w:rPr>
          <w:sz w:val="20"/>
          <w:szCs w:val="20"/>
        </w:rPr>
        <w:t xml:space="preserve"> </w:t>
      </w:r>
      <w:r w:rsidRPr="006C0E1F">
        <w:rPr>
          <w:sz w:val="20"/>
          <w:szCs w:val="20"/>
        </w:rPr>
        <w:t>Laboratory evaluation, including complete blood count, erythrocyte sedimentation rate, C-reactive protein, and serum biochemical profile, was unremarkable.</w:t>
      </w:r>
    </w:p>
    <w:p w14:paraId="60237D02" w14:textId="77777777" w:rsidR="006C0E1F" w:rsidRPr="006C0E1F" w:rsidRDefault="006C0E1F" w:rsidP="0046774D">
      <w:pPr>
        <w:spacing w:line="360" w:lineRule="auto"/>
        <w:jc w:val="both"/>
        <w:rPr>
          <w:sz w:val="20"/>
          <w:szCs w:val="20"/>
        </w:rPr>
      </w:pPr>
    </w:p>
    <w:p w14:paraId="4C7F9CD4" w14:textId="69AA1736" w:rsidR="006C0E1F" w:rsidRPr="006C0E1F" w:rsidRDefault="006C0E1F" w:rsidP="0046774D">
      <w:pPr>
        <w:spacing w:line="360" w:lineRule="auto"/>
        <w:jc w:val="both"/>
        <w:rPr>
          <w:b/>
          <w:bCs/>
          <w:color w:val="0070C0"/>
        </w:rPr>
      </w:pPr>
      <w:r>
        <w:rPr>
          <w:b/>
          <w:bCs/>
          <w:color w:val="0070C0"/>
        </w:rPr>
        <w:t xml:space="preserve">3. </w:t>
      </w:r>
      <w:r w:rsidRPr="006C0E1F">
        <w:rPr>
          <w:b/>
          <w:bCs/>
          <w:color w:val="0070C0"/>
        </w:rPr>
        <w:t>Imaging Findings</w:t>
      </w:r>
    </w:p>
    <w:p w14:paraId="56B04875" w14:textId="231CB2C7" w:rsidR="006C0E1F" w:rsidRPr="006C0E1F" w:rsidRDefault="006C0E1F" w:rsidP="0046774D">
      <w:pPr>
        <w:spacing w:line="360" w:lineRule="auto"/>
        <w:jc w:val="both"/>
        <w:rPr>
          <w:b/>
          <w:bCs/>
          <w:color w:val="0070C0"/>
          <w:sz w:val="20"/>
          <w:szCs w:val="20"/>
        </w:rPr>
      </w:pPr>
      <w:r>
        <w:rPr>
          <w:b/>
          <w:bCs/>
          <w:color w:val="0070C0"/>
          <w:sz w:val="20"/>
          <w:szCs w:val="20"/>
        </w:rPr>
        <w:t xml:space="preserve">3.1. </w:t>
      </w:r>
      <w:r w:rsidRPr="006C0E1F">
        <w:rPr>
          <w:b/>
          <w:bCs/>
          <w:color w:val="0070C0"/>
          <w:sz w:val="20"/>
          <w:szCs w:val="20"/>
        </w:rPr>
        <w:t>Radiography</w:t>
      </w:r>
    </w:p>
    <w:p w14:paraId="651AC552" w14:textId="5BF5FF97" w:rsidR="006C0E1F" w:rsidRPr="006C0E1F" w:rsidRDefault="006C0E1F" w:rsidP="0046774D">
      <w:pPr>
        <w:spacing w:line="360" w:lineRule="auto"/>
        <w:jc w:val="both"/>
        <w:rPr>
          <w:sz w:val="20"/>
          <w:szCs w:val="20"/>
        </w:rPr>
      </w:pPr>
      <w:r w:rsidRPr="006C0E1F">
        <w:rPr>
          <w:sz w:val="20"/>
          <w:szCs w:val="20"/>
        </w:rPr>
        <w:t>Initial radiographs of the left ankle and foot demonstrated multiple poorly defined lytic lesions involving the distal tibial metaphysis, talus, calcaneus, navicular, cuboid, cuneiforms, and multiple metatarsals (Figure 1). Mild endosteal scalloping and cortical thinning were present without cortical destruction, aggressive periosteal reaction, matrix mineralization, or pathologic fracture.</w:t>
      </w:r>
      <w:r w:rsidR="007670F9">
        <w:rPr>
          <w:sz w:val="20"/>
          <w:szCs w:val="20"/>
        </w:rPr>
        <w:t xml:space="preserve"> </w:t>
      </w:r>
      <w:r w:rsidRPr="006C0E1F">
        <w:rPr>
          <w:sz w:val="20"/>
          <w:szCs w:val="20"/>
        </w:rPr>
        <w:t xml:space="preserve">The clustered distribution of lesions across contiguous bones of the distal lower </w:t>
      </w:r>
      <w:r w:rsidRPr="006C0E1F">
        <w:rPr>
          <w:sz w:val="20"/>
          <w:szCs w:val="20"/>
        </w:rPr>
        <w:lastRenderedPageBreak/>
        <w:t>extremity suggested a regional process rather than a random skeletal distribution.</w:t>
      </w:r>
    </w:p>
    <w:p w14:paraId="44A4DC57" w14:textId="77777777" w:rsidR="006C0E1F" w:rsidRDefault="006C0E1F" w:rsidP="00954233">
      <w:pPr>
        <w:spacing w:line="360" w:lineRule="auto"/>
        <w:jc w:val="both"/>
        <w:rPr>
          <w:b/>
          <w:bCs/>
          <w:color w:val="0070C0"/>
        </w:rPr>
      </w:pPr>
    </w:p>
    <w:p w14:paraId="08315B54" w14:textId="3959A574" w:rsidR="006C0E1F" w:rsidRDefault="007670F9" w:rsidP="007670F9">
      <w:pPr>
        <w:spacing w:line="360" w:lineRule="auto"/>
        <w:jc w:val="center"/>
        <w:rPr>
          <w:b/>
          <w:bCs/>
          <w:color w:val="0070C0"/>
        </w:rPr>
      </w:pPr>
      <w:r w:rsidRPr="007670F9">
        <w:rPr>
          <w:b/>
          <w:bCs/>
          <w:noProof/>
          <w:color w:val="0070C0"/>
          <w:sz w:val="20"/>
          <w:szCs w:val="20"/>
        </w:rPr>
        <w:drawing>
          <wp:inline distT="0" distB="0" distL="0" distR="0" wp14:anchorId="26F0191F" wp14:editId="6FE79024">
            <wp:extent cx="2463800" cy="2167486"/>
            <wp:effectExtent l="0" t="0" r="0" b="4445"/>
            <wp:docPr id="6367903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5589" cy="2169060"/>
                    </a:xfrm>
                    <a:prstGeom prst="rect">
                      <a:avLst/>
                    </a:prstGeom>
                    <a:noFill/>
                    <a:ln>
                      <a:noFill/>
                    </a:ln>
                  </pic:spPr>
                </pic:pic>
              </a:graphicData>
            </a:graphic>
          </wp:inline>
        </w:drawing>
      </w:r>
    </w:p>
    <w:p w14:paraId="75D4D4B6" w14:textId="77777777" w:rsidR="006C0E1F" w:rsidRDefault="006C0E1F" w:rsidP="00954233">
      <w:pPr>
        <w:spacing w:line="360" w:lineRule="auto"/>
        <w:jc w:val="both"/>
        <w:rPr>
          <w:b/>
          <w:bCs/>
          <w:color w:val="0070C0"/>
        </w:rPr>
      </w:pPr>
    </w:p>
    <w:p w14:paraId="4D4F9181" w14:textId="282F0F8A" w:rsidR="007670F9" w:rsidRPr="007670F9" w:rsidRDefault="007670F9" w:rsidP="0046774D">
      <w:pPr>
        <w:spacing w:line="360" w:lineRule="auto"/>
        <w:jc w:val="both"/>
        <w:rPr>
          <w:sz w:val="20"/>
          <w:szCs w:val="20"/>
        </w:rPr>
      </w:pPr>
      <w:r w:rsidRPr="007F25BD">
        <w:rPr>
          <w:b/>
          <w:bCs/>
          <w:color w:val="0070C0"/>
          <w:sz w:val="20"/>
          <w:szCs w:val="20"/>
        </w:rPr>
        <w:t>Figure 1:</w:t>
      </w:r>
      <w:r w:rsidRPr="007F25BD">
        <w:rPr>
          <w:color w:val="0070C0"/>
          <w:sz w:val="20"/>
          <w:szCs w:val="20"/>
        </w:rPr>
        <w:t xml:space="preserve"> </w:t>
      </w:r>
      <w:r w:rsidRPr="007670F9">
        <w:rPr>
          <w:sz w:val="20"/>
          <w:szCs w:val="20"/>
        </w:rPr>
        <w:t>Initial radiographs of the left distal leg, ankle, and foot. Anteroposterior and lateral radiographs demonstrate multiple poorly defined lytic lesions involving the distal tibia and several bones of the left foot, including the talus, calcaneus, navicular, cuboid, cuneiforms, and metatarsals. No aggressive periosteal reaction, cortical destruction, matrix mineralization, or pathologic fracture is identified.</w:t>
      </w:r>
    </w:p>
    <w:p w14:paraId="008DF1BC" w14:textId="77777777" w:rsidR="007670F9" w:rsidRPr="007670F9" w:rsidRDefault="007670F9" w:rsidP="0046774D">
      <w:pPr>
        <w:spacing w:line="360" w:lineRule="auto"/>
        <w:jc w:val="both"/>
        <w:rPr>
          <w:b/>
          <w:bCs/>
          <w:sz w:val="20"/>
          <w:szCs w:val="20"/>
        </w:rPr>
      </w:pPr>
    </w:p>
    <w:p w14:paraId="607F740A" w14:textId="15521E37" w:rsidR="007670F9" w:rsidRPr="007670F9" w:rsidRDefault="007670F9" w:rsidP="0046774D">
      <w:pPr>
        <w:spacing w:line="360" w:lineRule="auto"/>
        <w:jc w:val="both"/>
        <w:rPr>
          <w:b/>
          <w:bCs/>
          <w:color w:val="0070C0"/>
          <w:sz w:val="20"/>
          <w:szCs w:val="20"/>
        </w:rPr>
      </w:pPr>
      <w:r>
        <w:rPr>
          <w:b/>
          <w:bCs/>
          <w:color w:val="0070C0"/>
          <w:sz w:val="20"/>
          <w:szCs w:val="20"/>
        </w:rPr>
        <w:t xml:space="preserve">3.2. </w:t>
      </w:r>
      <w:r w:rsidRPr="007670F9">
        <w:rPr>
          <w:b/>
          <w:bCs/>
          <w:color w:val="0070C0"/>
          <w:sz w:val="20"/>
          <w:szCs w:val="20"/>
        </w:rPr>
        <w:t>Magnetic Resonance Imaging</w:t>
      </w:r>
    </w:p>
    <w:p w14:paraId="23E6AA90" w14:textId="566766EA" w:rsidR="007670F9" w:rsidRDefault="007670F9" w:rsidP="0046774D">
      <w:pPr>
        <w:spacing w:line="360" w:lineRule="auto"/>
        <w:jc w:val="both"/>
        <w:rPr>
          <w:sz w:val="20"/>
          <w:szCs w:val="20"/>
        </w:rPr>
      </w:pPr>
      <w:r w:rsidRPr="007670F9">
        <w:rPr>
          <w:sz w:val="20"/>
          <w:szCs w:val="20"/>
        </w:rPr>
        <w:t>MRI was performed for local staging and lesion characterization.</w:t>
      </w:r>
      <w:r w:rsidR="007F25BD">
        <w:rPr>
          <w:sz w:val="20"/>
          <w:szCs w:val="20"/>
        </w:rPr>
        <w:t xml:space="preserve"> </w:t>
      </w:r>
      <w:r w:rsidRPr="007670F9">
        <w:rPr>
          <w:sz w:val="20"/>
          <w:szCs w:val="20"/>
        </w:rPr>
        <w:t>Sagittal and axial T1-weighted images demonstrated multiple marrow-replacing lesions involving the distal tibia, hindfoot, midfoot, and forefoot. Corresponding sagittal, axial, and coronal fat-suppressed T2-weighted images demonstrated markedly increased signal intensity throughout the lesions.</w:t>
      </w:r>
      <w:r w:rsidR="007F25BD">
        <w:rPr>
          <w:sz w:val="20"/>
          <w:szCs w:val="20"/>
        </w:rPr>
        <w:t xml:space="preserve"> </w:t>
      </w:r>
      <w:r w:rsidRPr="007670F9">
        <w:rPr>
          <w:sz w:val="20"/>
          <w:szCs w:val="20"/>
        </w:rPr>
        <w:t>Post-contrast axial fat-suppressed T1-weighted images demonstrated avid enhancement of the osseous lesions. A small focus of extraosseous extension was identified along the anterior cortex of the distal tibia (Figure 2). No large soft tissue mass, neurovascular encasement, or articular collapse was present.</w:t>
      </w:r>
      <w:r w:rsidR="007F25BD">
        <w:rPr>
          <w:sz w:val="20"/>
          <w:szCs w:val="20"/>
        </w:rPr>
        <w:t xml:space="preserve"> </w:t>
      </w:r>
      <w:r w:rsidRPr="007670F9">
        <w:rPr>
          <w:sz w:val="20"/>
          <w:szCs w:val="20"/>
        </w:rPr>
        <w:t>Overall, MRI demonstrated substantially greater disease burden than appreciated on radiography and confirmed extensive involvement of contiguous bones throughout the distal lower extremity.</w:t>
      </w:r>
    </w:p>
    <w:p w14:paraId="2DB4BCD4" w14:textId="77777777" w:rsidR="007F25BD" w:rsidRDefault="007F25BD" w:rsidP="0046774D">
      <w:pPr>
        <w:spacing w:line="360" w:lineRule="auto"/>
        <w:jc w:val="both"/>
        <w:rPr>
          <w:sz w:val="20"/>
          <w:szCs w:val="20"/>
        </w:rPr>
      </w:pPr>
    </w:p>
    <w:p w14:paraId="2B57959A" w14:textId="27031AF7" w:rsidR="007F25BD" w:rsidRPr="007670F9" w:rsidRDefault="007F25BD" w:rsidP="007F25BD">
      <w:pPr>
        <w:spacing w:line="360" w:lineRule="auto"/>
        <w:jc w:val="center"/>
        <w:rPr>
          <w:sz w:val="20"/>
          <w:szCs w:val="20"/>
        </w:rPr>
      </w:pPr>
      <w:r>
        <w:rPr>
          <w:noProof/>
          <w:sz w:val="20"/>
          <w:szCs w:val="20"/>
        </w:rPr>
        <w:lastRenderedPageBreak/>
        <w:drawing>
          <wp:inline distT="0" distB="0" distL="0" distR="0" wp14:anchorId="365B4FCF" wp14:editId="2C3EE00C">
            <wp:extent cx="2908300" cy="3320226"/>
            <wp:effectExtent l="0" t="0" r="6350" b="0"/>
            <wp:docPr id="16888346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11630" cy="3324028"/>
                    </a:xfrm>
                    <a:prstGeom prst="rect">
                      <a:avLst/>
                    </a:prstGeom>
                    <a:noFill/>
                    <a:ln>
                      <a:noFill/>
                    </a:ln>
                  </pic:spPr>
                </pic:pic>
              </a:graphicData>
            </a:graphic>
          </wp:inline>
        </w:drawing>
      </w:r>
    </w:p>
    <w:p w14:paraId="33499207" w14:textId="77777777" w:rsidR="00D14BDC" w:rsidRDefault="00D14BDC" w:rsidP="00EC40B4">
      <w:pPr>
        <w:spacing w:line="360" w:lineRule="auto"/>
        <w:jc w:val="both"/>
        <w:rPr>
          <w:b/>
          <w:bCs/>
          <w:color w:val="0070C0"/>
        </w:rPr>
      </w:pPr>
    </w:p>
    <w:p w14:paraId="28CA8B7E" w14:textId="77777777" w:rsidR="002A6474" w:rsidRDefault="002A6474" w:rsidP="002A6474">
      <w:pPr>
        <w:rPr>
          <w:b/>
          <w:bCs/>
        </w:rPr>
      </w:pPr>
    </w:p>
    <w:p w14:paraId="7D561B5D" w14:textId="1BDDA22D" w:rsidR="002A6474" w:rsidRPr="002A6474" w:rsidRDefault="002A6474" w:rsidP="002A6474">
      <w:pPr>
        <w:spacing w:line="360" w:lineRule="auto"/>
        <w:jc w:val="both"/>
        <w:rPr>
          <w:sz w:val="20"/>
          <w:szCs w:val="20"/>
        </w:rPr>
      </w:pPr>
      <w:r w:rsidRPr="002A6474">
        <w:rPr>
          <w:b/>
          <w:bCs/>
          <w:color w:val="0070C0"/>
          <w:sz w:val="20"/>
          <w:szCs w:val="20"/>
        </w:rPr>
        <w:t>Figure 2:</w:t>
      </w:r>
      <w:r w:rsidRPr="002A6474">
        <w:rPr>
          <w:color w:val="0070C0"/>
          <w:sz w:val="20"/>
          <w:szCs w:val="20"/>
        </w:rPr>
        <w:t xml:space="preserve"> </w:t>
      </w:r>
      <w:r w:rsidRPr="002A6474">
        <w:rPr>
          <w:sz w:val="20"/>
          <w:szCs w:val="20"/>
        </w:rPr>
        <w:t>Magnetic resonance imaging of the left distal lower extremity. Sagittal T1-weighted (A), sagittal fat-suppressed T2-weighted (B), axial fat-suppressed T2-weighted (C), coronal fat-suppressed T2-weighted (D) images demonstrate multifocal marrow-replacing lesions involving the distal tibia, ankle, and multiple bones of the foot. The lesions are hypointense relative to normal marrow on T1-weighted images, hyperintense on fluid-sensitive sequences, and demonstrate avid enhancement following gadolinium administration. A small focus of extraosseous extension is present along the anterior aspect of the distal tibia.</w:t>
      </w:r>
    </w:p>
    <w:p w14:paraId="6B64C0A2" w14:textId="77777777" w:rsidR="002A6474" w:rsidRPr="002A6474" w:rsidRDefault="002A6474" w:rsidP="002A6474">
      <w:pPr>
        <w:spacing w:line="360" w:lineRule="auto"/>
        <w:jc w:val="both"/>
        <w:rPr>
          <w:b/>
          <w:bCs/>
          <w:sz w:val="20"/>
          <w:szCs w:val="20"/>
        </w:rPr>
      </w:pPr>
    </w:p>
    <w:p w14:paraId="133EFED1" w14:textId="551ADDA4" w:rsidR="002A6474" w:rsidRPr="002A6474" w:rsidRDefault="002A6474" w:rsidP="002A6474">
      <w:pPr>
        <w:spacing w:line="360" w:lineRule="auto"/>
        <w:jc w:val="both"/>
        <w:rPr>
          <w:b/>
          <w:bCs/>
          <w:color w:val="0070C0"/>
          <w:sz w:val="20"/>
          <w:szCs w:val="20"/>
        </w:rPr>
      </w:pPr>
      <w:r>
        <w:rPr>
          <w:b/>
          <w:bCs/>
          <w:color w:val="0070C0"/>
          <w:sz w:val="20"/>
          <w:szCs w:val="20"/>
        </w:rPr>
        <w:t xml:space="preserve">3.3. </w:t>
      </w:r>
      <w:r w:rsidRPr="002A6474">
        <w:rPr>
          <w:b/>
          <w:bCs/>
          <w:color w:val="0070C0"/>
          <w:sz w:val="20"/>
          <w:szCs w:val="20"/>
        </w:rPr>
        <w:t>Histopathologic Confirmation</w:t>
      </w:r>
    </w:p>
    <w:p w14:paraId="21B9CCC4" w14:textId="21D16541" w:rsidR="002A6474" w:rsidRPr="002A6474" w:rsidRDefault="002A6474" w:rsidP="002A6474">
      <w:pPr>
        <w:spacing w:line="360" w:lineRule="auto"/>
        <w:jc w:val="both"/>
        <w:rPr>
          <w:sz w:val="20"/>
          <w:szCs w:val="20"/>
        </w:rPr>
      </w:pPr>
      <w:r w:rsidRPr="002A6474">
        <w:rPr>
          <w:sz w:val="20"/>
          <w:szCs w:val="20"/>
        </w:rPr>
        <w:t>CT-guided biopsy of a representative distal tibial lesion was performed.</w:t>
      </w:r>
      <w:r>
        <w:rPr>
          <w:sz w:val="20"/>
          <w:szCs w:val="20"/>
        </w:rPr>
        <w:t xml:space="preserve"> </w:t>
      </w:r>
      <w:r w:rsidRPr="002A6474">
        <w:rPr>
          <w:sz w:val="20"/>
          <w:szCs w:val="20"/>
        </w:rPr>
        <w:t xml:space="preserve">Microscopic examination demonstrated epithelioid and spindle cells with endothelial differentiation. Immunohistochemical analysis demonstrated diffuse positivity for ERG, CD31, and FOSB with retained INI1 expression, confirming the diagnosis of </w:t>
      </w:r>
      <w:proofErr w:type="spellStart"/>
      <w:r w:rsidRPr="002A6474">
        <w:rPr>
          <w:sz w:val="20"/>
          <w:szCs w:val="20"/>
        </w:rPr>
        <w:t>pseudomyogenic</w:t>
      </w:r>
      <w:proofErr w:type="spellEnd"/>
      <w:r w:rsidRPr="002A6474">
        <w:rPr>
          <w:sz w:val="20"/>
          <w:szCs w:val="20"/>
        </w:rPr>
        <w:t xml:space="preserve"> hemangioendothelioma</w:t>
      </w:r>
      <w:r w:rsidR="00995D92">
        <w:rPr>
          <w:sz w:val="20"/>
          <w:szCs w:val="20"/>
        </w:rPr>
        <w:t xml:space="preserve"> [</w:t>
      </w:r>
      <w:r w:rsidRPr="00995D92">
        <w:rPr>
          <w:sz w:val="20"/>
          <w:szCs w:val="20"/>
        </w:rPr>
        <w:t>4,15</w:t>
      </w:r>
      <w:r w:rsidR="00995D92">
        <w:rPr>
          <w:sz w:val="20"/>
          <w:szCs w:val="20"/>
        </w:rPr>
        <w:t>].</w:t>
      </w:r>
    </w:p>
    <w:p w14:paraId="32F79B88" w14:textId="77777777" w:rsidR="002A6474" w:rsidRDefault="002A6474" w:rsidP="002A6474">
      <w:pPr>
        <w:spacing w:line="360" w:lineRule="auto"/>
        <w:jc w:val="both"/>
        <w:rPr>
          <w:b/>
          <w:bCs/>
          <w:sz w:val="20"/>
          <w:szCs w:val="20"/>
        </w:rPr>
      </w:pPr>
    </w:p>
    <w:p w14:paraId="6FF14275" w14:textId="2F8596D1" w:rsidR="002A6474" w:rsidRPr="002A6474" w:rsidRDefault="002A6474" w:rsidP="002A6474">
      <w:pPr>
        <w:spacing w:line="360" w:lineRule="auto"/>
        <w:jc w:val="both"/>
        <w:rPr>
          <w:b/>
          <w:bCs/>
          <w:color w:val="0070C0"/>
          <w:sz w:val="20"/>
          <w:szCs w:val="20"/>
        </w:rPr>
      </w:pPr>
      <w:r w:rsidRPr="002A6474">
        <w:rPr>
          <w:b/>
          <w:bCs/>
          <w:color w:val="0070C0"/>
          <w:sz w:val="20"/>
          <w:szCs w:val="20"/>
        </w:rPr>
        <w:t>3.4. Bone Scintigraphy</w:t>
      </w:r>
    </w:p>
    <w:p w14:paraId="3C17DCC7" w14:textId="5797F48A" w:rsidR="002A6474" w:rsidRPr="002A6474" w:rsidRDefault="002A6474" w:rsidP="002A6474">
      <w:pPr>
        <w:spacing w:line="360" w:lineRule="auto"/>
        <w:jc w:val="both"/>
        <w:rPr>
          <w:sz w:val="20"/>
          <w:szCs w:val="20"/>
        </w:rPr>
      </w:pPr>
      <w:r w:rsidRPr="002A6474">
        <w:rPr>
          <w:sz w:val="20"/>
          <w:szCs w:val="20"/>
        </w:rPr>
        <w:t>Following histopathologic diagnosis, whole-body bone scintigraphy using technetium-99m methylene diphosphonate (99mTc-MDP) was performed to assess the extent of skeletal disease.</w:t>
      </w:r>
      <w:r>
        <w:rPr>
          <w:sz w:val="20"/>
          <w:szCs w:val="20"/>
        </w:rPr>
        <w:t xml:space="preserve"> </w:t>
      </w:r>
      <w:r w:rsidRPr="002A6474">
        <w:rPr>
          <w:sz w:val="20"/>
          <w:szCs w:val="20"/>
        </w:rPr>
        <w:t>Bone scintigraphy demonstrated multiple foci of increased radiotracer uptake involving the distal left tibia, ankle, and multiple bones of the foot (Figure 3). No abnormal uptake was identified elsewhere in the appendicular or axial skeleton.</w:t>
      </w:r>
    </w:p>
    <w:p w14:paraId="5FCF3D7D" w14:textId="3B5CB09B" w:rsidR="007F25BD" w:rsidRDefault="002A6474" w:rsidP="002A6474">
      <w:pPr>
        <w:spacing w:line="360" w:lineRule="auto"/>
        <w:jc w:val="center"/>
        <w:rPr>
          <w:b/>
          <w:bCs/>
          <w:color w:val="0070C0"/>
        </w:rPr>
      </w:pPr>
      <w:r w:rsidRPr="002A6474">
        <w:rPr>
          <w:b/>
          <w:bCs/>
          <w:noProof/>
          <w:color w:val="0070C0"/>
          <w:sz w:val="20"/>
          <w:szCs w:val="20"/>
        </w:rPr>
        <w:lastRenderedPageBreak/>
        <w:drawing>
          <wp:inline distT="0" distB="0" distL="0" distR="0" wp14:anchorId="12DF1704" wp14:editId="058ADD69">
            <wp:extent cx="1162050" cy="3206750"/>
            <wp:effectExtent l="0" t="0" r="0" b="0"/>
            <wp:docPr id="13704484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2050" cy="3206750"/>
                    </a:xfrm>
                    <a:prstGeom prst="rect">
                      <a:avLst/>
                    </a:prstGeom>
                    <a:noFill/>
                    <a:ln>
                      <a:noFill/>
                    </a:ln>
                  </pic:spPr>
                </pic:pic>
              </a:graphicData>
            </a:graphic>
          </wp:inline>
        </w:drawing>
      </w:r>
    </w:p>
    <w:p w14:paraId="65BD7FC6" w14:textId="77777777" w:rsidR="007F25BD" w:rsidRDefault="007F25BD" w:rsidP="00EC40B4">
      <w:pPr>
        <w:spacing w:line="360" w:lineRule="auto"/>
        <w:jc w:val="both"/>
        <w:rPr>
          <w:b/>
          <w:bCs/>
          <w:color w:val="0070C0"/>
        </w:rPr>
      </w:pPr>
    </w:p>
    <w:p w14:paraId="4965C065" w14:textId="67472461" w:rsidR="002A6474" w:rsidRPr="002A6474" w:rsidRDefault="002A6474" w:rsidP="002A6474">
      <w:pPr>
        <w:spacing w:line="360" w:lineRule="auto"/>
        <w:jc w:val="both"/>
        <w:rPr>
          <w:sz w:val="20"/>
          <w:szCs w:val="20"/>
        </w:rPr>
      </w:pPr>
      <w:r w:rsidRPr="002A6474">
        <w:rPr>
          <w:b/>
          <w:bCs/>
          <w:color w:val="0070C0"/>
          <w:sz w:val="20"/>
          <w:szCs w:val="20"/>
        </w:rPr>
        <w:t>Figure 3:</w:t>
      </w:r>
      <w:r w:rsidRPr="002A6474">
        <w:rPr>
          <w:color w:val="0070C0"/>
          <w:sz w:val="20"/>
          <w:szCs w:val="20"/>
        </w:rPr>
        <w:t xml:space="preserve"> </w:t>
      </w:r>
      <w:r w:rsidRPr="002A6474">
        <w:rPr>
          <w:sz w:val="20"/>
          <w:szCs w:val="20"/>
        </w:rPr>
        <w:t>Whole-body 99mTc-MDP bone scintigraphy. Anterior and posterior projections demonstrate multifocal increased radiotracer uptake involving the distal left tibia, ankle, and multiple bones of the foot. No abnormal radiotracer uptake is identified elsewhere in the appendicular or axial skeleton.</w:t>
      </w:r>
    </w:p>
    <w:p w14:paraId="11C06574" w14:textId="77777777" w:rsidR="002A6474" w:rsidRPr="00673BFD" w:rsidRDefault="002A6474" w:rsidP="002A6474">
      <w:pPr>
        <w:spacing w:line="360" w:lineRule="auto"/>
        <w:jc w:val="both"/>
        <w:rPr>
          <w:b/>
          <w:bCs/>
          <w:color w:val="0070C0"/>
          <w:sz w:val="20"/>
          <w:szCs w:val="20"/>
        </w:rPr>
      </w:pPr>
    </w:p>
    <w:p w14:paraId="5F92C6B8" w14:textId="5EFBB2EE" w:rsidR="002A6474" w:rsidRPr="00673BFD" w:rsidRDefault="002A6474" w:rsidP="002A6474">
      <w:pPr>
        <w:spacing w:line="360" w:lineRule="auto"/>
        <w:jc w:val="both"/>
        <w:rPr>
          <w:b/>
          <w:bCs/>
          <w:color w:val="0070C0"/>
          <w:sz w:val="20"/>
          <w:szCs w:val="20"/>
        </w:rPr>
      </w:pPr>
      <w:r w:rsidRPr="00673BFD">
        <w:rPr>
          <w:b/>
          <w:bCs/>
          <w:color w:val="0070C0"/>
          <w:sz w:val="20"/>
          <w:szCs w:val="20"/>
        </w:rPr>
        <w:t>3.5. FDG PET-CT</w:t>
      </w:r>
    </w:p>
    <w:p w14:paraId="5BF7C5D5" w14:textId="74D624D8" w:rsidR="002A6474" w:rsidRDefault="002A6474" w:rsidP="002A6474">
      <w:pPr>
        <w:spacing w:line="360" w:lineRule="auto"/>
        <w:jc w:val="both"/>
        <w:rPr>
          <w:sz w:val="20"/>
          <w:szCs w:val="20"/>
        </w:rPr>
      </w:pPr>
      <w:r w:rsidRPr="002A6474">
        <w:rPr>
          <w:sz w:val="20"/>
          <w:szCs w:val="20"/>
        </w:rPr>
        <w:t>FDG PET-CT was subsequently performed for systemic staging.</w:t>
      </w:r>
      <w:r w:rsidR="00B538BA">
        <w:rPr>
          <w:sz w:val="20"/>
          <w:szCs w:val="20"/>
        </w:rPr>
        <w:t xml:space="preserve"> </w:t>
      </w:r>
      <w:r w:rsidRPr="002A6474">
        <w:rPr>
          <w:sz w:val="20"/>
          <w:szCs w:val="20"/>
        </w:rPr>
        <w:t>PET-CT demonstrated increased metabolic activity corresponding to all known lesions identified on radiographs, MRI, and bone scintigraphy (Figure 4). No additional FDG-avid lesions were identified elsewhere in the skeleton, soft tissues, thorax, abdomen, pelvis, or contralateral extremities.</w:t>
      </w:r>
      <w:r w:rsidR="00B538BA">
        <w:rPr>
          <w:sz w:val="20"/>
          <w:szCs w:val="20"/>
        </w:rPr>
        <w:t xml:space="preserve"> </w:t>
      </w:r>
      <w:r w:rsidRPr="002A6474">
        <w:rPr>
          <w:sz w:val="20"/>
          <w:szCs w:val="20"/>
        </w:rPr>
        <w:t xml:space="preserve">The combined </w:t>
      </w:r>
      <w:proofErr w:type="spellStart"/>
      <w:r w:rsidRPr="002A6474">
        <w:rPr>
          <w:sz w:val="20"/>
          <w:szCs w:val="20"/>
        </w:rPr>
        <w:t>scintigraphic</w:t>
      </w:r>
      <w:proofErr w:type="spellEnd"/>
      <w:r w:rsidRPr="002A6474">
        <w:rPr>
          <w:sz w:val="20"/>
          <w:szCs w:val="20"/>
        </w:rPr>
        <w:t xml:space="preserve"> and PET findings confirmed multifocal disease confined to a single lower extremity.</w:t>
      </w:r>
    </w:p>
    <w:p w14:paraId="302734FD" w14:textId="312D2532" w:rsidR="00B538BA" w:rsidRPr="002A6474" w:rsidRDefault="00B538BA" w:rsidP="00B538BA">
      <w:pPr>
        <w:spacing w:line="360" w:lineRule="auto"/>
        <w:jc w:val="center"/>
        <w:rPr>
          <w:sz w:val="20"/>
          <w:szCs w:val="20"/>
        </w:rPr>
      </w:pPr>
      <w:r>
        <w:rPr>
          <w:noProof/>
          <w:sz w:val="20"/>
          <w:szCs w:val="20"/>
        </w:rPr>
        <w:lastRenderedPageBreak/>
        <w:drawing>
          <wp:inline distT="0" distB="0" distL="0" distR="0" wp14:anchorId="1C38C4F2" wp14:editId="64F8A05E">
            <wp:extent cx="1263650" cy="3632200"/>
            <wp:effectExtent l="0" t="0" r="0" b="6350"/>
            <wp:docPr id="16402489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63650" cy="3632200"/>
                    </a:xfrm>
                    <a:prstGeom prst="rect">
                      <a:avLst/>
                    </a:prstGeom>
                    <a:noFill/>
                    <a:ln>
                      <a:noFill/>
                    </a:ln>
                  </pic:spPr>
                </pic:pic>
              </a:graphicData>
            </a:graphic>
          </wp:inline>
        </w:drawing>
      </w:r>
    </w:p>
    <w:p w14:paraId="3FA6EBC2" w14:textId="77777777" w:rsidR="002A6474" w:rsidRDefault="002A6474" w:rsidP="00EC40B4">
      <w:pPr>
        <w:spacing w:line="360" w:lineRule="auto"/>
        <w:jc w:val="both"/>
        <w:rPr>
          <w:b/>
          <w:bCs/>
          <w:color w:val="0070C0"/>
        </w:rPr>
      </w:pPr>
    </w:p>
    <w:p w14:paraId="709462B0" w14:textId="308EDCA0" w:rsidR="00B538BA" w:rsidRPr="00B538BA" w:rsidRDefault="00B538BA" w:rsidP="00B538BA">
      <w:pPr>
        <w:spacing w:line="360" w:lineRule="auto"/>
        <w:jc w:val="both"/>
        <w:rPr>
          <w:sz w:val="20"/>
          <w:szCs w:val="20"/>
        </w:rPr>
      </w:pPr>
      <w:r w:rsidRPr="00C00000">
        <w:rPr>
          <w:b/>
          <w:bCs/>
          <w:color w:val="0070C0"/>
          <w:sz w:val="20"/>
          <w:szCs w:val="20"/>
        </w:rPr>
        <w:t>Figure 4:</w:t>
      </w:r>
      <w:r w:rsidR="00C00000" w:rsidRPr="00C00000">
        <w:rPr>
          <w:b/>
          <w:bCs/>
          <w:color w:val="0070C0"/>
          <w:sz w:val="20"/>
          <w:szCs w:val="20"/>
        </w:rPr>
        <w:t xml:space="preserve"> </w:t>
      </w:r>
      <w:r w:rsidRPr="00B538BA">
        <w:rPr>
          <w:sz w:val="20"/>
          <w:szCs w:val="20"/>
        </w:rPr>
        <w:t>Whole-body FDG PET maximum-intensity projection (MIP) and fused PET-CT images demonstrate hypermetabolic lesions corresponding to the known sites of disease within the distal left lower extremity. No additional FDG-avid lesions are identified elsewhere in the body, confirming confinement of disease to a single extremity.</w:t>
      </w:r>
    </w:p>
    <w:p w14:paraId="0479FCE5" w14:textId="77777777" w:rsidR="00B538BA" w:rsidRPr="00B538BA" w:rsidRDefault="00B538BA" w:rsidP="00B538BA">
      <w:pPr>
        <w:spacing w:line="360" w:lineRule="auto"/>
        <w:jc w:val="both"/>
        <w:rPr>
          <w:b/>
          <w:bCs/>
          <w:sz w:val="20"/>
          <w:szCs w:val="20"/>
        </w:rPr>
      </w:pPr>
    </w:p>
    <w:p w14:paraId="079ADBA6" w14:textId="36D85A0D" w:rsidR="00B538BA" w:rsidRPr="00651068" w:rsidRDefault="00B538BA" w:rsidP="00B538BA">
      <w:pPr>
        <w:spacing w:line="360" w:lineRule="auto"/>
        <w:jc w:val="both"/>
        <w:rPr>
          <w:b/>
          <w:bCs/>
          <w:color w:val="0070C0"/>
        </w:rPr>
      </w:pPr>
      <w:r w:rsidRPr="00651068">
        <w:rPr>
          <w:b/>
          <w:bCs/>
          <w:color w:val="0070C0"/>
        </w:rPr>
        <w:t>4. Discussion</w:t>
      </w:r>
    </w:p>
    <w:p w14:paraId="5AE91D62" w14:textId="0ED2CDDE" w:rsidR="00B538BA" w:rsidRPr="00B538BA" w:rsidRDefault="00B538BA" w:rsidP="00B538BA">
      <w:pPr>
        <w:spacing w:line="360" w:lineRule="auto"/>
        <w:jc w:val="both"/>
        <w:rPr>
          <w:sz w:val="20"/>
          <w:szCs w:val="20"/>
        </w:rPr>
      </w:pPr>
      <w:proofErr w:type="spellStart"/>
      <w:r w:rsidRPr="00B538BA">
        <w:rPr>
          <w:sz w:val="20"/>
          <w:szCs w:val="20"/>
        </w:rPr>
        <w:t>Pseudomyogenic</w:t>
      </w:r>
      <w:proofErr w:type="spellEnd"/>
      <w:r w:rsidRPr="00B538BA">
        <w:rPr>
          <w:sz w:val="20"/>
          <w:szCs w:val="20"/>
        </w:rPr>
        <w:t xml:space="preserve"> hemangioendothelioma is an uncommon vascular neoplasm that most frequently affects young males during the second and third decades of life</w:t>
      </w:r>
      <w:r w:rsidR="00651068">
        <w:rPr>
          <w:sz w:val="20"/>
          <w:szCs w:val="20"/>
        </w:rPr>
        <w:t xml:space="preserve"> [2].</w:t>
      </w:r>
      <w:r w:rsidR="0044562A">
        <w:rPr>
          <w:sz w:val="20"/>
          <w:szCs w:val="20"/>
        </w:rPr>
        <w:t xml:space="preserve"> </w:t>
      </w:r>
      <w:r w:rsidRPr="00B538BA">
        <w:rPr>
          <w:sz w:val="20"/>
          <w:szCs w:val="20"/>
        </w:rPr>
        <w:t>Recognition of its characteristic imaging appearance is important because diagnosis is often delayed and lesions may be mistaken for infection, metastatic disease, or other primary bone tumors.</w:t>
      </w:r>
    </w:p>
    <w:p w14:paraId="3C192DA4" w14:textId="77777777" w:rsidR="00B538BA" w:rsidRPr="00B538BA" w:rsidRDefault="00B538BA" w:rsidP="00B538BA">
      <w:pPr>
        <w:spacing w:line="360" w:lineRule="auto"/>
        <w:jc w:val="both"/>
        <w:rPr>
          <w:sz w:val="20"/>
          <w:szCs w:val="20"/>
        </w:rPr>
      </w:pPr>
      <w:r w:rsidRPr="00B538BA">
        <w:rPr>
          <w:sz w:val="20"/>
          <w:szCs w:val="20"/>
        </w:rPr>
        <w:t xml:space="preserve">The most distinctive feature of the present case is the remarkable discordance between disease burden and disease distribution. Radiographs and MRI demonstrated extensive multifocal osseous involvement of the distal tibia, ankle, and foot, while both bone scintigraphy and FDG PET-CT confirmed confinement of disease to a single lower extremity. This imaging phenotype may represent an underrecognized manifestation of regional multifocal dissemination in </w:t>
      </w:r>
      <w:proofErr w:type="spellStart"/>
      <w:r w:rsidRPr="00B538BA">
        <w:rPr>
          <w:sz w:val="20"/>
          <w:szCs w:val="20"/>
        </w:rPr>
        <w:t>pseudomyogenic</w:t>
      </w:r>
      <w:proofErr w:type="spellEnd"/>
      <w:r w:rsidRPr="00B538BA">
        <w:rPr>
          <w:sz w:val="20"/>
          <w:szCs w:val="20"/>
        </w:rPr>
        <w:t xml:space="preserve"> hemangioendothelioma and may help distinguish this entity from metastatic disease. </w:t>
      </w:r>
    </w:p>
    <w:p w14:paraId="3752D391" w14:textId="77777777" w:rsidR="00651068" w:rsidRDefault="00651068" w:rsidP="00B538BA">
      <w:pPr>
        <w:spacing w:line="360" w:lineRule="auto"/>
        <w:jc w:val="both"/>
        <w:rPr>
          <w:sz w:val="20"/>
          <w:szCs w:val="20"/>
        </w:rPr>
      </w:pPr>
    </w:p>
    <w:p w14:paraId="4CEBE2A8" w14:textId="3F3A36BD" w:rsidR="00B538BA" w:rsidRPr="00B538BA" w:rsidRDefault="00B538BA" w:rsidP="00B538BA">
      <w:pPr>
        <w:spacing w:line="360" w:lineRule="auto"/>
        <w:jc w:val="both"/>
        <w:rPr>
          <w:sz w:val="20"/>
          <w:szCs w:val="20"/>
        </w:rPr>
      </w:pPr>
      <w:r w:rsidRPr="00B538BA">
        <w:rPr>
          <w:sz w:val="20"/>
          <w:szCs w:val="20"/>
        </w:rPr>
        <w:t>Previous studies have emphasized the tendency of PHE to present as multifocal disease involving multiple lesions within the same anatomical region</w:t>
      </w:r>
      <w:r w:rsidR="00651068">
        <w:rPr>
          <w:sz w:val="20"/>
          <w:szCs w:val="20"/>
        </w:rPr>
        <w:t xml:space="preserve"> [</w:t>
      </w:r>
      <w:r w:rsidRPr="00651068">
        <w:rPr>
          <w:sz w:val="20"/>
          <w:szCs w:val="20"/>
        </w:rPr>
        <w:t>2,7,16</w:t>
      </w:r>
      <w:r w:rsidR="00651068">
        <w:rPr>
          <w:sz w:val="20"/>
          <w:szCs w:val="20"/>
        </w:rPr>
        <w:t>].</w:t>
      </w:r>
      <w:r w:rsidRPr="00B538BA">
        <w:rPr>
          <w:sz w:val="20"/>
          <w:szCs w:val="20"/>
        </w:rPr>
        <w:t xml:space="preserve"> In our patient, more than a dozen lesions involved contiguous bones extending from the distal tibia through the ankle and foot, creating an appearance that initially suggested a disseminated skeletal process despite the absence of disease elsewhere.</w:t>
      </w:r>
      <w:r w:rsidR="00651068">
        <w:rPr>
          <w:sz w:val="20"/>
          <w:szCs w:val="20"/>
        </w:rPr>
        <w:t xml:space="preserve"> </w:t>
      </w:r>
      <w:r w:rsidRPr="00B538BA">
        <w:rPr>
          <w:sz w:val="20"/>
          <w:szCs w:val="20"/>
        </w:rPr>
        <w:t>Radiographs demonstrated multiple lytic lesions with relatively nonaggressive features, consistent with previous descriptions of osseous PHE</w:t>
      </w:r>
      <w:r w:rsidR="00651068">
        <w:rPr>
          <w:sz w:val="20"/>
          <w:szCs w:val="20"/>
        </w:rPr>
        <w:t xml:space="preserve"> [7].</w:t>
      </w:r>
      <w:r w:rsidRPr="00B538BA">
        <w:rPr>
          <w:sz w:val="20"/>
          <w:szCs w:val="20"/>
        </w:rPr>
        <w:t xml:space="preserve"> MRI proved particularly valuable because it demonstrated substantially greater disease burden than radiography alone and identified a small focus of extraosseous </w:t>
      </w:r>
      <w:r w:rsidRPr="00B538BA">
        <w:rPr>
          <w:sz w:val="20"/>
          <w:szCs w:val="20"/>
        </w:rPr>
        <w:lastRenderedPageBreak/>
        <w:t>extension. Similar observations have been reported in prior imaging studies of PHE involving bone</w:t>
      </w:r>
      <w:r w:rsidR="00C00000">
        <w:rPr>
          <w:sz w:val="20"/>
          <w:szCs w:val="20"/>
        </w:rPr>
        <w:t xml:space="preserve"> [</w:t>
      </w:r>
      <w:r w:rsidRPr="00C00000">
        <w:rPr>
          <w:sz w:val="20"/>
          <w:szCs w:val="20"/>
        </w:rPr>
        <w:t>16,17</w:t>
      </w:r>
      <w:r w:rsidR="00C00000">
        <w:rPr>
          <w:sz w:val="20"/>
          <w:szCs w:val="20"/>
        </w:rPr>
        <w:t xml:space="preserve">]. </w:t>
      </w:r>
      <w:r w:rsidRPr="00B538BA">
        <w:rPr>
          <w:sz w:val="20"/>
          <w:szCs w:val="20"/>
        </w:rPr>
        <w:t>Whole-body bone scintigraphy and FDG PET-CT provided complementary staging information. Both modalities demonstrated disease limited to the distal left lower extremity despite extensive multifocal involvement. The absence of additional lesions elsewhere supports the concept of regional multifocal dissemination rather than conventional hematogenous metastatic spread. This was similarly described by Liu in a 20-year-old man whom FDG PET-CT showed numerous multilayer, multifocal lesions in a single distal lower extremity, which may be a distinctive imaging finding of PHE with bony involvement</w:t>
      </w:r>
      <w:r w:rsidR="00C00000">
        <w:rPr>
          <w:sz w:val="20"/>
          <w:szCs w:val="20"/>
        </w:rPr>
        <w:t xml:space="preserve"> [</w:t>
      </w:r>
      <w:r w:rsidRPr="00C00000">
        <w:rPr>
          <w:sz w:val="20"/>
          <w:szCs w:val="20"/>
        </w:rPr>
        <w:t>18</w:t>
      </w:r>
      <w:r w:rsidR="00C00000">
        <w:rPr>
          <w:sz w:val="20"/>
          <w:szCs w:val="20"/>
        </w:rPr>
        <w:t>].</w:t>
      </w:r>
      <w:r w:rsidRPr="00B538BA">
        <w:rPr>
          <w:sz w:val="20"/>
          <w:szCs w:val="20"/>
        </w:rPr>
        <w:t xml:space="preserve"> Histopathologic confirmation remains essential because imaging findings are not pathognomonic. The differential diagnosis includes multifocal osteomyelitis, Langerhans cell histiocytosis, epithelioid hemangioma, epithelioid hemangioendothelioma, epithelioid sarcoma, leiomyosarcoma, non-ossifying fibroma, osteoblastoma, giant cell tumor and metastatic </w:t>
      </w:r>
      <w:r w:rsidRPr="00C00000">
        <w:rPr>
          <w:sz w:val="20"/>
          <w:szCs w:val="20"/>
        </w:rPr>
        <w:t>disease</w:t>
      </w:r>
      <w:r w:rsidR="00C00000">
        <w:rPr>
          <w:sz w:val="20"/>
          <w:szCs w:val="20"/>
        </w:rPr>
        <w:t xml:space="preserve"> [</w:t>
      </w:r>
      <w:r w:rsidRPr="00C00000">
        <w:rPr>
          <w:sz w:val="20"/>
          <w:szCs w:val="20"/>
        </w:rPr>
        <w:t>5,7,8,19,20</w:t>
      </w:r>
      <w:r w:rsidR="00C00000">
        <w:rPr>
          <w:sz w:val="20"/>
          <w:szCs w:val="20"/>
        </w:rPr>
        <w:t>].</w:t>
      </w:r>
      <w:r w:rsidRPr="00B538BA">
        <w:rPr>
          <w:sz w:val="20"/>
          <w:szCs w:val="20"/>
          <w:vertAlign w:val="superscript"/>
        </w:rPr>
        <w:t xml:space="preserve"> </w:t>
      </w:r>
      <w:r w:rsidRPr="00B538BA">
        <w:rPr>
          <w:sz w:val="20"/>
          <w:szCs w:val="20"/>
        </w:rPr>
        <w:t>Demonstration of endothelial differentiation together with strong nuclear FOSB expression is highly supportive of PHE and reflects the recurrent molecular alterations characteristic of this entity</w:t>
      </w:r>
      <w:r w:rsidR="00C00000">
        <w:rPr>
          <w:sz w:val="20"/>
          <w:szCs w:val="20"/>
        </w:rPr>
        <w:t xml:space="preserve"> [</w:t>
      </w:r>
      <w:r w:rsidRPr="00C00000">
        <w:rPr>
          <w:sz w:val="20"/>
          <w:szCs w:val="20"/>
        </w:rPr>
        <w:t>4,15</w:t>
      </w:r>
      <w:r w:rsidR="00C00000">
        <w:rPr>
          <w:sz w:val="20"/>
          <w:szCs w:val="20"/>
        </w:rPr>
        <w:t>].</w:t>
      </w:r>
      <w:r w:rsidRPr="00B538BA">
        <w:rPr>
          <w:sz w:val="20"/>
          <w:szCs w:val="20"/>
        </w:rPr>
        <w:t xml:space="preserve"> Additional immunohistochemical markers that support the diagnosis of PHE include CD31, ERG, FLI1 positivity and CD34 negativity</w:t>
      </w:r>
      <w:r w:rsidR="00C00000">
        <w:rPr>
          <w:sz w:val="20"/>
          <w:szCs w:val="20"/>
        </w:rPr>
        <w:t xml:space="preserve"> [8,10,20]. </w:t>
      </w:r>
      <w:r w:rsidRPr="00B538BA">
        <w:rPr>
          <w:sz w:val="20"/>
          <w:szCs w:val="20"/>
        </w:rPr>
        <w:t>This case expands the spectrum of reported imaging presentations of PHE and highlights a distinctive pattern of extensive regional multifocal osseous disease involving contiguous bones of the distal lower extremity while remaining confined to a single anatomical territory on whole-body imaging.</w:t>
      </w:r>
    </w:p>
    <w:p w14:paraId="10631D5A" w14:textId="77777777" w:rsidR="00B538BA" w:rsidRPr="00B538BA" w:rsidRDefault="00B538BA" w:rsidP="00B538BA">
      <w:pPr>
        <w:spacing w:line="360" w:lineRule="auto"/>
        <w:jc w:val="both"/>
        <w:rPr>
          <w:sz w:val="20"/>
          <w:szCs w:val="20"/>
        </w:rPr>
      </w:pPr>
    </w:p>
    <w:p w14:paraId="0A955E6E" w14:textId="6E1710A5" w:rsidR="00B538BA" w:rsidRPr="00C00000" w:rsidRDefault="00C00000" w:rsidP="00B538BA">
      <w:pPr>
        <w:spacing w:line="360" w:lineRule="auto"/>
        <w:jc w:val="both"/>
        <w:rPr>
          <w:b/>
          <w:bCs/>
          <w:color w:val="0070C0"/>
        </w:rPr>
      </w:pPr>
      <w:r w:rsidRPr="00C00000">
        <w:rPr>
          <w:b/>
          <w:bCs/>
          <w:color w:val="0070C0"/>
        </w:rPr>
        <w:t xml:space="preserve">5. </w:t>
      </w:r>
      <w:r w:rsidR="00B538BA" w:rsidRPr="00C00000">
        <w:rPr>
          <w:b/>
          <w:bCs/>
          <w:color w:val="0070C0"/>
        </w:rPr>
        <w:t>Conclusion</w:t>
      </w:r>
    </w:p>
    <w:p w14:paraId="1F54536A" w14:textId="77777777" w:rsidR="00B538BA" w:rsidRPr="00B538BA" w:rsidRDefault="00B538BA" w:rsidP="00B538BA">
      <w:pPr>
        <w:spacing w:line="360" w:lineRule="auto"/>
        <w:jc w:val="both"/>
        <w:rPr>
          <w:sz w:val="20"/>
          <w:szCs w:val="20"/>
        </w:rPr>
      </w:pPr>
      <w:proofErr w:type="spellStart"/>
      <w:r w:rsidRPr="00B538BA">
        <w:rPr>
          <w:sz w:val="20"/>
          <w:szCs w:val="20"/>
        </w:rPr>
        <w:t>Pseudomyogenic</w:t>
      </w:r>
      <w:proofErr w:type="spellEnd"/>
      <w:r w:rsidRPr="00B538BA">
        <w:rPr>
          <w:sz w:val="20"/>
          <w:szCs w:val="20"/>
        </w:rPr>
        <w:t xml:space="preserve"> hemangioendothelioma should be considered in the differential diagnosis of multifocal lytic lesions involving the distal lower extremity in adolescents and young adults. The combination of lesions affecting contiguous bones of the distal tibia, ankle, and foot, together with confinement to a single extremity on whole-body bone scintigraphy and FDG PET-CT, may represent a distinctive imaging phenotype of regional multifocal dissemination. MRI, bone scintigraphy, FDG PET-CT, and histopathologic correlation play complementary roles in establishing the diagnosis.</w:t>
      </w:r>
    </w:p>
    <w:p w14:paraId="0110DEDB" w14:textId="77777777" w:rsidR="00B538BA" w:rsidRPr="00B538BA" w:rsidRDefault="00B538BA" w:rsidP="00B538BA">
      <w:pPr>
        <w:spacing w:line="360" w:lineRule="auto"/>
        <w:jc w:val="both"/>
        <w:rPr>
          <w:sz w:val="20"/>
          <w:szCs w:val="20"/>
        </w:rPr>
      </w:pPr>
    </w:p>
    <w:p w14:paraId="7F4226C3" w14:textId="77777777" w:rsidR="00B538BA" w:rsidRPr="00C00000" w:rsidRDefault="00B538BA" w:rsidP="00B538BA">
      <w:pPr>
        <w:spacing w:line="360" w:lineRule="auto"/>
        <w:jc w:val="both"/>
        <w:rPr>
          <w:b/>
          <w:bCs/>
          <w:color w:val="0070C0"/>
          <w:sz w:val="20"/>
          <w:szCs w:val="20"/>
        </w:rPr>
      </w:pPr>
      <w:r w:rsidRPr="00C00000">
        <w:rPr>
          <w:b/>
          <w:bCs/>
          <w:color w:val="0070C0"/>
          <w:sz w:val="20"/>
          <w:szCs w:val="20"/>
        </w:rPr>
        <w:t>Learning Points</w:t>
      </w:r>
    </w:p>
    <w:p w14:paraId="27D5F151" w14:textId="2A4BDFF4" w:rsidR="00B538BA" w:rsidRPr="00C00000" w:rsidRDefault="00B538BA" w:rsidP="00C00000">
      <w:pPr>
        <w:pStyle w:val="ListParagraph"/>
        <w:numPr>
          <w:ilvl w:val="0"/>
          <w:numId w:val="40"/>
        </w:numPr>
        <w:spacing w:line="360" w:lineRule="auto"/>
        <w:rPr>
          <w:sz w:val="20"/>
          <w:szCs w:val="20"/>
        </w:rPr>
      </w:pPr>
      <w:proofErr w:type="spellStart"/>
      <w:r w:rsidRPr="00C00000">
        <w:rPr>
          <w:sz w:val="20"/>
          <w:szCs w:val="20"/>
        </w:rPr>
        <w:t>Pseudomyogenic</w:t>
      </w:r>
      <w:proofErr w:type="spellEnd"/>
      <w:r w:rsidRPr="00C00000">
        <w:rPr>
          <w:sz w:val="20"/>
          <w:szCs w:val="20"/>
        </w:rPr>
        <w:t xml:space="preserve"> hemangioendothelioma may present as extensive multifocal osseous disease involving contiguous bones of a single extremity.</w:t>
      </w:r>
    </w:p>
    <w:p w14:paraId="559773C9" w14:textId="4727D5F8" w:rsidR="00B538BA" w:rsidRPr="00C00000" w:rsidRDefault="00B538BA" w:rsidP="00C00000">
      <w:pPr>
        <w:pStyle w:val="ListParagraph"/>
        <w:numPr>
          <w:ilvl w:val="0"/>
          <w:numId w:val="40"/>
        </w:numPr>
        <w:spacing w:line="360" w:lineRule="auto"/>
        <w:rPr>
          <w:sz w:val="20"/>
          <w:szCs w:val="20"/>
        </w:rPr>
      </w:pPr>
      <w:r w:rsidRPr="00C00000">
        <w:rPr>
          <w:sz w:val="20"/>
          <w:szCs w:val="20"/>
        </w:rPr>
        <w:t>MRI frequently demonstrates substantially greater disease burden than conventional radiography.</w:t>
      </w:r>
    </w:p>
    <w:p w14:paraId="2E41CB2D" w14:textId="1042B8CD" w:rsidR="00B538BA" w:rsidRPr="00C00000" w:rsidRDefault="00B538BA" w:rsidP="00C00000">
      <w:pPr>
        <w:pStyle w:val="ListParagraph"/>
        <w:numPr>
          <w:ilvl w:val="0"/>
          <w:numId w:val="40"/>
        </w:numPr>
        <w:spacing w:line="360" w:lineRule="auto"/>
        <w:rPr>
          <w:sz w:val="20"/>
          <w:szCs w:val="20"/>
        </w:rPr>
      </w:pPr>
      <w:r w:rsidRPr="00C00000">
        <w:rPr>
          <w:sz w:val="20"/>
          <w:szCs w:val="20"/>
        </w:rPr>
        <w:t>Whole-body bone scintigraphy and FDG PET-CT can demonstrate regional confinement despite extensive multifocal involvement.</w:t>
      </w:r>
    </w:p>
    <w:p w14:paraId="2D1C3911" w14:textId="1A2C76D4" w:rsidR="00B538BA" w:rsidRPr="00C00000" w:rsidRDefault="00B538BA" w:rsidP="00C00000">
      <w:pPr>
        <w:pStyle w:val="ListParagraph"/>
        <w:numPr>
          <w:ilvl w:val="0"/>
          <w:numId w:val="40"/>
        </w:numPr>
        <w:spacing w:line="360" w:lineRule="auto"/>
        <w:rPr>
          <w:sz w:val="20"/>
          <w:szCs w:val="20"/>
        </w:rPr>
      </w:pPr>
      <w:r w:rsidRPr="00C00000">
        <w:rPr>
          <w:sz w:val="20"/>
          <w:szCs w:val="20"/>
        </w:rPr>
        <w:t>Recognition of a clustered locoregional distribution pattern may facilitate differentiation from metastatic disease and guide appropriate biopsy planning.</w:t>
      </w:r>
    </w:p>
    <w:p w14:paraId="53425B19" w14:textId="77777777" w:rsidR="007F25BD" w:rsidRPr="00B538BA" w:rsidRDefault="007F25BD" w:rsidP="00B538BA">
      <w:pPr>
        <w:spacing w:line="360" w:lineRule="auto"/>
        <w:jc w:val="both"/>
        <w:rPr>
          <w:b/>
          <w:bCs/>
          <w:color w:val="0070C0"/>
          <w:sz w:val="20"/>
          <w:szCs w:val="20"/>
        </w:rPr>
      </w:pPr>
    </w:p>
    <w:p w14:paraId="0752523F" w14:textId="10579894" w:rsidR="00EC40B4" w:rsidRPr="00EC40B4" w:rsidRDefault="00EC40B4" w:rsidP="00EC40B4">
      <w:pPr>
        <w:spacing w:line="360" w:lineRule="auto"/>
        <w:jc w:val="both"/>
        <w:rPr>
          <w:b/>
          <w:bCs/>
          <w:color w:val="0070C0"/>
        </w:rPr>
      </w:pPr>
      <w:r w:rsidRPr="00EC40B4">
        <w:rPr>
          <w:b/>
          <w:bCs/>
          <w:color w:val="0070C0"/>
        </w:rPr>
        <w:t>References</w:t>
      </w:r>
    </w:p>
    <w:p w14:paraId="6F639306" w14:textId="15AFC77E" w:rsidR="007505AD" w:rsidRPr="007505AD" w:rsidRDefault="007505AD" w:rsidP="007505AD">
      <w:pPr>
        <w:pStyle w:val="ListParagraph"/>
        <w:numPr>
          <w:ilvl w:val="0"/>
          <w:numId w:val="42"/>
        </w:numPr>
        <w:spacing w:line="360" w:lineRule="auto"/>
        <w:ind w:left="714" w:hanging="357"/>
        <w:rPr>
          <w:sz w:val="20"/>
          <w:szCs w:val="20"/>
        </w:rPr>
      </w:pPr>
      <w:r w:rsidRPr="007505AD">
        <w:rPr>
          <w:sz w:val="20"/>
          <w:szCs w:val="20"/>
        </w:rPr>
        <w:t xml:space="preserve">WHO Classification of </w:t>
      </w:r>
      <w:proofErr w:type="spellStart"/>
      <w:r w:rsidRPr="007505AD">
        <w:rPr>
          <w:sz w:val="20"/>
          <w:szCs w:val="20"/>
        </w:rPr>
        <w:t>Tumours</w:t>
      </w:r>
      <w:proofErr w:type="spellEnd"/>
      <w:r w:rsidRPr="007505AD">
        <w:rPr>
          <w:sz w:val="20"/>
          <w:szCs w:val="20"/>
        </w:rPr>
        <w:t xml:space="preserve"> Editorial Board. Soft Tissue and Bone </w:t>
      </w:r>
      <w:proofErr w:type="spellStart"/>
      <w:r w:rsidRPr="007505AD">
        <w:rPr>
          <w:sz w:val="20"/>
          <w:szCs w:val="20"/>
        </w:rPr>
        <w:t>Tumours</w:t>
      </w:r>
      <w:proofErr w:type="spellEnd"/>
      <w:r w:rsidRPr="007505AD">
        <w:rPr>
          <w:sz w:val="20"/>
          <w:szCs w:val="20"/>
        </w:rPr>
        <w:t>. Lyon: International Agency for Research on Cancer</w:t>
      </w:r>
      <w:r w:rsidR="001022CB">
        <w:rPr>
          <w:sz w:val="20"/>
          <w:szCs w:val="20"/>
        </w:rPr>
        <w:t xml:space="preserve"> (</w:t>
      </w:r>
      <w:r w:rsidR="001022CB" w:rsidRPr="007505AD">
        <w:rPr>
          <w:sz w:val="20"/>
          <w:szCs w:val="20"/>
        </w:rPr>
        <w:t>5</w:t>
      </w:r>
      <w:r w:rsidR="001022CB" w:rsidRPr="001022CB">
        <w:rPr>
          <w:sz w:val="20"/>
          <w:szCs w:val="20"/>
          <w:vertAlign w:val="superscript"/>
        </w:rPr>
        <w:t xml:space="preserve">th </w:t>
      </w:r>
      <w:proofErr w:type="spellStart"/>
      <w:r w:rsidR="001022CB" w:rsidRPr="007505AD">
        <w:rPr>
          <w:sz w:val="20"/>
          <w:szCs w:val="20"/>
        </w:rPr>
        <w:t>ed</w:t>
      </w:r>
      <w:r w:rsidR="001022CB">
        <w:rPr>
          <w:sz w:val="20"/>
          <w:szCs w:val="20"/>
        </w:rPr>
        <w:t>tn</w:t>
      </w:r>
      <w:proofErr w:type="spellEnd"/>
      <w:r w:rsidR="001022CB">
        <w:rPr>
          <w:sz w:val="20"/>
          <w:szCs w:val="20"/>
        </w:rPr>
        <w:t>),</w:t>
      </w:r>
      <w:r w:rsidRPr="007505AD">
        <w:rPr>
          <w:sz w:val="20"/>
          <w:szCs w:val="20"/>
        </w:rPr>
        <w:t xml:space="preserve"> </w:t>
      </w:r>
      <w:r w:rsidR="001022CB">
        <w:rPr>
          <w:sz w:val="20"/>
          <w:szCs w:val="20"/>
        </w:rPr>
        <w:t>(</w:t>
      </w:r>
      <w:r w:rsidRPr="007505AD">
        <w:rPr>
          <w:sz w:val="20"/>
          <w:szCs w:val="20"/>
        </w:rPr>
        <w:t>2020</w:t>
      </w:r>
      <w:r w:rsidR="001022CB">
        <w:rPr>
          <w:sz w:val="20"/>
          <w:szCs w:val="20"/>
        </w:rPr>
        <w:t>)</w:t>
      </w:r>
      <w:r w:rsidRPr="007505AD">
        <w:rPr>
          <w:sz w:val="20"/>
          <w:szCs w:val="20"/>
        </w:rPr>
        <w:t>.</w:t>
      </w:r>
    </w:p>
    <w:p w14:paraId="5A0C4CC8" w14:textId="16D515A5" w:rsidR="007505AD" w:rsidRPr="007505AD" w:rsidRDefault="007505AD" w:rsidP="007505AD">
      <w:pPr>
        <w:pStyle w:val="ListParagraph"/>
        <w:numPr>
          <w:ilvl w:val="0"/>
          <w:numId w:val="42"/>
        </w:numPr>
        <w:spacing w:line="360" w:lineRule="auto"/>
        <w:ind w:left="714" w:hanging="357"/>
        <w:rPr>
          <w:sz w:val="20"/>
          <w:szCs w:val="20"/>
        </w:rPr>
      </w:pPr>
      <w:r w:rsidRPr="007505AD">
        <w:rPr>
          <w:sz w:val="20"/>
          <w:szCs w:val="20"/>
        </w:rPr>
        <w:t xml:space="preserve">Hornick JL, Fletcher CDM. </w:t>
      </w:r>
      <w:proofErr w:type="spellStart"/>
      <w:r w:rsidRPr="007505AD">
        <w:rPr>
          <w:sz w:val="20"/>
          <w:szCs w:val="20"/>
        </w:rPr>
        <w:t>Pseudomyogenic</w:t>
      </w:r>
      <w:proofErr w:type="spellEnd"/>
      <w:r w:rsidRPr="007505AD">
        <w:rPr>
          <w:sz w:val="20"/>
          <w:szCs w:val="20"/>
        </w:rPr>
        <w:t xml:space="preserve"> hemangioendothelioma: a distinctive, often multicentric tumor with indolent behavior. Am J Surg </w:t>
      </w:r>
      <w:proofErr w:type="spellStart"/>
      <w:r w:rsidRPr="007505AD">
        <w:rPr>
          <w:sz w:val="20"/>
          <w:szCs w:val="20"/>
        </w:rPr>
        <w:t>Pathol</w:t>
      </w:r>
      <w:proofErr w:type="spellEnd"/>
      <w:r w:rsidR="001022CB">
        <w:rPr>
          <w:sz w:val="20"/>
          <w:szCs w:val="20"/>
        </w:rPr>
        <w:t xml:space="preserve"> </w:t>
      </w:r>
      <w:r w:rsidRPr="007505AD">
        <w:rPr>
          <w:sz w:val="20"/>
          <w:szCs w:val="20"/>
        </w:rPr>
        <w:t>35</w:t>
      </w:r>
      <w:r w:rsidR="001022CB">
        <w:rPr>
          <w:sz w:val="20"/>
          <w:szCs w:val="20"/>
        </w:rPr>
        <w:t xml:space="preserve"> </w:t>
      </w:r>
      <w:r w:rsidRPr="007505AD">
        <w:rPr>
          <w:sz w:val="20"/>
          <w:szCs w:val="20"/>
        </w:rPr>
        <w:t>(2</w:t>
      </w:r>
      <w:r w:rsidR="001022CB">
        <w:rPr>
          <w:sz w:val="20"/>
          <w:szCs w:val="20"/>
        </w:rPr>
        <w:t>011</w:t>
      </w:r>
      <w:r w:rsidRPr="007505AD">
        <w:rPr>
          <w:sz w:val="20"/>
          <w:szCs w:val="20"/>
        </w:rPr>
        <w:t>):</w:t>
      </w:r>
      <w:r w:rsidR="001022CB">
        <w:rPr>
          <w:sz w:val="20"/>
          <w:szCs w:val="20"/>
        </w:rPr>
        <w:t xml:space="preserve"> </w:t>
      </w:r>
      <w:r w:rsidRPr="007505AD">
        <w:rPr>
          <w:sz w:val="20"/>
          <w:szCs w:val="20"/>
        </w:rPr>
        <w:t>190-201.</w:t>
      </w:r>
    </w:p>
    <w:p w14:paraId="24EA7B63" w14:textId="706E279F" w:rsidR="007505AD" w:rsidRPr="007505AD" w:rsidRDefault="007505AD" w:rsidP="007505AD">
      <w:pPr>
        <w:pStyle w:val="ListParagraph"/>
        <w:numPr>
          <w:ilvl w:val="0"/>
          <w:numId w:val="42"/>
        </w:numPr>
        <w:spacing w:line="360" w:lineRule="auto"/>
        <w:ind w:left="714" w:hanging="357"/>
        <w:rPr>
          <w:sz w:val="20"/>
          <w:szCs w:val="20"/>
        </w:rPr>
      </w:pPr>
      <w:r w:rsidRPr="007505AD">
        <w:rPr>
          <w:sz w:val="20"/>
          <w:szCs w:val="20"/>
        </w:rPr>
        <w:lastRenderedPageBreak/>
        <w:t xml:space="preserve">Billings SD, </w:t>
      </w:r>
      <w:proofErr w:type="spellStart"/>
      <w:r w:rsidRPr="007505AD">
        <w:rPr>
          <w:sz w:val="20"/>
          <w:szCs w:val="20"/>
        </w:rPr>
        <w:t>Folpe</w:t>
      </w:r>
      <w:proofErr w:type="spellEnd"/>
      <w:r w:rsidRPr="007505AD">
        <w:rPr>
          <w:sz w:val="20"/>
          <w:szCs w:val="20"/>
        </w:rPr>
        <w:t xml:space="preserve"> AL, Weiss SW. Epithelioid sarcoma-like hemangioendothelioma. Am J Surg </w:t>
      </w:r>
      <w:proofErr w:type="spellStart"/>
      <w:r w:rsidRPr="007505AD">
        <w:rPr>
          <w:sz w:val="20"/>
          <w:szCs w:val="20"/>
        </w:rPr>
        <w:t>Pathol</w:t>
      </w:r>
      <w:proofErr w:type="spellEnd"/>
      <w:r w:rsidR="004903C1">
        <w:rPr>
          <w:sz w:val="20"/>
          <w:szCs w:val="20"/>
        </w:rPr>
        <w:t xml:space="preserve"> </w:t>
      </w:r>
      <w:r w:rsidRPr="007505AD">
        <w:rPr>
          <w:sz w:val="20"/>
          <w:szCs w:val="20"/>
        </w:rPr>
        <w:t>27</w:t>
      </w:r>
      <w:r w:rsidR="004903C1">
        <w:rPr>
          <w:sz w:val="20"/>
          <w:szCs w:val="20"/>
        </w:rPr>
        <w:t xml:space="preserve"> </w:t>
      </w:r>
      <w:r w:rsidRPr="007505AD">
        <w:rPr>
          <w:sz w:val="20"/>
          <w:szCs w:val="20"/>
        </w:rPr>
        <w:t>(</w:t>
      </w:r>
      <w:r w:rsidR="004903C1">
        <w:rPr>
          <w:sz w:val="20"/>
          <w:szCs w:val="20"/>
        </w:rPr>
        <w:t>2003</w:t>
      </w:r>
      <w:r w:rsidRPr="007505AD">
        <w:rPr>
          <w:sz w:val="20"/>
          <w:szCs w:val="20"/>
        </w:rPr>
        <w:t>):</w:t>
      </w:r>
      <w:r w:rsidR="004903C1">
        <w:rPr>
          <w:sz w:val="20"/>
          <w:szCs w:val="20"/>
        </w:rPr>
        <w:t xml:space="preserve"> </w:t>
      </w:r>
      <w:r w:rsidRPr="007505AD">
        <w:rPr>
          <w:sz w:val="20"/>
          <w:szCs w:val="20"/>
        </w:rPr>
        <w:t>48-57.</w:t>
      </w:r>
    </w:p>
    <w:p w14:paraId="528C3990" w14:textId="3725A52C" w:rsidR="007505AD" w:rsidRPr="007505AD" w:rsidRDefault="007505AD" w:rsidP="007505AD">
      <w:pPr>
        <w:pStyle w:val="ListParagraph"/>
        <w:numPr>
          <w:ilvl w:val="0"/>
          <w:numId w:val="42"/>
        </w:numPr>
        <w:spacing w:line="360" w:lineRule="auto"/>
        <w:ind w:left="714" w:hanging="357"/>
        <w:rPr>
          <w:sz w:val="20"/>
          <w:szCs w:val="20"/>
        </w:rPr>
      </w:pPr>
      <w:r w:rsidRPr="007505AD">
        <w:rPr>
          <w:sz w:val="20"/>
          <w:szCs w:val="20"/>
        </w:rPr>
        <w:t xml:space="preserve">Walther C, Tayebwa J, </w:t>
      </w:r>
      <w:proofErr w:type="spellStart"/>
      <w:r w:rsidRPr="007505AD">
        <w:rPr>
          <w:sz w:val="20"/>
          <w:szCs w:val="20"/>
        </w:rPr>
        <w:t>Lilljebjörn</w:t>
      </w:r>
      <w:proofErr w:type="spellEnd"/>
      <w:r w:rsidRPr="007505AD">
        <w:rPr>
          <w:sz w:val="20"/>
          <w:szCs w:val="20"/>
        </w:rPr>
        <w:t xml:space="preserve"> H, </w:t>
      </w:r>
      <w:r w:rsidR="004903C1">
        <w:rPr>
          <w:sz w:val="20"/>
          <w:szCs w:val="20"/>
        </w:rPr>
        <w:t>et al</w:t>
      </w:r>
      <w:r w:rsidRPr="007505AD">
        <w:rPr>
          <w:sz w:val="20"/>
          <w:szCs w:val="20"/>
        </w:rPr>
        <w:t xml:space="preserve">. A novel SERPINE1-FOSB fusion gene results in transcriptional upregulation of FOSB in </w:t>
      </w:r>
      <w:proofErr w:type="spellStart"/>
      <w:r w:rsidRPr="007505AD">
        <w:rPr>
          <w:sz w:val="20"/>
          <w:szCs w:val="20"/>
        </w:rPr>
        <w:t>pseudomyogenic</w:t>
      </w:r>
      <w:proofErr w:type="spellEnd"/>
      <w:r w:rsidRPr="007505AD">
        <w:rPr>
          <w:sz w:val="20"/>
          <w:szCs w:val="20"/>
        </w:rPr>
        <w:t xml:space="preserve"> </w:t>
      </w:r>
      <w:proofErr w:type="spellStart"/>
      <w:r w:rsidRPr="007505AD">
        <w:rPr>
          <w:sz w:val="20"/>
          <w:szCs w:val="20"/>
        </w:rPr>
        <w:t>haemangioendothelioma</w:t>
      </w:r>
      <w:proofErr w:type="spellEnd"/>
      <w:r w:rsidRPr="007505AD">
        <w:rPr>
          <w:sz w:val="20"/>
          <w:szCs w:val="20"/>
        </w:rPr>
        <w:t xml:space="preserve">. J </w:t>
      </w:r>
      <w:proofErr w:type="spellStart"/>
      <w:r w:rsidRPr="007505AD">
        <w:rPr>
          <w:sz w:val="20"/>
          <w:szCs w:val="20"/>
        </w:rPr>
        <w:t>Pathol</w:t>
      </w:r>
      <w:proofErr w:type="spellEnd"/>
      <w:r w:rsidR="004903C1">
        <w:rPr>
          <w:sz w:val="20"/>
          <w:szCs w:val="20"/>
        </w:rPr>
        <w:t xml:space="preserve"> </w:t>
      </w:r>
      <w:r w:rsidRPr="007505AD">
        <w:rPr>
          <w:sz w:val="20"/>
          <w:szCs w:val="20"/>
        </w:rPr>
        <w:t>232</w:t>
      </w:r>
      <w:r w:rsidR="004903C1">
        <w:rPr>
          <w:sz w:val="20"/>
          <w:szCs w:val="20"/>
        </w:rPr>
        <w:t xml:space="preserve"> </w:t>
      </w:r>
      <w:r w:rsidRPr="007505AD">
        <w:rPr>
          <w:sz w:val="20"/>
          <w:szCs w:val="20"/>
        </w:rPr>
        <w:t>(</w:t>
      </w:r>
      <w:r w:rsidR="004903C1">
        <w:rPr>
          <w:sz w:val="20"/>
          <w:szCs w:val="20"/>
        </w:rPr>
        <w:t>2014</w:t>
      </w:r>
      <w:r w:rsidRPr="007505AD">
        <w:rPr>
          <w:sz w:val="20"/>
          <w:szCs w:val="20"/>
        </w:rPr>
        <w:t>):</w:t>
      </w:r>
      <w:r w:rsidR="004903C1">
        <w:rPr>
          <w:sz w:val="20"/>
          <w:szCs w:val="20"/>
        </w:rPr>
        <w:t xml:space="preserve"> </w:t>
      </w:r>
      <w:r w:rsidRPr="007505AD">
        <w:rPr>
          <w:sz w:val="20"/>
          <w:szCs w:val="20"/>
        </w:rPr>
        <w:t>534-540.</w:t>
      </w:r>
    </w:p>
    <w:p w14:paraId="688936C8" w14:textId="555A923C" w:rsidR="007505AD" w:rsidRPr="007505AD" w:rsidRDefault="007505AD" w:rsidP="007505AD">
      <w:pPr>
        <w:pStyle w:val="ListParagraph"/>
        <w:numPr>
          <w:ilvl w:val="0"/>
          <w:numId w:val="42"/>
        </w:numPr>
        <w:spacing w:line="360" w:lineRule="auto"/>
        <w:ind w:left="714" w:hanging="357"/>
        <w:rPr>
          <w:sz w:val="20"/>
          <w:szCs w:val="20"/>
        </w:rPr>
      </w:pPr>
      <w:r w:rsidRPr="007505AD">
        <w:rPr>
          <w:sz w:val="20"/>
          <w:szCs w:val="20"/>
        </w:rPr>
        <w:t xml:space="preserve">Sun Y, Zhao M, Lao IW, </w:t>
      </w:r>
      <w:r w:rsidR="00D96A17">
        <w:rPr>
          <w:sz w:val="20"/>
          <w:szCs w:val="20"/>
        </w:rPr>
        <w:t>et al</w:t>
      </w:r>
      <w:r w:rsidRPr="007505AD">
        <w:rPr>
          <w:sz w:val="20"/>
          <w:szCs w:val="20"/>
        </w:rPr>
        <w:t xml:space="preserve">. The clinicopathological spectrum of </w:t>
      </w:r>
      <w:proofErr w:type="spellStart"/>
      <w:r w:rsidRPr="007505AD">
        <w:rPr>
          <w:sz w:val="20"/>
          <w:szCs w:val="20"/>
        </w:rPr>
        <w:t>pseudomyogenic</w:t>
      </w:r>
      <w:proofErr w:type="spellEnd"/>
      <w:r w:rsidRPr="007505AD">
        <w:rPr>
          <w:sz w:val="20"/>
          <w:szCs w:val="20"/>
        </w:rPr>
        <w:t xml:space="preserve"> hemangioendothelioma: report of an additional series with review of the literature. </w:t>
      </w:r>
      <w:proofErr w:type="spellStart"/>
      <w:r w:rsidRPr="007505AD">
        <w:rPr>
          <w:sz w:val="20"/>
          <w:szCs w:val="20"/>
        </w:rPr>
        <w:t>Virchows</w:t>
      </w:r>
      <w:proofErr w:type="spellEnd"/>
      <w:r w:rsidRPr="007505AD">
        <w:rPr>
          <w:sz w:val="20"/>
          <w:szCs w:val="20"/>
        </w:rPr>
        <w:t xml:space="preserve"> Arch</w:t>
      </w:r>
      <w:r w:rsidR="00D96A17">
        <w:rPr>
          <w:sz w:val="20"/>
          <w:szCs w:val="20"/>
        </w:rPr>
        <w:t xml:space="preserve"> </w:t>
      </w:r>
      <w:r w:rsidRPr="007505AD">
        <w:rPr>
          <w:sz w:val="20"/>
          <w:szCs w:val="20"/>
        </w:rPr>
        <w:t>477</w:t>
      </w:r>
      <w:r w:rsidR="00D96A17">
        <w:rPr>
          <w:sz w:val="20"/>
          <w:szCs w:val="20"/>
        </w:rPr>
        <w:t xml:space="preserve"> </w:t>
      </w:r>
      <w:r w:rsidRPr="007505AD">
        <w:rPr>
          <w:sz w:val="20"/>
          <w:szCs w:val="20"/>
        </w:rPr>
        <w:t>(2</w:t>
      </w:r>
      <w:r w:rsidR="00D96A17">
        <w:rPr>
          <w:sz w:val="20"/>
          <w:szCs w:val="20"/>
        </w:rPr>
        <w:t>020</w:t>
      </w:r>
      <w:r w:rsidRPr="007505AD">
        <w:rPr>
          <w:sz w:val="20"/>
          <w:szCs w:val="20"/>
        </w:rPr>
        <w:t>):</w:t>
      </w:r>
      <w:r w:rsidR="00D96A17">
        <w:rPr>
          <w:sz w:val="20"/>
          <w:szCs w:val="20"/>
        </w:rPr>
        <w:t xml:space="preserve"> </w:t>
      </w:r>
      <w:r w:rsidRPr="007505AD">
        <w:rPr>
          <w:sz w:val="20"/>
          <w:szCs w:val="20"/>
        </w:rPr>
        <w:t>231-240.</w:t>
      </w:r>
    </w:p>
    <w:p w14:paraId="5E6441BA" w14:textId="0CAC80D4" w:rsidR="00B30178" w:rsidRPr="00B30178" w:rsidRDefault="00B30178" w:rsidP="00B30178">
      <w:pPr>
        <w:pStyle w:val="ListParagraph"/>
        <w:widowControl/>
        <w:numPr>
          <w:ilvl w:val="0"/>
          <w:numId w:val="42"/>
        </w:numPr>
        <w:autoSpaceDE/>
        <w:autoSpaceDN/>
        <w:spacing w:line="360" w:lineRule="auto"/>
        <w:ind w:left="714" w:hanging="357"/>
        <w:rPr>
          <w:sz w:val="20"/>
          <w:szCs w:val="20"/>
          <w:lang w:val="en-IN" w:eastAsia="en-IN"/>
        </w:rPr>
      </w:pPr>
      <w:r w:rsidRPr="00B30178">
        <w:rPr>
          <w:sz w:val="20"/>
          <w:szCs w:val="20"/>
          <w:lang w:val="en-IN" w:eastAsia="en-IN"/>
        </w:rPr>
        <w:t xml:space="preserve">Takada N, </w:t>
      </w:r>
      <w:proofErr w:type="spellStart"/>
      <w:r w:rsidRPr="00B30178">
        <w:rPr>
          <w:sz w:val="20"/>
          <w:szCs w:val="20"/>
          <w:lang w:val="en-IN" w:eastAsia="en-IN"/>
        </w:rPr>
        <w:t>Oebisu</w:t>
      </w:r>
      <w:proofErr w:type="spellEnd"/>
      <w:r w:rsidRPr="00B30178">
        <w:rPr>
          <w:sz w:val="20"/>
          <w:szCs w:val="20"/>
          <w:lang w:val="en-IN" w:eastAsia="en-IN"/>
        </w:rPr>
        <w:t xml:space="preserve"> N, Yao H, et al. </w:t>
      </w:r>
      <w:proofErr w:type="spellStart"/>
      <w:r w:rsidRPr="00B30178">
        <w:rPr>
          <w:sz w:val="20"/>
          <w:szCs w:val="20"/>
          <w:lang w:val="en-IN" w:eastAsia="en-IN"/>
        </w:rPr>
        <w:t>Pseudomyogenic</w:t>
      </w:r>
      <w:proofErr w:type="spellEnd"/>
      <w:r w:rsidRPr="00B30178">
        <w:rPr>
          <w:sz w:val="20"/>
          <w:szCs w:val="20"/>
          <w:lang w:val="en-IN" w:eastAsia="en-IN"/>
        </w:rPr>
        <w:t xml:space="preserve"> </w:t>
      </w:r>
      <w:proofErr w:type="spellStart"/>
      <w:r w:rsidRPr="00B30178">
        <w:rPr>
          <w:sz w:val="20"/>
          <w:szCs w:val="20"/>
          <w:lang w:val="en-IN" w:eastAsia="en-IN"/>
        </w:rPr>
        <w:t>hemangioendothelioma</w:t>
      </w:r>
      <w:proofErr w:type="spellEnd"/>
      <w:r w:rsidRPr="00B30178">
        <w:rPr>
          <w:sz w:val="20"/>
          <w:szCs w:val="20"/>
          <w:lang w:val="en-IN" w:eastAsia="en-IN"/>
        </w:rPr>
        <w:t xml:space="preserve"> of the tibia: a case report. Int J </w:t>
      </w:r>
      <w:proofErr w:type="spellStart"/>
      <w:r w:rsidRPr="00B30178">
        <w:rPr>
          <w:sz w:val="20"/>
          <w:szCs w:val="20"/>
          <w:lang w:val="en-IN" w:eastAsia="en-IN"/>
        </w:rPr>
        <w:t>Surg</w:t>
      </w:r>
      <w:proofErr w:type="spellEnd"/>
      <w:r w:rsidRPr="00B30178">
        <w:rPr>
          <w:sz w:val="20"/>
          <w:szCs w:val="20"/>
          <w:lang w:val="en-IN" w:eastAsia="en-IN"/>
        </w:rPr>
        <w:t xml:space="preserve"> Case Rep 138 (2026): 802-807. </w:t>
      </w:r>
    </w:p>
    <w:p w14:paraId="473A65D8" w14:textId="61FB91DE" w:rsidR="00B30178" w:rsidRPr="00B30178" w:rsidRDefault="00B30178" w:rsidP="00B30178">
      <w:pPr>
        <w:pStyle w:val="ListParagraph"/>
        <w:widowControl/>
        <w:numPr>
          <w:ilvl w:val="0"/>
          <w:numId w:val="42"/>
        </w:numPr>
        <w:autoSpaceDE/>
        <w:autoSpaceDN/>
        <w:spacing w:line="360" w:lineRule="auto"/>
        <w:ind w:left="714" w:hanging="357"/>
        <w:rPr>
          <w:sz w:val="20"/>
          <w:szCs w:val="20"/>
          <w:lang w:val="en-IN" w:eastAsia="en-IN"/>
        </w:rPr>
      </w:pPr>
      <w:r w:rsidRPr="00B30178">
        <w:rPr>
          <w:sz w:val="20"/>
          <w:szCs w:val="20"/>
          <w:lang w:val="en-IN" w:eastAsia="en-IN"/>
        </w:rPr>
        <w:t xml:space="preserve">Inyang A, Mertens F, Puls F, et al. Primary </w:t>
      </w:r>
      <w:proofErr w:type="spellStart"/>
      <w:r w:rsidRPr="00B30178">
        <w:rPr>
          <w:sz w:val="20"/>
          <w:szCs w:val="20"/>
          <w:lang w:val="en-IN" w:eastAsia="en-IN"/>
        </w:rPr>
        <w:t>pseudomyogenic</w:t>
      </w:r>
      <w:proofErr w:type="spellEnd"/>
      <w:r w:rsidRPr="00B30178">
        <w:rPr>
          <w:sz w:val="20"/>
          <w:szCs w:val="20"/>
          <w:lang w:val="en-IN" w:eastAsia="en-IN"/>
        </w:rPr>
        <w:t xml:space="preserve"> </w:t>
      </w:r>
      <w:proofErr w:type="spellStart"/>
      <w:r w:rsidRPr="00B30178">
        <w:rPr>
          <w:sz w:val="20"/>
          <w:szCs w:val="20"/>
          <w:lang w:val="en-IN" w:eastAsia="en-IN"/>
        </w:rPr>
        <w:t>hemangioendothelioma</w:t>
      </w:r>
      <w:proofErr w:type="spellEnd"/>
      <w:r w:rsidRPr="00B30178">
        <w:rPr>
          <w:sz w:val="20"/>
          <w:szCs w:val="20"/>
          <w:lang w:val="en-IN" w:eastAsia="en-IN"/>
        </w:rPr>
        <w:t xml:space="preserve"> of bone. Am J </w:t>
      </w:r>
      <w:proofErr w:type="spellStart"/>
      <w:r w:rsidRPr="00B30178">
        <w:rPr>
          <w:sz w:val="20"/>
          <w:szCs w:val="20"/>
          <w:lang w:val="en-IN" w:eastAsia="en-IN"/>
        </w:rPr>
        <w:t>Surg</w:t>
      </w:r>
      <w:proofErr w:type="spellEnd"/>
      <w:r w:rsidRPr="00B30178">
        <w:rPr>
          <w:sz w:val="20"/>
          <w:szCs w:val="20"/>
          <w:lang w:val="en-IN" w:eastAsia="en-IN"/>
        </w:rPr>
        <w:t xml:space="preserve"> </w:t>
      </w:r>
      <w:proofErr w:type="spellStart"/>
      <w:r w:rsidRPr="00B30178">
        <w:rPr>
          <w:sz w:val="20"/>
          <w:szCs w:val="20"/>
          <w:lang w:val="en-IN" w:eastAsia="en-IN"/>
        </w:rPr>
        <w:t>Pathol</w:t>
      </w:r>
      <w:proofErr w:type="spellEnd"/>
      <w:r w:rsidRPr="00B30178">
        <w:rPr>
          <w:sz w:val="20"/>
          <w:szCs w:val="20"/>
          <w:lang w:val="en-IN" w:eastAsia="en-IN"/>
        </w:rPr>
        <w:t xml:space="preserve"> 40 (2016): 587-598. </w:t>
      </w:r>
    </w:p>
    <w:p w14:paraId="2661F12D" w14:textId="0B17CD5D" w:rsidR="00B30178" w:rsidRPr="00B30178" w:rsidRDefault="00B30178" w:rsidP="00B30178">
      <w:pPr>
        <w:pStyle w:val="ListParagraph"/>
        <w:widowControl/>
        <w:numPr>
          <w:ilvl w:val="0"/>
          <w:numId w:val="42"/>
        </w:numPr>
        <w:autoSpaceDE/>
        <w:autoSpaceDN/>
        <w:spacing w:line="360" w:lineRule="auto"/>
        <w:ind w:left="714" w:hanging="357"/>
        <w:rPr>
          <w:sz w:val="20"/>
          <w:szCs w:val="20"/>
          <w:lang w:val="en-IN" w:eastAsia="en-IN"/>
        </w:rPr>
      </w:pPr>
      <w:r w:rsidRPr="00B30178">
        <w:rPr>
          <w:sz w:val="20"/>
          <w:szCs w:val="20"/>
          <w:lang w:val="en-IN" w:eastAsia="en-IN"/>
        </w:rPr>
        <w:t xml:space="preserve">Caballero GA, Roitman PD. </w:t>
      </w:r>
      <w:proofErr w:type="spellStart"/>
      <w:r w:rsidRPr="00B30178">
        <w:rPr>
          <w:sz w:val="20"/>
          <w:szCs w:val="20"/>
          <w:lang w:val="en-IN" w:eastAsia="en-IN"/>
        </w:rPr>
        <w:t>Pseudomyogenic</w:t>
      </w:r>
      <w:proofErr w:type="spellEnd"/>
      <w:r w:rsidRPr="00B30178">
        <w:rPr>
          <w:sz w:val="20"/>
          <w:szCs w:val="20"/>
          <w:lang w:val="en-IN" w:eastAsia="en-IN"/>
        </w:rPr>
        <w:t xml:space="preserve"> </w:t>
      </w:r>
      <w:proofErr w:type="spellStart"/>
      <w:r w:rsidRPr="00B30178">
        <w:rPr>
          <w:sz w:val="20"/>
          <w:szCs w:val="20"/>
          <w:lang w:val="en-IN" w:eastAsia="en-IN"/>
        </w:rPr>
        <w:t>hemangioendothelioma</w:t>
      </w:r>
      <w:proofErr w:type="spellEnd"/>
      <w:r w:rsidRPr="00B30178">
        <w:rPr>
          <w:sz w:val="20"/>
          <w:szCs w:val="20"/>
          <w:lang w:val="en-IN" w:eastAsia="en-IN"/>
        </w:rPr>
        <w:t xml:space="preserve"> (epithelioid sarcoma-like </w:t>
      </w:r>
      <w:proofErr w:type="spellStart"/>
      <w:r w:rsidRPr="00B30178">
        <w:rPr>
          <w:sz w:val="20"/>
          <w:szCs w:val="20"/>
          <w:lang w:val="en-IN" w:eastAsia="en-IN"/>
        </w:rPr>
        <w:t>hemangioendothelioma</w:t>
      </w:r>
      <w:proofErr w:type="spellEnd"/>
      <w:r w:rsidRPr="00B30178">
        <w:rPr>
          <w:sz w:val="20"/>
          <w:szCs w:val="20"/>
          <w:lang w:val="en-IN" w:eastAsia="en-IN"/>
        </w:rPr>
        <w:t xml:space="preserve">). Arch </w:t>
      </w:r>
      <w:proofErr w:type="spellStart"/>
      <w:r w:rsidRPr="00B30178">
        <w:rPr>
          <w:sz w:val="20"/>
          <w:szCs w:val="20"/>
          <w:lang w:val="en-IN" w:eastAsia="en-IN"/>
        </w:rPr>
        <w:t>Pathol</w:t>
      </w:r>
      <w:proofErr w:type="spellEnd"/>
      <w:r w:rsidRPr="00B30178">
        <w:rPr>
          <w:sz w:val="20"/>
          <w:szCs w:val="20"/>
          <w:lang w:val="en-IN" w:eastAsia="en-IN"/>
        </w:rPr>
        <w:t xml:space="preserve"> Lab Med 144 (2020): 529-533. </w:t>
      </w:r>
    </w:p>
    <w:p w14:paraId="166E1FCB" w14:textId="2B2E28DA" w:rsidR="00B30178" w:rsidRPr="00B30178" w:rsidRDefault="00B30178" w:rsidP="00B30178">
      <w:pPr>
        <w:pStyle w:val="ListParagraph"/>
        <w:widowControl/>
        <w:numPr>
          <w:ilvl w:val="0"/>
          <w:numId w:val="42"/>
        </w:numPr>
        <w:autoSpaceDE/>
        <w:autoSpaceDN/>
        <w:spacing w:line="360" w:lineRule="auto"/>
        <w:ind w:left="714" w:hanging="357"/>
        <w:rPr>
          <w:sz w:val="20"/>
          <w:szCs w:val="20"/>
          <w:lang w:val="en-IN" w:eastAsia="en-IN"/>
        </w:rPr>
      </w:pPr>
      <w:r w:rsidRPr="00B30178">
        <w:rPr>
          <w:sz w:val="20"/>
          <w:szCs w:val="20"/>
          <w:lang w:val="en-IN" w:eastAsia="en-IN"/>
        </w:rPr>
        <w:t xml:space="preserve">Pradhan D, Schoedel K, McGough RL, et al. </w:t>
      </w:r>
      <w:proofErr w:type="spellStart"/>
      <w:r w:rsidRPr="00B30178">
        <w:rPr>
          <w:sz w:val="20"/>
          <w:szCs w:val="20"/>
          <w:lang w:val="en-IN" w:eastAsia="en-IN"/>
        </w:rPr>
        <w:t>Pseudomyogenic</w:t>
      </w:r>
      <w:proofErr w:type="spellEnd"/>
      <w:r w:rsidRPr="00B30178">
        <w:rPr>
          <w:sz w:val="20"/>
          <w:szCs w:val="20"/>
          <w:lang w:val="en-IN" w:eastAsia="en-IN"/>
        </w:rPr>
        <w:t xml:space="preserve"> </w:t>
      </w:r>
      <w:proofErr w:type="spellStart"/>
      <w:r w:rsidRPr="00B30178">
        <w:rPr>
          <w:sz w:val="20"/>
          <w:szCs w:val="20"/>
          <w:lang w:val="en-IN" w:eastAsia="en-IN"/>
        </w:rPr>
        <w:t>hemangioendothelioma</w:t>
      </w:r>
      <w:proofErr w:type="spellEnd"/>
      <w:r w:rsidRPr="00B30178">
        <w:rPr>
          <w:sz w:val="20"/>
          <w:szCs w:val="20"/>
          <w:lang w:val="en-IN" w:eastAsia="en-IN"/>
        </w:rPr>
        <w:t xml:space="preserve"> of skin, bone and soft tissue: a clinicopathological, immunohistochemical, and fluorescence in situ hybridization study. Hum </w:t>
      </w:r>
      <w:proofErr w:type="spellStart"/>
      <w:r w:rsidRPr="00B30178">
        <w:rPr>
          <w:sz w:val="20"/>
          <w:szCs w:val="20"/>
          <w:lang w:val="en-IN" w:eastAsia="en-IN"/>
        </w:rPr>
        <w:t>Pathol</w:t>
      </w:r>
      <w:proofErr w:type="spellEnd"/>
      <w:r w:rsidRPr="00B30178">
        <w:rPr>
          <w:sz w:val="20"/>
          <w:szCs w:val="20"/>
          <w:lang w:val="en-IN" w:eastAsia="en-IN"/>
        </w:rPr>
        <w:t xml:space="preserve"> 71 (2018): 126-134. </w:t>
      </w:r>
    </w:p>
    <w:p w14:paraId="19C67D6C" w14:textId="700D2E15" w:rsidR="00B30178" w:rsidRPr="00B30178" w:rsidRDefault="00B30178" w:rsidP="00B30178">
      <w:pPr>
        <w:pStyle w:val="ListParagraph"/>
        <w:widowControl/>
        <w:numPr>
          <w:ilvl w:val="0"/>
          <w:numId w:val="42"/>
        </w:numPr>
        <w:autoSpaceDE/>
        <w:autoSpaceDN/>
        <w:spacing w:line="360" w:lineRule="auto"/>
        <w:ind w:left="714" w:hanging="357"/>
        <w:rPr>
          <w:sz w:val="20"/>
          <w:szCs w:val="20"/>
          <w:lang w:val="en-IN" w:eastAsia="en-IN"/>
        </w:rPr>
      </w:pPr>
      <w:proofErr w:type="spellStart"/>
      <w:r w:rsidRPr="00B30178">
        <w:rPr>
          <w:sz w:val="20"/>
          <w:szCs w:val="20"/>
          <w:lang w:val="en-IN" w:eastAsia="en-IN"/>
        </w:rPr>
        <w:t>Plouznikoff</w:t>
      </w:r>
      <w:proofErr w:type="spellEnd"/>
      <w:r w:rsidRPr="00B30178">
        <w:rPr>
          <w:sz w:val="20"/>
          <w:szCs w:val="20"/>
          <w:lang w:val="en-IN" w:eastAsia="en-IN"/>
        </w:rPr>
        <w:t xml:space="preserve"> N, Mourad SA, Turpin S, et al. Case report: 18F-FDG PET/CT of </w:t>
      </w:r>
      <w:proofErr w:type="spellStart"/>
      <w:r w:rsidRPr="00B30178">
        <w:rPr>
          <w:sz w:val="20"/>
          <w:szCs w:val="20"/>
          <w:lang w:val="en-IN" w:eastAsia="en-IN"/>
        </w:rPr>
        <w:t>pseudomyogenic</w:t>
      </w:r>
      <w:proofErr w:type="spellEnd"/>
      <w:r w:rsidRPr="00B30178">
        <w:rPr>
          <w:sz w:val="20"/>
          <w:szCs w:val="20"/>
          <w:lang w:val="en-IN" w:eastAsia="en-IN"/>
        </w:rPr>
        <w:t xml:space="preserve"> </w:t>
      </w:r>
      <w:proofErr w:type="spellStart"/>
      <w:r w:rsidRPr="00B30178">
        <w:rPr>
          <w:sz w:val="20"/>
          <w:szCs w:val="20"/>
          <w:lang w:val="en-IN" w:eastAsia="en-IN"/>
        </w:rPr>
        <w:t>hemangioendothelioma</w:t>
      </w:r>
      <w:proofErr w:type="spellEnd"/>
      <w:r w:rsidRPr="00B30178">
        <w:rPr>
          <w:sz w:val="20"/>
          <w:szCs w:val="20"/>
          <w:lang w:val="en-IN" w:eastAsia="en-IN"/>
        </w:rPr>
        <w:t xml:space="preserve">. Clin </w:t>
      </w:r>
      <w:proofErr w:type="spellStart"/>
      <w:r w:rsidRPr="00B30178">
        <w:rPr>
          <w:sz w:val="20"/>
          <w:szCs w:val="20"/>
          <w:lang w:val="en-IN" w:eastAsia="en-IN"/>
        </w:rPr>
        <w:t>Nucl</w:t>
      </w:r>
      <w:proofErr w:type="spellEnd"/>
      <w:r w:rsidRPr="00B30178">
        <w:rPr>
          <w:sz w:val="20"/>
          <w:szCs w:val="20"/>
          <w:lang w:val="en-IN" w:eastAsia="en-IN"/>
        </w:rPr>
        <w:t xml:space="preserve"> Med 45 (2020): 368-369. </w:t>
      </w:r>
    </w:p>
    <w:p w14:paraId="6EC6676E" w14:textId="4696942D" w:rsidR="00B30178" w:rsidRPr="00B30178" w:rsidRDefault="00B30178" w:rsidP="00B30178">
      <w:pPr>
        <w:pStyle w:val="ListParagraph"/>
        <w:widowControl/>
        <w:numPr>
          <w:ilvl w:val="0"/>
          <w:numId w:val="42"/>
        </w:numPr>
        <w:autoSpaceDE/>
        <w:autoSpaceDN/>
        <w:spacing w:line="360" w:lineRule="auto"/>
        <w:ind w:left="714" w:hanging="357"/>
        <w:rPr>
          <w:sz w:val="20"/>
          <w:szCs w:val="20"/>
          <w:lang w:val="en-IN" w:eastAsia="en-IN"/>
        </w:rPr>
      </w:pPr>
      <w:r w:rsidRPr="00B30178">
        <w:rPr>
          <w:sz w:val="20"/>
          <w:szCs w:val="20"/>
          <w:lang w:val="en-IN" w:eastAsia="en-IN"/>
        </w:rPr>
        <w:t xml:space="preserve">Brance ML, </w:t>
      </w:r>
      <w:proofErr w:type="spellStart"/>
      <w:r w:rsidRPr="00B30178">
        <w:rPr>
          <w:sz w:val="20"/>
          <w:szCs w:val="20"/>
          <w:lang w:val="en-IN" w:eastAsia="en-IN"/>
        </w:rPr>
        <w:t>Cóccaro</w:t>
      </w:r>
      <w:proofErr w:type="spellEnd"/>
      <w:r w:rsidRPr="00B30178">
        <w:rPr>
          <w:sz w:val="20"/>
          <w:szCs w:val="20"/>
          <w:lang w:val="en-IN" w:eastAsia="en-IN"/>
        </w:rPr>
        <w:t xml:space="preserve"> NM, Roitman P, et al. </w:t>
      </w:r>
      <w:proofErr w:type="spellStart"/>
      <w:r w:rsidRPr="00B30178">
        <w:rPr>
          <w:sz w:val="20"/>
          <w:szCs w:val="20"/>
          <w:lang w:val="en-IN" w:eastAsia="en-IN"/>
        </w:rPr>
        <w:t>Pseudomyogenic</w:t>
      </w:r>
      <w:proofErr w:type="spellEnd"/>
      <w:r w:rsidRPr="00B30178">
        <w:rPr>
          <w:sz w:val="20"/>
          <w:szCs w:val="20"/>
          <w:lang w:val="en-IN" w:eastAsia="en-IN"/>
        </w:rPr>
        <w:t xml:space="preserve"> </w:t>
      </w:r>
      <w:proofErr w:type="spellStart"/>
      <w:r w:rsidRPr="00B30178">
        <w:rPr>
          <w:sz w:val="20"/>
          <w:szCs w:val="20"/>
          <w:lang w:val="en-IN" w:eastAsia="en-IN"/>
        </w:rPr>
        <w:t>hemangioendothelioma</w:t>
      </w:r>
      <w:proofErr w:type="spellEnd"/>
      <w:r w:rsidRPr="00B30178">
        <w:rPr>
          <w:sz w:val="20"/>
          <w:szCs w:val="20"/>
          <w:lang w:val="en-IN" w:eastAsia="en-IN"/>
        </w:rPr>
        <w:t xml:space="preserve"> with bone and soft tissue involvement with </w:t>
      </w:r>
      <w:proofErr w:type="spellStart"/>
      <w:r w:rsidRPr="00B30178">
        <w:rPr>
          <w:sz w:val="20"/>
          <w:szCs w:val="20"/>
          <w:lang w:val="en-IN" w:eastAsia="en-IN"/>
        </w:rPr>
        <w:t>favorable</w:t>
      </w:r>
      <w:proofErr w:type="spellEnd"/>
      <w:r w:rsidRPr="00B30178">
        <w:rPr>
          <w:sz w:val="20"/>
          <w:szCs w:val="20"/>
          <w:lang w:val="en-IN" w:eastAsia="en-IN"/>
        </w:rPr>
        <w:t xml:space="preserve"> response to pamidronate: a case report and systematic review of the literature. Arch </w:t>
      </w:r>
      <w:proofErr w:type="spellStart"/>
      <w:r w:rsidRPr="00B30178">
        <w:rPr>
          <w:sz w:val="20"/>
          <w:szCs w:val="20"/>
          <w:lang w:val="en-IN" w:eastAsia="en-IN"/>
        </w:rPr>
        <w:t>Osteoporos</w:t>
      </w:r>
      <w:proofErr w:type="spellEnd"/>
      <w:r w:rsidRPr="00B30178">
        <w:rPr>
          <w:sz w:val="20"/>
          <w:szCs w:val="20"/>
          <w:lang w:val="en-IN" w:eastAsia="en-IN"/>
        </w:rPr>
        <w:t xml:space="preserve"> 17 (2022): 28. </w:t>
      </w:r>
    </w:p>
    <w:p w14:paraId="4C7AE6F0" w14:textId="5D16D9F5" w:rsidR="00B30178" w:rsidRPr="00B30178" w:rsidRDefault="00B30178" w:rsidP="00B30178">
      <w:pPr>
        <w:pStyle w:val="ListParagraph"/>
        <w:widowControl/>
        <w:numPr>
          <w:ilvl w:val="0"/>
          <w:numId w:val="42"/>
        </w:numPr>
        <w:autoSpaceDE/>
        <w:autoSpaceDN/>
        <w:spacing w:line="360" w:lineRule="auto"/>
        <w:ind w:left="714" w:hanging="357"/>
        <w:rPr>
          <w:sz w:val="20"/>
          <w:szCs w:val="20"/>
          <w:lang w:val="en-IN" w:eastAsia="en-IN"/>
        </w:rPr>
      </w:pPr>
      <w:proofErr w:type="spellStart"/>
      <w:r w:rsidRPr="00B30178">
        <w:rPr>
          <w:sz w:val="20"/>
          <w:szCs w:val="20"/>
          <w:lang w:val="en-IN" w:eastAsia="en-IN"/>
        </w:rPr>
        <w:t>Pranteda</w:t>
      </w:r>
      <w:proofErr w:type="spellEnd"/>
      <w:r w:rsidRPr="00B30178">
        <w:rPr>
          <w:sz w:val="20"/>
          <w:szCs w:val="20"/>
          <w:lang w:val="en-IN" w:eastAsia="en-IN"/>
        </w:rPr>
        <w:t xml:space="preserve"> G, Magri F, </w:t>
      </w:r>
      <w:proofErr w:type="spellStart"/>
      <w:r w:rsidRPr="00B30178">
        <w:rPr>
          <w:sz w:val="20"/>
          <w:szCs w:val="20"/>
          <w:lang w:val="en-IN" w:eastAsia="en-IN"/>
        </w:rPr>
        <w:t>Muscianese</w:t>
      </w:r>
      <w:proofErr w:type="spellEnd"/>
      <w:r w:rsidRPr="00B30178">
        <w:rPr>
          <w:sz w:val="20"/>
          <w:szCs w:val="20"/>
          <w:lang w:val="en-IN" w:eastAsia="en-IN"/>
        </w:rPr>
        <w:t xml:space="preserve"> M, et al. The management of </w:t>
      </w:r>
      <w:proofErr w:type="spellStart"/>
      <w:r w:rsidRPr="00B30178">
        <w:rPr>
          <w:sz w:val="20"/>
          <w:szCs w:val="20"/>
          <w:lang w:val="en-IN" w:eastAsia="en-IN"/>
        </w:rPr>
        <w:t>pseudomyogenic</w:t>
      </w:r>
      <w:proofErr w:type="spellEnd"/>
      <w:r w:rsidRPr="00B30178">
        <w:rPr>
          <w:sz w:val="20"/>
          <w:szCs w:val="20"/>
          <w:lang w:val="en-IN" w:eastAsia="en-IN"/>
        </w:rPr>
        <w:t xml:space="preserve"> </w:t>
      </w:r>
      <w:proofErr w:type="spellStart"/>
      <w:r w:rsidRPr="00B30178">
        <w:rPr>
          <w:sz w:val="20"/>
          <w:szCs w:val="20"/>
          <w:lang w:val="en-IN" w:eastAsia="en-IN"/>
        </w:rPr>
        <w:t>hemangioendothelioma</w:t>
      </w:r>
      <w:proofErr w:type="spellEnd"/>
      <w:r w:rsidRPr="00B30178">
        <w:rPr>
          <w:sz w:val="20"/>
          <w:szCs w:val="20"/>
          <w:lang w:val="en-IN" w:eastAsia="en-IN"/>
        </w:rPr>
        <w:t xml:space="preserve"> of the foot: a case report and review of the literature. Dermatol Ther 31 (2018): e12725. </w:t>
      </w:r>
    </w:p>
    <w:p w14:paraId="21FA6852" w14:textId="0E5B9F78" w:rsidR="00B30178" w:rsidRPr="00B30178" w:rsidRDefault="00B30178" w:rsidP="00B30178">
      <w:pPr>
        <w:pStyle w:val="ListParagraph"/>
        <w:widowControl/>
        <w:numPr>
          <w:ilvl w:val="0"/>
          <w:numId w:val="42"/>
        </w:numPr>
        <w:autoSpaceDE/>
        <w:autoSpaceDN/>
        <w:spacing w:line="360" w:lineRule="auto"/>
        <w:ind w:left="714" w:hanging="357"/>
        <w:rPr>
          <w:sz w:val="20"/>
          <w:szCs w:val="20"/>
          <w:lang w:val="en-IN" w:eastAsia="en-IN"/>
        </w:rPr>
      </w:pPr>
      <w:r w:rsidRPr="00B30178">
        <w:rPr>
          <w:sz w:val="20"/>
          <w:szCs w:val="20"/>
          <w:lang w:val="en-IN" w:eastAsia="en-IN"/>
        </w:rPr>
        <w:t xml:space="preserve">Pasricha S, Sharma A, Pruthi M, et al. Multifocal primary </w:t>
      </w:r>
      <w:proofErr w:type="spellStart"/>
      <w:r w:rsidRPr="00B30178">
        <w:rPr>
          <w:sz w:val="20"/>
          <w:szCs w:val="20"/>
          <w:lang w:val="en-IN" w:eastAsia="en-IN"/>
        </w:rPr>
        <w:t>pseudomyogenic</w:t>
      </w:r>
      <w:proofErr w:type="spellEnd"/>
      <w:r w:rsidRPr="00B30178">
        <w:rPr>
          <w:sz w:val="20"/>
          <w:szCs w:val="20"/>
          <w:lang w:val="en-IN" w:eastAsia="en-IN"/>
        </w:rPr>
        <w:t xml:space="preserve"> </w:t>
      </w:r>
      <w:proofErr w:type="spellStart"/>
      <w:r w:rsidRPr="00B30178">
        <w:rPr>
          <w:sz w:val="20"/>
          <w:szCs w:val="20"/>
          <w:lang w:val="en-IN" w:eastAsia="en-IN"/>
        </w:rPr>
        <w:t>hemangioendothelioma</w:t>
      </w:r>
      <w:proofErr w:type="spellEnd"/>
      <w:r w:rsidRPr="00B30178">
        <w:rPr>
          <w:sz w:val="20"/>
          <w:szCs w:val="20"/>
          <w:lang w:val="en-IN" w:eastAsia="en-IN"/>
        </w:rPr>
        <w:t xml:space="preserve"> of bone managed with denosumab: a rare case with diagnostic and therapeutic challenge. J Cancer Res Ther 18 (2022): 817-819. </w:t>
      </w:r>
    </w:p>
    <w:p w14:paraId="1E80D12E" w14:textId="14342608" w:rsidR="00B30178" w:rsidRPr="00B30178" w:rsidRDefault="00B30178" w:rsidP="00B30178">
      <w:pPr>
        <w:pStyle w:val="ListParagraph"/>
        <w:widowControl/>
        <w:numPr>
          <w:ilvl w:val="0"/>
          <w:numId w:val="42"/>
        </w:numPr>
        <w:autoSpaceDE/>
        <w:autoSpaceDN/>
        <w:spacing w:line="360" w:lineRule="auto"/>
        <w:ind w:left="714" w:hanging="357"/>
        <w:rPr>
          <w:sz w:val="20"/>
          <w:szCs w:val="20"/>
          <w:lang w:val="en-IN" w:eastAsia="en-IN"/>
        </w:rPr>
      </w:pPr>
      <w:proofErr w:type="spellStart"/>
      <w:r w:rsidRPr="00B30178">
        <w:rPr>
          <w:sz w:val="20"/>
          <w:szCs w:val="20"/>
          <w:lang w:val="en-IN" w:eastAsia="en-IN"/>
        </w:rPr>
        <w:t>Kikili</w:t>
      </w:r>
      <w:proofErr w:type="spellEnd"/>
      <w:r w:rsidRPr="00B30178">
        <w:rPr>
          <w:sz w:val="20"/>
          <w:szCs w:val="20"/>
          <w:lang w:val="en-IN" w:eastAsia="en-IN"/>
        </w:rPr>
        <w:t xml:space="preserve"> Cİ, Köylü B, </w:t>
      </w:r>
      <w:proofErr w:type="spellStart"/>
      <w:r w:rsidRPr="00B30178">
        <w:rPr>
          <w:sz w:val="20"/>
          <w:szCs w:val="20"/>
          <w:lang w:val="en-IN" w:eastAsia="en-IN"/>
        </w:rPr>
        <w:t>Kemik</w:t>
      </w:r>
      <w:proofErr w:type="spellEnd"/>
      <w:r w:rsidRPr="00B30178">
        <w:rPr>
          <w:sz w:val="20"/>
          <w:szCs w:val="20"/>
          <w:lang w:val="en-IN" w:eastAsia="en-IN"/>
        </w:rPr>
        <w:t xml:space="preserve"> F, et al. The mTOR pathway inhibition with everolimus in </w:t>
      </w:r>
      <w:proofErr w:type="spellStart"/>
      <w:r w:rsidRPr="00B30178">
        <w:rPr>
          <w:sz w:val="20"/>
          <w:szCs w:val="20"/>
          <w:lang w:val="en-IN" w:eastAsia="en-IN"/>
        </w:rPr>
        <w:t>pseudomyogenic</w:t>
      </w:r>
      <w:proofErr w:type="spellEnd"/>
      <w:r w:rsidRPr="00B30178">
        <w:rPr>
          <w:sz w:val="20"/>
          <w:szCs w:val="20"/>
          <w:lang w:val="en-IN" w:eastAsia="en-IN"/>
        </w:rPr>
        <w:t xml:space="preserve"> </w:t>
      </w:r>
      <w:proofErr w:type="spellStart"/>
      <w:r w:rsidRPr="00B30178">
        <w:rPr>
          <w:sz w:val="20"/>
          <w:szCs w:val="20"/>
          <w:lang w:val="en-IN" w:eastAsia="en-IN"/>
        </w:rPr>
        <w:t>hemangioendothelioma</w:t>
      </w:r>
      <w:proofErr w:type="spellEnd"/>
      <w:r w:rsidRPr="00B30178">
        <w:rPr>
          <w:sz w:val="20"/>
          <w:szCs w:val="20"/>
          <w:lang w:val="en-IN" w:eastAsia="en-IN"/>
        </w:rPr>
        <w:t xml:space="preserve"> </w:t>
      </w:r>
      <w:proofErr w:type="spellStart"/>
      <w:r w:rsidRPr="00B30178">
        <w:rPr>
          <w:sz w:val="20"/>
          <w:szCs w:val="20"/>
          <w:lang w:val="en-IN" w:eastAsia="en-IN"/>
        </w:rPr>
        <w:t>harboring</w:t>
      </w:r>
      <w:proofErr w:type="spellEnd"/>
      <w:r w:rsidRPr="00B30178">
        <w:rPr>
          <w:sz w:val="20"/>
          <w:szCs w:val="20"/>
          <w:lang w:val="en-IN" w:eastAsia="en-IN"/>
        </w:rPr>
        <w:t xml:space="preserve"> SERPINE1-FOSB gene fusion: a case report and review of the literature. Anticancer Drugs 36 (2025): 770-774. </w:t>
      </w:r>
    </w:p>
    <w:p w14:paraId="4EE59ED0" w14:textId="14F8DCCD" w:rsidR="00B30178" w:rsidRPr="00B30178" w:rsidRDefault="00B30178" w:rsidP="00B30178">
      <w:pPr>
        <w:pStyle w:val="ListParagraph"/>
        <w:widowControl/>
        <w:numPr>
          <w:ilvl w:val="0"/>
          <w:numId w:val="42"/>
        </w:numPr>
        <w:autoSpaceDE/>
        <w:autoSpaceDN/>
        <w:spacing w:line="360" w:lineRule="auto"/>
        <w:ind w:left="714" w:hanging="357"/>
        <w:rPr>
          <w:sz w:val="20"/>
          <w:szCs w:val="20"/>
          <w:lang w:val="en-IN" w:eastAsia="en-IN"/>
        </w:rPr>
      </w:pPr>
      <w:r w:rsidRPr="00B30178">
        <w:rPr>
          <w:sz w:val="20"/>
          <w:szCs w:val="20"/>
          <w:lang w:val="en-IN" w:eastAsia="en-IN"/>
        </w:rPr>
        <w:t xml:space="preserve">Hung YP, Fletcher CDM, Hornick JL. FOSB is a useful diagnostic marker for </w:t>
      </w:r>
      <w:proofErr w:type="spellStart"/>
      <w:r w:rsidRPr="00B30178">
        <w:rPr>
          <w:sz w:val="20"/>
          <w:szCs w:val="20"/>
          <w:lang w:val="en-IN" w:eastAsia="en-IN"/>
        </w:rPr>
        <w:t>pseudomyogenic</w:t>
      </w:r>
      <w:proofErr w:type="spellEnd"/>
      <w:r w:rsidRPr="00B30178">
        <w:rPr>
          <w:sz w:val="20"/>
          <w:szCs w:val="20"/>
          <w:lang w:val="en-IN" w:eastAsia="en-IN"/>
        </w:rPr>
        <w:t xml:space="preserve"> </w:t>
      </w:r>
      <w:proofErr w:type="spellStart"/>
      <w:r w:rsidRPr="00B30178">
        <w:rPr>
          <w:sz w:val="20"/>
          <w:szCs w:val="20"/>
          <w:lang w:val="en-IN" w:eastAsia="en-IN"/>
        </w:rPr>
        <w:t>hemangioendothelioma</w:t>
      </w:r>
      <w:proofErr w:type="spellEnd"/>
      <w:r w:rsidRPr="00B30178">
        <w:rPr>
          <w:sz w:val="20"/>
          <w:szCs w:val="20"/>
          <w:lang w:val="en-IN" w:eastAsia="en-IN"/>
        </w:rPr>
        <w:t xml:space="preserve">. Am J </w:t>
      </w:r>
      <w:proofErr w:type="spellStart"/>
      <w:r w:rsidRPr="00B30178">
        <w:rPr>
          <w:sz w:val="20"/>
          <w:szCs w:val="20"/>
          <w:lang w:val="en-IN" w:eastAsia="en-IN"/>
        </w:rPr>
        <w:t>Surg</w:t>
      </w:r>
      <w:proofErr w:type="spellEnd"/>
      <w:r w:rsidRPr="00B30178">
        <w:rPr>
          <w:sz w:val="20"/>
          <w:szCs w:val="20"/>
          <w:lang w:val="en-IN" w:eastAsia="en-IN"/>
        </w:rPr>
        <w:t xml:space="preserve"> </w:t>
      </w:r>
      <w:proofErr w:type="spellStart"/>
      <w:r w:rsidRPr="00B30178">
        <w:rPr>
          <w:sz w:val="20"/>
          <w:szCs w:val="20"/>
          <w:lang w:val="en-IN" w:eastAsia="en-IN"/>
        </w:rPr>
        <w:t>Pathol</w:t>
      </w:r>
      <w:proofErr w:type="spellEnd"/>
      <w:r w:rsidRPr="00B30178">
        <w:rPr>
          <w:sz w:val="20"/>
          <w:szCs w:val="20"/>
          <w:lang w:val="en-IN" w:eastAsia="en-IN"/>
        </w:rPr>
        <w:t xml:space="preserve"> 41 (2017): 596-606. </w:t>
      </w:r>
    </w:p>
    <w:p w14:paraId="5A0A67E1" w14:textId="6E441D8C" w:rsidR="00B30178" w:rsidRPr="00B30178" w:rsidRDefault="00B30178" w:rsidP="00B30178">
      <w:pPr>
        <w:pStyle w:val="ListParagraph"/>
        <w:widowControl/>
        <w:numPr>
          <w:ilvl w:val="0"/>
          <w:numId w:val="42"/>
        </w:numPr>
        <w:autoSpaceDE/>
        <w:autoSpaceDN/>
        <w:spacing w:line="360" w:lineRule="auto"/>
        <w:ind w:left="714" w:hanging="357"/>
        <w:rPr>
          <w:sz w:val="20"/>
          <w:szCs w:val="20"/>
          <w:lang w:val="en-IN" w:eastAsia="en-IN"/>
        </w:rPr>
      </w:pPr>
      <w:r w:rsidRPr="00B30178">
        <w:rPr>
          <w:sz w:val="20"/>
          <w:szCs w:val="20"/>
          <w:lang w:val="en-IN" w:eastAsia="en-IN"/>
        </w:rPr>
        <w:t xml:space="preserve">Dianat S, Eslami V, Mirzaei A, et al. </w:t>
      </w:r>
      <w:proofErr w:type="spellStart"/>
      <w:r w:rsidRPr="00B30178">
        <w:rPr>
          <w:sz w:val="20"/>
          <w:szCs w:val="20"/>
          <w:lang w:val="en-IN" w:eastAsia="en-IN"/>
        </w:rPr>
        <w:t>Pseudomyogenic</w:t>
      </w:r>
      <w:proofErr w:type="spellEnd"/>
      <w:r w:rsidRPr="00B30178">
        <w:rPr>
          <w:sz w:val="20"/>
          <w:szCs w:val="20"/>
          <w:lang w:val="en-IN" w:eastAsia="en-IN"/>
        </w:rPr>
        <w:t xml:space="preserve"> </w:t>
      </w:r>
      <w:proofErr w:type="spellStart"/>
      <w:r w:rsidRPr="00B30178">
        <w:rPr>
          <w:sz w:val="20"/>
          <w:szCs w:val="20"/>
          <w:lang w:val="en-IN" w:eastAsia="en-IN"/>
        </w:rPr>
        <w:t>hemangioendothelioma</w:t>
      </w:r>
      <w:proofErr w:type="spellEnd"/>
      <w:r w:rsidRPr="00B30178">
        <w:rPr>
          <w:sz w:val="20"/>
          <w:szCs w:val="20"/>
          <w:lang w:val="en-IN" w:eastAsia="en-IN"/>
        </w:rPr>
        <w:t xml:space="preserve">: a case report and review of the literature. </w:t>
      </w:r>
      <w:proofErr w:type="spellStart"/>
      <w:r w:rsidRPr="00B30178">
        <w:rPr>
          <w:sz w:val="20"/>
          <w:szCs w:val="20"/>
          <w:lang w:val="en-IN" w:eastAsia="en-IN"/>
        </w:rPr>
        <w:t>Radiol</w:t>
      </w:r>
      <w:proofErr w:type="spellEnd"/>
      <w:r w:rsidRPr="00B30178">
        <w:rPr>
          <w:sz w:val="20"/>
          <w:szCs w:val="20"/>
          <w:lang w:val="en-IN" w:eastAsia="en-IN"/>
        </w:rPr>
        <w:t xml:space="preserve"> Case Rep 14 (2019): 997-1001. </w:t>
      </w:r>
    </w:p>
    <w:p w14:paraId="5C40062B" w14:textId="0E8CEBC2" w:rsidR="00B30178" w:rsidRPr="00B30178" w:rsidRDefault="00B30178" w:rsidP="00B30178">
      <w:pPr>
        <w:pStyle w:val="ListParagraph"/>
        <w:widowControl/>
        <w:numPr>
          <w:ilvl w:val="0"/>
          <w:numId w:val="42"/>
        </w:numPr>
        <w:autoSpaceDE/>
        <w:autoSpaceDN/>
        <w:spacing w:line="360" w:lineRule="auto"/>
        <w:ind w:left="714" w:hanging="357"/>
        <w:rPr>
          <w:sz w:val="20"/>
          <w:szCs w:val="20"/>
          <w:lang w:val="en-IN" w:eastAsia="en-IN"/>
        </w:rPr>
      </w:pPr>
      <w:r w:rsidRPr="00B30178">
        <w:rPr>
          <w:sz w:val="20"/>
          <w:szCs w:val="20"/>
          <w:lang w:val="en-IN" w:eastAsia="en-IN"/>
        </w:rPr>
        <w:t xml:space="preserve">Otani S, Yamamoto N, Hayashi K, et al. </w:t>
      </w:r>
      <w:proofErr w:type="spellStart"/>
      <w:r w:rsidRPr="00B30178">
        <w:rPr>
          <w:sz w:val="20"/>
          <w:szCs w:val="20"/>
          <w:lang w:val="en-IN" w:eastAsia="en-IN"/>
        </w:rPr>
        <w:t>Pseudomyogenic</w:t>
      </w:r>
      <w:proofErr w:type="spellEnd"/>
      <w:r w:rsidRPr="00B30178">
        <w:rPr>
          <w:sz w:val="20"/>
          <w:szCs w:val="20"/>
          <w:lang w:val="en-IN" w:eastAsia="en-IN"/>
        </w:rPr>
        <w:t xml:space="preserve"> </w:t>
      </w:r>
      <w:proofErr w:type="spellStart"/>
      <w:r w:rsidRPr="00B30178">
        <w:rPr>
          <w:sz w:val="20"/>
          <w:szCs w:val="20"/>
          <w:lang w:val="en-IN" w:eastAsia="en-IN"/>
        </w:rPr>
        <w:t>hemangioendothelioma</w:t>
      </w:r>
      <w:proofErr w:type="spellEnd"/>
      <w:r w:rsidRPr="00B30178">
        <w:rPr>
          <w:sz w:val="20"/>
          <w:szCs w:val="20"/>
          <w:lang w:val="en-IN" w:eastAsia="en-IN"/>
        </w:rPr>
        <w:t xml:space="preserve"> of bone treated with denosumab: a case report. BMC Cancer 19 (2019): 975. </w:t>
      </w:r>
    </w:p>
    <w:p w14:paraId="1F397AE3" w14:textId="6F5F1AD4" w:rsidR="00B30178" w:rsidRPr="00B30178" w:rsidRDefault="00B30178" w:rsidP="00B30178">
      <w:pPr>
        <w:pStyle w:val="ListParagraph"/>
        <w:widowControl/>
        <w:numPr>
          <w:ilvl w:val="0"/>
          <w:numId w:val="42"/>
        </w:numPr>
        <w:autoSpaceDE/>
        <w:autoSpaceDN/>
        <w:spacing w:line="360" w:lineRule="auto"/>
        <w:ind w:left="714" w:hanging="357"/>
        <w:rPr>
          <w:sz w:val="20"/>
          <w:szCs w:val="20"/>
          <w:lang w:val="en-IN" w:eastAsia="en-IN"/>
        </w:rPr>
      </w:pPr>
      <w:r w:rsidRPr="00B30178">
        <w:rPr>
          <w:sz w:val="20"/>
          <w:szCs w:val="20"/>
          <w:lang w:val="en-IN" w:eastAsia="en-IN"/>
        </w:rPr>
        <w:t xml:space="preserve">Liu Y. </w:t>
      </w:r>
      <w:proofErr w:type="spellStart"/>
      <w:r w:rsidRPr="00B30178">
        <w:rPr>
          <w:sz w:val="20"/>
          <w:szCs w:val="20"/>
          <w:lang w:val="en-IN" w:eastAsia="en-IN"/>
        </w:rPr>
        <w:t>Pseudomyogenic</w:t>
      </w:r>
      <w:proofErr w:type="spellEnd"/>
      <w:r w:rsidRPr="00B30178">
        <w:rPr>
          <w:sz w:val="20"/>
          <w:szCs w:val="20"/>
          <w:lang w:val="en-IN" w:eastAsia="en-IN"/>
        </w:rPr>
        <w:t xml:space="preserve"> </w:t>
      </w:r>
      <w:proofErr w:type="spellStart"/>
      <w:r w:rsidRPr="00B30178">
        <w:rPr>
          <w:sz w:val="20"/>
          <w:szCs w:val="20"/>
          <w:lang w:val="en-IN" w:eastAsia="en-IN"/>
        </w:rPr>
        <w:t>hemangioendothelioma</w:t>
      </w:r>
      <w:proofErr w:type="spellEnd"/>
      <w:r w:rsidRPr="00B30178">
        <w:rPr>
          <w:sz w:val="20"/>
          <w:szCs w:val="20"/>
          <w:lang w:val="en-IN" w:eastAsia="en-IN"/>
        </w:rPr>
        <w:t xml:space="preserve">: distinctive FDG PET/CT findings with numerous multilayer lesions in a single distal extremity. Clin </w:t>
      </w:r>
      <w:proofErr w:type="spellStart"/>
      <w:r w:rsidRPr="00B30178">
        <w:rPr>
          <w:sz w:val="20"/>
          <w:szCs w:val="20"/>
          <w:lang w:val="en-IN" w:eastAsia="en-IN"/>
        </w:rPr>
        <w:t>Nucl</w:t>
      </w:r>
      <w:proofErr w:type="spellEnd"/>
      <w:r w:rsidRPr="00B30178">
        <w:rPr>
          <w:sz w:val="20"/>
          <w:szCs w:val="20"/>
          <w:lang w:val="en-IN" w:eastAsia="en-IN"/>
        </w:rPr>
        <w:t xml:space="preserve"> Med 45 (2020): 248-249. </w:t>
      </w:r>
    </w:p>
    <w:p w14:paraId="7B2C1314" w14:textId="0362A46D" w:rsidR="00B30178" w:rsidRPr="00B30178" w:rsidRDefault="00B30178" w:rsidP="00B30178">
      <w:pPr>
        <w:pStyle w:val="ListParagraph"/>
        <w:widowControl/>
        <w:numPr>
          <w:ilvl w:val="0"/>
          <w:numId w:val="42"/>
        </w:numPr>
        <w:autoSpaceDE/>
        <w:autoSpaceDN/>
        <w:spacing w:line="360" w:lineRule="auto"/>
        <w:ind w:left="714" w:hanging="357"/>
        <w:rPr>
          <w:sz w:val="20"/>
          <w:szCs w:val="20"/>
          <w:lang w:val="en-IN" w:eastAsia="en-IN"/>
        </w:rPr>
      </w:pPr>
      <w:r w:rsidRPr="00B30178">
        <w:rPr>
          <w:sz w:val="20"/>
          <w:szCs w:val="20"/>
          <w:lang w:val="en-IN" w:eastAsia="en-IN"/>
        </w:rPr>
        <w:t xml:space="preserve">Al-Qaderi A, Mansour AT. </w:t>
      </w:r>
      <w:proofErr w:type="spellStart"/>
      <w:r w:rsidRPr="00B30178">
        <w:rPr>
          <w:sz w:val="20"/>
          <w:szCs w:val="20"/>
          <w:lang w:val="en-IN" w:eastAsia="en-IN"/>
        </w:rPr>
        <w:t>Pseudomyogenic</w:t>
      </w:r>
      <w:proofErr w:type="spellEnd"/>
      <w:r w:rsidRPr="00B30178">
        <w:rPr>
          <w:sz w:val="20"/>
          <w:szCs w:val="20"/>
          <w:lang w:val="en-IN" w:eastAsia="en-IN"/>
        </w:rPr>
        <w:t xml:space="preserve"> </w:t>
      </w:r>
      <w:proofErr w:type="spellStart"/>
      <w:r w:rsidRPr="00B30178">
        <w:rPr>
          <w:sz w:val="20"/>
          <w:szCs w:val="20"/>
          <w:lang w:val="en-IN" w:eastAsia="en-IN"/>
        </w:rPr>
        <w:t>hemangioendothelioma</w:t>
      </w:r>
      <w:proofErr w:type="spellEnd"/>
      <w:r w:rsidRPr="00B30178">
        <w:rPr>
          <w:sz w:val="20"/>
          <w:szCs w:val="20"/>
          <w:lang w:val="en-IN" w:eastAsia="en-IN"/>
        </w:rPr>
        <w:t xml:space="preserve">. Arch </w:t>
      </w:r>
      <w:proofErr w:type="spellStart"/>
      <w:r w:rsidRPr="00B30178">
        <w:rPr>
          <w:sz w:val="20"/>
          <w:szCs w:val="20"/>
          <w:lang w:val="en-IN" w:eastAsia="en-IN"/>
        </w:rPr>
        <w:t>Pathol</w:t>
      </w:r>
      <w:proofErr w:type="spellEnd"/>
      <w:r w:rsidRPr="00B30178">
        <w:rPr>
          <w:sz w:val="20"/>
          <w:szCs w:val="20"/>
          <w:lang w:val="en-IN" w:eastAsia="en-IN"/>
        </w:rPr>
        <w:t xml:space="preserve"> Lab Med 143 (2019): 763-767. </w:t>
      </w:r>
    </w:p>
    <w:p w14:paraId="15B066EB" w14:textId="6E76FA82" w:rsidR="00ED6C43" w:rsidRPr="00B30178" w:rsidRDefault="00B30178" w:rsidP="00B30178">
      <w:pPr>
        <w:pStyle w:val="ListParagraph"/>
        <w:widowControl/>
        <w:numPr>
          <w:ilvl w:val="0"/>
          <w:numId w:val="42"/>
        </w:numPr>
        <w:autoSpaceDE/>
        <w:autoSpaceDN/>
        <w:spacing w:line="360" w:lineRule="auto"/>
        <w:ind w:left="714" w:hanging="357"/>
        <w:rPr>
          <w:sz w:val="14"/>
          <w:szCs w:val="14"/>
          <w:lang w:val="en-IN"/>
        </w:rPr>
      </w:pPr>
      <w:r w:rsidRPr="00B30178">
        <w:rPr>
          <w:sz w:val="20"/>
          <w:szCs w:val="20"/>
          <w:lang w:val="en-IN" w:eastAsia="en-IN"/>
        </w:rPr>
        <w:lastRenderedPageBreak/>
        <w:t xml:space="preserve">Dianat S, Yousaf H, Murugan P, et al. </w:t>
      </w:r>
      <w:proofErr w:type="spellStart"/>
      <w:r w:rsidRPr="00B30178">
        <w:rPr>
          <w:sz w:val="20"/>
          <w:szCs w:val="20"/>
          <w:lang w:val="en-IN" w:eastAsia="en-IN"/>
        </w:rPr>
        <w:t>Pseudomyogenic</w:t>
      </w:r>
      <w:proofErr w:type="spellEnd"/>
      <w:r w:rsidRPr="00B30178">
        <w:rPr>
          <w:sz w:val="20"/>
          <w:szCs w:val="20"/>
          <w:lang w:val="en-IN" w:eastAsia="en-IN"/>
        </w:rPr>
        <w:t xml:space="preserve"> </w:t>
      </w:r>
      <w:proofErr w:type="spellStart"/>
      <w:r w:rsidRPr="00B30178">
        <w:rPr>
          <w:sz w:val="20"/>
          <w:szCs w:val="20"/>
          <w:lang w:val="en-IN" w:eastAsia="en-IN"/>
        </w:rPr>
        <w:t>hemangioendothelioma</w:t>
      </w:r>
      <w:proofErr w:type="spellEnd"/>
      <w:r w:rsidRPr="00B30178">
        <w:rPr>
          <w:sz w:val="20"/>
          <w:szCs w:val="20"/>
          <w:lang w:val="en-IN" w:eastAsia="en-IN"/>
        </w:rPr>
        <w:t xml:space="preserve">: a case report and review of the literature. </w:t>
      </w:r>
      <w:proofErr w:type="spellStart"/>
      <w:r w:rsidRPr="00B30178">
        <w:rPr>
          <w:sz w:val="20"/>
          <w:szCs w:val="20"/>
          <w:lang w:val="en-IN" w:eastAsia="en-IN"/>
        </w:rPr>
        <w:t>Radiol</w:t>
      </w:r>
      <w:proofErr w:type="spellEnd"/>
      <w:r w:rsidRPr="00B30178">
        <w:rPr>
          <w:sz w:val="20"/>
          <w:szCs w:val="20"/>
          <w:lang w:val="en-IN" w:eastAsia="en-IN"/>
        </w:rPr>
        <w:t xml:space="preserve"> Case Rep 14 (2019): 1228-1232.</w:t>
      </w:r>
    </w:p>
    <w:p w14:paraId="2DEA82F0" w14:textId="77777777" w:rsidR="00510671" w:rsidRDefault="00000000">
      <w:pPr>
        <w:pStyle w:val="ListParagraph"/>
        <w:widowControl/>
        <w:autoSpaceDE/>
        <w:autoSpaceDN/>
        <w:spacing w:line="360" w:lineRule="auto"/>
        <w:ind w:left="284" w:firstLine="0"/>
        <w:contextualSpacing/>
        <w:rPr>
          <w:rFonts w:asciiTheme="majorBidi" w:hAnsiTheme="majorBidi" w:cstheme="majorBidi"/>
          <w:sz w:val="20"/>
          <w:szCs w:val="20"/>
          <w:lang w:val="en-IN"/>
        </w:rPr>
      </w:pPr>
      <w:r>
        <w:rPr>
          <w:noProof/>
        </w:rPr>
        <w:drawing>
          <wp:anchor distT="0" distB="0" distL="0" distR="0" simplePos="0" relativeHeight="251660288" behindDoc="0" locked="0" layoutInCell="1" allowOverlap="1" wp14:anchorId="0A4C7424" wp14:editId="7F22DA8E">
            <wp:simplePos x="0" y="0"/>
            <wp:positionH relativeFrom="margin">
              <wp:posOffset>-73491</wp:posOffset>
            </wp:positionH>
            <wp:positionV relativeFrom="paragraph">
              <wp:posOffset>221615</wp:posOffset>
            </wp:positionV>
            <wp:extent cx="1070610" cy="389255"/>
            <wp:effectExtent l="0" t="0" r="0" b="0"/>
            <wp:wrapNone/>
            <wp:docPr id="17"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56.png"/>
                    <pic:cNvPicPr>
                      <a:picLocks noChangeAspect="1"/>
                    </pic:cNvPicPr>
                  </pic:nvPicPr>
                  <pic:blipFill>
                    <a:blip r:embed="rId15" cstate="print"/>
                    <a:stretch>
                      <a:fillRect/>
                    </a:stretch>
                  </pic:blipFill>
                  <pic:spPr>
                    <a:xfrm>
                      <a:off x="0" y="0"/>
                      <a:ext cx="1070610" cy="389255"/>
                    </a:xfrm>
                    <a:prstGeom prst="rect">
                      <a:avLst/>
                    </a:prstGeom>
                  </pic:spPr>
                </pic:pic>
              </a:graphicData>
            </a:graphic>
          </wp:anchor>
        </w:drawing>
      </w:r>
    </w:p>
    <w:p w14:paraId="18ADF7D9" w14:textId="77777777" w:rsidR="00510671" w:rsidRDefault="00000000">
      <w:pPr>
        <w:pStyle w:val="ListParagraph"/>
        <w:widowControl/>
        <w:autoSpaceDE/>
        <w:autoSpaceDN/>
        <w:spacing w:line="360" w:lineRule="auto"/>
        <w:ind w:left="284" w:firstLine="0"/>
        <w:contextualSpacing/>
        <w:rPr>
          <w:sz w:val="20"/>
          <w:szCs w:val="20"/>
        </w:rPr>
      </w:pPr>
      <w:r>
        <w:rPr>
          <w:sz w:val="20"/>
          <w:szCs w:val="20"/>
        </w:rPr>
        <w:t xml:space="preserve">                          This article is an open access article distributed under the terms and conditions of the</w:t>
      </w:r>
    </w:p>
    <w:p w14:paraId="6509FE52" w14:textId="77777777" w:rsidR="00510671" w:rsidRDefault="00000000">
      <w:pPr>
        <w:spacing w:line="360" w:lineRule="auto"/>
        <w:ind w:left="993"/>
        <w:contextualSpacing/>
        <w:jc w:val="both"/>
        <w:rPr>
          <w:b/>
          <w:color w:val="0070C0"/>
        </w:rPr>
      </w:pPr>
      <w:r>
        <w:t xml:space="preserve">            </w:t>
      </w:r>
      <w:hyperlink r:id="rId16" w:history="1">
        <w:r w:rsidR="00510671">
          <w:rPr>
            <w:rStyle w:val="Hyperlink"/>
            <w:sz w:val="20"/>
            <w:szCs w:val="20"/>
            <w:u w:val="none"/>
          </w:rPr>
          <w:t>CreativeCommons</w:t>
        </w:r>
        <w:r w:rsidR="00510671">
          <w:rPr>
            <w:rStyle w:val="Hyperlink"/>
            <w:sz w:val="20"/>
            <w:szCs w:val="20"/>
          </w:rPr>
          <w:t>Attribution (CC-BY) license 4.0</w:t>
        </w:r>
        <w:r w:rsidR="00510671">
          <w:rPr>
            <w:rStyle w:val="Hyperlink"/>
            <w:noProof/>
            <w:sz w:val="20"/>
            <w:szCs w:val="20"/>
            <w:lang w:val="en-IN" w:eastAsia="en-IN"/>
          </w:rPr>
          <mc:AlternateContent>
            <mc:Choice Requires="wps">
              <w:drawing>
                <wp:anchor distT="0" distB="0" distL="114300" distR="114300" simplePos="0" relativeHeight="251661312" behindDoc="0" locked="0" layoutInCell="1" allowOverlap="1" wp14:anchorId="31ED5C69" wp14:editId="79FEE3EF">
                  <wp:simplePos x="0" y="0"/>
                  <wp:positionH relativeFrom="margin">
                    <wp:posOffset>-287655</wp:posOffset>
                  </wp:positionH>
                  <wp:positionV relativeFrom="paragraph">
                    <wp:posOffset>4619625</wp:posOffset>
                  </wp:positionV>
                  <wp:extent cx="6518910" cy="252095"/>
                  <wp:effectExtent l="0" t="0" r="0" b="0"/>
                  <wp:wrapNone/>
                  <wp:docPr id="11328498" name="Rectangle 5"/>
                  <wp:cNvGraphicFramePr/>
                  <a:graphic xmlns:a="http://schemas.openxmlformats.org/drawingml/2006/main">
                    <a:graphicData uri="http://schemas.microsoft.com/office/word/2010/wordprocessingShape">
                      <wps:wsp>
                        <wps:cNvSpPr/>
                        <wps:spPr>
                          <a:xfrm>
                            <a:off x="0" y="0"/>
                            <a:ext cx="6518910" cy="252095"/>
                          </a:xfrm>
                          <a:prstGeom prst="rect">
                            <a:avLst/>
                          </a:prstGeom>
                        </wps:spPr>
                        <wps:txbx>
                          <w:txbxContent>
                            <w:p w14:paraId="67D1FD60" w14:textId="77777777" w:rsidR="00510671" w:rsidRDefault="00510671"/>
                          </w:txbxContent>
                        </wps:txbx>
                        <wps:bodyPr wrap="square">
                          <a:spAutoFit/>
                        </wps:bodyPr>
                      </wps:wsp>
                    </a:graphicData>
                  </a:graphic>
                </wp:anchor>
              </w:drawing>
            </mc:Choice>
            <mc:Fallback>
              <w:pict>
                <v:rect w14:anchorId="31ED5C69" id="Rectangle 5" o:spid="_x0000_s1026" style="position:absolute;left:0;text-align:left;margin-left:-22.65pt;margin-top:363.75pt;width:513.3pt;height:19.8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" filled="f" stroked="f">
                  <v:textbox style="mso-fit-shape-to-text:t">
                    <w:txbxContent>
                      <w:p w14:paraId="67D1FD60" w14:textId="77777777" w:rsidR="00510671" w:rsidRDefault="00510671"/>
                    </w:txbxContent>
                  </v:textbox>
                  <w10:wrap anchorx="margin"/>
                </v:rect>
              </w:pict>
            </mc:Fallback>
          </mc:AlternateContent>
        </w:r>
      </w:hyperlink>
    </w:p>
    <w:sectPr w:rsidR="00510671" w:rsidSect="004D7E96">
      <w:headerReference w:type="default" r:id="rId17"/>
      <w:footerReference w:type="default" r:id="rId18"/>
      <w:pgSz w:w="12240" w:h="15840"/>
      <w:pgMar w:top="851" w:right="1467" w:bottom="1520" w:left="1200" w:header="720" w:footer="0" w:gutter="0"/>
      <w:pgNumType w:start="98"/>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E6980" w14:textId="77777777" w:rsidR="002F16A6" w:rsidRDefault="002F16A6">
      <w:r>
        <w:separator/>
      </w:r>
    </w:p>
  </w:endnote>
  <w:endnote w:type="continuationSeparator" w:id="0">
    <w:p w14:paraId="42564712" w14:textId="77777777" w:rsidR="002F16A6" w:rsidRDefault="002F1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default"/>
    <w:sig w:usb0="00000000" w:usb1="00000000" w:usb2="00000010" w:usb3="00000000" w:csb0="00000001" w:csb1="00000000"/>
  </w:font>
  <w:font w:name="Palatino Linotype">
    <w:panose1 w:val="02040502050505030304"/>
    <w:charset w:val="00"/>
    <w:family w:val="roman"/>
    <w:pitch w:val="variable"/>
    <w:sig w:usb0="E0000287" w:usb1="40000013" w:usb2="00000000" w:usb3="00000000" w:csb0="0000019F" w:csb1="00000000"/>
  </w:font>
  <w:font w:name="CG Times">
    <w:altName w:val="Segoe Print"/>
    <w:charset w:val="00"/>
    <w:family w:val="roman"/>
    <w:pitch w:val="default"/>
    <w:sig w:usb0="00000000" w:usb1="00000000" w:usb2="00000000" w:usb3="00000000" w:csb0="00000001" w:csb1="00000000"/>
  </w:font>
  <w:font w:name="함초롬바탕">
    <w:altName w:val="Malgun Gothic Semilight"/>
    <w:charset w:val="81"/>
    <w:family w:val="roman"/>
    <w:pitch w:val="default"/>
    <w:sig w:usb0="00000000" w:usb1="00000000" w:usb2="001BFDD7" w:usb3="00000001" w:csb0="001F01FF" w:csb1="00000001"/>
  </w:font>
  <w:font w:name="Gulim">
    <w:panose1 w:val="020B0600000101010101"/>
    <w:charset w:val="81"/>
    <w:family w:val="swiss"/>
    <w:pitch w:val="variable"/>
    <w:sig w:usb0="B00002AF" w:usb1="69D77CFB" w:usb2="00000030" w:usb3="00000000" w:csb0="0008009F" w:csb1="00000000"/>
  </w:font>
  <w:font w:name="PT Serif">
    <w:charset w:val="00"/>
    <w:family w:val="roman"/>
    <w:pitch w:val="variable"/>
    <w:sig w:usb0="A00002EF" w:usb1="5000204B" w:usb2="00000000" w:usb3="00000000" w:csb0="00000097"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8A2F" w14:textId="26A334B2" w:rsidR="00510671" w:rsidRDefault="00000000">
    <w:pPr>
      <w:spacing w:before="10"/>
    </w:pPr>
    <w:r>
      <w:rPr>
        <w:b/>
        <w:color w:val="2D74B5"/>
        <w:sz w:val="20"/>
      </w:rPr>
      <w:t xml:space="preserve">Journal of </w:t>
    </w:r>
    <w:proofErr w:type="spellStart"/>
    <w:r>
      <w:rPr>
        <w:b/>
        <w:color w:val="2D74B5"/>
        <w:sz w:val="20"/>
      </w:rPr>
      <w:t>Orthopaedics</w:t>
    </w:r>
    <w:proofErr w:type="spellEnd"/>
    <w:r>
      <w:rPr>
        <w:b/>
        <w:color w:val="2D74B5"/>
        <w:sz w:val="20"/>
      </w:rPr>
      <w:t xml:space="preserve"> and Sports Medicine                                                                                                           </w:t>
    </w:r>
  </w:p>
  <w:p w14:paraId="394C0A23" w14:textId="77777777" w:rsidR="00510671" w:rsidRDefault="00510671"/>
  <w:p w14:paraId="352DAB1F" w14:textId="77777777" w:rsidR="00510671" w:rsidRDefault="00510671"/>
  <w:p w14:paraId="340A85E6" w14:textId="77777777" w:rsidR="00510671" w:rsidRDefault="005106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D0F3F" w14:textId="77777777" w:rsidR="002F16A6" w:rsidRDefault="002F16A6">
      <w:r>
        <w:separator/>
      </w:r>
    </w:p>
  </w:footnote>
  <w:footnote w:type="continuationSeparator" w:id="0">
    <w:p w14:paraId="624C52F1" w14:textId="77777777" w:rsidR="002F16A6" w:rsidRDefault="002F16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BC987" w14:textId="09CB38C3" w:rsidR="00510671" w:rsidRDefault="002A637D">
    <w:pPr>
      <w:pStyle w:val="BodyText"/>
      <w:spacing w:line="14" w:lineRule="auto"/>
    </w:pPr>
    <w:r>
      <w:rPr>
        <w:noProof/>
        <w:lang w:val="en-IN" w:eastAsia="en-IN"/>
      </w:rPr>
      <mc:AlternateContent>
        <mc:Choice Requires="wps">
          <w:drawing>
            <wp:anchor distT="0" distB="0" distL="114300" distR="114300" simplePos="0" relativeHeight="251661312" behindDoc="1" locked="0" layoutInCell="1" allowOverlap="1" wp14:anchorId="5CD5328C" wp14:editId="12B60E02">
              <wp:simplePos x="0" y="0"/>
              <wp:positionH relativeFrom="margin">
                <wp:align>right</wp:align>
              </wp:positionH>
              <wp:positionV relativeFrom="page">
                <wp:posOffset>310505</wp:posOffset>
              </wp:positionV>
              <wp:extent cx="1951355" cy="165735"/>
              <wp:effectExtent l="0" t="0" r="10795" b="5715"/>
              <wp:wrapNone/>
              <wp:docPr id="7586112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355" cy="165735"/>
                      </a:xfrm>
                      <a:prstGeom prst="rect">
                        <a:avLst/>
                      </a:prstGeom>
                      <a:noFill/>
                      <a:ln>
                        <a:noFill/>
                      </a:ln>
                    </wps:spPr>
                    <wps:txbx>
                      <w:txbxContent>
                        <w:p w14:paraId="112A3C9A" w14:textId="22466D88" w:rsidR="002A637D" w:rsidRDefault="002A637D" w:rsidP="002A637D">
                          <w:pPr>
                            <w:spacing w:before="10"/>
                            <w:ind w:left="20"/>
                            <w:rPr>
                              <w:b/>
                              <w:i/>
                              <w:color w:val="2D74B5"/>
                              <w:sz w:val="20"/>
                            </w:rPr>
                          </w:pPr>
                          <w:r>
                            <w:rPr>
                              <w:b/>
                              <w:i/>
                              <w:color w:val="2D74B5"/>
                              <w:sz w:val="20"/>
                            </w:rPr>
                            <w:t>DOI:</w:t>
                          </w:r>
                          <w:r w:rsidR="0065435E" w:rsidRPr="0065435E">
                            <w:rPr>
                              <w:rFonts w:ascii="ArialMT" w:eastAsiaTheme="minorHAnsi" w:hAnsi="ArialMT" w:cs="ArialMT"/>
                              <w:color w:val="0A88CA"/>
                              <w:sz w:val="16"/>
                              <w:szCs w:val="16"/>
                              <w:lang w:val="en-IN" w:eastAsia="en-IN"/>
                            </w:rPr>
                            <w:t xml:space="preserve"> </w:t>
                          </w:r>
                          <w:r w:rsidR="0065435E" w:rsidRPr="0065435E">
                            <w:rPr>
                              <w:b/>
                              <w:i/>
                              <w:color w:val="2D74B5"/>
                              <w:sz w:val="20"/>
                              <w:lang w:val="en-IN"/>
                            </w:rPr>
                            <w:t>10.26502/josm.511500279</w:t>
                          </w:r>
                        </w:p>
                        <w:p w14:paraId="1C63979F" w14:textId="77777777" w:rsidR="002A637D" w:rsidRDefault="002A637D" w:rsidP="002A637D">
                          <w:pPr>
                            <w:spacing w:before="10"/>
                            <w:ind w:left="20"/>
                            <w:rPr>
                              <w:b/>
                              <w:i/>
                              <w:sz w:val="20"/>
                            </w:rPr>
                          </w:pPr>
                        </w:p>
                      </w:txbxContent>
                    </wps:txbx>
                    <wps:bodyPr rot="0" vert="horz" wrap="square" lIns="0" tIns="0" rIns="0" bIns="0" anchor="t" anchorCtr="0" upright="1">
                      <a:noAutofit/>
                    </wps:bodyPr>
                  </wps:wsp>
                </a:graphicData>
              </a:graphic>
            </wp:anchor>
          </w:drawing>
        </mc:Choice>
        <mc:Fallback>
          <w:pict>
            <v:shapetype w14:anchorId="5CD5328C" id="_x0000_t202" coordsize="21600,21600" o:spt="202" path="m,l,21600r21600,l21600,xe">
              <v:stroke joinstyle="miter"/>
              <v:path gradientshapeok="t" o:connecttype="rect"/>
            </v:shapetype>
            <v:shape id="Text Box 3" o:spid="_x0000_s1027" type="#_x0000_t202" style="position:absolute;margin-left:102.45pt;margin-top:24.45pt;width:153.65pt;height:13.05pt;z-index:-251655168;visibility:visible;mso-wrap-style:square;mso-wrap-distance-left:9pt;mso-wrap-distance-top:0;mso-wrap-distance-right:9pt;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" filled="f" stroked="f">
              <v:textbox inset="0,0,0,0">
                <w:txbxContent>
                  <w:p w14:paraId="112A3C9A" w14:textId="22466D88" w:rsidR="002A637D" w:rsidRDefault="002A637D" w:rsidP="002A637D">
                    <w:pPr>
                      <w:spacing w:before="10"/>
                      <w:ind w:left="20"/>
                      <w:rPr>
                        <w:b/>
                        <w:i/>
                        <w:color w:val="2D74B5"/>
                        <w:sz w:val="20"/>
                      </w:rPr>
                    </w:pPr>
                    <w:r>
                      <w:rPr>
                        <w:b/>
                        <w:i/>
                        <w:color w:val="2D74B5"/>
                        <w:sz w:val="20"/>
                      </w:rPr>
                      <w:t>DOI:</w:t>
                    </w:r>
                    <w:r w:rsidR="0065435E" w:rsidRPr="0065435E">
                      <w:rPr>
                        <w:rFonts w:ascii="ArialMT" w:eastAsiaTheme="minorHAnsi" w:hAnsi="ArialMT" w:cs="ArialMT"/>
                        <w:color w:val="0A88CA"/>
                        <w:sz w:val="16"/>
                        <w:szCs w:val="16"/>
                        <w:lang w:val="en-IN" w:eastAsia="en-IN"/>
                      </w:rPr>
                      <w:t xml:space="preserve"> </w:t>
                    </w:r>
                    <w:r w:rsidR="0065435E" w:rsidRPr="0065435E">
                      <w:rPr>
                        <w:b/>
                        <w:i/>
                        <w:color w:val="2D74B5"/>
                        <w:sz w:val="20"/>
                        <w:lang w:val="en-IN"/>
                      </w:rPr>
                      <w:t>10.26502/josm.511500279</w:t>
                    </w:r>
                  </w:p>
                  <w:p w14:paraId="1C63979F" w14:textId="77777777" w:rsidR="002A637D" w:rsidRDefault="002A637D" w:rsidP="002A637D">
                    <w:pPr>
                      <w:spacing w:before="10"/>
                      <w:ind w:left="20"/>
                      <w:rPr>
                        <w:b/>
                        <w:i/>
                        <w:sz w:val="20"/>
                      </w:rPr>
                    </w:pPr>
                  </w:p>
                </w:txbxContent>
              </v:textbox>
              <w10:wrap anchorx="margin" anchory="page"/>
            </v:shape>
          </w:pict>
        </mc:Fallback>
      </mc:AlternateContent>
    </w:r>
  </w:p>
  <w:p w14:paraId="4880DCCC" w14:textId="77777777" w:rsidR="002A637D" w:rsidRDefault="002A637D">
    <w:pPr>
      <w:pStyle w:val="BodyText"/>
      <w:spacing w:line="14" w:lineRule="auto"/>
    </w:pPr>
  </w:p>
  <w:p w14:paraId="145F3D1A" w14:textId="3D3DE01B" w:rsidR="00510671" w:rsidRDefault="00510671">
    <w:pPr>
      <w:pStyle w:val="BodyText"/>
      <w:spacing w:line="14" w:lineRule="auto"/>
    </w:pPr>
  </w:p>
  <w:p w14:paraId="24B7C811" w14:textId="68948504" w:rsidR="00510671" w:rsidRDefault="00510671">
    <w:pPr>
      <w:pStyle w:val="BodyText"/>
      <w:spacing w:line="14" w:lineRule="auto"/>
    </w:pPr>
  </w:p>
  <w:p w14:paraId="398301CD" w14:textId="77777777" w:rsidR="00510671" w:rsidRDefault="00510671">
    <w:pPr>
      <w:pStyle w:val="BodyText"/>
      <w:spacing w:line="14" w:lineRule="auto"/>
    </w:pPr>
  </w:p>
  <w:p w14:paraId="71E8F634" w14:textId="77777777" w:rsidR="00510671" w:rsidRDefault="00510671">
    <w:pPr>
      <w:pStyle w:val="BodyText"/>
      <w:spacing w:line="14" w:lineRule="auto"/>
    </w:pPr>
  </w:p>
  <w:p w14:paraId="113A15D7" w14:textId="77777777" w:rsidR="00510671" w:rsidRDefault="00510671">
    <w:pPr>
      <w:pStyle w:val="BodyText"/>
      <w:spacing w:line="14" w:lineRule="auto"/>
    </w:pPr>
  </w:p>
  <w:p w14:paraId="7C6490C6" w14:textId="77777777" w:rsidR="00510671" w:rsidRDefault="00510671">
    <w:pPr>
      <w:pStyle w:val="BodyText"/>
      <w:spacing w:line="14" w:lineRule="auto"/>
    </w:pPr>
  </w:p>
  <w:p w14:paraId="3912FA8F" w14:textId="77777777" w:rsidR="00510671" w:rsidRDefault="00510671">
    <w:pPr>
      <w:pStyle w:val="BodyText"/>
      <w:spacing w:line="14" w:lineRule="auto"/>
    </w:pPr>
  </w:p>
  <w:p w14:paraId="282318E4" w14:textId="77777777" w:rsidR="00510671" w:rsidRDefault="00510671">
    <w:pPr>
      <w:pStyle w:val="BodyText"/>
      <w:spacing w:line="14" w:lineRule="auto"/>
    </w:pPr>
  </w:p>
  <w:p w14:paraId="280C931A" w14:textId="77777777" w:rsidR="002A637D" w:rsidRDefault="002A637D">
    <w:pPr>
      <w:pStyle w:val="BodyText"/>
      <w:spacing w:line="14" w:lineRule="auto"/>
      <w:rPr>
        <w:b/>
        <w:i/>
        <w:color w:val="2D74B5"/>
        <w:szCs w:val="22"/>
      </w:rPr>
    </w:pPr>
  </w:p>
  <w:p w14:paraId="5289203A" w14:textId="77777777" w:rsidR="002A637D" w:rsidRDefault="002A637D">
    <w:pPr>
      <w:pStyle w:val="BodyText"/>
      <w:spacing w:line="14" w:lineRule="auto"/>
      <w:rPr>
        <w:b/>
        <w:i/>
        <w:color w:val="2D74B5"/>
        <w:szCs w:val="22"/>
      </w:rPr>
    </w:pPr>
  </w:p>
  <w:p w14:paraId="108F29E3" w14:textId="77777777" w:rsidR="002A637D" w:rsidRDefault="002A637D">
    <w:pPr>
      <w:pStyle w:val="BodyText"/>
      <w:spacing w:line="14" w:lineRule="auto"/>
      <w:rPr>
        <w:b/>
        <w:i/>
        <w:color w:val="2D74B5"/>
        <w:szCs w:val="22"/>
      </w:rPr>
    </w:pPr>
  </w:p>
  <w:p w14:paraId="33169A30" w14:textId="77777777" w:rsidR="002A637D" w:rsidRDefault="002A637D">
    <w:pPr>
      <w:pStyle w:val="BodyText"/>
      <w:spacing w:line="14" w:lineRule="auto"/>
      <w:rPr>
        <w:b/>
        <w:i/>
        <w:color w:val="2D74B5"/>
        <w:szCs w:val="22"/>
      </w:rPr>
    </w:pPr>
  </w:p>
  <w:p w14:paraId="1E3015EF" w14:textId="77777777" w:rsidR="002A637D" w:rsidRDefault="002A637D">
    <w:pPr>
      <w:pStyle w:val="BodyText"/>
      <w:spacing w:line="14" w:lineRule="auto"/>
      <w:rPr>
        <w:b/>
        <w:i/>
        <w:color w:val="2D74B5"/>
        <w:szCs w:val="22"/>
      </w:rPr>
    </w:pPr>
  </w:p>
  <w:p w14:paraId="0CFC535F" w14:textId="77777777" w:rsidR="002A637D" w:rsidRDefault="002A637D">
    <w:pPr>
      <w:pStyle w:val="BodyText"/>
      <w:spacing w:line="14" w:lineRule="auto"/>
      <w:rPr>
        <w:b/>
        <w:i/>
        <w:color w:val="2D74B5"/>
        <w:szCs w:val="22"/>
      </w:rPr>
    </w:pPr>
  </w:p>
  <w:p w14:paraId="5F26D38F" w14:textId="77777777" w:rsidR="002A637D" w:rsidRDefault="002A637D">
    <w:pPr>
      <w:pStyle w:val="BodyText"/>
      <w:spacing w:line="14" w:lineRule="auto"/>
      <w:rPr>
        <w:b/>
        <w:i/>
        <w:color w:val="2D74B5"/>
        <w:szCs w:val="22"/>
      </w:rPr>
    </w:pPr>
  </w:p>
  <w:p w14:paraId="5BC17227" w14:textId="77777777" w:rsidR="002A637D" w:rsidRDefault="002A637D">
    <w:pPr>
      <w:pStyle w:val="BodyText"/>
      <w:spacing w:line="14" w:lineRule="auto"/>
      <w:rPr>
        <w:b/>
        <w:i/>
        <w:color w:val="2D74B5"/>
        <w:szCs w:val="22"/>
      </w:rPr>
    </w:pPr>
  </w:p>
  <w:p w14:paraId="250A9F77" w14:textId="77777777" w:rsidR="002A637D" w:rsidRDefault="002A637D">
    <w:pPr>
      <w:pStyle w:val="BodyText"/>
      <w:spacing w:line="14" w:lineRule="auto"/>
      <w:rPr>
        <w:b/>
        <w:i/>
        <w:color w:val="2D74B5"/>
        <w:szCs w:val="22"/>
      </w:rPr>
    </w:pPr>
  </w:p>
  <w:p w14:paraId="0D065AF6" w14:textId="77777777" w:rsidR="002A637D" w:rsidRDefault="002A637D">
    <w:pPr>
      <w:pStyle w:val="BodyText"/>
      <w:spacing w:line="14" w:lineRule="auto"/>
      <w:rPr>
        <w:b/>
        <w:i/>
        <w:color w:val="2D74B5"/>
        <w:szCs w:val="22"/>
      </w:rPr>
    </w:pPr>
  </w:p>
  <w:p w14:paraId="68E31FCB" w14:textId="77777777" w:rsidR="002A637D" w:rsidRDefault="002A637D">
    <w:pPr>
      <w:pStyle w:val="BodyText"/>
      <w:spacing w:line="14" w:lineRule="auto"/>
      <w:rPr>
        <w:b/>
        <w:i/>
        <w:color w:val="2D74B5"/>
        <w:szCs w:val="22"/>
      </w:rPr>
    </w:pPr>
  </w:p>
  <w:p w14:paraId="11945A0B" w14:textId="77777777" w:rsidR="002A637D" w:rsidRDefault="002A637D">
    <w:pPr>
      <w:pStyle w:val="BodyText"/>
      <w:spacing w:line="14" w:lineRule="auto"/>
      <w:rPr>
        <w:b/>
        <w:i/>
        <w:color w:val="2D74B5"/>
        <w:szCs w:val="22"/>
      </w:rPr>
    </w:pPr>
  </w:p>
  <w:p w14:paraId="0C215F7E" w14:textId="77777777" w:rsidR="002A637D" w:rsidRDefault="002A637D">
    <w:pPr>
      <w:pStyle w:val="BodyText"/>
      <w:spacing w:line="14" w:lineRule="auto"/>
      <w:rPr>
        <w:b/>
        <w:i/>
        <w:color w:val="2D74B5"/>
        <w:szCs w:val="22"/>
      </w:rPr>
    </w:pPr>
  </w:p>
  <w:p w14:paraId="308871F8" w14:textId="77777777" w:rsidR="002A637D" w:rsidRDefault="002A637D">
    <w:pPr>
      <w:pStyle w:val="BodyText"/>
      <w:spacing w:line="14" w:lineRule="auto"/>
      <w:rPr>
        <w:b/>
        <w:i/>
        <w:color w:val="2D74B5"/>
        <w:szCs w:val="22"/>
      </w:rPr>
    </w:pPr>
  </w:p>
  <w:p w14:paraId="0AFD194C" w14:textId="77777777" w:rsidR="002A637D" w:rsidRDefault="002A637D">
    <w:pPr>
      <w:pStyle w:val="BodyText"/>
      <w:spacing w:line="14" w:lineRule="auto"/>
      <w:rPr>
        <w:b/>
        <w:i/>
        <w:color w:val="2D74B5"/>
        <w:szCs w:val="22"/>
      </w:rPr>
    </w:pPr>
  </w:p>
  <w:p w14:paraId="2AAA0B2E" w14:textId="77777777" w:rsidR="002A637D" w:rsidRDefault="002A637D">
    <w:pPr>
      <w:pStyle w:val="BodyText"/>
      <w:spacing w:line="14" w:lineRule="auto"/>
      <w:rPr>
        <w:b/>
        <w:i/>
        <w:color w:val="2D74B5"/>
        <w:szCs w:val="22"/>
      </w:rPr>
    </w:pPr>
  </w:p>
  <w:p w14:paraId="1DE45EBE" w14:textId="77777777" w:rsidR="002A637D" w:rsidRDefault="002A637D">
    <w:pPr>
      <w:pStyle w:val="BodyText"/>
      <w:spacing w:line="14" w:lineRule="auto"/>
      <w:rPr>
        <w:b/>
        <w:i/>
        <w:color w:val="2D74B5"/>
        <w:szCs w:val="22"/>
      </w:rPr>
    </w:pPr>
  </w:p>
  <w:p w14:paraId="4B5632E5" w14:textId="77777777" w:rsidR="002A637D" w:rsidRDefault="002A637D">
    <w:pPr>
      <w:pStyle w:val="BodyText"/>
      <w:spacing w:line="14" w:lineRule="auto"/>
      <w:rPr>
        <w:b/>
        <w:i/>
        <w:color w:val="2D74B5"/>
        <w:szCs w:val="22"/>
      </w:rPr>
    </w:pPr>
  </w:p>
  <w:p w14:paraId="657EAD9B" w14:textId="5D135FFC" w:rsidR="00510671" w:rsidRDefault="00000000">
    <w:pPr>
      <w:pStyle w:val="BodyText"/>
      <w:spacing w:line="14" w:lineRule="auto"/>
    </w:pPr>
    <w:r>
      <w:rPr>
        <w:noProof/>
        <w:lang w:val="en-IN" w:eastAsia="en-IN"/>
      </w:rPr>
      <mc:AlternateContent>
        <mc:Choice Requires="wps">
          <w:drawing>
            <wp:anchor distT="0" distB="0" distL="114300" distR="114300" simplePos="0" relativeHeight="251659264" behindDoc="1" locked="0" layoutInCell="1" allowOverlap="1" wp14:anchorId="0DF1004C" wp14:editId="2E2A8ABB">
              <wp:simplePos x="0" y="0"/>
              <wp:positionH relativeFrom="page">
                <wp:posOffset>862330</wp:posOffset>
              </wp:positionH>
              <wp:positionV relativeFrom="page">
                <wp:posOffset>337185</wp:posOffset>
              </wp:positionV>
              <wp:extent cx="2329815" cy="232410"/>
              <wp:effectExtent l="0" t="0" r="0" b="0"/>
              <wp:wrapNone/>
              <wp:docPr id="7895984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815" cy="232410"/>
                      </a:xfrm>
                      <a:prstGeom prst="rect">
                        <a:avLst/>
                      </a:prstGeom>
                      <a:noFill/>
                      <a:ln>
                        <a:noFill/>
                      </a:ln>
                    </wps:spPr>
                    <wps:txbx>
                      <w:txbxContent>
                        <w:p w14:paraId="55ECA5E4" w14:textId="128263CC" w:rsidR="00510671" w:rsidRDefault="00000000">
                          <w:pPr>
                            <w:spacing w:before="10"/>
                            <w:ind w:left="20"/>
                            <w:rPr>
                              <w:b/>
                              <w:i/>
                              <w:color w:val="2D74B5"/>
                              <w:sz w:val="20"/>
                            </w:rPr>
                          </w:pPr>
                          <w:r>
                            <w:rPr>
                              <w:b/>
                              <w:i/>
                              <w:color w:val="2D74B5"/>
                              <w:sz w:val="20"/>
                            </w:rPr>
                            <w:t xml:space="preserve">J Ortho Sports Med 2026 </w:t>
                          </w:r>
                        </w:p>
                      </w:txbxContent>
                    </wps:txbx>
                    <wps:bodyPr rot="0" vert="horz" wrap="square" lIns="0" tIns="0" rIns="0" bIns="0" anchor="t" anchorCtr="0" upright="1">
                      <a:noAutofit/>
                    </wps:bodyPr>
                  </wps:wsp>
                </a:graphicData>
              </a:graphic>
            </wp:anchor>
          </w:drawing>
        </mc:Choice>
        <mc:Fallback>
          <w:pict>
            <v:shape w14:anchorId="0DF1004C" id="Text Box 1" o:spid="_x0000_s1028" type="#_x0000_t202" style="position:absolute;margin-left:67.9pt;margin-top:26.55pt;width:183.45pt;height:18.3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" filled="f" stroked="f">
              <v:textbox inset="0,0,0,0">
                <w:txbxContent>
                  <w:p w14:paraId="55ECA5E4" w14:textId="128263CC" w:rsidR="00510671" w:rsidRDefault="00000000">
                    <w:pPr>
                      <w:spacing w:before="10"/>
                      <w:ind w:left="20"/>
                      <w:rPr>
                        <w:b/>
                        <w:i/>
                        <w:color w:val="2D74B5"/>
                        <w:sz w:val="20"/>
                      </w:rPr>
                    </w:pPr>
                    <w:r>
                      <w:rPr>
                        <w:b/>
                        <w:i/>
                        <w:color w:val="2D74B5"/>
                        <w:sz w:val="20"/>
                      </w:rPr>
                      <w:t xml:space="preserve">J Ortho Sports Med 2026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0" w15:restartNumberingAfterBreak="0">
    <w:nsid w:val="0638528B"/>
    <w:multiLevelType w:val="multilevel"/>
    <w:tmpl w:val="063852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DD252B6"/>
    <w:multiLevelType w:val="hybridMultilevel"/>
    <w:tmpl w:val="4768EBF6"/>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04D7AD9"/>
    <w:multiLevelType w:val="hybridMultilevel"/>
    <w:tmpl w:val="44DADFB0"/>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13" w15:restartNumberingAfterBreak="0">
    <w:nsid w:val="1C385134"/>
    <w:multiLevelType w:val="multilevel"/>
    <w:tmpl w:val="1C3851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E140B3E"/>
    <w:multiLevelType w:val="hybridMultilevel"/>
    <w:tmpl w:val="FA485A5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1EEE5AB8"/>
    <w:multiLevelType w:val="hybridMultilevel"/>
    <w:tmpl w:val="1B22713E"/>
    <w:lvl w:ilvl="0" w:tplc="8F182104">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11902FE"/>
    <w:multiLevelType w:val="multilevel"/>
    <w:tmpl w:val="211902FE"/>
    <w:lvl w:ilvl="0">
      <w:start w:val="1"/>
      <w:numFmt w:val="upperLetter"/>
      <w:pStyle w:val="Appendix"/>
      <w:suff w:val="space"/>
      <w:lvlText w:val="Appendix %1:"/>
      <w:lvlJc w:val="left"/>
      <w:pPr>
        <w:ind w:left="360" w:hanging="360"/>
      </w:pPr>
      <w:rPr>
        <w:rFonts w:ascii="Times New Roman" w:hAnsi="Times New Roman" w:hint="default"/>
        <w:b/>
        <w:i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4AE6360"/>
    <w:multiLevelType w:val="hybridMultilevel"/>
    <w:tmpl w:val="73BA116A"/>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BD3764E"/>
    <w:multiLevelType w:val="hybridMultilevel"/>
    <w:tmpl w:val="9FE833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2C086298"/>
    <w:multiLevelType w:val="hybridMultilevel"/>
    <w:tmpl w:val="6EC04654"/>
    <w:lvl w:ilvl="0" w:tplc="40090001">
      <w:start w:val="1"/>
      <w:numFmt w:val="bullet"/>
      <w:lvlText w:val=""/>
      <w:lvlJc w:val="left"/>
      <w:pPr>
        <w:ind w:left="284" w:hanging="360"/>
      </w:pPr>
      <w:rPr>
        <w:rFonts w:ascii="Symbol" w:hAnsi="Symbol" w:hint="default"/>
      </w:rPr>
    </w:lvl>
    <w:lvl w:ilvl="1" w:tplc="40090003" w:tentative="1">
      <w:start w:val="1"/>
      <w:numFmt w:val="bullet"/>
      <w:lvlText w:val="o"/>
      <w:lvlJc w:val="left"/>
      <w:pPr>
        <w:ind w:left="1004" w:hanging="360"/>
      </w:pPr>
      <w:rPr>
        <w:rFonts w:ascii="Courier New" w:hAnsi="Courier New" w:cs="Courier New" w:hint="default"/>
      </w:rPr>
    </w:lvl>
    <w:lvl w:ilvl="2" w:tplc="40090005" w:tentative="1">
      <w:start w:val="1"/>
      <w:numFmt w:val="bullet"/>
      <w:lvlText w:val=""/>
      <w:lvlJc w:val="left"/>
      <w:pPr>
        <w:ind w:left="1724" w:hanging="360"/>
      </w:pPr>
      <w:rPr>
        <w:rFonts w:ascii="Wingdings" w:hAnsi="Wingdings" w:hint="default"/>
      </w:rPr>
    </w:lvl>
    <w:lvl w:ilvl="3" w:tplc="40090001" w:tentative="1">
      <w:start w:val="1"/>
      <w:numFmt w:val="bullet"/>
      <w:lvlText w:val=""/>
      <w:lvlJc w:val="left"/>
      <w:pPr>
        <w:ind w:left="2444" w:hanging="360"/>
      </w:pPr>
      <w:rPr>
        <w:rFonts w:ascii="Symbol" w:hAnsi="Symbol" w:hint="default"/>
      </w:rPr>
    </w:lvl>
    <w:lvl w:ilvl="4" w:tplc="40090003" w:tentative="1">
      <w:start w:val="1"/>
      <w:numFmt w:val="bullet"/>
      <w:lvlText w:val="o"/>
      <w:lvlJc w:val="left"/>
      <w:pPr>
        <w:ind w:left="3164" w:hanging="360"/>
      </w:pPr>
      <w:rPr>
        <w:rFonts w:ascii="Courier New" w:hAnsi="Courier New" w:cs="Courier New" w:hint="default"/>
      </w:rPr>
    </w:lvl>
    <w:lvl w:ilvl="5" w:tplc="40090005" w:tentative="1">
      <w:start w:val="1"/>
      <w:numFmt w:val="bullet"/>
      <w:lvlText w:val=""/>
      <w:lvlJc w:val="left"/>
      <w:pPr>
        <w:ind w:left="3884" w:hanging="360"/>
      </w:pPr>
      <w:rPr>
        <w:rFonts w:ascii="Wingdings" w:hAnsi="Wingdings" w:hint="default"/>
      </w:rPr>
    </w:lvl>
    <w:lvl w:ilvl="6" w:tplc="40090001" w:tentative="1">
      <w:start w:val="1"/>
      <w:numFmt w:val="bullet"/>
      <w:lvlText w:val=""/>
      <w:lvlJc w:val="left"/>
      <w:pPr>
        <w:ind w:left="4604" w:hanging="360"/>
      </w:pPr>
      <w:rPr>
        <w:rFonts w:ascii="Symbol" w:hAnsi="Symbol" w:hint="default"/>
      </w:rPr>
    </w:lvl>
    <w:lvl w:ilvl="7" w:tplc="40090003" w:tentative="1">
      <w:start w:val="1"/>
      <w:numFmt w:val="bullet"/>
      <w:lvlText w:val="o"/>
      <w:lvlJc w:val="left"/>
      <w:pPr>
        <w:ind w:left="5324" w:hanging="360"/>
      </w:pPr>
      <w:rPr>
        <w:rFonts w:ascii="Courier New" w:hAnsi="Courier New" w:cs="Courier New" w:hint="default"/>
      </w:rPr>
    </w:lvl>
    <w:lvl w:ilvl="8" w:tplc="40090005" w:tentative="1">
      <w:start w:val="1"/>
      <w:numFmt w:val="bullet"/>
      <w:lvlText w:val=""/>
      <w:lvlJc w:val="left"/>
      <w:pPr>
        <w:ind w:left="6044" w:hanging="360"/>
      </w:pPr>
      <w:rPr>
        <w:rFonts w:ascii="Wingdings" w:hAnsi="Wingdings" w:hint="default"/>
      </w:rPr>
    </w:lvl>
  </w:abstractNum>
  <w:abstractNum w:abstractNumId="20" w15:restartNumberingAfterBreak="0">
    <w:nsid w:val="2C185C89"/>
    <w:multiLevelType w:val="multilevel"/>
    <w:tmpl w:val="C9708136"/>
    <w:lvl w:ilvl="0">
      <w:start w:val="1"/>
      <w:numFmt w:val="decimal"/>
      <w:lvlText w:val="%1."/>
      <w:lvlJc w:val="left"/>
      <w:pPr>
        <w:ind w:left="480" w:hanging="360"/>
      </w:pPr>
      <w:rPr>
        <w:b w:val="0"/>
        <w:bCs w:val="0"/>
        <w:i w:val="0"/>
        <w:iCs w:val="0"/>
        <w:smallCaps w:val="0"/>
        <w:strike w:val="0"/>
        <w:color w:val="000000"/>
        <w:sz w:val="20"/>
        <w:szCs w:val="20"/>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1" w15:restartNumberingAfterBreak="0">
    <w:nsid w:val="336724A7"/>
    <w:multiLevelType w:val="hybridMultilevel"/>
    <w:tmpl w:val="56D2289A"/>
    <w:lvl w:ilvl="0" w:tplc="9F6A51B0">
      <w:start w:val="1"/>
      <w:numFmt w:val="decimal"/>
      <w:lvlText w:val="%1."/>
      <w:lvlJc w:val="left"/>
      <w:pPr>
        <w:ind w:left="717" w:hanging="360"/>
      </w:pPr>
      <w:rPr>
        <w:rFonts w:hint="default"/>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22" w15:restartNumberingAfterBreak="0">
    <w:nsid w:val="37903E81"/>
    <w:multiLevelType w:val="hybridMultilevel"/>
    <w:tmpl w:val="277AC9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3F042EC3"/>
    <w:multiLevelType w:val="hybridMultilevel"/>
    <w:tmpl w:val="3566F270"/>
    <w:styleLink w:val="Bullets"/>
    <w:lvl w:ilvl="0" w:tplc="37563804">
      <w:start w:val="1"/>
      <w:numFmt w:val="bullet"/>
      <w:lvlText w:val="-"/>
      <w:lvlJc w:val="left"/>
      <w:pPr>
        <w:ind w:left="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1" w:tplc="6CE295E8">
      <w:start w:val="1"/>
      <w:numFmt w:val="bullet"/>
      <w:lvlText w:val="-"/>
      <w:lvlJc w:val="left"/>
      <w:pPr>
        <w:ind w:left="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2" w:tplc="634A9D5C">
      <w:start w:val="1"/>
      <w:numFmt w:val="bullet"/>
      <w:lvlText w:val="-"/>
      <w:lvlJc w:val="left"/>
      <w:pPr>
        <w:ind w:left="1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3" w:tplc="3BA69E70">
      <w:start w:val="1"/>
      <w:numFmt w:val="bullet"/>
      <w:lvlText w:val="-"/>
      <w:lvlJc w:val="left"/>
      <w:pPr>
        <w:ind w:left="19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4" w:tplc="B2607EB2">
      <w:start w:val="1"/>
      <w:numFmt w:val="bullet"/>
      <w:lvlText w:val="-"/>
      <w:lvlJc w:val="left"/>
      <w:pPr>
        <w:ind w:left="25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5" w:tplc="F8289E9C">
      <w:start w:val="1"/>
      <w:numFmt w:val="bullet"/>
      <w:lvlText w:val="-"/>
      <w:lvlJc w:val="left"/>
      <w:pPr>
        <w:ind w:left="3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6" w:tplc="75EE895C">
      <w:start w:val="1"/>
      <w:numFmt w:val="bullet"/>
      <w:lvlText w:val="-"/>
      <w:lvlJc w:val="left"/>
      <w:pPr>
        <w:ind w:left="3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7" w:tplc="0FE0533A">
      <w:start w:val="1"/>
      <w:numFmt w:val="bullet"/>
      <w:lvlText w:val="-"/>
      <w:lvlJc w:val="left"/>
      <w:pPr>
        <w:ind w:left="4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8" w:tplc="3AC2A9B8">
      <w:start w:val="1"/>
      <w:numFmt w:val="bullet"/>
      <w:lvlText w:val="-"/>
      <w:lvlJc w:val="left"/>
      <w:pPr>
        <w:ind w:left="4974" w:hanging="17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FBF35E1"/>
    <w:multiLevelType w:val="hybridMultilevel"/>
    <w:tmpl w:val="5EA441E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3FC76840"/>
    <w:multiLevelType w:val="hybridMultilevel"/>
    <w:tmpl w:val="6940240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11759A3"/>
    <w:multiLevelType w:val="hybridMultilevel"/>
    <w:tmpl w:val="3566F270"/>
    <w:numStyleLink w:val="Bullets"/>
  </w:abstractNum>
  <w:abstractNum w:abstractNumId="27" w15:restartNumberingAfterBreak="0">
    <w:nsid w:val="438D44B3"/>
    <w:multiLevelType w:val="hybridMultilevel"/>
    <w:tmpl w:val="564283FC"/>
    <w:lvl w:ilvl="0" w:tplc="1BAA908E">
      <w:start w:val="1"/>
      <w:numFmt w:val="bullet"/>
      <w:lvlText w:val=""/>
      <w:lvlJc w:val="left"/>
      <w:pPr>
        <w:ind w:left="174" w:hanging="174"/>
      </w:pPr>
      <w:rPr>
        <w:rFonts w:ascii="Symbol" w:hAnsi="Symbol" w:hint="default"/>
        <w:b/>
        <w:bCs/>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19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25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3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4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4974" w:hanging="17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475E1AF5"/>
    <w:multiLevelType w:val="hybridMultilevel"/>
    <w:tmpl w:val="E2C43C2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49F15945"/>
    <w:multiLevelType w:val="hybridMultilevel"/>
    <w:tmpl w:val="DF30E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8321A2"/>
    <w:multiLevelType w:val="hybridMultilevel"/>
    <w:tmpl w:val="F6BC4A9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13E0BE2"/>
    <w:multiLevelType w:val="hybridMultilevel"/>
    <w:tmpl w:val="30488A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578144C8"/>
    <w:multiLevelType w:val="multilevel"/>
    <w:tmpl w:val="FD507228"/>
    <w:lvl w:ilvl="0">
      <w:start w:val="1"/>
      <w:numFmt w:val="decimal"/>
      <w:lvlText w:val="%1."/>
      <w:lvlJc w:val="left"/>
      <w:pPr>
        <w:ind w:left="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3" w15:restartNumberingAfterBreak="0">
    <w:nsid w:val="5B867289"/>
    <w:multiLevelType w:val="multilevel"/>
    <w:tmpl w:val="99CEDB1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CF02EDA"/>
    <w:multiLevelType w:val="hybridMultilevel"/>
    <w:tmpl w:val="5C405E54"/>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35" w15:restartNumberingAfterBreak="0">
    <w:nsid w:val="5DBC3548"/>
    <w:multiLevelType w:val="multilevel"/>
    <w:tmpl w:val="5DBC35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E401315"/>
    <w:multiLevelType w:val="hybridMultilevel"/>
    <w:tmpl w:val="A964CDE0"/>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1726BDE"/>
    <w:multiLevelType w:val="multilevel"/>
    <w:tmpl w:val="74488C3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5D009FB"/>
    <w:multiLevelType w:val="hybridMultilevel"/>
    <w:tmpl w:val="59E2A07A"/>
    <w:lvl w:ilvl="0" w:tplc="0B88B8A6">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781340ED"/>
    <w:multiLevelType w:val="hybridMultilevel"/>
    <w:tmpl w:val="5086836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7B151C91"/>
    <w:multiLevelType w:val="multilevel"/>
    <w:tmpl w:val="2EFE3D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D991F83"/>
    <w:multiLevelType w:val="multilevel"/>
    <w:tmpl w:val="7D991F83"/>
    <w:lvl w:ilvl="0">
      <w:start w:val="1"/>
      <w:numFmt w:val="lowerLetter"/>
      <w:pStyle w:val="LetteredList"/>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42" w15:restartNumberingAfterBreak="0">
    <w:nsid w:val="7F8B554E"/>
    <w:multiLevelType w:val="multilevel"/>
    <w:tmpl w:val="9AE6C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6962066">
    <w:abstractNumId w:val="1"/>
  </w:num>
  <w:num w:numId="2" w16cid:durableId="711348094">
    <w:abstractNumId w:val="4"/>
  </w:num>
  <w:num w:numId="3" w16cid:durableId="104815105">
    <w:abstractNumId w:val="7"/>
  </w:num>
  <w:num w:numId="4" w16cid:durableId="1739353481">
    <w:abstractNumId w:val="2"/>
  </w:num>
  <w:num w:numId="5" w16cid:durableId="1346981640">
    <w:abstractNumId w:val="8"/>
  </w:num>
  <w:num w:numId="6" w16cid:durableId="1936471715">
    <w:abstractNumId w:val="0"/>
  </w:num>
  <w:num w:numId="7" w16cid:durableId="1993362140">
    <w:abstractNumId w:val="3"/>
  </w:num>
  <w:num w:numId="8" w16cid:durableId="471213836">
    <w:abstractNumId w:val="6"/>
  </w:num>
  <w:num w:numId="9" w16cid:durableId="250050024">
    <w:abstractNumId w:val="5"/>
  </w:num>
  <w:num w:numId="10" w16cid:durableId="1450472588">
    <w:abstractNumId w:val="9"/>
  </w:num>
  <w:num w:numId="11" w16cid:durableId="1707632702">
    <w:abstractNumId w:val="41"/>
  </w:num>
  <w:num w:numId="12" w16cid:durableId="1151600817">
    <w:abstractNumId w:val="16"/>
  </w:num>
  <w:num w:numId="13" w16cid:durableId="824589947">
    <w:abstractNumId w:val="13"/>
  </w:num>
  <w:num w:numId="14" w16cid:durableId="409694355">
    <w:abstractNumId w:val="10"/>
  </w:num>
  <w:num w:numId="15" w16cid:durableId="1874925837">
    <w:abstractNumId w:val="35"/>
  </w:num>
  <w:num w:numId="16" w16cid:durableId="885602809">
    <w:abstractNumId w:val="17"/>
  </w:num>
  <w:num w:numId="17" w16cid:durableId="1810516128">
    <w:abstractNumId w:val="40"/>
  </w:num>
  <w:num w:numId="18" w16cid:durableId="1788238901">
    <w:abstractNumId w:val="37"/>
  </w:num>
  <w:num w:numId="19" w16cid:durableId="1378435651">
    <w:abstractNumId w:val="33"/>
  </w:num>
  <w:num w:numId="20" w16cid:durableId="127286454">
    <w:abstractNumId w:val="25"/>
  </w:num>
  <w:num w:numId="21" w16cid:durableId="531957821">
    <w:abstractNumId w:val="18"/>
  </w:num>
  <w:num w:numId="22" w16cid:durableId="926428854">
    <w:abstractNumId w:val="22"/>
  </w:num>
  <w:num w:numId="23" w16cid:durableId="1549611874">
    <w:abstractNumId w:val="32"/>
  </w:num>
  <w:num w:numId="24" w16cid:durableId="1194001562">
    <w:abstractNumId w:val="20"/>
  </w:num>
  <w:num w:numId="25" w16cid:durableId="260988952">
    <w:abstractNumId w:val="28"/>
  </w:num>
  <w:num w:numId="26" w16cid:durableId="862748658">
    <w:abstractNumId w:val="23"/>
  </w:num>
  <w:num w:numId="27" w16cid:durableId="194854384">
    <w:abstractNumId w:val="26"/>
  </w:num>
  <w:num w:numId="28" w16cid:durableId="1861432144">
    <w:abstractNumId w:val="29"/>
  </w:num>
  <w:num w:numId="29" w16cid:durableId="1047803255">
    <w:abstractNumId w:val="36"/>
  </w:num>
  <w:num w:numId="30" w16cid:durableId="2019850118">
    <w:abstractNumId w:val="19"/>
  </w:num>
  <w:num w:numId="31" w16cid:durableId="1549680044">
    <w:abstractNumId w:val="27"/>
  </w:num>
  <w:num w:numId="32" w16cid:durableId="1535266578">
    <w:abstractNumId w:val="11"/>
  </w:num>
  <w:num w:numId="33" w16cid:durableId="1893343975">
    <w:abstractNumId w:val="14"/>
  </w:num>
  <w:num w:numId="34" w16cid:durableId="1624847771">
    <w:abstractNumId w:val="24"/>
  </w:num>
  <w:num w:numId="35" w16cid:durableId="1000473728">
    <w:abstractNumId w:val="15"/>
  </w:num>
  <w:num w:numId="36" w16cid:durableId="655839856">
    <w:abstractNumId w:val="30"/>
  </w:num>
  <w:num w:numId="37" w16cid:durableId="48307602">
    <w:abstractNumId w:val="39"/>
  </w:num>
  <w:num w:numId="38" w16cid:durableId="445278142">
    <w:abstractNumId w:val="42"/>
  </w:num>
  <w:num w:numId="39" w16cid:durableId="1686588369">
    <w:abstractNumId w:val="34"/>
  </w:num>
  <w:num w:numId="40" w16cid:durableId="781192474">
    <w:abstractNumId w:val="31"/>
  </w:num>
  <w:num w:numId="41" w16cid:durableId="1952467328">
    <w:abstractNumId w:val="38"/>
  </w:num>
  <w:num w:numId="42" w16cid:durableId="1638224140">
    <w:abstractNumId w:val="12"/>
  </w:num>
  <w:num w:numId="43" w16cid:durableId="1774259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57D"/>
    <w:rsid w:val="0000018A"/>
    <w:rsid w:val="00000191"/>
    <w:rsid w:val="000001B6"/>
    <w:rsid w:val="0000024E"/>
    <w:rsid w:val="00000497"/>
    <w:rsid w:val="000004C7"/>
    <w:rsid w:val="0000051E"/>
    <w:rsid w:val="000009D5"/>
    <w:rsid w:val="00000A20"/>
    <w:rsid w:val="00000DE2"/>
    <w:rsid w:val="00000E5B"/>
    <w:rsid w:val="000010E2"/>
    <w:rsid w:val="00001315"/>
    <w:rsid w:val="00001A3A"/>
    <w:rsid w:val="00001ED8"/>
    <w:rsid w:val="00001F0E"/>
    <w:rsid w:val="0000209E"/>
    <w:rsid w:val="0000251F"/>
    <w:rsid w:val="00002528"/>
    <w:rsid w:val="00002746"/>
    <w:rsid w:val="000032B4"/>
    <w:rsid w:val="00003315"/>
    <w:rsid w:val="00003524"/>
    <w:rsid w:val="00003534"/>
    <w:rsid w:val="00003571"/>
    <w:rsid w:val="000035D1"/>
    <w:rsid w:val="000036CC"/>
    <w:rsid w:val="0000378C"/>
    <w:rsid w:val="0000391D"/>
    <w:rsid w:val="00003B61"/>
    <w:rsid w:val="00003F92"/>
    <w:rsid w:val="00004071"/>
    <w:rsid w:val="0000413A"/>
    <w:rsid w:val="0000421B"/>
    <w:rsid w:val="00004335"/>
    <w:rsid w:val="00004345"/>
    <w:rsid w:val="000044BD"/>
    <w:rsid w:val="00004847"/>
    <w:rsid w:val="00004CC6"/>
    <w:rsid w:val="00004EA0"/>
    <w:rsid w:val="00004F87"/>
    <w:rsid w:val="00005013"/>
    <w:rsid w:val="000050E9"/>
    <w:rsid w:val="000055B9"/>
    <w:rsid w:val="00005DD3"/>
    <w:rsid w:val="00005F71"/>
    <w:rsid w:val="0000616B"/>
    <w:rsid w:val="0000657C"/>
    <w:rsid w:val="000066B9"/>
    <w:rsid w:val="000066BA"/>
    <w:rsid w:val="0000688D"/>
    <w:rsid w:val="000068C7"/>
    <w:rsid w:val="0000691F"/>
    <w:rsid w:val="000069AC"/>
    <w:rsid w:val="00006EEE"/>
    <w:rsid w:val="000070CD"/>
    <w:rsid w:val="000071DF"/>
    <w:rsid w:val="00007393"/>
    <w:rsid w:val="000075A9"/>
    <w:rsid w:val="00007983"/>
    <w:rsid w:val="000079D6"/>
    <w:rsid w:val="00007E84"/>
    <w:rsid w:val="00007FA1"/>
    <w:rsid w:val="00007FF1"/>
    <w:rsid w:val="000101D7"/>
    <w:rsid w:val="00010301"/>
    <w:rsid w:val="000104AF"/>
    <w:rsid w:val="00010525"/>
    <w:rsid w:val="000106B5"/>
    <w:rsid w:val="00010944"/>
    <w:rsid w:val="0001098D"/>
    <w:rsid w:val="000109AF"/>
    <w:rsid w:val="00010ACE"/>
    <w:rsid w:val="00010B03"/>
    <w:rsid w:val="00010BB8"/>
    <w:rsid w:val="00010D84"/>
    <w:rsid w:val="00010DAC"/>
    <w:rsid w:val="00010EFC"/>
    <w:rsid w:val="00011036"/>
    <w:rsid w:val="000112A7"/>
    <w:rsid w:val="0001133E"/>
    <w:rsid w:val="0001136B"/>
    <w:rsid w:val="000113CE"/>
    <w:rsid w:val="0001145D"/>
    <w:rsid w:val="000114E5"/>
    <w:rsid w:val="000116BB"/>
    <w:rsid w:val="0001183F"/>
    <w:rsid w:val="00011955"/>
    <w:rsid w:val="00011A5C"/>
    <w:rsid w:val="00011B90"/>
    <w:rsid w:val="00011BE5"/>
    <w:rsid w:val="00011C21"/>
    <w:rsid w:val="00011CC9"/>
    <w:rsid w:val="00011D25"/>
    <w:rsid w:val="00011D3C"/>
    <w:rsid w:val="00011DCF"/>
    <w:rsid w:val="00011EA6"/>
    <w:rsid w:val="000121FA"/>
    <w:rsid w:val="000127E0"/>
    <w:rsid w:val="000127F8"/>
    <w:rsid w:val="00012837"/>
    <w:rsid w:val="00012856"/>
    <w:rsid w:val="000128BC"/>
    <w:rsid w:val="00012A23"/>
    <w:rsid w:val="00012BA3"/>
    <w:rsid w:val="00012E99"/>
    <w:rsid w:val="000132C8"/>
    <w:rsid w:val="00013319"/>
    <w:rsid w:val="000134C2"/>
    <w:rsid w:val="000139B5"/>
    <w:rsid w:val="00013BB3"/>
    <w:rsid w:val="00013D63"/>
    <w:rsid w:val="00013DA8"/>
    <w:rsid w:val="000141DA"/>
    <w:rsid w:val="0001421C"/>
    <w:rsid w:val="000142A1"/>
    <w:rsid w:val="000142C2"/>
    <w:rsid w:val="00014546"/>
    <w:rsid w:val="00014683"/>
    <w:rsid w:val="000148B7"/>
    <w:rsid w:val="0001498F"/>
    <w:rsid w:val="00014B24"/>
    <w:rsid w:val="00014D04"/>
    <w:rsid w:val="00014E6A"/>
    <w:rsid w:val="000151AD"/>
    <w:rsid w:val="0001526E"/>
    <w:rsid w:val="00015AC8"/>
    <w:rsid w:val="00015CD3"/>
    <w:rsid w:val="00015DEB"/>
    <w:rsid w:val="00015EB6"/>
    <w:rsid w:val="00015ED5"/>
    <w:rsid w:val="00015F2C"/>
    <w:rsid w:val="00016125"/>
    <w:rsid w:val="00016515"/>
    <w:rsid w:val="00016609"/>
    <w:rsid w:val="00016642"/>
    <w:rsid w:val="00016C8F"/>
    <w:rsid w:val="00016C9A"/>
    <w:rsid w:val="00016F37"/>
    <w:rsid w:val="000170D3"/>
    <w:rsid w:val="000171D9"/>
    <w:rsid w:val="00017953"/>
    <w:rsid w:val="00017BAE"/>
    <w:rsid w:val="00017E6B"/>
    <w:rsid w:val="00017EF5"/>
    <w:rsid w:val="00020380"/>
    <w:rsid w:val="00020456"/>
    <w:rsid w:val="0002063C"/>
    <w:rsid w:val="0002071F"/>
    <w:rsid w:val="000207B1"/>
    <w:rsid w:val="000208AB"/>
    <w:rsid w:val="000209C2"/>
    <w:rsid w:val="00020D91"/>
    <w:rsid w:val="00020E28"/>
    <w:rsid w:val="00020E93"/>
    <w:rsid w:val="00020F48"/>
    <w:rsid w:val="00020FA3"/>
    <w:rsid w:val="000217E3"/>
    <w:rsid w:val="0002189D"/>
    <w:rsid w:val="00021914"/>
    <w:rsid w:val="00021CB3"/>
    <w:rsid w:val="00021F69"/>
    <w:rsid w:val="000225F8"/>
    <w:rsid w:val="00022948"/>
    <w:rsid w:val="00022AAC"/>
    <w:rsid w:val="00022CCB"/>
    <w:rsid w:val="00022DC7"/>
    <w:rsid w:val="00022DDF"/>
    <w:rsid w:val="00023927"/>
    <w:rsid w:val="00023AC8"/>
    <w:rsid w:val="00023B50"/>
    <w:rsid w:val="00023DD2"/>
    <w:rsid w:val="00023DFC"/>
    <w:rsid w:val="00024146"/>
    <w:rsid w:val="00024180"/>
    <w:rsid w:val="0002426C"/>
    <w:rsid w:val="00024831"/>
    <w:rsid w:val="00024AD3"/>
    <w:rsid w:val="00024FC0"/>
    <w:rsid w:val="00024FC1"/>
    <w:rsid w:val="000251CF"/>
    <w:rsid w:val="00025443"/>
    <w:rsid w:val="00025862"/>
    <w:rsid w:val="00025A5C"/>
    <w:rsid w:val="00025C19"/>
    <w:rsid w:val="00025E3E"/>
    <w:rsid w:val="00025E59"/>
    <w:rsid w:val="00025F57"/>
    <w:rsid w:val="00025FFB"/>
    <w:rsid w:val="00026174"/>
    <w:rsid w:val="000264F0"/>
    <w:rsid w:val="00026794"/>
    <w:rsid w:val="00026919"/>
    <w:rsid w:val="00026A32"/>
    <w:rsid w:val="00026D59"/>
    <w:rsid w:val="00026DE4"/>
    <w:rsid w:val="00026E43"/>
    <w:rsid w:val="000277E2"/>
    <w:rsid w:val="00027B37"/>
    <w:rsid w:val="00027F02"/>
    <w:rsid w:val="00027FCB"/>
    <w:rsid w:val="00030165"/>
    <w:rsid w:val="0003022D"/>
    <w:rsid w:val="00030292"/>
    <w:rsid w:val="000307F7"/>
    <w:rsid w:val="0003090C"/>
    <w:rsid w:val="00030A11"/>
    <w:rsid w:val="00030B2F"/>
    <w:rsid w:val="00030BDC"/>
    <w:rsid w:val="00030D26"/>
    <w:rsid w:val="00030E99"/>
    <w:rsid w:val="00030EC8"/>
    <w:rsid w:val="00031180"/>
    <w:rsid w:val="00031744"/>
    <w:rsid w:val="00031970"/>
    <w:rsid w:val="00031BBA"/>
    <w:rsid w:val="00031D0B"/>
    <w:rsid w:val="00031DA0"/>
    <w:rsid w:val="00031F99"/>
    <w:rsid w:val="0003288B"/>
    <w:rsid w:val="00032B7C"/>
    <w:rsid w:val="00032ECC"/>
    <w:rsid w:val="00032FE9"/>
    <w:rsid w:val="0003304B"/>
    <w:rsid w:val="000334B5"/>
    <w:rsid w:val="000337A7"/>
    <w:rsid w:val="00033C29"/>
    <w:rsid w:val="00033CF8"/>
    <w:rsid w:val="00033DAF"/>
    <w:rsid w:val="000341B3"/>
    <w:rsid w:val="000345EE"/>
    <w:rsid w:val="000345FB"/>
    <w:rsid w:val="0003483B"/>
    <w:rsid w:val="00034A48"/>
    <w:rsid w:val="00034BFE"/>
    <w:rsid w:val="00035350"/>
    <w:rsid w:val="00035497"/>
    <w:rsid w:val="000357B5"/>
    <w:rsid w:val="0003584E"/>
    <w:rsid w:val="000358BB"/>
    <w:rsid w:val="00035AA4"/>
    <w:rsid w:val="00035C5C"/>
    <w:rsid w:val="00036095"/>
    <w:rsid w:val="00036247"/>
    <w:rsid w:val="000363CC"/>
    <w:rsid w:val="000365A6"/>
    <w:rsid w:val="000365AF"/>
    <w:rsid w:val="000367A8"/>
    <w:rsid w:val="00036AF2"/>
    <w:rsid w:val="00036C62"/>
    <w:rsid w:val="00036D7F"/>
    <w:rsid w:val="000370C5"/>
    <w:rsid w:val="000372A1"/>
    <w:rsid w:val="0003753F"/>
    <w:rsid w:val="0003759B"/>
    <w:rsid w:val="0003786D"/>
    <w:rsid w:val="00037C88"/>
    <w:rsid w:val="00037D3C"/>
    <w:rsid w:val="00037F8A"/>
    <w:rsid w:val="00037FC2"/>
    <w:rsid w:val="00037FDF"/>
    <w:rsid w:val="000405C1"/>
    <w:rsid w:val="000409FE"/>
    <w:rsid w:val="00040D6E"/>
    <w:rsid w:val="00040F28"/>
    <w:rsid w:val="00040FA8"/>
    <w:rsid w:val="00040FCC"/>
    <w:rsid w:val="00041122"/>
    <w:rsid w:val="000413BD"/>
    <w:rsid w:val="000413CE"/>
    <w:rsid w:val="0004146D"/>
    <w:rsid w:val="0004149F"/>
    <w:rsid w:val="0004159A"/>
    <w:rsid w:val="0004179A"/>
    <w:rsid w:val="000419D6"/>
    <w:rsid w:val="00042186"/>
    <w:rsid w:val="00042257"/>
    <w:rsid w:val="000423A8"/>
    <w:rsid w:val="0004278D"/>
    <w:rsid w:val="00042A65"/>
    <w:rsid w:val="00042AC9"/>
    <w:rsid w:val="00042DAB"/>
    <w:rsid w:val="00042ED3"/>
    <w:rsid w:val="00043419"/>
    <w:rsid w:val="00043550"/>
    <w:rsid w:val="000437C5"/>
    <w:rsid w:val="00043951"/>
    <w:rsid w:val="00043B30"/>
    <w:rsid w:val="00043C07"/>
    <w:rsid w:val="00044041"/>
    <w:rsid w:val="00044153"/>
    <w:rsid w:val="0004420C"/>
    <w:rsid w:val="00044465"/>
    <w:rsid w:val="0004447C"/>
    <w:rsid w:val="000445FA"/>
    <w:rsid w:val="00044767"/>
    <w:rsid w:val="000448AB"/>
    <w:rsid w:val="000448D3"/>
    <w:rsid w:val="00044B3F"/>
    <w:rsid w:val="00044CD8"/>
    <w:rsid w:val="00044DA0"/>
    <w:rsid w:val="0004519B"/>
    <w:rsid w:val="00045281"/>
    <w:rsid w:val="000453FD"/>
    <w:rsid w:val="0004568D"/>
    <w:rsid w:val="00045930"/>
    <w:rsid w:val="00045991"/>
    <w:rsid w:val="00045C69"/>
    <w:rsid w:val="00045D01"/>
    <w:rsid w:val="00045FF5"/>
    <w:rsid w:val="00046054"/>
    <w:rsid w:val="00046103"/>
    <w:rsid w:val="000462F1"/>
    <w:rsid w:val="000463A6"/>
    <w:rsid w:val="00046544"/>
    <w:rsid w:val="0004660F"/>
    <w:rsid w:val="000467EF"/>
    <w:rsid w:val="0004698A"/>
    <w:rsid w:val="000469BF"/>
    <w:rsid w:val="000469DB"/>
    <w:rsid w:val="00046B1C"/>
    <w:rsid w:val="00046D24"/>
    <w:rsid w:val="00046D45"/>
    <w:rsid w:val="00046FF5"/>
    <w:rsid w:val="000470FA"/>
    <w:rsid w:val="0004727E"/>
    <w:rsid w:val="000474CE"/>
    <w:rsid w:val="000474D5"/>
    <w:rsid w:val="000476FA"/>
    <w:rsid w:val="0004774F"/>
    <w:rsid w:val="00047A9F"/>
    <w:rsid w:val="00047D31"/>
    <w:rsid w:val="00047DA0"/>
    <w:rsid w:val="00047F6A"/>
    <w:rsid w:val="0005005C"/>
    <w:rsid w:val="000501A4"/>
    <w:rsid w:val="000502B1"/>
    <w:rsid w:val="00050491"/>
    <w:rsid w:val="00050536"/>
    <w:rsid w:val="00050570"/>
    <w:rsid w:val="0005061E"/>
    <w:rsid w:val="000507A6"/>
    <w:rsid w:val="0005089E"/>
    <w:rsid w:val="000508D9"/>
    <w:rsid w:val="0005093E"/>
    <w:rsid w:val="0005097E"/>
    <w:rsid w:val="000509FB"/>
    <w:rsid w:val="00050ADD"/>
    <w:rsid w:val="00050B3A"/>
    <w:rsid w:val="00050B76"/>
    <w:rsid w:val="00050C69"/>
    <w:rsid w:val="00050DFD"/>
    <w:rsid w:val="000513E5"/>
    <w:rsid w:val="00051841"/>
    <w:rsid w:val="00051CAF"/>
    <w:rsid w:val="00051EEB"/>
    <w:rsid w:val="00051FB6"/>
    <w:rsid w:val="000524F1"/>
    <w:rsid w:val="00052A8C"/>
    <w:rsid w:val="00052DE8"/>
    <w:rsid w:val="00052FC9"/>
    <w:rsid w:val="00052FDA"/>
    <w:rsid w:val="0005314D"/>
    <w:rsid w:val="00053377"/>
    <w:rsid w:val="000534CF"/>
    <w:rsid w:val="00053671"/>
    <w:rsid w:val="00053695"/>
    <w:rsid w:val="0005371C"/>
    <w:rsid w:val="00053994"/>
    <w:rsid w:val="000539E3"/>
    <w:rsid w:val="00053AF0"/>
    <w:rsid w:val="00053E81"/>
    <w:rsid w:val="000541AB"/>
    <w:rsid w:val="0005458C"/>
    <w:rsid w:val="0005492B"/>
    <w:rsid w:val="00054C5E"/>
    <w:rsid w:val="00054DED"/>
    <w:rsid w:val="000550A2"/>
    <w:rsid w:val="00055154"/>
    <w:rsid w:val="000553DD"/>
    <w:rsid w:val="000553FD"/>
    <w:rsid w:val="00055639"/>
    <w:rsid w:val="000556AB"/>
    <w:rsid w:val="000557BB"/>
    <w:rsid w:val="00055B7F"/>
    <w:rsid w:val="00055B82"/>
    <w:rsid w:val="00055DEF"/>
    <w:rsid w:val="00055E8F"/>
    <w:rsid w:val="000561CC"/>
    <w:rsid w:val="0005627F"/>
    <w:rsid w:val="000562A6"/>
    <w:rsid w:val="00056384"/>
    <w:rsid w:val="000563A7"/>
    <w:rsid w:val="000565B1"/>
    <w:rsid w:val="000566AC"/>
    <w:rsid w:val="000566E9"/>
    <w:rsid w:val="00056915"/>
    <w:rsid w:val="00056A80"/>
    <w:rsid w:val="00056B5F"/>
    <w:rsid w:val="00056BB2"/>
    <w:rsid w:val="00056C16"/>
    <w:rsid w:val="0005704A"/>
    <w:rsid w:val="000570DE"/>
    <w:rsid w:val="00057208"/>
    <w:rsid w:val="000574AD"/>
    <w:rsid w:val="000577D5"/>
    <w:rsid w:val="000579F5"/>
    <w:rsid w:val="00057B7F"/>
    <w:rsid w:val="00057BCA"/>
    <w:rsid w:val="00057DA5"/>
    <w:rsid w:val="00057E22"/>
    <w:rsid w:val="00057F80"/>
    <w:rsid w:val="00060344"/>
    <w:rsid w:val="0006051A"/>
    <w:rsid w:val="00060618"/>
    <w:rsid w:val="000606BA"/>
    <w:rsid w:val="00060990"/>
    <w:rsid w:val="00060B13"/>
    <w:rsid w:val="00060B9F"/>
    <w:rsid w:val="00060CBC"/>
    <w:rsid w:val="00060D09"/>
    <w:rsid w:val="00060D75"/>
    <w:rsid w:val="00060F2F"/>
    <w:rsid w:val="00061121"/>
    <w:rsid w:val="00061628"/>
    <w:rsid w:val="00061674"/>
    <w:rsid w:val="00061C45"/>
    <w:rsid w:val="00061D49"/>
    <w:rsid w:val="00061E60"/>
    <w:rsid w:val="00061EB9"/>
    <w:rsid w:val="00061F51"/>
    <w:rsid w:val="00062655"/>
    <w:rsid w:val="00062D4B"/>
    <w:rsid w:val="0006317C"/>
    <w:rsid w:val="000633A7"/>
    <w:rsid w:val="00063503"/>
    <w:rsid w:val="00063630"/>
    <w:rsid w:val="00063BA2"/>
    <w:rsid w:val="00063E7F"/>
    <w:rsid w:val="0006421E"/>
    <w:rsid w:val="00064565"/>
    <w:rsid w:val="00064928"/>
    <w:rsid w:val="00064B3C"/>
    <w:rsid w:val="00064B47"/>
    <w:rsid w:val="00064F49"/>
    <w:rsid w:val="00064F62"/>
    <w:rsid w:val="000650F9"/>
    <w:rsid w:val="00065132"/>
    <w:rsid w:val="00065201"/>
    <w:rsid w:val="000654EA"/>
    <w:rsid w:val="000655BD"/>
    <w:rsid w:val="0006585D"/>
    <w:rsid w:val="000658B7"/>
    <w:rsid w:val="000659E3"/>
    <w:rsid w:val="00065B87"/>
    <w:rsid w:val="00065CDB"/>
    <w:rsid w:val="00065D7F"/>
    <w:rsid w:val="00065DE3"/>
    <w:rsid w:val="0006652E"/>
    <w:rsid w:val="000665B7"/>
    <w:rsid w:val="000667DB"/>
    <w:rsid w:val="00066934"/>
    <w:rsid w:val="000669E6"/>
    <w:rsid w:val="00066C57"/>
    <w:rsid w:val="00066E28"/>
    <w:rsid w:val="00066EC7"/>
    <w:rsid w:val="000670B0"/>
    <w:rsid w:val="0006714E"/>
    <w:rsid w:val="000673F7"/>
    <w:rsid w:val="0006750E"/>
    <w:rsid w:val="0006767E"/>
    <w:rsid w:val="00067731"/>
    <w:rsid w:val="00067758"/>
    <w:rsid w:val="00067D7F"/>
    <w:rsid w:val="00067D9B"/>
    <w:rsid w:val="00067DA4"/>
    <w:rsid w:val="00067EFA"/>
    <w:rsid w:val="0007011E"/>
    <w:rsid w:val="00070186"/>
    <w:rsid w:val="000703F9"/>
    <w:rsid w:val="00070552"/>
    <w:rsid w:val="00070797"/>
    <w:rsid w:val="00070FDA"/>
    <w:rsid w:val="00070FED"/>
    <w:rsid w:val="000710A1"/>
    <w:rsid w:val="0007128D"/>
    <w:rsid w:val="000712F8"/>
    <w:rsid w:val="000712FE"/>
    <w:rsid w:val="000714F0"/>
    <w:rsid w:val="00071603"/>
    <w:rsid w:val="00071705"/>
    <w:rsid w:val="00071DBC"/>
    <w:rsid w:val="00071F67"/>
    <w:rsid w:val="000720E6"/>
    <w:rsid w:val="0007217F"/>
    <w:rsid w:val="000721B2"/>
    <w:rsid w:val="000724D7"/>
    <w:rsid w:val="0007262B"/>
    <w:rsid w:val="000726A4"/>
    <w:rsid w:val="000726DA"/>
    <w:rsid w:val="000726FF"/>
    <w:rsid w:val="000729B1"/>
    <w:rsid w:val="00072C0C"/>
    <w:rsid w:val="00072EDF"/>
    <w:rsid w:val="000730D0"/>
    <w:rsid w:val="0007335B"/>
    <w:rsid w:val="0007352D"/>
    <w:rsid w:val="0007357D"/>
    <w:rsid w:val="000736B2"/>
    <w:rsid w:val="000736F9"/>
    <w:rsid w:val="00073AE1"/>
    <w:rsid w:val="00073D30"/>
    <w:rsid w:val="00073F52"/>
    <w:rsid w:val="000745A0"/>
    <w:rsid w:val="000746EA"/>
    <w:rsid w:val="00074ACF"/>
    <w:rsid w:val="00074AFB"/>
    <w:rsid w:val="00074C5D"/>
    <w:rsid w:val="00074EE2"/>
    <w:rsid w:val="000750E8"/>
    <w:rsid w:val="000754A7"/>
    <w:rsid w:val="0007553F"/>
    <w:rsid w:val="00075B02"/>
    <w:rsid w:val="00075B47"/>
    <w:rsid w:val="00075C31"/>
    <w:rsid w:val="00075F15"/>
    <w:rsid w:val="000761A9"/>
    <w:rsid w:val="000762C8"/>
    <w:rsid w:val="000764F8"/>
    <w:rsid w:val="00076880"/>
    <w:rsid w:val="00076912"/>
    <w:rsid w:val="00077532"/>
    <w:rsid w:val="000775E3"/>
    <w:rsid w:val="00077941"/>
    <w:rsid w:val="00077CF7"/>
    <w:rsid w:val="00080002"/>
    <w:rsid w:val="00080438"/>
    <w:rsid w:val="000807F8"/>
    <w:rsid w:val="000808DE"/>
    <w:rsid w:val="00080DFA"/>
    <w:rsid w:val="00081414"/>
    <w:rsid w:val="00081DDB"/>
    <w:rsid w:val="00081E4F"/>
    <w:rsid w:val="00081F0D"/>
    <w:rsid w:val="00081F63"/>
    <w:rsid w:val="000822F2"/>
    <w:rsid w:val="000823F2"/>
    <w:rsid w:val="000825D7"/>
    <w:rsid w:val="00082963"/>
    <w:rsid w:val="00082A3D"/>
    <w:rsid w:val="00082ACB"/>
    <w:rsid w:val="00082D7F"/>
    <w:rsid w:val="000830DC"/>
    <w:rsid w:val="000830FA"/>
    <w:rsid w:val="000832A9"/>
    <w:rsid w:val="0008332B"/>
    <w:rsid w:val="000833CC"/>
    <w:rsid w:val="000835D1"/>
    <w:rsid w:val="00083712"/>
    <w:rsid w:val="00083CFD"/>
    <w:rsid w:val="00083FD2"/>
    <w:rsid w:val="000846D4"/>
    <w:rsid w:val="000846D9"/>
    <w:rsid w:val="000849A5"/>
    <w:rsid w:val="00084AB3"/>
    <w:rsid w:val="00084DE4"/>
    <w:rsid w:val="00084DF0"/>
    <w:rsid w:val="00084E10"/>
    <w:rsid w:val="00084F62"/>
    <w:rsid w:val="00084F70"/>
    <w:rsid w:val="000850DB"/>
    <w:rsid w:val="0008522C"/>
    <w:rsid w:val="000856BE"/>
    <w:rsid w:val="00085756"/>
    <w:rsid w:val="000858FE"/>
    <w:rsid w:val="00085A6A"/>
    <w:rsid w:val="00085DDF"/>
    <w:rsid w:val="00086116"/>
    <w:rsid w:val="000862BC"/>
    <w:rsid w:val="0008632B"/>
    <w:rsid w:val="00086469"/>
    <w:rsid w:val="0008650E"/>
    <w:rsid w:val="000865C8"/>
    <w:rsid w:val="0008692D"/>
    <w:rsid w:val="00086F47"/>
    <w:rsid w:val="00086F9E"/>
    <w:rsid w:val="000870BF"/>
    <w:rsid w:val="000872FB"/>
    <w:rsid w:val="0008736E"/>
    <w:rsid w:val="00087631"/>
    <w:rsid w:val="000876EE"/>
    <w:rsid w:val="00087850"/>
    <w:rsid w:val="00087A80"/>
    <w:rsid w:val="00087D85"/>
    <w:rsid w:val="00087F4A"/>
    <w:rsid w:val="000904BB"/>
    <w:rsid w:val="0009058D"/>
    <w:rsid w:val="00090988"/>
    <w:rsid w:val="00090FAA"/>
    <w:rsid w:val="000917C4"/>
    <w:rsid w:val="00091824"/>
    <w:rsid w:val="00091C1F"/>
    <w:rsid w:val="00091C97"/>
    <w:rsid w:val="00091D53"/>
    <w:rsid w:val="00091DEC"/>
    <w:rsid w:val="00091E40"/>
    <w:rsid w:val="000920C7"/>
    <w:rsid w:val="0009262A"/>
    <w:rsid w:val="0009266A"/>
    <w:rsid w:val="0009281F"/>
    <w:rsid w:val="00092826"/>
    <w:rsid w:val="0009286A"/>
    <w:rsid w:val="00092AB1"/>
    <w:rsid w:val="00092AE7"/>
    <w:rsid w:val="00092DB7"/>
    <w:rsid w:val="00092FBF"/>
    <w:rsid w:val="0009313F"/>
    <w:rsid w:val="0009327B"/>
    <w:rsid w:val="00093457"/>
    <w:rsid w:val="0009357B"/>
    <w:rsid w:val="000936D4"/>
    <w:rsid w:val="00093DBA"/>
    <w:rsid w:val="00094A21"/>
    <w:rsid w:val="00094C4F"/>
    <w:rsid w:val="00094F50"/>
    <w:rsid w:val="000952C5"/>
    <w:rsid w:val="00095304"/>
    <w:rsid w:val="0009597A"/>
    <w:rsid w:val="00095B82"/>
    <w:rsid w:val="000960AB"/>
    <w:rsid w:val="0009610B"/>
    <w:rsid w:val="0009635C"/>
    <w:rsid w:val="000964F2"/>
    <w:rsid w:val="00096589"/>
    <w:rsid w:val="000967D8"/>
    <w:rsid w:val="0009681A"/>
    <w:rsid w:val="00096827"/>
    <w:rsid w:val="000969D3"/>
    <w:rsid w:val="00096A65"/>
    <w:rsid w:val="00096AF9"/>
    <w:rsid w:val="00096D38"/>
    <w:rsid w:val="0009709C"/>
    <w:rsid w:val="00097403"/>
    <w:rsid w:val="00097483"/>
    <w:rsid w:val="000976E3"/>
    <w:rsid w:val="000978C9"/>
    <w:rsid w:val="000979F0"/>
    <w:rsid w:val="00097A47"/>
    <w:rsid w:val="00097BA3"/>
    <w:rsid w:val="00097CE7"/>
    <w:rsid w:val="00097E15"/>
    <w:rsid w:val="000A01C4"/>
    <w:rsid w:val="000A01E5"/>
    <w:rsid w:val="000A024F"/>
    <w:rsid w:val="000A09BF"/>
    <w:rsid w:val="000A0AF1"/>
    <w:rsid w:val="000A0B09"/>
    <w:rsid w:val="000A0B9D"/>
    <w:rsid w:val="000A0BAD"/>
    <w:rsid w:val="000A1132"/>
    <w:rsid w:val="000A1331"/>
    <w:rsid w:val="000A168C"/>
    <w:rsid w:val="000A1DE8"/>
    <w:rsid w:val="000A274F"/>
    <w:rsid w:val="000A2A43"/>
    <w:rsid w:val="000A2AE1"/>
    <w:rsid w:val="000A2E0C"/>
    <w:rsid w:val="000A2E68"/>
    <w:rsid w:val="000A2E89"/>
    <w:rsid w:val="000A3228"/>
    <w:rsid w:val="000A3653"/>
    <w:rsid w:val="000A3812"/>
    <w:rsid w:val="000A391A"/>
    <w:rsid w:val="000A398A"/>
    <w:rsid w:val="000A39EB"/>
    <w:rsid w:val="000A3A06"/>
    <w:rsid w:val="000A3ED5"/>
    <w:rsid w:val="000A3F69"/>
    <w:rsid w:val="000A40A0"/>
    <w:rsid w:val="000A4239"/>
    <w:rsid w:val="000A42C8"/>
    <w:rsid w:val="000A4A14"/>
    <w:rsid w:val="000A4D65"/>
    <w:rsid w:val="000A52FE"/>
    <w:rsid w:val="000A5606"/>
    <w:rsid w:val="000A58FA"/>
    <w:rsid w:val="000A5A74"/>
    <w:rsid w:val="000A5B20"/>
    <w:rsid w:val="000A601A"/>
    <w:rsid w:val="000A6207"/>
    <w:rsid w:val="000A6640"/>
    <w:rsid w:val="000A669E"/>
    <w:rsid w:val="000A67F7"/>
    <w:rsid w:val="000A6918"/>
    <w:rsid w:val="000A6AE2"/>
    <w:rsid w:val="000A6C0E"/>
    <w:rsid w:val="000A6C8B"/>
    <w:rsid w:val="000A70B8"/>
    <w:rsid w:val="000A750B"/>
    <w:rsid w:val="000A7A94"/>
    <w:rsid w:val="000A7BA5"/>
    <w:rsid w:val="000A7D61"/>
    <w:rsid w:val="000B0587"/>
    <w:rsid w:val="000B076C"/>
    <w:rsid w:val="000B085A"/>
    <w:rsid w:val="000B09A1"/>
    <w:rsid w:val="000B0DC7"/>
    <w:rsid w:val="000B0E92"/>
    <w:rsid w:val="000B0F99"/>
    <w:rsid w:val="000B1201"/>
    <w:rsid w:val="000B14E8"/>
    <w:rsid w:val="000B15F3"/>
    <w:rsid w:val="000B16B7"/>
    <w:rsid w:val="000B19AD"/>
    <w:rsid w:val="000B1AE7"/>
    <w:rsid w:val="000B1DC2"/>
    <w:rsid w:val="000B1E8F"/>
    <w:rsid w:val="000B2122"/>
    <w:rsid w:val="000B2205"/>
    <w:rsid w:val="000B2434"/>
    <w:rsid w:val="000B24D8"/>
    <w:rsid w:val="000B2530"/>
    <w:rsid w:val="000B2591"/>
    <w:rsid w:val="000B25FC"/>
    <w:rsid w:val="000B2A71"/>
    <w:rsid w:val="000B2B5B"/>
    <w:rsid w:val="000B2C05"/>
    <w:rsid w:val="000B2C52"/>
    <w:rsid w:val="000B2D9F"/>
    <w:rsid w:val="000B2E07"/>
    <w:rsid w:val="000B2EB1"/>
    <w:rsid w:val="000B2F43"/>
    <w:rsid w:val="000B2F81"/>
    <w:rsid w:val="000B31AC"/>
    <w:rsid w:val="000B354F"/>
    <w:rsid w:val="000B3575"/>
    <w:rsid w:val="000B3754"/>
    <w:rsid w:val="000B39F7"/>
    <w:rsid w:val="000B3B73"/>
    <w:rsid w:val="000B3F0F"/>
    <w:rsid w:val="000B442B"/>
    <w:rsid w:val="000B45ED"/>
    <w:rsid w:val="000B48E6"/>
    <w:rsid w:val="000B48F8"/>
    <w:rsid w:val="000B4E07"/>
    <w:rsid w:val="000B4FEB"/>
    <w:rsid w:val="000B55DC"/>
    <w:rsid w:val="000B5837"/>
    <w:rsid w:val="000B595D"/>
    <w:rsid w:val="000B5B72"/>
    <w:rsid w:val="000B5C47"/>
    <w:rsid w:val="000B5DCE"/>
    <w:rsid w:val="000B604B"/>
    <w:rsid w:val="000B6220"/>
    <w:rsid w:val="000B64FA"/>
    <w:rsid w:val="000B6726"/>
    <w:rsid w:val="000B68C6"/>
    <w:rsid w:val="000B69AF"/>
    <w:rsid w:val="000B69C5"/>
    <w:rsid w:val="000B6A16"/>
    <w:rsid w:val="000B6B63"/>
    <w:rsid w:val="000B6BAD"/>
    <w:rsid w:val="000B6E8D"/>
    <w:rsid w:val="000B6F25"/>
    <w:rsid w:val="000B6F27"/>
    <w:rsid w:val="000B6F7F"/>
    <w:rsid w:val="000B7006"/>
    <w:rsid w:val="000B713E"/>
    <w:rsid w:val="000B7154"/>
    <w:rsid w:val="000B728C"/>
    <w:rsid w:val="000B7377"/>
    <w:rsid w:val="000B76A3"/>
    <w:rsid w:val="000B76E1"/>
    <w:rsid w:val="000B76FD"/>
    <w:rsid w:val="000B7707"/>
    <w:rsid w:val="000B7AD4"/>
    <w:rsid w:val="000B7C06"/>
    <w:rsid w:val="000B7EBB"/>
    <w:rsid w:val="000C0040"/>
    <w:rsid w:val="000C0173"/>
    <w:rsid w:val="000C0384"/>
    <w:rsid w:val="000C0532"/>
    <w:rsid w:val="000C0583"/>
    <w:rsid w:val="000C0647"/>
    <w:rsid w:val="000C0714"/>
    <w:rsid w:val="000C0838"/>
    <w:rsid w:val="000C0BFE"/>
    <w:rsid w:val="000C0CFF"/>
    <w:rsid w:val="000C0D98"/>
    <w:rsid w:val="000C100B"/>
    <w:rsid w:val="000C11F4"/>
    <w:rsid w:val="000C1403"/>
    <w:rsid w:val="000C1543"/>
    <w:rsid w:val="000C1E96"/>
    <w:rsid w:val="000C254A"/>
    <w:rsid w:val="000C2986"/>
    <w:rsid w:val="000C2E29"/>
    <w:rsid w:val="000C30A6"/>
    <w:rsid w:val="000C31F1"/>
    <w:rsid w:val="000C3297"/>
    <w:rsid w:val="000C3428"/>
    <w:rsid w:val="000C3663"/>
    <w:rsid w:val="000C38D9"/>
    <w:rsid w:val="000C3983"/>
    <w:rsid w:val="000C39EF"/>
    <w:rsid w:val="000C3A79"/>
    <w:rsid w:val="000C3ABA"/>
    <w:rsid w:val="000C3AE9"/>
    <w:rsid w:val="000C3B2B"/>
    <w:rsid w:val="000C4175"/>
    <w:rsid w:val="000C4217"/>
    <w:rsid w:val="000C4377"/>
    <w:rsid w:val="000C448C"/>
    <w:rsid w:val="000C4AC5"/>
    <w:rsid w:val="000C4EB5"/>
    <w:rsid w:val="000C4FAE"/>
    <w:rsid w:val="000C5074"/>
    <w:rsid w:val="000C515B"/>
    <w:rsid w:val="000C51F9"/>
    <w:rsid w:val="000C553B"/>
    <w:rsid w:val="000C5560"/>
    <w:rsid w:val="000C5757"/>
    <w:rsid w:val="000C5964"/>
    <w:rsid w:val="000C5B66"/>
    <w:rsid w:val="000C5B8A"/>
    <w:rsid w:val="000C5C05"/>
    <w:rsid w:val="000C5C64"/>
    <w:rsid w:val="000C5E35"/>
    <w:rsid w:val="000C6071"/>
    <w:rsid w:val="000C607B"/>
    <w:rsid w:val="000C6086"/>
    <w:rsid w:val="000C6158"/>
    <w:rsid w:val="000C6A2A"/>
    <w:rsid w:val="000C6B96"/>
    <w:rsid w:val="000C6C0F"/>
    <w:rsid w:val="000C7127"/>
    <w:rsid w:val="000C728D"/>
    <w:rsid w:val="000C7792"/>
    <w:rsid w:val="000C78A7"/>
    <w:rsid w:val="000C78C7"/>
    <w:rsid w:val="000C7B2F"/>
    <w:rsid w:val="000C7D49"/>
    <w:rsid w:val="000C7EFF"/>
    <w:rsid w:val="000C7F87"/>
    <w:rsid w:val="000D0050"/>
    <w:rsid w:val="000D091E"/>
    <w:rsid w:val="000D0930"/>
    <w:rsid w:val="000D0968"/>
    <w:rsid w:val="000D0C22"/>
    <w:rsid w:val="000D1490"/>
    <w:rsid w:val="000D1598"/>
    <w:rsid w:val="000D15BF"/>
    <w:rsid w:val="000D1931"/>
    <w:rsid w:val="000D1984"/>
    <w:rsid w:val="000D1F05"/>
    <w:rsid w:val="000D2592"/>
    <w:rsid w:val="000D2684"/>
    <w:rsid w:val="000D27D5"/>
    <w:rsid w:val="000D284D"/>
    <w:rsid w:val="000D2931"/>
    <w:rsid w:val="000D2980"/>
    <w:rsid w:val="000D2A71"/>
    <w:rsid w:val="000D3173"/>
    <w:rsid w:val="000D3363"/>
    <w:rsid w:val="000D36B6"/>
    <w:rsid w:val="000D3768"/>
    <w:rsid w:val="000D3775"/>
    <w:rsid w:val="000D382F"/>
    <w:rsid w:val="000D3C16"/>
    <w:rsid w:val="000D3D64"/>
    <w:rsid w:val="000D49AF"/>
    <w:rsid w:val="000D4BDA"/>
    <w:rsid w:val="000D4D79"/>
    <w:rsid w:val="000D4D92"/>
    <w:rsid w:val="000D4F48"/>
    <w:rsid w:val="000D54FB"/>
    <w:rsid w:val="000D557E"/>
    <w:rsid w:val="000D5720"/>
    <w:rsid w:val="000D58A3"/>
    <w:rsid w:val="000D5F99"/>
    <w:rsid w:val="000D626C"/>
    <w:rsid w:val="000D629C"/>
    <w:rsid w:val="000D6414"/>
    <w:rsid w:val="000D657F"/>
    <w:rsid w:val="000D6593"/>
    <w:rsid w:val="000D65E6"/>
    <w:rsid w:val="000D6654"/>
    <w:rsid w:val="000D6B03"/>
    <w:rsid w:val="000D6D84"/>
    <w:rsid w:val="000D7016"/>
    <w:rsid w:val="000D70B9"/>
    <w:rsid w:val="000D710C"/>
    <w:rsid w:val="000D74C9"/>
    <w:rsid w:val="000D74E2"/>
    <w:rsid w:val="000D76B1"/>
    <w:rsid w:val="000D78EC"/>
    <w:rsid w:val="000D7AAB"/>
    <w:rsid w:val="000D7BD5"/>
    <w:rsid w:val="000D7CF9"/>
    <w:rsid w:val="000D7CFF"/>
    <w:rsid w:val="000D7E80"/>
    <w:rsid w:val="000E011D"/>
    <w:rsid w:val="000E01E2"/>
    <w:rsid w:val="000E0311"/>
    <w:rsid w:val="000E055C"/>
    <w:rsid w:val="000E0694"/>
    <w:rsid w:val="000E0804"/>
    <w:rsid w:val="000E099F"/>
    <w:rsid w:val="000E0ADB"/>
    <w:rsid w:val="000E0F02"/>
    <w:rsid w:val="000E1239"/>
    <w:rsid w:val="000E12C3"/>
    <w:rsid w:val="000E154D"/>
    <w:rsid w:val="000E1771"/>
    <w:rsid w:val="000E1872"/>
    <w:rsid w:val="000E1BCB"/>
    <w:rsid w:val="000E1C6B"/>
    <w:rsid w:val="000E1F46"/>
    <w:rsid w:val="000E1F4F"/>
    <w:rsid w:val="000E21AE"/>
    <w:rsid w:val="000E21B1"/>
    <w:rsid w:val="000E23AA"/>
    <w:rsid w:val="000E2629"/>
    <w:rsid w:val="000E2794"/>
    <w:rsid w:val="000E2850"/>
    <w:rsid w:val="000E28DE"/>
    <w:rsid w:val="000E2C0A"/>
    <w:rsid w:val="000E2FAE"/>
    <w:rsid w:val="000E334D"/>
    <w:rsid w:val="000E3427"/>
    <w:rsid w:val="000E376B"/>
    <w:rsid w:val="000E37B0"/>
    <w:rsid w:val="000E380E"/>
    <w:rsid w:val="000E3A1C"/>
    <w:rsid w:val="000E3A39"/>
    <w:rsid w:val="000E3A7A"/>
    <w:rsid w:val="000E3B3C"/>
    <w:rsid w:val="000E3CDB"/>
    <w:rsid w:val="000E3FB4"/>
    <w:rsid w:val="000E41B1"/>
    <w:rsid w:val="000E4215"/>
    <w:rsid w:val="000E42BA"/>
    <w:rsid w:val="000E4500"/>
    <w:rsid w:val="000E4551"/>
    <w:rsid w:val="000E4665"/>
    <w:rsid w:val="000E4871"/>
    <w:rsid w:val="000E4878"/>
    <w:rsid w:val="000E4A49"/>
    <w:rsid w:val="000E4C16"/>
    <w:rsid w:val="000E4C31"/>
    <w:rsid w:val="000E4CE6"/>
    <w:rsid w:val="000E4DD7"/>
    <w:rsid w:val="000E4F63"/>
    <w:rsid w:val="000E4F67"/>
    <w:rsid w:val="000E5117"/>
    <w:rsid w:val="000E52A4"/>
    <w:rsid w:val="000E5423"/>
    <w:rsid w:val="000E5A74"/>
    <w:rsid w:val="000E5CB3"/>
    <w:rsid w:val="000E5CC8"/>
    <w:rsid w:val="000E5F7A"/>
    <w:rsid w:val="000E6AF7"/>
    <w:rsid w:val="000E6C9F"/>
    <w:rsid w:val="000E6F4B"/>
    <w:rsid w:val="000E6F90"/>
    <w:rsid w:val="000E7234"/>
    <w:rsid w:val="000E7309"/>
    <w:rsid w:val="000E7332"/>
    <w:rsid w:val="000E7423"/>
    <w:rsid w:val="000E76ED"/>
    <w:rsid w:val="000E7972"/>
    <w:rsid w:val="000E7D7C"/>
    <w:rsid w:val="000E7DF0"/>
    <w:rsid w:val="000E7EF5"/>
    <w:rsid w:val="000F00D7"/>
    <w:rsid w:val="000F03B2"/>
    <w:rsid w:val="000F0480"/>
    <w:rsid w:val="000F048A"/>
    <w:rsid w:val="000F06FD"/>
    <w:rsid w:val="000F0A3D"/>
    <w:rsid w:val="000F0AA0"/>
    <w:rsid w:val="000F0B24"/>
    <w:rsid w:val="000F0B4C"/>
    <w:rsid w:val="000F0BE8"/>
    <w:rsid w:val="000F0D87"/>
    <w:rsid w:val="000F0F44"/>
    <w:rsid w:val="000F110C"/>
    <w:rsid w:val="000F121C"/>
    <w:rsid w:val="000F129F"/>
    <w:rsid w:val="000F19BA"/>
    <w:rsid w:val="000F1A26"/>
    <w:rsid w:val="000F1B0F"/>
    <w:rsid w:val="000F1E7C"/>
    <w:rsid w:val="000F1F27"/>
    <w:rsid w:val="000F1FB6"/>
    <w:rsid w:val="000F1FF0"/>
    <w:rsid w:val="000F21E9"/>
    <w:rsid w:val="000F22DB"/>
    <w:rsid w:val="000F22F7"/>
    <w:rsid w:val="000F230D"/>
    <w:rsid w:val="000F24E8"/>
    <w:rsid w:val="000F27AA"/>
    <w:rsid w:val="000F2992"/>
    <w:rsid w:val="000F2E5A"/>
    <w:rsid w:val="000F2FE5"/>
    <w:rsid w:val="000F3564"/>
    <w:rsid w:val="000F362F"/>
    <w:rsid w:val="000F36FF"/>
    <w:rsid w:val="000F37B8"/>
    <w:rsid w:val="000F39E8"/>
    <w:rsid w:val="000F3A50"/>
    <w:rsid w:val="000F3CD9"/>
    <w:rsid w:val="000F3D7D"/>
    <w:rsid w:val="000F3DEF"/>
    <w:rsid w:val="000F4250"/>
    <w:rsid w:val="000F443E"/>
    <w:rsid w:val="000F4B45"/>
    <w:rsid w:val="000F50C5"/>
    <w:rsid w:val="000F52F7"/>
    <w:rsid w:val="000F5302"/>
    <w:rsid w:val="000F53CE"/>
    <w:rsid w:val="000F57BF"/>
    <w:rsid w:val="000F5A76"/>
    <w:rsid w:val="000F5E0D"/>
    <w:rsid w:val="000F6091"/>
    <w:rsid w:val="000F6182"/>
    <w:rsid w:val="000F6449"/>
    <w:rsid w:val="000F66B2"/>
    <w:rsid w:val="000F6928"/>
    <w:rsid w:val="000F69ED"/>
    <w:rsid w:val="000F6D80"/>
    <w:rsid w:val="000F6DFC"/>
    <w:rsid w:val="000F6E94"/>
    <w:rsid w:val="000F701F"/>
    <w:rsid w:val="000F7141"/>
    <w:rsid w:val="000F72D6"/>
    <w:rsid w:val="000F733E"/>
    <w:rsid w:val="000F7478"/>
    <w:rsid w:val="000F7650"/>
    <w:rsid w:val="000F76FC"/>
    <w:rsid w:val="000F7930"/>
    <w:rsid w:val="000F7959"/>
    <w:rsid w:val="000F7BB5"/>
    <w:rsid w:val="000F7BC6"/>
    <w:rsid w:val="000F7CA2"/>
    <w:rsid w:val="000F7F22"/>
    <w:rsid w:val="0010002C"/>
    <w:rsid w:val="00100158"/>
    <w:rsid w:val="00100174"/>
    <w:rsid w:val="00100AFA"/>
    <w:rsid w:val="0010140A"/>
    <w:rsid w:val="0010145C"/>
    <w:rsid w:val="00101464"/>
    <w:rsid w:val="001014C6"/>
    <w:rsid w:val="001015BF"/>
    <w:rsid w:val="00101A5D"/>
    <w:rsid w:val="00101C51"/>
    <w:rsid w:val="00102105"/>
    <w:rsid w:val="001022CB"/>
    <w:rsid w:val="0010279D"/>
    <w:rsid w:val="00102861"/>
    <w:rsid w:val="00102DAF"/>
    <w:rsid w:val="00102DC8"/>
    <w:rsid w:val="0010316C"/>
    <w:rsid w:val="00103227"/>
    <w:rsid w:val="00103267"/>
    <w:rsid w:val="00103390"/>
    <w:rsid w:val="00103637"/>
    <w:rsid w:val="00103776"/>
    <w:rsid w:val="001038E9"/>
    <w:rsid w:val="00103982"/>
    <w:rsid w:val="00103BDA"/>
    <w:rsid w:val="00103D95"/>
    <w:rsid w:val="00103E99"/>
    <w:rsid w:val="0010406F"/>
    <w:rsid w:val="001041A8"/>
    <w:rsid w:val="00104BBA"/>
    <w:rsid w:val="00104F55"/>
    <w:rsid w:val="001051B0"/>
    <w:rsid w:val="0010523A"/>
    <w:rsid w:val="00105240"/>
    <w:rsid w:val="00105B71"/>
    <w:rsid w:val="00105C7B"/>
    <w:rsid w:val="00105D90"/>
    <w:rsid w:val="00106444"/>
    <w:rsid w:val="0010647D"/>
    <w:rsid w:val="00106495"/>
    <w:rsid w:val="001064D5"/>
    <w:rsid w:val="00106557"/>
    <w:rsid w:val="001067B6"/>
    <w:rsid w:val="0010686C"/>
    <w:rsid w:val="001072C5"/>
    <w:rsid w:val="001074C8"/>
    <w:rsid w:val="00107838"/>
    <w:rsid w:val="00107888"/>
    <w:rsid w:val="001078A7"/>
    <w:rsid w:val="00107D45"/>
    <w:rsid w:val="00107DB1"/>
    <w:rsid w:val="00107E04"/>
    <w:rsid w:val="00107F2D"/>
    <w:rsid w:val="00110176"/>
    <w:rsid w:val="0011037D"/>
    <w:rsid w:val="0011079A"/>
    <w:rsid w:val="00110818"/>
    <w:rsid w:val="0011090D"/>
    <w:rsid w:val="00110A3C"/>
    <w:rsid w:val="00110A72"/>
    <w:rsid w:val="00110D21"/>
    <w:rsid w:val="00110D6B"/>
    <w:rsid w:val="00110D9A"/>
    <w:rsid w:val="00110F26"/>
    <w:rsid w:val="00111292"/>
    <w:rsid w:val="001114BD"/>
    <w:rsid w:val="001118BF"/>
    <w:rsid w:val="001119A3"/>
    <w:rsid w:val="00111A2D"/>
    <w:rsid w:val="00111CF1"/>
    <w:rsid w:val="00111EC7"/>
    <w:rsid w:val="00111FB6"/>
    <w:rsid w:val="001121F8"/>
    <w:rsid w:val="001122AB"/>
    <w:rsid w:val="001122C1"/>
    <w:rsid w:val="0011243C"/>
    <w:rsid w:val="0011298F"/>
    <w:rsid w:val="00112B9C"/>
    <w:rsid w:val="00112D4F"/>
    <w:rsid w:val="00112E97"/>
    <w:rsid w:val="001130D7"/>
    <w:rsid w:val="00113255"/>
    <w:rsid w:val="0011353E"/>
    <w:rsid w:val="0011378E"/>
    <w:rsid w:val="001137F5"/>
    <w:rsid w:val="0011394C"/>
    <w:rsid w:val="00113C3A"/>
    <w:rsid w:val="00113C62"/>
    <w:rsid w:val="00114021"/>
    <w:rsid w:val="001140AE"/>
    <w:rsid w:val="00114102"/>
    <w:rsid w:val="00114540"/>
    <w:rsid w:val="001145DB"/>
    <w:rsid w:val="00114B92"/>
    <w:rsid w:val="00114CFA"/>
    <w:rsid w:val="00114F0B"/>
    <w:rsid w:val="00114F45"/>
    <w:rsid w:val="00114F6F"/>
    <w:rsid w:val="0011543F"/>
    <w:rsid w:val="0011558B"/>
    <w:rsid w:val="001156B1"/>
    <w:rsid w:val="0011574E"/>
    <w:rsid w:val="00115779"/>
    <w:rsid w:val="0011584C"/>
    <w:rsid w:val="00115BA5"/>
    <w:rsid w:val="00115E34"/>
    <w:rsid w:val="00115E7C"/>
    <w:rsid w:val="00115F5C"/>
    <w:rsid w:val="00116142"/>
    <w:rsid w:val="001163DC"/>
    <w:rsid w:val="001163FD"/>
    <w:rsid w:val="0011640B"/>
    <w:rsid w:val="001164EE"/>
    <w:rsid w:val="0011659B"/>
    <w:rsid w:val="001165BB"/>
    <w:rsid w:val="001167D0"/>
    <w:rsid w:val="00116800"/>
    <w:rsid w:val="00116A98"/>
    <w:rsid w:val="00116B0B"/>
    <w:rsid w:val="00116B1C"/>
    <w:rsid w:val="00116E34"/>
    <w:rsid w:val="00116EA3"/>
    <w:rsid w:val="001172DC"/>
    <w:rsid w:val="00117741"/>
    <w:rsid w:val="001178B4"/>
    <w:rsid w:val="00117ACC"/>
    <w:rsid w:val="00117E60"/>
    <w:rsid w:val="001200F5"/>
    <w:rsid w:val="00120545"/>
    <w:rsid w:val="0012067B"/>
    <w:rsid w:val="00120D20"/>
    <w:rsid w:val="001210EF"/>
    <w:rsid w:val="00121168"/>
    <w:rsid w:val="0012120B"/>
    <w:rsid w:val="00121387"/>
    <w:rsid w:val="00121589"/>
    <w:rsid w:val="0012161B"/>
    <w:rsid w:val="00121625"/>
    <w:rsid w:val="00121789"/>
    <w:rsid w:val="001217F4"/>
    <w:rsid w:val="001219B3"/>
    <w:rsid w:val="00121E48"/>
    <w:rsid w:val="0012210E"/>
    <w:rsid w:val="00122219"/>
    <w:rsid w:val="00122246"/>
    <w:rsid w:val="001222A4"/>
    <w:rsid w:val="00122451"/>
    <w:rsid w:val="0012253B"/>
    <w:rsid w:val="00122681"/>
    <w:rsid w:val="0012272B"/>
    <w:rsid w:val="0012278A"/>
    <w:rsid w:val="001227A8"/>
    <w:rsid w:val="00122D73"/>
    <w:rsid w:val="00122DAD"/>
    <w:rsid w:val="00122E24"/>
    <w:rsid w:val="00122E26"/>
    <w:rsid w:val="00122E8B"/>
    <w:rsid w:val="00123541"/>
    <w:rsid w:val="00123ABF"/>
    <w:rsid w:val="00123B3D"/>
    <w:rsid w:val="00123C1E"/>
    <w:rsid w:val="00123CFD"/>
    <w:rsid w:val="00123FBD"/>
    <w:rsid w:val="001240AC"/>
    <w:rsid w:val="001240E2"/>
    <w:rsid w:val="00124656"/>
    <w:rsid w:val="00124D99"/>
    <w:rsid w:val="00124E40"/>
    <w:rsid w:val="001252D6"/>
    <w:rsid w:val="001252F0"/>
    <w:rsid w:val="00125421"/>
    <w:rsid w:val="00125607"/>
    <w:rsid w:val="00125716"/>
    <w:rsid w:val="0012576F"/>
    <w:rsid w:val="00125930"/>
    <w:rsid w:val="00125A56"/>
    <w:rsid w:val="00125D7E"/>
    <w:rsid w:val="00125F9A"/>
    <w:rsid w:val="00126234"/>
    <w:rsid w:val="001266CB"/>
    <w:rsid w:val="001269F9"/>
    <w:rsid w:val="00126A4D"/>
    <w:rsid w:val="00126A82"/>
    <w:rsid w:val="00126B34"/>
    <w:rsid w:val="00126D46"/>
    <w:rsid w:val="00127037"/>
    <w:rsid w:val="001271B1"/>
    <w:rsid w:val="00127A6B"/>
    <w:rsid w:val="00127DBB"/>
    <w:rsid w:val="00127F38"/>
    <w:rsid w:val="00127F6A"/>
    <w:rsid w:val="00130414"/>
    <w:rsid w:val="00130752"/>
    <w:rsid w:val="001307E0"/>
    <w:rsid w:val="00130815"/>
    <w:rsid w:val="0013086A"/>
    <w:rsid w:val="00130876"/>
    <w:rsid w:val="00130CE1"/>
    <w:rsid w:val="00130E5C"/>
    <w:rsid w:val="00130F41"/>
    <w:rsid w:val="00131287"/>
    <w:rsid w:val="0013133F"/>
    <w:rsid w:val="00131517"/>
    <w:rsid w:val="00131543"/>
    <w:rsid w:val="001319FF"/>
    <w:rsid w:val="00131A49"/>
    <w:rsid w:val="00131AC7"/>
    <w:rsid w:val="00131C6D"/>
    <w:rsid w:val="00131CA3"/>
    <w:rsid w:val="00132273"/>
    <w:rsid w:val="001324D8"/>
    <w:rsid w:val="001325D4"/>
    <w:rsid w:val="00132889"/>
    <w:rsid w:val="0013293C"/>
    <w:rsid w:val="00132BE1"/>
    <w:rsid w:val="00132D4F"/>
    <w:rsid w:val="00133038"/>
    <w:rsid w:val="00133745"/>
    <w:rsid w:val="00133A01"/>
    <w:rsid w:val="00133B16"/>
    <w:rsid w:val="00133E6F"/>
    <w:rsid w:val="00133F6D"/>
    <w:rsid w:val="00134050"/>
    <w:rsid w:val="001340DB"/>
    <w:rsid w:val="001346D3"/>
    <w:rsid w:val="001347AA"/>
    <w:rsid w:val="001347F9"/>
    <w:rsid w:val="001349C4"/>
    <w:rsid w:val="00134A3B"/>
    <w:rsid w:val="00134B2D"/>
    <w:rsid w:val="00134F34"/>
    <w:rsid w:val="00134F70"/>
    <w:rsid w:val="0013528A"/>
    <w:rsid w:val="001356AA"/>
    <w:rsid w:val="001359EE"/>
    <w:rsid w:val="00135B52"/>
    <w:rsid w:val="00135E91"/>
    <w:rsid w:val="00135F86"/>
    <w:rsid w:val="001365DE"/>
    <w:rsid w:val="00136A96"/>
    <w:rsid w:val="00136B55"/>
    <w:rsid w:val="00136C0C"/>
    <w:rsid w:val="00136D53"/>
    <w:rsid w:val="00136E36"/>
    <w:rsid w:val="00136E89"/>
    <w:rsid w:val="00137481"/>
    <w:rsid w:val="001374FC"/>
    <w:rsid w:val="001375E4"/>
    <w:rsid w:val="0013780C"/>
    <w:rsid w:val="00137A92"/>
    <w:rsid w:val="00137B50"/>
    <w:rsid w:val="00137E30"/>
    <w:rsid w:val="00140382"/>
    <w:rsid w:val="00140775"/>
    <w:rsid w:val="0014080B"/>
    <w:rsid w:val="00140833"/>
    <w:rsid w:val="001408CA"/>
    <w:rsid w:val="00140A16"/>
    <w:rsid w:val="00140E22"/>
    <w:rsid w:val="00140E3D"/>
    <w:rsid w:val="00140F46"/>
    <w:rsid w:val="0014108B"/>
    <w:rsid w:val="001410FF"/>
    <w:rsid w:val="0014115F"/>
    <w:rsid w:val="001413AE"/>
    <w:rsid w:val="00141731"/>
    <w:rsid w:val="001419AB"/>
    <w:rsid w:val="001419DF"/>
    <w:rsid w:val="00141AC2"/>
    <w:rsid w:val="00141C46"/>
    <w:rsid w:val="00141CD0"/>
    <w:rsid w:val="00141E0D"/>
    <w:rsid w:val="00141E5C"/>
    <w:rsid w:val="00141E83"/>
    <w:rsid w:val="00142939"/>
    <w:rsid w:val="00142F71"/>
    <w:rsid w:val="00143257"/>
    <w:rsid w:val="00143266"/>
    <w:rsid w:val="001432E1"/>
    <w:rsid w:val="001437B8"/>
    <w:rsid w:val="00143A4B"/>
    <w:rsid w:val="00143B40"/>
    <w:rsid w:val="00143C89"/>
    <w:rsid w:val="00144002"/>
    <w:rsid w:val="0014414D"/>
    <w:rsid w:val="00144227"/>
    <w:rsid w:val="0014423F"/>
    <w:rsid w:val="00144350"/>
    <w:rsid w:val="00144556"/>
    <w:rsid w:val="0014456B"/>
    <w:rsid w:val="00144B55"/>
    <w:rsid w:val="00144BB5"/>
    <w:rsid w:val="00144BD5"/>
    <w:rsid w:val="00144C56"/>
    <w:rsid w:val="00144D8D"/>
    <w:rsid w:val="00145019"/>
    <w:rsid w:val="0014511B"/>
    <w:rsid w:val="0014521C"/>
    <w:rsid w:val="001454BF"/>
    <w:rsid w:val="00145512"/>
    <w:rsid w:val="0014566F"/>
    <w:rsid w:val="00145710"/>
    <w:rsid w:val="0014588D"/>
    <w:rsid w:val="001458CB"/>
    <w:rsid w:val="0014604D"/>
    <w:rsid w:val="0014657F"/>
    <w:rsid w:val="001466B2"/>
    <w:rsid w:val="00146817"/>
    <w:rsid w:val="00146857"/>
    <w:rsid w:val="001468EB"/>
    <w:rsid w:val="00146D56"/>
    <w:rsid w:val="00146E46"/>
    <w:rsid w:val="00146FAC"/>
    <w:rsid w:val="00147074"/>
    <w:rsid w:val="00147093"/>
    <w:rsid w:val="00147184"/>
    <w:rsid w:val="0014765A"/>
    <w:rsid w:val="00147F5D"/>
    <w:rsid w:val="00150047"/>
    <w:rsid w:val="001502FD"/>
    <w:rsid w:val="0015044A"/>
    <w:rsid w:val="00150547"/>
    <w:rsid w:val="00150BCF"/>
    <w:rsid w:val="00150BE0"/>
    <w:rsid w:val="00150D09"/>
    <w:rsid w:val="00150D95"/>
    <w:rsid w:val="0015140A"/>
    <w:rsid w:val="001514AD"/>
    <w:rsid w:val="00151682"/>
    <w:rsid w:val="001518F6"/>
    <w:rsid w:val="00151C98"/>
    <w:rsid w:val="00151F3A"/>
    <w:rsid w:val="00151F52"/>
    <w:rsid w:val="00151F94"/>
    <w:rsid w:val="00152029"/>
    <w:rsid w:val="00152206"/>
    <w:rsid w:val="00152474"/>
    <w:rsid w:val="001526F1"/>
    <w:rsid w:val="001527E0"/>
    <w:rsid w:val="00152A1D"/>
    <w:rsid w:val="00152EB9"/>
    <w:rsid w:val="00152FF9"/>
    <w:rsid w:val="00153056"/>
    <w:rsid w:val="0015312D"/>
    <w:rsid w:val="00153501"/>
    <w:rsid w:val="001537B1"/>
    <w:rsid w:val="00153C29"/>
    <w:rsid w:val="00153D5E"/>
    <w:rsid w:val="00153E7C"/>
    <w:rsid w:val="00153F77"/>
    <w:rsid w:val="00154331"/>
    <w:rsid w:val="00154ADA"/>
    <w:rsid w:val="00154B4D"/>
    <w:rsid w:val="00154B83"/>
    <w:rsid w:val="00154CCB"/>
    <w:rsid w:val="00154F0A"/>
    <w:rsid w:val="0015510C"/>
    <w:rsid w:val="00155177"/>
    <w:rsid w:val="00155402"/>
    <w:rsid w:val="00155490"/>
    <w:rsid w:val="00155850"/>
    <w:rsid w:val="0015589E"/>
    <w:rsid w:val="00155981"/>
    <w:rsid w:val="00155AB7"/>
    <w:rsid w:val="00155AD4"/>
    <w:rsid w:val="00155CB0"/>
    <w:rsid w:val="00155DEA"/>
    <w:rsid w:val="001561D2"/>
    <w:rsid w:val="00156836"/>
    <w:rsid w:val="0015685E"/>
    <w:rsid w:val="00156A99"/>
    <w:rsid w:val="00156C2D"/>
    <w:rsid w:val="00156C39"/>
    <w:rsid w:val="001570DE"/>
    <w:rsid w:val="0015718A"/>
    <w:rsid w:val="0015725F"/>
    <w:rsid w:val="00157633"/>
    <w:rsid w:val="00157900"/>
    <w:rsid w:val="00157C9F"/>
    <w:rsid w:val="00157FDE"/>
    <w:rsid w:val="00160173"/>
    <w:rsid w:val="001602C7"/>
    <w:rsid w:val="001604EF"/>
    <w:rsid w:val="00160805"/>
    <w:rsid w:val="001608A1"/>
    <w:rsid w:val="00160CD2"/>
    <w:rsid w:val="00160CEF"/>
    <w:rsid w:val="00160D7A"/>
    <w:rsid w:val="00160D84"/>
    <w:rsid w:val="00160DCA"/>
    <w:rsid w:val="0016122A"/>
    <w:rsid w:val="00161234"/>
    <w:rsid w:val="00161AF1"/>
    <w:rsid w:val="00161C3C"/>
    <w:rsid w:val="00161D09"/>
    <w:rsid w:val="00161D9F"/>
    <w:rsid w:val="001620BE"/>
    <w:rsid w:val="00162154"/>
    <w:rsid w:val="00162222"/>
    <w:rsid w:val="001624E6"/>
    <w:rsid w:val="001625E0"/>
    <w:rsid w:val="001625E1"/>
    <w:rsid w:val="00162637"/>
    <w:rsid w:val="0016293B"/>
    <w:rsid w:val="00162A86"/>
    <w:rsid w:val="00162C3D"/>
    <w:rsid w:val="00162E6E"/>
    <w:rsid w:val="00162E7D"/>
    <w:rsid w:val="0016309D"/>
    <w:rsid w:val="00163105"/>
    <w:rsid w:val="0016315C"/>
    <w:rsid w:val="00163179"/>
    <w:rsid w:val="00163213"/>
    <w:rsid w:val="00163474"/>
    <w:rsid w:val="001638FF"/>
    <w:rsid w:val="0016391D"/>
    <w:rsid w:val="0016395E"/>
    <w:rsid w:val="00163AD0"/>
    <w:rsid w:val="00163EFC"/>
    <w:rsid w:val="00163F41"/>
    <w:rsid w:val="0016458E"/>
    <w:rsid w:val="001646C8"/>
    <w:rsid w:val="0016478F"/>
    <w:rsid w:val="0016507B"/>
    <w:rsid w:val="001651F9"/>
    <w:rsid w:val="001653DF"/>
    <w:rsid w:val="001654ED"/>
    <w:rsid w:val="00165785"/>
    <w:rsid w:val="001658FD"/>
    <w:rsid w:val="00165B38"/>
    <w:rsid w:val="00165B4E"/>
    <w:rsid w:val="00165CF3"/>
    <w:rsid w:val="00165EBB"/>
    <w:rsid w:val="001661A6"/>
    <w:rsid w:val="00166C76"/>
    <w:rsid w:val="0016711A"/>
    <w:rsid w:val="00167412"/>
    <w:rsid w:val="0016769D"/>
    <w:rsid w:val="0016770A"/>
    <w:rsid w:val="00167938"/>
    <w:rsid w:val="00167A55"/>
    <w:rsid w:val="00167BB2"/>
    <w:rsid w:val="00167BE2"/>
    <w:rsid w:val="00167DED"/>
    <w:rsid w:val="00167E3A"/>
    <w:rsid w:val="00167FB4"/>
    <w:rsid w:val="00170209"/>
    <w:rsid w:val="001702A4"/>
    <w:rsid w:val="001702EF"/>
    <w:rsid w:val="001703CD"/>
    <w:rsid w:val="001703E1"/>
    <w:rsid w:val="00170770"/>
    <w:rsid w:val="00170B40"/>
    <w:rsid w:val="00170CB7"/>
    <w:rsid w:val="00170CEF"/>
    <w:rsid w:val="00170CF1"/>
    <w:rsid w:val="001715B3"/>
    <w:rsid w:val="001715C5"/>
    <w:rsid w:val="001716C5"/>
    <w:rsid w:val="00171A4F"/>
    <w:rsid w:val="00171AB7"/>
    <w:rsid w:val="00171B30"/>
    <w:rsid w:val="00171B83"/>
    <w:rsid w:val="00171BD2"/>
    <w:rsid w:val="00171CA1"/>
    <w:rsid w:val="00172025"/>
    <w:rsid w:val="00172742"/>
    <w:rsid w:val="00172C41"/>
    <w:rsid w:val="00172E7C"/>
    <w:rsid w:val="0017328A"/>
    <w:rsid w:val="001732E1"/>
    <w:rsid w:val="001733A6"/>
    <w:rsid w:val="0017357C"/>
    <w:rsid w:val="0017368F"/>
    <w:rsid w:val="00173C85"/>
    <w:rsid w:val="00173D50"/>
    <w:rsid w:val="00174341"/>
    <w:rsid w:val="0017484A"/>
    <w:rsid w:val="00174859"/>
    <w:rsid w:val="001749F8"/>
    <w:rsid w:val="00174B04"/>
    <w:rsid w:val="00174CC0"/>
    <w:rsid w:val="001754F1"/>
    <w:rsid w:val="00175699"/>
    <w:rsid w:val="001756A6"/>
    <w:rsid w:val="00175729"/>
    <w:rsid w:val="0017579C"/>
    <w:rsid w:val="001759BB"/>
    <w:rsid w:val="00175A6F"/>
    <w:rsid w:val="00175C37"/>
    <w:rsid w:val="00175C5A"/>
    <w:rsid w:val="00175C8D"/>
    <w:rsid w:val="00175FAE"/>
    <w:rsid w:val="00176006"/>
    <w:rsid w:val="0017601D"/>
    <w:rsid w:val="001760C9"/>
    <w:rsid w:val="001760CF"/>
    <w:rsid w:val="001760EC"/>
    <w:rsid w:val="001761B3"/>
    <w:rsid w:val="00176300"/>
    <w:rsid w:val="0017644D"/>
    <w:rsid w:val="001764EC"/>
    <w:rsid w:val="0017652E"/>
    <w:rsid w:val="00176BEC"/>
    <w:rsid w:val="00176D21"/>
    <w:rsid w:val="00176F89"/>
    <w:rsid w:val="001773CC"/>
    <w:rsid w:val="00177432"/>
    <w:rsid w:val="00177466"/>
    <w:rsid w:val="00177615"/>
    <w:rsid w:val="00177663"/>
    <w:rsid w:val="0017793A"/>
    <w:rsid w:val="00177BA3"/>
    <w:rsid w:val="00177CD8"/>
    <w:rsid w:val="00177DE4"/>
    <w:rsid w:val="00177E6A"/>
    <w:rsid w:val="0018020E"/>
    <w:rsid w:val="001802A6"/>
    <w:rsid w:val="00181231"/>
    <w:rsid w:val="001816AF"/>
    <w:rsid w:val="0018192B"/>
    <w:rsid w:val="00181940"/>
    <w:rsid w:val="00181AC4"/>
    <w:rsid w:val="00181BB6"/>
    <w:rsid w:val="00182410"/>
    <w:rsid w:val="00182443"/>
    <w:rsid w:val="0018257F"/>
    <w:rsid w:val="001827C7"/>
    <w:rsid w:val="00182CA9"/>
    <w:rsid w:val="00182FA5"/>
    <w:rsid w:val="00183055"/>
    <w:rsid w:val="001830BB"/>
    <w:rsid w:val="00183450"/>
    <w:rsid w:val="0018374B"/>
    <w:rsid w:val="00183962"/>
    <w:rsid w:val="00183B4E"/>
    <w:rsid w:val="00183B78"/>
    <w:rsid w:val="00183B7F"/>
    <w:rsid w:val="00183CBC"/>
    <w:rsid w:val="00183D9C"/>
    <w:rsid w:val="001844AA"/>
    <w:rsid w:val="00184516"/>
    <w:rsid w:val="001845F9"/>
    <w:rsid w:val="00184789"/>
    <w:rsid w:val="0018499B"/>
    <w:rsid w:val="00184A34"/>
    <w:rsid w:val="00184AC0"/>
    <w:rsid w:val="00185201"/>
    <w:rsid w:val="00185459"/>
    <w:rsid w:val="001855D6"/>
    <w:rsid w:val="00185937"/>
    <w:rsid w:val="00185A7A"/>
    <w:rsid w:val="0018651F"/>
    <w:rsid w:val="001865BB"/>
    <w:rsid w:val="00186604"/>
    <w:rsid w:val="001866ED"/>
    <w:rsid w:val="001867ED"/>
    <w:rsid w:val="00186856"/>
    <w:rsid w:val="001869B6"/>
    <w:rsid w:val="00186AC7"/>
    <w:rsid w:val="00186B53"/>
    <w:rsid w:val="00186C88"/>
    <w:rsid w:val="00186D03"/>
    <w:rsid w:val="00186D61"/>
    <w:rsid w:val="00186F3E"/>
    <w:rsid w:val="001875E0"/>
    <w:rsid w:val="001876FD"/>
    <w:rsid w:val="00187894"/>
    <w:rsid w:val="001878AC"/>
    <w:rsid w:val="001878BC"/>
    <w:rsid w:val="0018796B"/>
    <w:rsid w:val="00187DDF"/>
    <w:rsid w:val="00190396"/>
    <w:rsid w:val="00190602"/>
    <w:rsid w:val="0019081A"/>
    <w:rsid w:val="00190A23"/>
    <w:rsid w:val="00190BE5"/>
    <w:rsid w:val="00190F1F"/>
    <w:rsid w:val="00190F9A"/>
    <w:rsid w:val="00191589"/>
    <w:rsid w:val="001915CC"/>
    <w:rsid w:val="001918BA"/>
    <w:rsid w:val="00191AA0"/>
    <w:rsid w:val="001921DF"/>
    <w:rsid w:val="001921E2"/>
    <w:rsid w:val="001923AD"/>
    <w:rsid w:val="001924C0"/>
    <w:rsid w:val="001925C2"/>
    <w:rsid w:val="00192913"/>
    <w:rsid w:val="00192A15"/>
    <w:rsid w:val="00192EA8"/>
    <w:rsid w:val="00193023"/>
    <w:rsid w:val="00193145"/>
    <w:rsid w:val="00193209"/>
    <w:rsid w:val="0019345A"/>
    <w:rsid w:val="00193645"/>
    <w:rsid w:val="00193976"/>
    <w:rsid w:val="00193A6D"/>
    <w:rsid w:val="00193C1E"/>
    <w:rsid w:val="00193E4A"/>
    <w:rsid w:val="0019402F"/>
    <w:rsid w:val="00194159"/>
    <w:rsid w:val="00194224"/>
    <w:rsid w:val="001942F3"/>
    <w:rsid w:val="001945D6"/>
    <w:rsid w:val="001946E5"/>
    <w:rsid w:val="001947F1"/>
    <w:rsid w:val="00194B35"/>
    <w:rsid w:val="00194B87"/>
    <w:rsid w:val="00194C22"/>
    <w:rsid w:val="00194CE1"/>
    <w:rsid w:val="00194E2A"/>
    <w:rsid w:val="00195102"/>
    <w:rsid w:val="00195119"/>
    <w:rsid w:val="001951CE"/>
    <w:rsid w:val="00195433"/>
    <w:rsid w:val="001957B6"/>
    <w:rsid w:val="00195A68"/>
    <w:rsid w:val="00195B76"/>
    <w:rsid w:val="00195B9A"/>
    <w:rsid w:val="00195BC4"/>
    <w:rsid w:val="00195D78"/>
    <w:rsid w:val="00195E28"/>
    <w:rsid w:val="001962A1"/>
    <w:rsid w:val="001963E9"/>
    <w:rsid w:val="001963FE"/>
    <w:rsid w:val="0019643C"/>
    <w:rsid w:val="001966CF"/>
    <w:rsid w:val="001966D2"/>
    <w:rsid w:val="00196766"/>
    <w:rsid w:val="00196A88"/>
    <w:rsid w:val="00196B56"/>
    <w:rsid w:val="00196C8D"/>
    <w:rsid w:val="00196CD4"/>
    <w:rsid w:val="00197230"/>
    <w:rsid w:val="001972A1"/>
    <w:rsid w:val="0019730D"/>
    <w:rsid w:val="00197326"/>
    <w:rsid w:val="00197385"/>
    <w:rsid w:val="0019780B"/>
    <w:rsid w:val="001978F6"/>
    <w:rsid w:val="00197F03"/>
    <w:rsid w:val="00197F22"/>
    <w:rsid w:val="001A0206"/>
    <w:rsid w:val="001A037C"/>
    <w:rsid w:val="001A040A"/>
    <w:rsid w:val="001A04C5"/>
    <w:rsid w:val="001A087D"/>
    <w:rsid w:val="001A08D9"/>
    <w:rsid w:val="001A0E9A"/>
    <w:rsid w:val="001A1120"/>
    <w:rsid w:val="001A12C0"/>
    <w:rsid w:val="001A16AA"/>
    <w:rsid w:val="001A177A"/>
    <w:rsid w:val="001A1804"/>
    <w:rsid w:val="001A19D8"/>
    <w:rsid w:val="001A1B59"/>
    <w:rsid w:val="001A20FB"/>
    <w:rsid w:val="001A257E"/>
    <w:rsid w:val="001A26B8"/>
    <w:rsid w:val="001A2A97"/>
    <w:rsid w:val="001A2AC2"/>
    <w:rsid w:val="001A2CF4"/>
    <w:rsid w:val="001A2DBC"/>
    <w:rsid w:val="001A2E39"/>
    <w:rsid w:val="001A2EA5"/>
    <w:rsid w:val="001A30B0"/>
    <w:rsid w:val="001A3114"/>
    <w:rsid w:val="001A3369"/>
    <w:rsid w:val="001A398E"/>
    <w:rsid w:val="001A3AB6"/>
    <w:rsid w:val="001A3BBD"/>
    <w:rsid w:val="001A3CCB"/>
    <w:rsid w:val="001A3E54"/>
    <w:rsid w:val="001A3F8C"/>
    <w:rsid w:val="001A40D6"/>
    <w:rsid w:val="001A40EC"/>
    <w:rsid w:val="001A4190"/>
    <w:rsid w:val="001A4235"/>
    <w:rsid w:val="001A44BC"/>
    <w:rsid w:val="001A44F5"/>
    <w:rsid w:val="001A46FA"/>
    <w:rsid w:val="001A4773"/>
    <w:rsid w:val="001A4843"/>
    <w:rsid w:val="001A4A86"/>
    <w:rsid w:val="001A4AC0"/>
    <w:rsid w:val="001A4B07"/>
    <w:rsid w:val="001A544B"/>
    <w:rsid w:val="001A5696"/>
    <w:rsid w:val="001A5896"/>
    <w:rsid w:val="001A5B1A"/>
    <w:rsid w:val="001A5F53"/>
    <w:rsid w:val="001A5F7C"/>
    <w:rsid w:val="001A5FE3"/>
    <w:rsid w:val="001A60E4"/>
    <w:rsid w:val="001A6100"/>
    <w:rsid w:val="001A6375"/>
    <w:rsid w:val="001A69BF"/>
    <w:rsid w:val="001A6A2A"/>
    <w:rsid w:val="001A6E96"/>
    <w:rsid w:val="001A7010"/>
    <w:rsid w:val="001A715F"/>
    <w:rsid w:val="001A7627"/>
    <w:rsid w:val="001A771B"/>
    <w:rsid w:val="001A77DA"/>
    <w:rsid w:val="001A7A7A"/>
    <w:rsid w:val="001A7D21"/>
    <w:rsid w:val="001A7E82"/>
    <w:rsid w:val="001A7F2F"/>
    <w:rsid w:val="001A7F45"/>
    <w:rsid w:val="001B01D8"/>
    <w:rsid w:val="001B0731"/>
    <w:rsid w:val="001B0799"/>
    <w:rsid w:val="001B09F4"/>
    <w:rsid w:val="001B0ABD"/>
    <w:rsid w:val="001B0B2D"/>
    <w:rsid w:val="001B0CC1"/>
    <w:rsid w:val="001B168E"/>
    <w:rsid w:val="001B17AF"/>
    <w:rsid w:val="001B1B60"/>
    <w:rsid w:val="001B1FFB"/>
    <w:rsid w:val="001B262F"/>
    <w:rsid w:val="001B27DC"/>
    <w:rsid w:val="001B298E"/>
    <w:rsid w:val="001B2C6A"/>
    <w:rsid w:val="001B2CDB"/>
    <w:rsid w:val="001B2D4A"/>
    <w:rsid w:val="001B30B0"/>
    <w:rsid w:val="001B323F"/>
    <w:rsid w:val="001B3606"/>
    <w:rsid w:val="001B3739"/>
    <w:rsid w:val="001B37A6"/>
    <w:rsid w:val="001B37D2"/>
    <w:rsid w:val="001B3D2F"/>
    <w:rsid w:val="001B3EE3"/>
    <w:rsid w:val="001B3FB7"/>
    <w:rsid w:val="001B429F"/>
    <w:rsid w:val="001B4534"/>
    <w:rsid w:val="001B4891"/>
    <w:rsid w:val="001B48DC"/>
    <w:rsid w:val="001B4988"/>
    <w:rsid w:val="001B49C1"/>
    <w:rsid w:val="001B4AB8"/>
    <w:rsid w:val="001B4DD6"/>
    <w:rsid w:val="001B4E3E"/>
    <w:rsid w:val="001B4E83"/>
    <w:rsid w:val="001B531F"/>
    <w:rsid w:val="001B5700"/>
    <w:rsid w:val="001B5A8E"/>
    <w:rsid w:val="001B5B46"/>
    <w:rsid w:val="001B5C6B"/>
    <w:rsid w:val="001B5EE3"/>
    <w:rsid w:val="001B5FFD"/>
    <w:rsid w:val="001B624B"/>
    <w:rsid w:val="001B6AF3"/>
    <w:rsid w:val="001B6B3F"/>
    <w:rsid w:val="001B6B41"/>
    <w:rsid w:val="001B6C15"/>
    <w:rsid w:val="001B6C5D"/>
    <w:rsid w:val="001B6EE2"/>
    <w:rsid w:val="001B6F42"/>
    <w:rsid w:val="001B6FF5"/>
    <w:rsid w:val="001B714F"/>
    <w:rsid w:val="001B7417"/>
    <w:rsid w:val="001B7548"/>
    <w:rsid w:val="001B75FE"/>
    <w:rsid w:val="001B77A1"/>
    <w:rsid w:val="001B7BFA"/>
    <w:rsid w:val="001C00DA"/>
    <w:rsid w:val="001C0210"/>
    <w:rsid w:val="001C0428"/>
    <w:rsid w:val="001C04D0"/>
    <w:rsid w:val="001C0607"/>
    <w:rsid w:val="001C08DC"/>
    <w:rsid w:val="001C113E"/>
    <w:rsid w:val="001C11DC"/>
    <w:rsid w:val="001C1466"/>
    <w:rsid w:val="001C1600"/>
    <w:rsid w:val="001C1825"/>
    <w:rsid w:val="001C199D"/>
    <w:rsid w:val="001C1D96"/>
    <w:rsid w:val="001C2021"/>
    <w:rsid w:val="001C22E7"/>
    <w:rsid w:val="001C237E"/>
    <w:rsid w:val="001C2869"/>
    <w:rsid w:val="001C2D5C"/>
    <w:rsid w:val="001C3859"/>
    <w:rsid w:val="001C3B74"/>
    <w:rsid w:val="001C3CBF"/>
    <w:rsid w:val="001C3CF0"/>
    <w:rsid w:val="001C44A3"/>
    <w:rsid w:val="001C4900"/>
    <w:rsid w:val="001C4A15"/>
    <w:rsid w:val="001C5057"/>
    <w:rsid w:val="001C50B4"/>
    <w:rsid w:val="001C5534"/>
    <w:rsid w:val="001C5672"/>
    <w:rsid w:val="001C5CE7"/>
    <w:rsid w:val="001C5CED"/>
    <w:rsid w:val="001C5D0F"/>
    <w:rsid w:val="001C5D56"/>
    <w:rsid w:val="001C5FE0"/>
    <w:rsid w:val="001C6749"/>
    <w:rsid w:val="001C6842"/>
    <w:rsid w:val="001C6964"/>
    <w:rsid w:val="001C6B99"/>
    <w:rsid w:val="001C6B9C"/>
    <w:rsid w:val="001C6CB6"/>
    <w:rsid w:val="001C6D99"/>
    <w:rsid w:val="001C70FB"/>
    <w:rsid w:val="001C71E8"/>
    <w:rsid w:val="001C72FB"/>
    <w:rsid w:val="001C73A4"/>
    <w:rsid w:val="001C7450"/>
    <w:rsid w:val="001C7509"/>
    <w:rsid w:val="001C75CF"/>
    <w:rsid w:val="001C773A"/>
    <w:rsid w:val="001C7788"/>
    <w:rsid w:val="001C77F9"/>
    <w:rsid w:val="001C7998"/>
    <w:rsid w:val="001C79DB"/>
    <w:rsid w:val="001C7B00"/>
    <w:rsid w:val="001C7D96"/>
    <w:rsid w:val="001D0242"/>
    <w:rsid w:val="001D038D"/>
    <w:rsid w:val="001D05A0"/>
    <w:rsid w:val="001D070B"/>
    <w:rsid w:val="001D074F"/>
    <w:rsid w:val="001D096F"/>
    <w:rsid w:val="001D0A53"/>
    <w:rsid w:val="001D0C3D"/>
    <w:rsid w:val="001D0DA8"/>
    <w:rsid w:val="001D0FA4"/>
    <w:rsid w:val="001D13D9"/>
    <w:rsid w:val="001D16E7"/>
    <w:rsid w:val="001D1765"/>
    <w:rsid w:val="001D1831"/>
    <w:rsid w:val="001D198E"/>
    <w:rsid w:val="001D1BEC"/>
    <w:rsid w:val="001D1BFD"/>
    <w:rsid w:val="001D1DA6"/>
    <w:rsid w:val="001D2534"/>
    <w:rsid w:val="001D288F"/>
    <w:rsid w:val="001D2B12"/>
    <w:rsid w:val="001D2C75"/>
    <w:rsid w:val="001D2D36"/>
    <w:rsid w:val="001D2E33"/>
    <w:rsid w:val="001D30A9"/>
    <w:rsid w:val="001D3322"/>
    <w:rsid w:val="001D3B3B"/>
    <w:rsid w:val="001D3CF7"/>
    <w:rsid w:val="001D3EF3"/>
    <w:rsid w:val="001D3FC4"/>
    <w:rsid w:val="001D41B6"/>
    <w:rsid w:val="001D4355"/>
    <w:rsid w:val="001D4897"/>
    <w:rsid w:val="001D4D19"/>
    <w:rsid w:val="001D5261"/>
    <w:rsid w:val="001D53C7"/>
    <w:rsid w:val="001D544A"/>
    <w:rsid w:val="001D5738"/>
    <w:rsid w:val="001D5955"/>
    <w:rsid w:val="001D5A2D"/>
    <w:rsid w:val="001D5D1F"/>
    <w:rsid w:val="001D5E03"/>
    <w:rsid w:val="001D5E77"/>
    <w:rsid w:val="001D6702"/>
    <w:rsid w:val="001D67B2"/>
    <w:rsid w:val="001D6912"/>
    <w:rsid w:val="001D70D4"/>
    <w:rsid w:val="001D7163"/>
    <w:rsid w:val="001D7169"/>
    <w:rsid w:val="001D7558"/>
    <w:rsid w:val="001D7618"/>
    <w:rsid w:val="001D77FF"/>
    <w:rsid w:val="001D7AC4"/>
    <w:rsid w:val="001D7B9C"/>
    <w:rsid w:val="001D7CE6"/>
    <w:rsid w:val="001D7DE2"/>
    <w:rsid w:val="001D7F21"/>
    <w:rsid w:val="001E00DD"/>
    <w:rsid w:val="001E0584"/>
    <w:rsid w:val="001E06E7"/>
    <w:rsid w:val="001E073A"/>
    <w:rsid w:val="001E0877"/>
    <w:rsid w:val="001E0DE6"/>
    <w:rsid w:val="001E0F40"/>
    <w:rsid w:val="001E11FC"/>
    <w:rsid w:val="001E1229"/>
    <w:rsid w:val="001E12FD"/>
    <w:rsid w:val="001E13C2"/>
    <w:rsid w:val="001E14B4"/>
    <w:rsid w:val="001E161F"/>
    <w:rsid w:val="001E177E"/>
    <w:rsid w:val="001E18AA"/>
    <w:rsid w:val="001E2121"/>
    <w:rsid w:val="001E234F"/>
    <w:rsid w:val="001E241F"/>
    <w:rsid w:val="001E246E"/>
    <w:rsid w:val="001E2780"/>
    <w:rsid w:val="001E2B7C"/>
    <w:rsid w:val="001E2C1D"/>
    <w:rsid w:val="001E2FAA"/>
    <w:rsid w:val="001E3325"/>
    <w:rsid w:val="001E347F"/>
    <w:rsid w:val="001E3486"/>
    <w:rsid w:val="001E369D"/>
    <w:rsid w:val="001E37F6"/>
    <w:rsid w:val="001E38AF"/>
    <w:rsid w:val="001E3C32"/>
    <w:rsid w:val="001E3CCE"/>
    <w:rsid w:val="001E3E4C"/>
    <w:rsid w:val="001E3EE6"/>
    <w:rsid w:val="001E409A"/>
    <w:rsid w:val="001E4190"/>
    <w:rsid w:val="001E4517"/>
    <w:rsid w:val="001E4752"/>
    <w:rsid w:val="001E49DB"/>
    <w:rsid w:val="001E4B1C"/>
    <w:rsid w:val="001E4D56"/>
    <w:rsid w:val="001E4E77"/>
    <w:rsid w:val="001E4FA5"/>
    <w:rsid w:val="001E5098"/>
    <w:rsid w:val="001E50AF"/>
    <w:rsid w:val="001E5228"/>
    <w:rsid w:val="001E5277"/>
    <w:rsid w:val="001E5356"/>
    <w:rsid w:val="001E5413"/>
    <w:rsid w:val="001E54ED"/>
    <w:rsid w:val="001E5719"/>
    <w:rsid w:val="001E572F"/>
    <w:rsid w:val="001E58E0"/>
    <w:rsid w:val="001E5C5A"/>
    <w:rsid w:val="001E6015"/>
    <w:rsid w:val="001E6300"/>
    <w:rsid w:val="001E638A"/>
    <w:rsid w:val="001E6A55"/>
    <w:rsid w:val="001E6D6A"/>
    <w:rsid w:val="001E6E40"/>
    <w:rsid w:val="001E6E4F"/>
    <w:rsid w:val="001E6F1B"/>
    <w:rsid w:val="001E713C"/>
    <w:rsid w:val="001E717C"/>
    <w:rsid w:val="001E71BD"/>
    <w:rsid w:val="001E7273"/>
    <w:rsid w:val="001E7424"/>
    <w:rsid w:val="001E7585"/>
    <w:rsid w:val="001E7616"/>
    <w:rsid w:val="001E76E1"/>
    <w:rsid w:val="001E7AAB"/>
    <w:rsid w:val="001E7C19"/>
    <w:rsid w:val="001E7CC7"/>
    <w:rsid w:val="001E7DD9"/>
    <w:rsid w:val="001F0674"/>
    <w:rsid w:val="001F0719"/>
    <w:rsid w:val="001F07DC"/>
    <w:rsid w:val="001F0945"/>
    <w:rsid w:val="001F0A40"/>
    <w:rsid w:val="001F0B7C"/>
    <w:rsid w:val="001F0BE3"/>
    <w:rsid w:val="001F0D41"/>
    <w:rsid w:val="001F0DE9"/>
    <w:rsid w:val="001F0E3C"/>
    <w:rsid w:val="001F13F1"/>
    <w:rsid w:val="001F1557"/>
    <w:rsid w:val="001F15BE"/>
    <w:rsid w:val="001F17CB"/>
    <w:rsid w:val="001F17D7"/>
    <w:rsid w:val="001F191C"/>
    <w:rsid w:val="001F1984"/>
    <w:rsid w:val="001F1A07"/>
    <w:rsid w:val="001F1AFC"/>
    <w:rsid w:val="001F1B26"/>
    <w:rsid w:val="001F2047"/>
    <w:rsid w:val="001F20CB"/>
    <w:rsid w:val="001F2136"/>
    <w:rsid w:val="001F23AA"/>
    <w:rsid w:val="001F2697"/>
    <w:rsid w:val="001F26A7"/>
    <w:rsid w:val="001F2850"/>
    <w:rsid w:val="001F2AC6"/>
    <w:rsid w:val="001F2C1B"/>
    <w:rsid w:val="001F2C1C"/>
    <w:rsid w:val="001F33E1"/>
    <w:rsid w:val="001F34DD"/>
    <w:rsid w:val="001F3649"/>
    <w:rsid w:val="001F36A2"/>
    <w:rsid w:val="001F3993"/>
    <w:rsid w:val="001F39C0"/>
    <w:rsid w:val="001F3EAC"/>
    <w:rsid w:val="001F4220"/>
    <w:rsid w:val="001F4646"/>
    <w:rsid w:val="001F4670"/>
    <w:rsid w:val="001F46BC"/>
    <w:rsid w:val="001F47C4"/>
    <w:rsid w:val="001F4830"/>
    <w:rsid w:val="001F4919"/>
    <w:rsid w:val="001F49D7"/>
    <w:rsid w:val="001F4A55"/>
    <w:rsid w:val="001F4EB0"/>
    <w:rsid w:val="001F50BA"/>
    <w:rsid w:val="001F5180"/>
    <w:rsid w:val="001F520C"/>
    <w:rsid w:val="001F550E"/>
    <w:rsid w:val="001F56F9"/>
    <w:rsid w:val="001F582F"/>
    <w:rsid w:val="001F5BCC"/>
    <w:rsid w:val="001F5D9E"/>
    <w:rsid w:val="001F5F7B"/>
    <w:rsid w:val="001F6090"/>
    <w:rsid w:val="001F61DA"/>
    <w:rsid w:val="001F626E"/>
    <w:rsid w:val="001F64BC"/>
    <w:rsid w:val="001F6582"/>
    <w:rsid w:val="001F65A3"/>
    <w:rsid w:val="001F6649"/>
    <w:rsid w:val="001F66B1"/>
    <w:rsid w:val="001F6711"/>
    <w:rsid w:val="001F672C"/>
    <w:rsid w:val="001F68B8"/>
    <w:rsid w:val="001F6E41"/>
    <w:rsid w:val="001F6F47"/>
    <w:rsid w:val="001F7203"/>
    <w:rsid w:val="001F7543"/>
    <w:rsid w:val="001F795A"/>
    <w:rsid w:val="001F7A6F"/>
    <w:rsid w:val="001F7AC9"/>
    <w:rsid w:val="001F7B91"/>
    <w:rsid w:val="001F7C00"/>
    <w:rsid w:val="001F7E3C"/>
    <w:rsid w:val="002000F1"/>
    <w:rsid w:val="002004BE"/>
    <w:rsid w:val="0020089B"/>
    <w:rsid w:val="00200D90"/>
    <w:rsid w:val="00200E56"/>
    <w:rsid w:val="002012A5"/>
    <w:rsid w:val="00201373"/>
    <w:rsid w:val="002014F3"/>
    <w:rsid w:val="002015C7"/>
    <w:rsid w:val="00201644"/>
    <w:rsid w:val="00201740"/>
    <w:rsid w:val="0020178E"/>
    <w:rsid w:val="00201827"/>
    <w:rsid w:val="0020208D"/>
    <w:rsid w:val="00202487"/>
    <w:rsid w:val="002024AD"/>
    <w:rsid w:val="002024C4"/>
    <w:rsid w:val="00202675"/>
    <w:rsid w:val="0020289B"/>
    <w:rsid w:val="00202B13"/>
    <w:rsid w:val="00202C71"/>
    <w:rsid w:val="00202D25"/>
    <w:rsid w:val="00202DC9"/>
    <w:rsid w:val="00202FA9"/>
    <w:rsid w:val="00203296"/>
    <w:rsid w:val="00203447"/>
    <w:rsid w:val="00203476"/>
    <w:rsid w:val="002035F3"/>
    <w:rsid w:val="002037E2"/>
    <w:rsid w:val="002038E9"/>
    <w:rsid w:val="00203A3C"/>
    <w:rsid w:val="00203CCF"/>
    <w:rsid w:val="00204570"/>
    <w:rsid w:val="00204649"/>
    <w:rsid w:val="00204707"/>
    <w:rsid w:val="00204A7B"/>
    <w:rsid w:val="00204AFE"/>
    <w:rsid w:val="00204F36"/>
    <w:rsid w:val="00204FBD"/>
    <w:rsid w:val="0020506E"/>
    <w:rsid w:val="002050A0"/>
    <w:rsid w:val="00205267"/>
    <w:rsid w:val="002052C7"/>
    <w:rsid w:val="00205735"/>
    <w:rsid w:val="002057FF"/>
    <w:rsid w:val="0020583E"/>
    <w:rsid w:val="0020588F"/>
    <w:rsid w:val="00205A17"/>
    <w:rsid w:val="00205CE8"/>
    <w:rsid w:val="00205D20"/>
    <w:rsid w:val="002060BB"/>
    <w:rsid w:val="00206194"/>
    <w:rsid w:val="0020654C"/>
    <w:rsid w:val="00206852"/>
    <w:rsid w:val="00206A4E"/>
    <w:rsid w:val="00206C19"/>
    <w:rsid w:val="00206F17"/>
    <w:rsid w:val="00207013"/>
    <w:rsid w:val="002073F8"/>
    <w:rsid w:val="002074E3"/>
    <w:rsid w:val="00207687"/>
    <w:rsid w:val="002076AE"/>
    <w:rsid w:val="002079D2"/>
    <w:rsid w:val="00207D3A"/>
    <w:rsid w:val="00207D80"/>
    <w:rsid w:val="00207DD1"/>
    <w:rsid w:val="00207FD7"/>
    <w:rsid w:val="00210A1A"/>
    <w:rsid w:val="00210A61"/>
    <w:rsid w:val="0021102D"/>
    <w:rsid w:val="002111D1"/>
    <w:rsid w:val="00211500"/>
    <w:rsid w:val="0021186B"/>
    <w:rsid w:val="00211CC8"/>
    <w:rsid w:val="0021205B"/>
    <w:rsid w:val="00212313"/>
    <w:rsid w:val="002123CC"/>
    <w:rsid w:val="00212833"/>
    <w:rsid w:val="0021286D"/>
    <w:rsid w:val="00212A6A"/>
    <w:rsid w:val="00212B4D"/>
    <w:rsid w:val="00212B7B"/>
    <w:rsid w:val="00212C12"/>
    <w:rsid w:val="00212D71"/>
    <w:rsid w:val="002131AF"/>
    <w:rsid w:val="0021388F"/>
    <w:rsid w:val="00213997"/>
    <w:rsid w:val="00213C20"/>
    <w:rsid w:val="00213C54"/>
    <w:rsid w:val="00213E90"/>
    <w:rsid w:val="00214125"/>
    <w:rsid w:val="0021412A"/>
    <w:rsid w:val="00214292"/>
    <w:rsid w:val="00214391"/>
    <w:rsid w:val="002146E7"/>
    <w:rsid w:val="00214703"/>
    <w:rsid w:val="00214AF1"/>
    <w:rsid w:val="00214B0D"/>
    <w:rsid w:val="00214D65"/>
    <w:rsid w:val="00214F87"/>
    <w:rsid w:val="00215065"/>
    <w:rsid w:val="002152E6"/>
    <w:rsid w:val="002153FC"/>
    <w:rsid w:val="00215B08"/>
    <w:rsid w:val="00215B11"/>
    <w:rsid w:val="00215BF0"/>
    <w:rsid w:val="00215C0B"/>
    <w:rsid w:val="00215E65"/>
    <w:rsid w:val="00215FCB"/>
    <w:rsid w:val="0021641E"/>
    <w:rsid w:val="0021645D"/>
    <w:rsid w:val="0021695F"/>
    <w:rsid w:val="00216B49"/>
    <w:rsid w:val="00216C96"/>
    <w:rsid w:val="00216EB9"/>
    <w:rsid w:val="00217144"/>
    <w:rsid w:val="00217146"/>
    <w:rsid w:val="00217AEF"/>
    <w:rsid w:val="00217F8D"/>
    <w:rsid w:val="0022011F"/>
    <w:rsid w:val="002201EE"/>
    <w:rsid w:val="00220584"/>
    <w:rsid w:val="002205C2"/>
    <w:rsid w:val="002208B9"/>
    <w:rsid w:val="00220F83"/>
    <w:rsid w:val="00220FC6"/>
    <w:rsid w:val="002211B6"/>
    <w:rsid w:val="002214FC"/>
    <w:rsid w:val="002215D9"/>
    <w:rsid w:val="002215E1"/>
    <w:rsid w:val="00221788"/>
    <w:rsid w:val="00221C4D"/>
    <w:rsid w:val="00221C83"/>
    <w:rsid w:val="00221F27"/>
    <w:rsid w:val="0022218A"/>
    <w:rsid w:val="002223B3"/>
    <w:rsid w:val="002223B7"/>
    <w:rsid w:val="0022245C"/>
    <w:rsid w:val="0022254D"/>
    <w:rsid w:val="0022254E"/>
    <w:rsid w:val="00222586"/>
    <w:rsid w:val="002225D4"/>
    <w:rsid w:val="002228D7"/>
    <w:rsid w:val="002228F1"/>
    <w:rsid w:val="00222AB2"/>
    <w:rsid w:val="00222F98"/>
    <w:rsid w:val="00223040"/>
    <w:rsid w:val="0022340D"/>
    <w:rsid w:val="002235A6"/>
    <w:rsid w:val="00224069"/>
    <w:rsid w:val="002240C8"/>
    <w:rsid w:val="00224119"/>
    <w:rsid w:val="00224221"/>
    <w:rsid w:val="0022469A"/>
    <w:rsid w:val="002247FA"/>
    <w:rsid w:val="002248A9"/>
    <w:rsid w:val="00224D59"/>
    <w:rsid w:val="00224E0E"/>
    <w:rsid w:val="00224E1B"/>
    <w:rsid w:val="00224F0E"/>
    <w:rsid w:val="00225298"/>
    <w:rsid w:val="00225367"/>
    <w:rsid w:val="0022538F"/>
    <w:rsid w:val="0022541B"/>
    <w:rsid w:val="00225688"/>
    <w:rsid w:val="002256BF"/>
    <w:rsid w:val="00225C47"/>
    <w:rsid w:val="00225CFB"/>
    <w:rsid w:val="00225F0D"/>
    <w:rsid w:val="00225F16"/>
    <w:rsid w:val="00225F78"/>
    <w:rsid w:val="0022613D"/>
    <w:rsid w:val="00226382"/>
    <w:rsid w:val="002265EE"/>
    <w:rsid w:val="00226766"/>
    <w:rsid w:val="0022680B"/>
    <w:rsid w:val="00226A97"/>
    <w:rsid w:val="00226CE0"/>
    <w:rsid w:val="00227084"/>
    <w:rsid w:val="00227198"/>
    <w:rsid w:val="00227AEB"/>
    <w:rsid w:val="00230631"/>
    <w:rsid w:val="00230682"/>
    <w:rsid w:val="00230722"/>
    <w:rsid w:val="00230811"/>
    <w:rsid w:val="002311D9"/>
    <w:rsid w:val="00231339"/>
    <w:rsid w:val="0023142F"/>
    <w:rsid w:val="00231876"/>
    <w:rsid w:val="00231906"/>
    <w:rsid w:val="00231969"/>
    <w:rsid w:val="00231D44"/>
    <w:rsid w:val="00231E65"/>
    <w:rsid w:val="00231FBB"/>
    <w:rsid w:val="00231FC1"/>
    <w:rsid w:val="002320D3"/>
    <w:rsid w:val="00232140"/>
    <w:rsid w:val="002324B0"/>
    <w:rsid w:val="002326DF"/>
    <w:rsid w:val="00232855"/>
    <w:rsid w:val="00232988"/>
    <w:rsid w:val="00232C02"/>
    <w:rsid w:val="00232D87"/>
    <w:rsid w:val="002330DD"/>
    <w:rsid w:val="00233473"/>
    <w:rsid w:val="002336FE"/>
    <w:rsid w:val="002338EE"/>
    <w:rsid w:val="00233BB9"/>
    <w:rsid w:val="00233D09"/>
    <w:rsid w:val="00233FE3"/>
    <w:rsid w:val="002343C6"/>
    <w:rsid w:val="002343D3"/>
    <w:rsid w:val="002344EB"/>
    <w:rsid w:val="00234665"/>
    <w:rsid w:val="00234B9E"/>
    <w:rsid w:val="00234EC9"/>
    <w:rsid w:val="00234F71"/>
    <w:rsid w:val="00234F94"/>
    <w:rsid w:val="002351E3"/>
    <w:rsid w:val="00235242"/>
    <w:rsid w:val="00235769"/>
    <w:rsid w:val="00235824"/>
    <w:rsid w:val="00235A73"/>
    <w:rsid w:val="00235BA1"/>
    <w:rsid w:val="00235BAA"/>
    <w:rsid w:val="00235D09"/>
    <w:rsid w:val="00236511"/>
    <w:rsid w:val="00236603"/>
    <w:rsid w:val="00236654"/>
    <w:rsid w:val="002367FF"/>
    <w:rsid w:val="00236948"/>
    <w:rsid w:val="00236D8D"/>
    <w:rsid w:val="00236EB1"/>
    <w:rsid w:val="00236F73"/>
    <w:rsid w:val="00236FF4"/>
    <w:rsid w:val="002370A7"/>
    <w:rsid w:val="0023772B"/>
    <w:rsid w:val="00237C47"/>
    <w:rsid w:val="00240102"/>
    <w:rsid w:val="00240132"/>
    <w:rsid w:val="00240199"/>
    <w:rsid w:val="00240446"/>
    <w:rsid w:val="002404FB"/>
    <w:rsid w:val="00240847"/>
    <w:rsid w:val="002408DA"/>
    <w:rsid w:val="002408E7"/>
    <w:rsid w:val="00240992"/>
    <w:rsid w:val="00240AF0"/>
    <w:rsid w:val="00241021"/>
    <w:rsid w:val="0024106F"/>
    <w:rsid w:val="002411B8"/>
    <w:rsid w:val="00241373"/>
    <w:rsid w:val="00241400"/>
    <w:rsid w:val="00241977"/>
    <w:rsid w:val="002419B0"/>
    <w:rsid w:val="002419F2"/>
    <w:rsid w:val="00241ADD"/>
    <w:rsid w:val="00241E62"/>
    <w:rsid w:val="00242112"/>
    <w:rsid w:val="00242396"/>
    <w:rsid w:val="002425A2"/>
    <w:rsid w:val="00242C8C"/>
    <w:rsid w:val="00242D8F"/>
    <w:rsid w:val="00242D93"/>
    <w:rsid w:val="00243139"/>
    <w:rsid w:val="0024342B"/>
    <w:rsid w:val="00243624"/>
    <w:rsid w:val="0024363F"/>
    <w:rsid w:val="002438BC"/>
    <w:rsid w:val="002439FC"/>
    <w:rsid w:val="00243ACE"/>
    <w:rsid w:val="00243C57"/>
    <w:rsid w:val="0024484A"/>
    <w:rsid w:val="00244F31"/>
    <w:rsid w:val="00244FA6"/>
    <w:rsid w:val="00245039"/>
    <w:rsid w:val="0024514D"/>
    <w:rsid w:val="002452F2"/>
    <w:rsid w:val="00245357"/>
    <w:rsid w:val="0024550B"/>
    <w:rsid w:val="0024584F"/>
    <w:rsid w:val="00245859"/>
    <w:rsid w:val="00245A46"/>
    <w:rsid w:val="00245B29"/>
    <w:rsid w:val="00245E2A"/>
    <w:rsid w:val="00245FBD"/>
    <w:rsid w:val="00246521"/>
    <w:rsid w:val="002466E7"/>
    <w:rsid w:val="002469E3"/>
    <w:rsid w:val="00247199"/>
    <w:rsid w:val="0024722C"/>
    <w:rsid w:val="00247986"/>
    <w:rsid w:val="00247BC9"/>
    <w:rsid w:val="00247D9A"/>
    <w:rsid w:val="00247DE0"/>
    <w:rsid w:val="00247E5E"/>
    <w:rsid w:val="00247F0D"/>
    <w:rsid w:val="00250211"/>
    <w:rsid w:val="00250452"/>
    <w:rsid w:val="002505A0"/>
    <w:rsid w:val="00250A36"/>
    <w:rsid w:val="00250BE8"/>
    <w:rsid w:val="00250D55"/>
    <w:rsid w:val="00251002"/>
    <w:rsid w:val="00251045"/>
    <w:rsid w:val="00251056"/>
    <w:rsid w:val="00251163"/>
    <w:rsid w:val="00251167"/>
    <w:rsid w:val="002511EC"/>
    <w:rsid w:val="0025123E"/>
    <w:rsid w:val="002514D4"/>
    <w:rsid w:val="002514DE"/>
    <w:rsid w:val="00251509"/>
    <w:rsid w:val="00251AC1"/>
    <w:rsid w:val="00251C36"/>
    <w:rsid w:val="00251C3C"/>
    <w:rsid w:val="00251C42"/>
    <w:rsid w:val="00251C53"/>
    <w:rsid w:val="00251C78"/>
    <w:rsid w:val="00251CAD"/>
    <w:rsid w:val="00252146"/>
    <w:rsid w:val="00252486"/>
    <w:rsid w:val="002525F7"/>
    <w:rsid w:val="002527AE"/>
    <w:rsid w:val="0025286F"/>
    <w:rsid w:val="002528A9"/>
    <w:rsid w:val="0025296C"/>
    <w:rsid w:val="00252E9A"/>
    <w:rsid w:val="00252EC4"/>
    <w:rsid w:val="002530F6"/>
    <w:rsid w:val="00253333"/>
    <w:rsid w:val="00253435"/>
    <w:rsid w:val="00253630"/>
    <w:rsid w:val="002536A1"/>
    <w:rsid w:val="002537A0"/>
    <w:rsid w:val="002539DB"/>
    <w:rsid w:val="00253A7D"/>
    <w:rsid w:val="00253AE6"/>
    <w:rsid w:val="00253DFC"/>
    <w:rsid w:val="00253E5B"/>
    <w:rsid w:val="0025401C"/>
    <w:rsid w:val="00254110"/>
    <w:rsid w:val="002546D9"/>
    <w:rsid w:val="002550D0"/>
    <w:rsid w:val="00255163"/>
    <w:rsid w:val="00255230"/>
    <w:rsid w:val="002558B0"/>
    <w:rsid w:val="0025592F"/>
    <w:rsid w:val="00255969"/>
    <w:rsid w:val="0025599F"/>
    <w:rsid w:val="00255D56"/>
    <w:rsid w:val="00255D74"/>
    <w:rsid w:val="0025600D"/>
    <w:rsid w:val="0025633A"/>
    <w:rsid w:val="0025655F"/>
    <w:rsid w:val="0025665D"/>
    <w:rsid w:val="00256953"/>
    <w:rsid w:val="002569B9"/>
    <w:rsid w:val="002569E8"/>
    <w:rsid w:val="00256A42"/>
    <w:rsid w:val="00256CAC"/>
    <w:rsid w:val="002571BD"/>
    <w:rsid w:val="002573A6"/>
    <w:rsid w:val="00257453"/>
    <w:rsid w:val="00257585"/>
    <w:rsid w:val="00257650"/>
    <w:rsid w:val="002577AE"/>
    <w:rsid w:val="00257EFA"/>
    <w:rsid w:val="002602D9"/>
    <w:rsid w:val="002604FC"/>
    <w:rsid w:val="00261021"/>
    <w:rsid w:val="0026103A"/>
    <w:rsid w:val="00261195"/>
    <w:rsid w:val="002614BE"/>
    <w:rsid w:val="002617A8"/>
    <w:rsid w:val="00261EDE"/>
    <w:rsid w:val="00262067"/>
    <w:rsid w:val="00262125"/>
    <w:rsid w:val="00262357"/>
    <w:rsid w:val="00262480"/>
    <w:rsid w:val="002626A3"/>
    <w:rsid w:val="002629AD"/>
    <w:rsid w:val="002629CB"/>
    <w:rsid w:val="00262BE0"/>
    <w:rsid w:val="00262C52"/>
    <w:rsid w:val="00262D3F"/>
    <w:rsid w:val="00262DE5"/>
    <w:rsid w:val="002631FF"/>
    <w:rsid w:val="00263259"/>
    <w:rsid w:val="00263269"/>
    <w:rsid w:val="00263365"/>
    <w:rsid w:val="00263457"/>
    <w:rsid w:val="0026345A"/>
    <w:rsid w:val="0026349A"/>
    <w:rsid w:val="00263570"/>
    <w:rsid w:val="002638B8"/>
    <w:rsid w:val="002639E3"/>
    <w:rsid w:val="00263EC8"/>
    <w:rsid w:val="002640B4"/>
    <w:rsid w:val="002640FE"/>
    <w:rsid w:val="002643F5"/>
    <w:rsid w:val="0026441F"/>
    <w:rsid w:val="0026490B"/>
    <w:rsid w:val="00264B89"/>
    <w:rsid w:val="00264EBD"/>
    <w:rsid w:val="00265258"/>
    <w:rsid w:val="002653B2"/>
    <w:rsid w:val="0026560B"/>
    <w:rsid w:val="00265801"/>
    <w:rsid w:val="00265828"/>
    <w:rsid w:val="0026591D"/>
    <w:rsid w:val="00265A14"/>
    <w:rsid w:val="00265A4C"/>
    <w:rsid w:val="00265B08"/>
    <w:rsid w:val="00265BE2"/>
    <w:rsid w:val="00265D10"/>
    <w:rsid w:val="0026617D"/>
    <w:rsid w:val="00266243"/>
    <w:rsid w:val="002665F6"/>
    <w:rsid w:val="002666E6"/>
    <w:rsid w:val="00266FC8"/>
    <w:rsid w:val="0026710E"/>
    <w:rsid w:val="00267409"/>
    <w:rsid w:val="0026742A"/>
    <w:rsid w:val="0026748D"/>
    <w:rsid w:val="0026750B"/>
    <w:rsid w:val="00267A3F"/>
    <w:rsid w:val="00267C1F"/>
    <w:rsid w:val="00267E62"/>
    <w:rsid w:val="002702DE"/>
    <w:rsid w:val="002703A7"/>
    <w:rsid w:val="002704A1"/>
    <w:rsid w:val="002704D1"/>
    <w:rsid w:val="0027079D"/>
    <w:rsid w:val="0027094C"/>
    <w:rsid w:val="00270F1B"/>
    <w:rsid w:val="00270F90"/>
    <w:rsid w:val="0027158C"/>
    <w:rsid w:val="002718F7"/>
    <w:rsid w:val="0027196F"/>
    <w:rsid w:val="002724A3"/>
    <w:rsid w:val="00272604"/>
    <w:rsid w:val="00272786"/>
    <w:rsid w:val="002728BF"/>
    <w:rsid w:val="00272AAB"/>
    <w:rsid w:val="00272C4D"/>
    <w:rsid w:val="00272DF9"/>
    <w:rsid w:val="00273109"/>
    <w:rsid w:val="00273357"/>
    <w:rsid w:val="0027341D"/>
    <w:rsid w:val="00273437"/>
    <w:rsid w:val="00273489"/>
    <w:rsid w:val="002734C1"/>
    <w:rsid w:val="00274152"/>
    <w:rsid w:val="002743F8"/>
    <w:rsid w:val="00274512"/>
    <w:rsid w:val="00274610"/>
    <w:rsid w:val="00274831"/>
    <w:rsid w:val="00274C04"/>
    <w:rsid w:val="002750CA"/>
    <w:rsid w:val="002750EF"/>
    <w:rsid w:val="00275199"/>
    <w:rsid w:val="002752A0"/>
    <w:rsid w:val="00275589"/>
    <w:rsid w:val="0027567C"/>
    <w:rsid w:val="00275734"/>
    <w:rsid w:val="00275C23"/>
    <w:rsid w:val="00275C6D"/>
    <w:rsid w:val="00276219"/>
    <w:rsid w:val="0027635A"/>
    <w:rsid w:val="00276584"/>
    <w:rsid w:val="002769B8"/>
    <w:rsid w:val="00276A01"/>
    <w:rsid w:val="00276A30"/>
    <w:rsid w:val="00276AC0"/>
    <w:rsid w:val="00276E6A"/>
    <w:rsid w:val="00276E78"/>
    <w:rsid w:val="00276F1B"/>
    <w:rsid w:val="00277115"/>
    <w:rsid w:val="00277202"/>
    <w:rsid w:val="002774D0"/>
    <w:rsid w:val="00277642"/>
    <w:rsid w:val="0027782B"/>
    <w:rsid w:val="0027790C"/>
    <w:rsid w:val="00277F98"/>
    <w:rsid w:val="00280151"/>
    <w:rsid w:val="0028032C"/>
    <w:rsid w:val="00280538"/>
    <w:rsid w:val="00280581"/>
    <w:rsid w:val="002806CE"/>
    <w:rsid w:val="00280947"/>
    <w:rsid w:val="0028094D"/>
    <w:rsid w:val="00280AA4"/>
    <w:rsid w:val="00280CD1"/>
    <w:rsid w:val="00281080"/>
    <w:rsid w:val="0028117C"/>
    <w:rsid w:val="00281372"/>
    <w:rsid w:val="0028146C"/>
    <w:rsid w:val="0028147F"/>
    <w:rsid w:val="0028157A"/>
    <w:rsid w:val="002815E8"/>
    <w:rsid w:val="00281910"/>
    <w:rsid w:val="00281CEF"/>
    <w:rsid w:val="00281D41"/>
    <w:rsid w:val="00281ECB"/>
    <w:rsid w:val="00281FFE"/>
    <w:rsid w:val="00282015"/>
    <w:rsid w:val="00282463"/>
    <w:rsid w:val="002824F9"/>
    <w:rsid w:val="002826B5"/>
    <w:rsid w:val="00282717"/>
    <w:rsid w:val="00282AC6"/>
    <w:rsid w:val="00282AD0"/>
    <w:rsid w:val="00282B45"/>
    <w:rsid w:val="00282C12"/>
    <w:rsid w:val="00282C56"/>
    <w:rsid w:val="00282E5D"/>
    <w:rsid w:val="0028313B"/>
    <w:rsid w:val="002832A4"/>
    <w:rsid w:val="002833EE"/>
    <w:rsid w:val="0028380E"/>
    <w:rsid w:val="00283B84"/>
    <w:rsid w:val="00283D1E"/>
    <w:rsid w:val="00283D62"/>
    <w:rsid w:val="002841FC"/>
    <w:rsid w:val="00284426"/>
    <w:rsid w:val="0028469E"/>
    <w:rsid w:val="002846B7"/>
    <w:rsid w:val="00284A2C"/>
    <w:rsid w:val="00284B03"/>
    <w:rsid w:val="00284D16"/>
    <w:rsid w:val="00284E41"/>
    <w:rsid w:val="00284F14"/>
    <w:rsid w:val="00284F95"/>
    <w:rsid w:val="00284FA7"/>
    <w:rsid w:val="00285264"/>
    <w:rsid w:val="0028544B"/>
    <w:rsid w:val="00285711"/>
    <w:rsid w:val="00285967"/>
    <w:rsid w:val="002859CB"/>
    <w:rsid w:val="00285A0A"/>
    <w:rsid w:val="00285B5B"/>
    <w:rsid w:val="00285D46"/>
    <w:rsid w:val="00285F70"/>
    <w:rsid w:val="00285F9A"/>
    <w:rsid w:val="0028606D"/>
    <w:rsid w:val="00286255"/>
    <w:rsid w:val="00286892"/>
    <w:rsid w:val="00286942"/>
    <w:rsid w:val="00286E5A"/>
    <w:rsid w:val="00287045"/>
    <w:rsid w:val="002871BC"/>
    <w:rsid w:val="00287278"/>
    <w:rsid w:val="002874E2"/>
    <w:rsid w:val="00287549"/>
    <w:rsid w:val="002875A8"/>
    <w:rsid w:val="002875D7"/>
    <w:rsid w:val="002878C4"/>
    <w:rsid w:val="00287A43"/>
    <w:rsid w:val="00287C7F"/>
    <w:rsid w:val="00290868"/>
    <w:rsid w:val="002912D8"/>
    <w:rsid w:val="002912DD"/>
    <w:rsid w:val="00291471"/>
    <w:rsid w:val="00291845"/>
    <w:rsid w:val="00291A0C"/>
    <w:rsid w:val="002921A1"/>
    <w:rsid w:val="0029247C"/>
    <w:rsid w:val="002928DA"/>
    <w:rsid w:val="00292A74"/>
    <w:rsid w:val="00292C74"/>
    <w:rsid w:val="00292DC7"/>
    <w:rsid w:val="002934DC"/>
    <w:rsid w:val="00293796"/>
    <w:rsid w:val="002938AB"/>
    <w:rsid w:val="002938FE"/>
    <w:rsid w:val="00293BF0"/>
    <w:rsid w:val="00293FC7"/>
    <w:rsid w:val="00294322"/>
    <w:rsid w:val="00294408"/>
    <w:rsid w:val="0029474A"/>
    <w:rsid w:val="00294840"/>
    <w:rsid w:val="002948AB"/>
    <w:rsid w:val="00294931"/>
    <w:rsid w:val="00294AEB"/>
    <w:rsid w:val="00294E34"/>
    <w:rsid w:val="00294E51"/>
    <w:rsid w:val="002950F3"/>
    <w:rsid w:val="0029525D"/>
    <w:rsid w:val="0029580E"/>
    <w:rsid w:val="00295B1D"/>
    <w:rsid w:val="00295CA0"/>
    <w:rsid w:val="00295CF2"/>
    <w:rsid w:val="00295E02"/>
    <w:rsid w:val="0029606D"/>
    <w:rsid w:val="00296098"/>
    <w:rsid w:val="00296347"/>
    <w:rsid w:val="0029634D"/>
    <w:rsid w:val="00296385"/>
    <w:rsid w:val="00296525"/>
    <w:rsid w:val="0029686B"/>
    <w:rsid w:val="00296B5E"/>
    <w:rsid w:val="00296C5F"/>
    <w:rsid w:val="00296F89"/>
    <w:rsid w:val="002970CC"/>
    <w:rsid w:val="002972BB"/>
    <w:rsid w:val="00297660"/>
    <w:rsid w:val="00297D13"/>
    <w:rsid w:val="002A002C"/>
    <w:rsid w:val="002A01E6"/>
    <w:rsid w:val="002A02FD"/>
    <w:rsid w:val="002A0425"/>
    <w:rsid w:val="002A0488"/>
    <w:rsid w:val="002A0644"/>
    <w:rsid w:val="002A0804"/>
    <w:rsid w:val="002A0CC3"/>
    <w:rsid w:val="002A11A4"/>
    <w:rsid w:val="002A127B"/>
    <w:rsid w:val="002A15A1"/>
    <w:rsid w:val="002A1693"/>
    <w:rsid w:val="002A16AD"/>
    <w:rsid w:val="002A1969"/>
    <w:rsid w:val="002A19BF"/>
    <w:rsid w:val="002A1F97"/>
    <w:rsid w:val="002A262C"/>
    <w:rsid w:val="002A279E"/>
    <w:rsid w:val="002A2946"/>
    <w:rsid w:val="002A2AAF"/>
    <w:rsid w:val="002A2D5E"/>
    <w:rsid w:val="002A2FF0"/>
    <w:rsid w:val="002A3139"/>
    <w:rsid w:val="002A323F"/>
    <w:rsid w:val="002A3415"/>
    <w:rsid w:val="002A3519"/>
    <w:rsid w:val="002A3773"/>
    <w:rsid w:val="002A3937"/>
    <w:rsid w:val="002A397D"/>
    <w:rsid w:val="002A39C4"/>
    <w:rsid w:val="002A3B8E"/>
    <w:rsid w:val="002A3DBB"/>
    <w:rsid w:val="002A3E42"/>
    <w:rsid w:val="002A3FF4"/>
    <w:rsid w:val="002A419D"/>
    <w:rsid w:val="002A41D9"/>
    <w:rsid w:val="002A4251"/>
    <w:rsid w:val="002A431C"/>
    <w:rsid w:val="002A4376"/>
    <w:rsid w:val="002A4501"/>
    <w:rsid w:val="002A47FD"/>
    <w:rsid w:val="002A4840"/>
    <w:rsid w:val="002A497E"/>
    <w:rsid w:val="002A4A4B"/>
    <w:rsid w:val="002A4BB1"/>
    <w:rsid w:val="002A4BCB"/>
    <w:rsid w:val="002A4EB4"/>
    <w:rsid w:val="002A4F27"/>
    <w:rsid w:val="002A532D"/>
    <w:rsid w:val="002A543B"/>
    <w:rsid w:val="002A54B8"/>
    <w:rsid w:val="002A58DC"/>
    <w:rsid w:val="002A5FDC"/>
    <w:rsid w:val="002A6208"/>
    <w:rsid w:val="002A637D"/>
    <w:rsid w:val="002A6474"/>
    <w:rsid w:val="002A678E"/>
    <w:rsid w:val="002A67B4"/>
    <w:rsid w:val="002A6A96"/>
    <w:rsid w:val="002A6B61"/>
    <w:rsid w:val="002A6BB9"/>
    <w:rsid w:val="002A6BCC"/>
    <w:rsid w:val="002A6F6B"/>
    <w:rsid w:val="002A72E5"/>
    <w:rsid w:val="002A7358"/>
    <w:rsid w:val="002A7555"/>
    <w:rsid w:val="002A7604"/>
    <w:rsid w:val="002A784B"/>
    <w:rsid w:val="002A7AC8"/>
    <w:rsid w:val="002A7B51"/>
    <w:rsid w:val="002A7CA7"/>
    <w:rsid w:val="002A7FCD"/>
    <w:rsid w:val="002B0147"/>
    <w:rsid w:val="002B021E"/>
    <w:rsid w:val="002B03A1"/>
    <w:rsid w:val="002B03EA"/>
    <w:rsid w:val="002B09C2"/>
    <w:rsid w:val="002B09DC"/>
    <w:rsid w:val="002B0A01"/>
    <w:rsid w:val="002B0B1B"/>
    <w:rsid w:val="002B0B63"/>
    <w:rsid w:val="002B0C2D"/>
    <w:rsid w:val="002B0FFF"/>
    <w:rsid w:val="002B109B"/>
    <w:rsid w:val="002B10B8"/>
    <w:rsid w:val="002B11DE"/>
    <w:rsid w:val="002B12CD"/>
    <w:rsid w:val="002B13D7"/>
    <w:rsid w:val="002B14BA"/>
    <w:rsid w:val="002B1864"/>
    <w:rsid w:val="002B1F83"/>
    <w:rsid w:val="002B1FE0"/>
    <w:rsid w:val="002B2422"/>
    <w:rsid w:val="002B2586"/>
    <w:rsid w:val="002B2971"/>
    <w:rsid w:val="002B2A99"/>
    <w:rsid w:val="002B2B07"/>
    <w:rsid w:val="002B3441"/>
    <w:rsid w:val="002B35DC"/>
    <w:rsid w:val="002B3601"/>
    <w:rsid w:val="002B3640"/>
    <w:rsid w:val="002B456F"/>
    <w:rsid w:val="002B46E6"/>
    <w:rsid w:val="002B47F2"/>
    <w:rsid w:val="002B491E"/>
    <w:rsid w:val="002B499C"/>
    <w:rsid w:val="002B4C53"/>
    <w:rsid w:val="002B4D8B"/>
    <w:rsid w:val="002B4E66"/>
    <w:rsid w:val="002B4F29"/>
    <w:rsid w:val="002B4FFE"/>
    <w:rsid w:val="002B5010"/>
    <w:rsid w:val="002B5054"/>
    <w:rsid w:val="002B5288"/>
    <w:rsid w:val="002B566D"/>
    <w:rsid w:val="002B576A"/>
    <w:rsid w:val="002B5C59"/>
    <w:rsid w:val="002B5E7B"/>
    <w:rsid w:val="002B5E83"/>
    <w:rsid w:val="002B5FC1"/>
    <w:rsid w:val="002B601B"/>
    <w:rsid w:val="002B6022"/>
    <w:rsid w:val="002B612A"/>
    <w:rsid w:val="002B639F"/>
    <w:rsid w:val="002B64B8"/>
    <w:rsid w:val="002B652C"/>
    <w:rsid w:val="002B658E"/>
    <w:rsid w:val="002B69F0"/>
    <w:rsid w:val="002B6A57"/>
    <w:rsid w:val="002B71E2"/>
    <w:rsid w:val="002B71F3"/>
    <w:rsid w:val="002B77D5"/>
    <w:rsid w:val="002B78B7"/>
    <w:rsid w:val="002C01C5"/>
    <w:rsid w:val="002C04C9"/>
    <w:rsid w:val="002C09C9"/>
    <w:rsid w:val="002C0BEE"/>
    <w:rsid w:val="002C0C45"/>
    <w:rsid w:val="002C0D0C"/>
    <w:rsid w:val="002C0DCC"/>
    <w:rsid w:val="002C106B"/>
    <w:rsid w:val="002C135D"/>
    <w:rsid w:val="002C15D4"/>
    <w:rsid w:val="002C1604"/>
    <w:rsid w:val="002C19DB"/>
    <w:rsid w:val="002C1BA4"/>
    <w:rsid w:val="002C1C01"/>
    <w:rsid w:val="002C1C2A"/>
    <w:rsid w:val="002C1D83"/>
    <w:rsid w:val="002C1D9E"/>
    <w:rsid w:val="002C23FA"/>
    <w:rsid w:val="002C24E6"/>
    <w:rsid w:val="002C2628"/>
    <w:rsid w:val="002C2D60"/>
    <w:rsid w:val="002C2F2F"/>
    <w:rsid w:val="002C34BB"/>
    <w:rsid w:val="002C34C8"/>
    <w:rsid w:val="002C38E5"/>
    <w:rsid w:val="002C3995"/>
    <w:rsid w:val="002C3ABF"/>
    <w:rsid w:val="002C3D90"/>
    <w:rsid w:val="002C41E8"/>
    <w:rsid w:val="002C42E5"/>
    <w:rsid w:val="002C4545"/>
    <w:rsid w:val="002C475E"/>
    <w:rsid w:val="002C4B69"/>
    <w:rsid w:val="002C5059"/>
    <w:rsid w:val="002C5128"/>
    <w:rsid w:val="002C5547"/>
    <w:rsid w:val="002C5BF4"/>
    <w:rsid w:val="002C5F84"/>
    <w:rsid w:val="002C6063"/>
    <w:rsid w:val="002C607B"/>
    <w:rsid w:val="002C6183"/>
    <w:rsid w:val="002C6540"/>
    <w:rsid w:val="002C6939"/>
    <w:rsid w:val="002C6D55"/>
    <w:rsid w:val="002C6E72"/>
    <w:rsid w:val="002C6E97"/>
    <w:rsid w:val="002C7D08"/>
    <w:rsid w:val="002D04EC"/>
    <w:rsid w:val="002D0732"/>
    <w:rsid w:val="002D0A0C"/>
    <w:rsid w:val="002D0BA4"/>
    <w:rsid w:val="002D0BE2"/>
    <w:rsid w:val="002D0C44"/>
    <w:rsid w:val="002D0D0A"/>
    <w:rsid w:val="002D0F1D"/>
    <w:rsid w:val="002D105D"/>
    <w:rsid w:val="002D11A1"/>
    <w:rsid w:val="002D133A"/>
    <w:rsid w:val="002D15FD"/>
    <w:rsid w:val="002D17DE"/>
    <w:rsid w:val="002D1C04"/>
    <w:rsid w:val="002D1EFD"/>
    <w:rsid w:val="002D1FE6"/>
    <w:rsid w:val="002D201F"/>
    <w:rsid w:val="002D2296"/>
    <w:rsid w:val="002D274F"/>
    <w:rsid w:val="002D275C"/>
    <w:rsid w:val="002D2806"/>
    <w:rsid w:val="002D2859"/>
    <w:rsid w:val="002D28B2"/>
    <w:rsid w:val="002D2A9C"/>
    <w:rsid w:val="002D2B75"/>
    <w:rsid w:val="002D2B7A"/>
    <w:rsid w:val="002D2CE9"/>
    <w:rsid w:val="002D34FF"/>
    <w:rsid w:val="002D375A"/>
    <w:rsid w:val="002D376F"/>
    <w:rsid w:val="002D3A11"/>
    <w:rsid w:val="002D3A6D"/>
    <w:rsid w:val="002D447F"/>
    <w:rsid w:val="002D4754"/>
    <w:rsid w:val="002D479A"/>
    <w:rsid w:val="002D47C2"/>
    <w:rsid w:val="002D48C2"/>
    <w:rsid w:val="002D4C38"/>
    <w:rsid w:val="002D4C83"/>
    <w:rsid w:val="002D4D02"/>
    <w:rsid w:val="002D4E0C"/>
    <w:rsid w:val="002D4F55"/>
    <w:rsid w:val="002D519E"/>
    <w:rsid w:val="002D5221"/>
    <w:rsid w:val="002D5AEC"/>
    <w:rsid w:val="002D5D62"/>
    <w:rsid w:val="002D629C"/>
    <w:rsid w:val="002D637F"/>
    <w:rsid w:val="002D63A7"/>
    <w:rsid w:val="002D65C8"/>
    <w:rsid w:val="002D6928"/>
    <w:rsid w:val="002D6A62"/>
    <w:rsid w:val="002D6D4E"/>
    <w:rsid w:val="002D720F"/>
    <w:rsid w:val="002D73FD"/>
    <w:rsid w:val="002D74F5"/>
    <w:rsid w:val="002D77E1"/>
    <w:rsid w:val="002D77E9"/>
    <w:rsid w:val="002D784E"/>
    <w:rsid w:val="002D7D0B"/>
    <w:rsid w:val="002D7DDB"/>
    <w:rsid w:val="002D7EC9"/>
    <w:rsid w:val="002D7FFB"/>
    <w:rsid w:val="002E00B4"/>
    <w:rsid w:val="002E0407"/>
    <w:rsid w:val="002E0450"/>
    <w:rsid w:val="002E046F"/>
    <w:rsid w:val="002E0619"/>
    <w:rsid w:val="002E061B"/>
    <w:rsid w:val="002E07E5"/>
    <w:rsid w:val="002E0B6D"/>
    <w:rsid w:val="002E0CEE"/>
    <w:rsid w:val="002E0D94"/>
    <w:rsid w:val="002E0EBB"/>
    <w:rsid w:val="002E119A"/>
    <w:rsid w:val="002E13DE"/>
    <w:rsid w:val="002E181F"/>
    <w:rsid w:val="002E1895"/>
    <w:rsid w:val="002E1AE7"/>
    <w:rsid w:val="002E1EC8"/>
    <w:rsid w:val="002E21C5"/>
    <w:rsid w:val="002E21DF"/>
    <w:rsid w:val="002E22D7"/>
    <w:rsid w:val="002E232D"/>
    <w:rsid w:val="002E2558"/>
    <w:rsid w:val="002E27A9"/>
    <w:rsid w:val="002E2ECA"/>
    <w:rsid w:val="002E30B8"/>
    <w:rsid w:val="002E30F9"/>
    <w:rsid w:val="002E36B0"/>
    <w:rsid w:val="002E37FB"/>
    <w:rsid w:val="002E3A70"/>
    <w:rsid w:val="002E3D66"/>
    <w:rsid w:val="002E3E80"/>
    <w:rsid w:val="002E459D"/>
    <w:rsid w:val="002E4948"/>
    <w:rsid w:val="002E4A01"/>
    <w:rsid w:val="002E4DB7"/>
    <w:rsid w:val="002E4E2D"/>
    <w:rsid w:val="002E4F5A"/>
    <w:rsid w:val="002E4FB3"/>
    <w:rsid w:val="002E507E"/>
    <w:rsid w:val="002E58BE"/>
    <w:rsid w:val="002E5CE7"/>
    <w:rsid w:val="002E6346"/>
    <w:rsid w:val="002E64C1"/>
    <w:rsid w:val="002E6986"/>
    <w:rsid w:val="002E6BB7"/>
    <w:rsid w:val="002E6DDD"/>
    <w:rsid w:val="002E6EA7"/>
    <w:rsid w:val="002E7001"/>
    <w:rsid w:val="002E734F"/>
    <w:rsid w:val="002E76DD"/>
    <w:rsid w:val="002E7A12"/>
    <w:rsid w:val="002F0174"/>
    <w:rsid w:val="002F045B"/>
    <w:rsid w:val="002F04EB"/>
    <w:rsid w:val="002F0D48"/>
    <w:rsid w:val="002F1355"/>
    <w:rsid w:val="002F147C"/>
    <w:rsid w:val="002F159F"/>
    <w:rsid w:val="002F1680"/>
    <w:rsid w:val="002F16A6"/>
    <w:rsid w:val="002F16C1"/>
    <w:rsid w:val="002F19A1"/>
    <w:rsid w:val="002F1EA4"/>
    <w:rsid w:val="002F22B2"/>
    <w:rsid w:val="002F2388"/>
    <w:rsid w:val="002F2534"/>
    <w:rsid w:val="002F283F"/>
    <w:rsid w:val="002F2B17"/>
    <w:rsid w:val="002F2D89"/>
    <w:rsid w:val="002F2F5A"/>
    <w:rsid w:val="002F30BD"/>
    <w:rsid w:val="002F3251"/>
    <w:rsid w:val="002F351B"/>
    <w:rsid w:val="002F3559"/>
    <w:rsid w:val="002F3685"/>
    <w:rsid w:val="002F3728"/>
    <w:rsid w:val="002F3775"/>
    <w:rsid w:val="002F3CC0"/>
    <w:rsid w:val="002F3E70"/>
    <w:rsid w:val="002F3FD7"/>
    <w:rsid w:val="002F404C"/>
    <w:rsid w:val="002F469D"/>
    <w:rsid w:val="002F4708"/>
    <w:rsid w:val="002F4722"/>
    <w:rsid w:val="002F48D3"/>
    <w:rsid w:val="002F49D2"/>
    <w:rsid w:val="002F4B97"/>
    <w:rsid w:val="002F5624"/>
    <w:rsid w:val="002F570A"/>
    <w:rsid w:val="002F57A1"/>
    <w:rsid w:val="002F59A0"/>
    <w:rsid w:val="002F5A88"/>
    <w:rsid w:val="002F5CB0"/>
    <w:rsid w:val="002F5F21"/>
    <w:rsid w:val="002F62F8"/>
    <w:rsid w:val="002F65F5"/>
    <w:rsid w:val="002F66E1"/>
    <w:rsid w:val="002F699B"/>
    <w:rsid w:val="002F6A58"/>
    <w:rsid w:val="002F6AAA"/>
    <w:rsid w:val="002F6B63"/>
    <w:rsid w:val="002F6C1B"/>
    <w:rsid w:val="002F70BE"/>
    <w:rsid w:val="002F750B"/>
    <w:rsid w:val="002F7AAA"/>
    <w:rsid w:val="002F7BC1"/>
    <w:rsid w:val="002F7CE6"/>
    <w:rsid w:val="003000D3"/>
    <w:rsid w:val="003003B5"/>
    <w:rsid w:val="00300828"/>
    <w:rsid w:val="00300852"/>
    <w:rsid w:val="00300BFB"/>
    <w:rsid w:val="003011CA"/>
    <w:rsid w:val="003011D1"/>
    <w:rsid w:val="00301661"/>
    <w:rsid w:val="003016E6"/>
    <w:rsid w:val="0030193D"/>
    <w:rsid w:val="00301A37"/>
    <w:rsid w:val="00301C2F"/>
    <w:rsid w:val="00301FFF"/>
    <w:rsid w:val="00302201"/>
    <w:rsid w:val="00302588"/>
    <w:rsid w:val="00302612"/>
    <w:rsid w:val="00302658"/>
    <w:rsid w:val="003026AD"/>
    <w:rsid w:val="00302784"/>
    <w:rsid w:val="00302A35"/>
    <w:rsid w:val="00302DF2"/>
    <w:rsid w:val="00302EE2"/>
    <w:rsid w:val="00302EF6"/>
    <w:rsid w:val="00303091"/>
    <w:rsid w:val="0030319C"/>
    <w:rsid w:val="0030330D"/>
    <w:rsid w:val="003036E7"/>
    <w:rsid w:val="00303D5B"/>
    <w:rsid w:val="00303D5F"/>
    <w:rsid w:val="00303DED"/>
    <w:rsid w:val="003042C3"/>
    <w:rsid w:val="003043B1"/>
    <w:rsid w:val="00304726"/>
    <w:rsid w:val="0030480B"/>
    <w:rsid w:val="0030482B"/>
    <w:rsid w:val="00304D6A"/>
    <w:rsid w:val="00305176"/>
    <w:rsid w:val="00305245"/>
    <w:rsid w:val="00305659"/>
    <w:rsid w:val="00305B00"/>
    <w:rsid w:val="00305B7D"/>
    <w:rsid w:val="00305C9D"/>
    <w:rsid w:val="00305D21"/>
    <w:rsid w:val="00305D99"/>
    <w:rsid w:val="00305DD8"/>
    <w:rsid w:val="003060CB"/>
    <w:rsid w:val="00306119"/>
    <w:rsid w:val="003061AB"/>
    <w:rsid w:val="00306281"/>
    <w:rsid w:val="003063ED"/>
    <w:rsid w:val="0030654B"/>
    <w:rsid w:val="003065EA"/>
    <w:rsid w:val="00306652"/>
    <w:rsid w:val="0030676D"/>
    <w:rsid w:val="00306811"/>
    <w:rsid w:val="0030691E"/>
    <w:rsid w:val="00306BCF"/>
    <w:rsid w:val="00306DE4"/>
    <w:rsid w:val="00307424"/>
    <w:rsid w:val="0030746B"/>
    <w:rsid w:val="003074A5"/>
    <w:rsid w:val="0030781F"/>
    <w:rsid w:val="00307B2D"/>
    <w:rsid w:val="00307B74"/>
    <w:rsid w:val="00310083"/>
    <w:rsid w:val="003105D7"/>
    <w:rsid w:val="00310741"/>
    <w:rsid w:val="00310C51"/>
    <w:rsid w:val="00310CDC"/>
    <w:rsid w:val="00310F62"/>
    <w:rsid w:val="0031107B"/>
    <w:rsid w:val="003111E2"/>
    <w:rsid w:val="0031142B"/>
    <w:rsid w:val="00311665"/>
    <w:rsid w:val="003116F3"/>
    <w:rsid w:val="003117F3"/>
    <w:rsid w:val="00311B3D"/>
    <w:rsid w:val="00311DA4"/>
    <w:rsid w:val="00311E3F"/>
    <w:rsid w:val="00311EE5"/>
    <w:rsid w:val="00312015"/>
    <w:rsid w:val="00312091"/>
    <w:rsid w:val="0031225D"/>
    <w:rsid w:val="00312417"/>
    <w:rsid w:val="003124CB"/>
    <w:rsid w:val="003125EA"/>
    <w:rsid w:val="0031270A"/>
    <w:rsid w:val="003129A4"/>
    <w:rsid w:val="00312A1A"/>
    <w:rsid w:val="00312FB1"/>
    <w:rsid w:val="00313495"/>
    <w:rsid w:val="00313627"/>
    <w:rsid w:val="0031364C"/>
    <w:rsid w:val="00313B06"/>
    <w:rsid w:val="00313BE7"/>
    <w:rsid w:val="00313C26"/>
    <w:rsid w:val="00313DA4"/>
    <w:rsid w:val="0031425A"/>
    <w:rsid w:val="003142FD"/>
    <w:rsid w:val="0031430E"/>
    <w:rsid w:val="00314510"/>
    <w:rsid w:val="00314736"/>
    <w:rsid w:val="003148D2"/>
    <w:rsid w:val="003150D7"/>
    <w:rsid w:val="00315500"/>
    <w:rsid w:val="003157ED"/>
    <w:rsid w:val="003157FD"/>
    <w:rsid w:val="003158F1"/>
    <w:rsid w:val="00315A16"/>
    <w:rsid w:val="00315A1F"/>
    <w:rsid w:val="00315B75"/>
    <w:rsid w:val="00315DFB"/>
    <w:rsid w:val="003163E4"/>
    <w:rsid w:val="00316807"/>
    <w:rsid w:val="00316914"/>
    <w:rsid w:val="00316A9A"/>
    <w:rsid w:val="00316BB5"/>
    <w:rsid w:val="00316CD8"/>
    <w:rsid w:val="00316F00"/>
    <w:rsid w:val="00316F62"/>
    <w:rsid w:val="00316F66"/>
    <w:rsid w:val="0031716A"/>
    <w:rsid w:val="00317422"/>
    <w:rsid w:val="003174C5"/>
    <w:rsid w:val="003175E8"/>
    <w:rsid w:val="003176BC"/>
    <w:rsid w:val="00317966"/>
    <w:rsid w:val="00317BF9"/>
    <w:rsid w:val="00317E6E"/>
    <w:rsid w:val="003202E6"/>
    <w:rsid w:val="003203A8"/>
    <w:rsid w:val="0032050A"/>
    <w:rsid w:val="003208FB"/>
    <w:rsid w:val="00320996"/>
    <w:rsid w:val="00320AF6"/>
    <w:rsid w:val="00320E9C"/>
    <w:rsid w:val="00320EF9"/>
    <w:rsid w:val="0032110F"/>
    <w:rsid w:val="00321124"/>
    <w:rsid w:val="003213AF"/>
    <w:rsid w:val="00321462"/>
    <w:rsid w:val="00321513"/>
    <w:rsid w:val="003216D9"/>
    <w:rsid w:val="003216E0"/>
    <w:rsid w:val="00321731"/>
    <w:rsid w:val="003219E9"/>
    <w:rsid w:val="00321AD8"/>
    <w:rsid w:val="00322124"/>
    <w:rsid w:val="0032242C"/>
    <w:rsid w:val="003224E9"/>
    <w:rsid w:val="0032273C"/>
    <w:rsid w:val="003227FB"/>
    <w:rsid w:val="00322CE5"/>
    <w:rsid w:val="00322DD3"/>
    <w:rsid w:val="0032315E"/>
    <w:rsid w:val="00323285"/>
    <w:rsid w:val="0032335A"/>
    <w:rsid w:val="003233F9"/>
    <w:rsid w:val="00323470"/>
    <w:rsid w:val="00323598"/>
    <w:rsid w:val="00323DE1"/>
    <w:rsid w:val="00323E02"/>
    <w:rsid w:val="00323EB8"/>
    <w:rsid w:val="00323F8F"/>
    <w:rsid w:val="003241D7"/>
    <w:rsid w:val="00324256"/>
    <w:rsid w:val="0032467C"/>
    <w:rsid w:val="00324A22"/>
    <w:rsid w:val="00324B90"/>
    <w:rsid w:val="00324B93"/>
    <w:rsid w:val="00324D57"/>
    <w:rsid w:val="00324FE9"/>
    <w:rsid w:val="0032533E"/>
    <w:rsid w:val="003253C8"/>
    <w:rsid w:val="00325650"/>
    <w:rsid w:val="003258DD"/>
    <w:rsid w:val="00325B2E"/>
    <w:rsid w:val="0032622C"/>
    <w:rsid w:val="0032625B"/>
    <w:rsid w:val="003264FE"/>
    <w:rsid w:val="00326A9F"/>
    <w:rsid w:val="00326B22"/>
    <w:rsid w:val="00326BA9"/>
    <w:rsid w:val="00326BE2"/>
    <w:rsid w:val="00326D36"/>
    <w:rsid w:val="00326DA5"/>
    <w:rsid w:val="00326EBF"/>
    <w:rsid w:val="00326F3C"/>
    <w:rsid w:val="0032741E"/>
    <w:rsid w:val="00327898"/>
    <w:rsid w:val="003278E4"/>
    <w:rsid w:val="00327ABF"/>
    <w:rsid w:val="00327B86"/>
    <w:rsid w:val="00327DE6"/>
    <w:rsid w:val="00330020"/>
    <w:rsid w:val="0033056B"/>
    <w:rsid w:val="00330776"/>
    <w:rsid w:val="003309BE"/>
    <w:rsid w:val="00330ED7"/>
    <w:rsid w:val="0033117E"/>
    <w:rsid w:val="00331219"/>
    <w:rsid w:val="003313DA"/>
    <w:rsid w:val="00331405"/>
    <w:rsid w:val="00331423"/>
    <w:rsid w:val="0033157D"/>
    <w:rsid w:val="0033196E"/>
    <w:rsid w:val="00331DE3"/>
    <w:rsid w:val="00331F83"/>
    <w:rsid w:val="003322ED"/>
    <w:rsid w:val="003323B8"/>
    <w:rsid w:val="00332982"/>
    <w:rsid w:val="00332F53"/>
    <w:rsid w:val="00333017"/>
    <w:rsid w:val="00333082"/>
    <w:rsid w:val="0033324C"/>
    <w:rsid w:val="003339FA"/>
    <w:rsid w:val="00333A1E"/>
    <w:rsid w:val="00333BC1"/>
    <w:rsid w:val="00333C06"/>
    <w:rsid w:val="00333CA7"/>
    <w:rsid w:val="00333D8C"/>
    <w:rsid w:val="00334103"/>
    <w:rsid w:val="00334BBB"/>
    <w:rsid w:val="00334EA9"/>
    <w:rsid w:val="00335335"/>
    <w:rsid w:val="00335425"/>
    <w:rsid w:val="003358AA"/>
    <w:rsid w:val="00335984"/>
    <w:rsid w:val="00335AF7"/>
    <w:rsid w:val="00335BFE"/>
    <w:rsid w:val="00335E48"/>
    <w:rsid w:val="00336137"/>
    <w:rsid w:val="00336186"/>
    <w:rsid w:val="003363E3"/>
    <w:rsid w:val="00336452"/>
    <w:rsid w:val="003364E2"/>
    <w:rsid w:val="003365D2"/>
    <w:rsid w:val="00336606"/>
    <w:rsid w:val="00336764"/>
    <w:rsid w:val="00336856"/>
    <w:rsid w:val="00336A8D"/>
    <w:rsid w:val="00336B4C"/>
    <w:rsid w:val="003370C9"/>
    <w:rsid w:val="0033722B"/>
    <w:rsid w:val="0033726E"/>
    <w:rsid w:val="0033729C"/>
    <w:rsid w:val="0033742F"/>
    <w:rsid w:val="00337517"/>
    <w:rsid w:val="003377AC"/>
    <w:rsid w:val="003379BE"/>
    <w:rsid w:val="00337DF4"/>
    <w:rsid w:val="00337E5F"/>
    <w:rsid w:val="00337EF7"/>
    <w:rsid w:val="00340098"/>
    <w:rsid w:val="0034035D"/>
    <w:rsid w:val="00340375"/>
    <w:rsid w:val="003407CC"/>
    <w:rsid w:val="00340C5A"/>
    <w:rsid w:val="00340F73"/>
    <w:rsid w:val="0034100B"/>
    <w:rsid w:val="0034125D"/>
    <w:rsid w:val="003412C9"/>
    <w:rsid w:val="0034182F"/>
    <w:rsid w:val="0034188E"/>
    <w:rsid w:val="00341A97"/>
    <w:rsid w:val="00341CBB"/>
    <w:rsid w:val="00341E4B"/>
    <w:rsid w:val="00341FFE"/>
    <w:rsid w:val="003426D7"/>
    <w:rsid w:val="003427F3"/>
    <w:rsid w:val="00342B75"/>
    <w:rsid w:val="00342D12"/>
    <w:rsid w:val="00342E2C"/>
    <w:rsid w:val="0034314F"/>
    <w:rsid w:val="0034339C"/>
    <w:rsid w:val="00343F64"/>
    <w:rsid w:val="00344038"/>
    <w:rsid w:val="003441A8"/>
    <w:rsid w:val="003442E9"/>
    <w:rsid w:val="00344338"/>
    <w:rsid w:val="00344681"/>
    <w:rsid w:val="00344904"/>
    <w:rsid w:val="00344A18"/>
    <w:rsid w:val="00344D5D"/>
    <w:rsid w:val="00344D9A"/>
    <w:rsid w:val="00344F7B"/>
    <w:rsid w:val="00345033"/>
    <w:rsid w:val="0034507B"/>
    <w:rsid w:val="00345375"/>
    <w:rsid w:val="003453D6"/>
    <w:rsid w:val="00345411"/>
    <w:rsid w:val="00345591"/>
    <w:rsid w:val="00345821"/>
    <w:rsid w:val="00345B77"/>
    <w:rsid w:val="00345BCC"/>
    <w:rsid w:val="00345DAC"/>
    <w:rsid w:val="003462B8"/>
    <w:rsid w:val="0034637C"/>
    <w:rsid w:val="00346817"/>
    <w:rsid w:val="00346858"/>
    <w:rsid w:val="00346B8E"/>
    <w:rsid w:val="00346C97"/>
    <w:rsid w:val="00346E40"/>
    <w:rsid w:val="00347095"/>
    <w:rsid w:val="003470AC"/>
    <w:rsid w:val="00347120"/>
    <w:rsid w:val="00347204"/>
    <w:rsid w:val="00347838"/>
    <w:rsid w:val="00347A17"/>
    <w:rsid w:val="00347A4C"/>
    <w:rsid w:val="00347A5A"/>
    <w:rsid w:val="00347AC6"/>
    <w:rsid w:val="0035012E"/>
    <w:rsid w:val="0035036A"/>
    <w:rsid w:val="0035088E"/>
    <w:rsid w:val="003508C4"/>
    <w:rsid w:val="00350E91"/>
    <w:rsid w:val="003510B1"/>
    <w:rsid w:val="00351409"/>
    <w:rsid w:val="0035160E"/>
    <w:rsid w:val="00351688"/>
    <w:rsid w:val="003517B2"/>
    <w:rsid w:val="00352062"/>
    <w:rsid w:val="003521DB"/>
    <w:rsid w:val="00352341"/>
    <w:rsid w:val="00352411"/>
    <w:rsid w:val="0035244F"/>
    <w:rsid w:val="00352802"/>
    <w:rsid w:val="00352F70"/>
    <w:rsid w:val="0035345C"/>
    <w:rsid w:val="0035374C"/>
    <w:rsid w:val="00353861"/>
    <w:rsid w:val="00353971"/>
    <w:rsid w:val="00353981"/>
    <w:rsid w:val="00353FF0"/>
    <w:rsid w:val="0035432E"/>
    <w:rsid w:val="003543A5"/>
    <w:rsid w:val="00354663"/>
    <w:rsid w:val="0035493A"/>
    <w:rsid w:val="00354B6C"/>
    <w:rsid w:val="003552FC"/>
    <w:rsid w:val="00355497"/>
    <w:rsid w:val="0035575D"/>
    <w:rsid w:val="00355AEE"/>
    <w:rsid w:val="00355C74"/>
    <w:rsid w:val="00355D43"/>
    <w:rsid w:val="00355DAC"/>
    <w:rsid w:val="003560E3"/>
    <w:rsid w:val="00356107"/>
    <w:rsid w:val="003561E2"/>
    <w:rsid w:val="0035625E"/>
    <w:rsid w:val="00356472"/>
    <w:rsid w:val="003567B7"/>
    <w:rsid w:val="00356967"/>
    <w:rsid w:val="00356A4C"/>
    <w:rsid w:val="00356F33"/>
    <w:rsid w:val="00357126"/>
    <w:rsid w:val="003571D7"/>
    <w:rsid w:val="003572D4"/>
    <w:rsid w:val="00357379"/>
    <w:rsid w:val="003576B3"/>
    <w:rsid w:val="00357A69"/>
    <w:rsid w:val="00357BC3"/>
    <w:rsid w:val="00357BCB"/>
    <w:rsid w:val="00357DFC"/>
    <w:rsid w:val="003600A1"/>
    <w:rsid w:val="003603D2"/>
    <w:rsid w:val="003604F6"/>
    <w:rsid w:val="00360647"/>
    <w:rsid w:val="00360674"/>
    <w:rsid w:val="00360C0C"/>
    <w:rsid w:val="00360D31"/>
    <w:rsid w:val="00361164"/>
    <w:rsid w:val="00361208"/>
    <w:rsid w:val="003615C7"/>
    <w:rsid w:val="0036164C"/>
    <w:rsid w:val="00361832"/>
    <w:rsid w:val="00361A72"/>
    <w:rsid w:val="00361C30"/>
    <w:rsid w:val="003626B9"/>
    <w:rsid w:val="003626D4"/>
    <w:rsid w:val="00362903"/>
    <w:rsid w:val="003629A8"/>
    <w:rsid w:val="00362C6E"/>
    <w:rsid w:val="00363107"/>
    <w:rsid w:val="003631F7"/>
    <w:rsid w:val="003636AC"/>
    <w:rsid w:val="00363DB4"/>
    <w:rsid w:val="00363E58"/>
    <w:rsid w:val="00364A7F"/>
    <w:rsid w:val="00364DB9"/>
    <w:rsid w:val="00364DBD"/>
    <w:rsid w:val="00364E7E"/>
    <w:rsid w:val="00365711"/>
    <w:rsid w:val="00365829"/>
    <w:rsid w:val="003658D1"/>
    <w:rsid w:val="003659F9"/>
    <w:rsid w:val="00365B7F"/>
    <w:rsid w:val="0036618F"/>
    <w:rsid w:val="0036621C"/>
    <w:rsid w:val="00366618"/>
    <w:rsid w:val="00366BD0"/>
    <w:rsid w:val="00366E5D"/>
    <w:rsid w:val="00367CAA"/>
    <w:rsid w:val="00367E95"/>
    <w:rsid w:val="003702A4"/>
    <w:rsid w:val="003702F0"/>
    <w:rsid w:val="003703C8"/>
    <w:rsid w:val="0037051C"/>
    <w:rsid w:val="003706A1"/>
    <w:rsid w:val="003708DD"/>
    <w:rsid w:val="00370A97"/>
    <w:rsid w:val="003710DB"/>
    <w:rsid w:val="00371305"/>
    <w:rsid w:val="0037136D"/>
    <w:rsid w:val="00371754"/>
    <w:rsid w:val="00371956"/>
    <w:rsid w:val="00371BBC"/>
    <w:rsid w:val="00371C3D"/>
    <w:rsid w:val="00371CF7"/>
    <w:rsid w:val="00371D1E"/>
    <w:rsid w:val="00371FFE"/>
    <w:rsid w:val="00372086"/>
    <w:rsid w:val="003720A6"/>
    <w:rsid w:val="0037249D"/>
    <w:rsid w:val="0037273E"/>
    <w:rsid w:val="003727DA"/>
    <w:rsid w:val="003728B5"/>
    <w:rsid w:val="00372C41"/>
    <w:rsid w:val="00372CAE"/>
    <w:rsid w:val="0037306A"/>
    <w:rsid w:val="00373175"/>
    <w:rsid w:val="00373210"/>
    <w:rsid w:val="00373243"/>
    <w:rsid w:val="003734AD"/>
    <w:rsid w:val="00373587"/>
    <w:rsid w:val="0037385F"/>
    <w:rsid w:val="003738E9"/>
    <w:rsid w:val="0037396C"/>
    <w:rsid w:val="00374523"/>
    <w:rsid w:val="003748EC"/>
    <w:rsid w:val="00374DB7"/>
    <w:rsid w:val="00374E5F"/>
    <w:rsid w:val="00374F8C"/>
    <w:rsid w:val="00374FCD"/>
    <w:rsid w:val="00375199"/>
    <w:rsid w:val="003752D1"/>
    <w:rsid w:val="00375563"/>
    <w:rsid w:val="00375684"/>
    <w:rsid w:val="00375834"/>
    <w:rsid w:val="00375904"/>
    <w:rsid w:val="00375AD0"/>
    <w:rsid w:val="00375B39"/>
    <w:rsid w:val="00375CA7"/>
    <w:rsid w:val="00375D0C"/>
    <w:rsid w:val="00375D0F"/>
    <w:rsid w:val="00375D42"/>
    <w:rsid w:val="00375F93"/>
    <w:rsid w:val="0037655D"/>
    <w:rsid w:val="003765CD"/>
    <w:rsid w:val="00376BE1"/>
    <w:rsid w:val="00376F3C"/>
    <w:rsid w:val="00377359"/>
    <w:rsid w:val="00377448"/>
    <w:rsid w:val="00377610"/>
    <w:rsid w:val="00377829"/>
    <w:rsid w:val="00377B08"/>
    <w:rsid w:val="00377E43"/>
    <w:rsid w:val="00380048"/>
    <w:rsid w:val="0038018B"/>
    <w:rsid w:val="00380276"/>
    <w:rsid w:val="003804C6"/>
    <w:rsid w:val="00380844"/>
    <w:rsid w:val="003808E0"/>
    <w:rsid w:val="00380986"/>
    <w:rsid w:val="00380A67"/>
    <w:rsid w:val="00380A69"/>
    <w:rsid w:val="00380E8C"/>
    <w:rsid w:val="0038112A"/>
    <w:rsid w:val="003815F9"/>
    <w:rsid w:val="00381624"/>
    <w:rsid w:val="00381B6F"/>
    <w:rsid w:val="00381CBD"/>
    <w:rsid w:val="00381EA3"/>
    <w:rsid w:val="00381FF6"/>
    <w:rsid w:val="003821D5"/>
    <w:rsid w:val="00382300"/>
    <w:rsid w:val="00382C51"/>
    <w:rsid w:val="00382CEA"/>
    <w:rsid w:val="0038327D"/>
    <w:rsid w:val="00383431"/>
    <w:rsid w:val="00383441"/>
    <w:rsid w:val="003834AC"/>
    <w:rsid w:val="00383672"/>
    <w:rsid w:val="00383B6E"/>
    <w:rsid w:val="00383B7A"/>
    <w:rsid w:val="00383DD9"/>
    <w:rsid w:val="003840E9"/>
    <w:rsid w:val="003846D3"/>
    <w:rsid w:val="003852B1"/>
    <w:rsid w:val="00385610"/>
    <w:rsid w:val="00385631"/>
    <w:rsid w:val="00385B86"/>
    <w:rsid w:val="00385C49"/>
    <w:rsid w:val="00385EA6"/>
    <w:rsid w:val="00385F81"/>
    <w:rsid w:val="00385FAC"/>
    <w:rsid w:val="00386394"/>
    <w:rsid w:val="003864FF"/>
    <w:rsid w:val="003865D3"/>
    <w:rsid w:val="0038690F"/>
    <w:rsid w:val="00386AC6"/>
    <w:rsid w:val="00386B0E"/>
    <w:rsid w:val="00386B34"/>
    <w:rsid w:val="00386B7D"/>
    <w:rsid w:val="00386D0D"/>
    <w:rsid w:val="00386EED"/>
    <w:rsid w:val="00386F32"/>
    <w:rsid w:val="00386F6A"/>
    <w:rsid w:val="003873A2"/>
    <w:rsid w:val="003873A4"/>
    <w:rsid w:val="0038755E"/>
    <w:rsid w:val="00387581"/>
    <w:rsid w:val="00387615"/>
    <w:rsid w:val="003876A9"/>
    <w:rsid w:val="00387A05"/>
    <w:rsid w:val="00387A0B"/>
    <w:rsid w:val="00387ADF"/>
    <w:rsid w:val="00387AED"/>
    <w:rsid w:val="00387B0C"/>
    <w:rsid w:val="00387F2A"/>
    <w:rsid w:val="00390004"/>
    <w:rsid w:val="003901F5"/>
    <w:rsid w:val="003904B0"/>
    <w:rsid w:val="003904D9"/>
    <w:rsid w:val="00390684"/>
    <w:rsid w:val="00390817"/>
    <w:rsid w:val="00390B32"/>
    <w:rsid w:val="00390C78"/>
    <w:rsid w:val="00390D03"/>
    <w:rsid w:val="00391190"/>
    <w:rsid w:val="003911BE"/>
    <w:rsid w:val="003911D2"/>
    <w:rsid w:val="0039134D"/>
    <w:rsid w:val="00391384"/>
    <w:rsid w:val="00391586"/>
    <w:rsid w:val="003915A0"/>
    <w:rsid w:val="00391656"/>
    <w:rsid w:val="0039167E"/>
    <w:rsid w:val="0039192A"/>
    <w:rsid w:val="00391A53"/>
    <w:rsid w:val="00391BAD"/>
    <w:rsid w:val="00392150"/>
    <w:rsid w:val="003924EC"/>
    <w:rsid w:val="00392F24"/>
    <w:rsid w:val="0039316A"/>
    <w:rsid w:val="003931D4"/>
    <w:rsid w:val="00393257"/>
    <w:rsid w:val="003934BB"/>
    <w:rsid w:val="003934BE"/>
    <w:rsid w:val="003939BB"/>
    <w:rsid w:val="003939E1"/>
    <w:rsid w:val="00393C6B"/>
    <w:rsid w:val="00393DE3"/>
    <w:rsid w:val="003940A6"/>
    <w:rsid w:val="0039450F"/>
    <w:rsid w:val="00394572"/>
    <w:rsid w:val="003945D3"/>
    <w:rsid w:val="00394706"/>
    <w:rsid w:val="00394C33"/>
    <w:rsid w:val="00394E3A"/>
    <w:rsid w:val="00395595"/>
    <w:rsid w:val="003955F8"/>
    <w:rsid w:val="0039580A"/>
    <w:rsid w:val="00395C2A"/>
    <w:rsid w:val="00395DAC"/>
    <w:rsid w:val="00396139"/>
    <w:rsid w:val="003962AA"/>
    <w:rsid w:val="003963D7"/>
    <w:rsid w:val="00396648"/>
    <w:rsid w:val="00396805"/>
    <w:rsid w:val="0039701F"/>
    <w:rsid w:val="0039704D"/>
    <w:rsid w:val="00397078"/>
    <w:rsid w:val="00397530"/>
    <w:rsid w:val="003978B4"/>
    <w:rsid w:val="00397B2A"/>
    <w:rsid w:val="00397C96"/>
    <w:rsid w:val="00397E1A"/>
    <w:rsid w:val="00397E2A"/>
    <w:rsid w:val="003A00F3"/>
    <w:rsid w:val="003A021E"/>
    <w:rsid w:val="003A106D"/>
    <w:rsid w:val="003A1132"/>
    <w:rsid w:val="003A19DA"/>
    <w:rsid w:val="003A1A58"/>
    <w:rsid w:val="003A1B79"/>
    <w:rsid w:val="003A21C4"/>
    <w:rsid w:val="003A23E6"/>
    <w:rsid w:val="003A2486"/>
    <w:rsid w:val="003A25CF"/>
    <w:rsid w:val="003A27C6"/>
    <w:rsid w:val="003A28F7"/>
    <w:rsid w:val="003A2A61"/>
    <w:rsid w:val="003A2E04"/>
    <w:rsid w:val="003A3044"/>
    <w:rsid w:val="003A31EF"/>
    <w:rsid w:val="003A326A"/>
    <w:rsid w:val="003A33A2"/>
    <w:rsid w:val="003A3436"/>
    <w:rsid w:val="003A34D5"/>
    <w:rsid w:val="003A3935"/>
    <w:rsid w:val="003A39B7"/>
    <w:rsid w:val="003A39D7"/>
    <w:rsid w:val="003A3AD5"/>
    <w:rsid w:val="003A3D10"/>
    <w:rsid w:val="003A406B"/>
    <w:rsid w:val="003A40FC"/>
    <w:rsid w:val="003A4160"/>
    <w:rsid w:val="003A446D"/>
    <w:rsid w:val="003A4880"/>
    <w:rsid w:val="003A4960"/>
    <w:rsid w:val="003A50F7"/>
    <w:rsid w:val="003A51B4"/>
    <w:rsid w:val="003A55AF"/>
    <w:rsid w:val="003A5827"/>
    <w:rsid w:val="003A5917"/>
    <w:rsid w:val="003A5D04"/>
    <w:rsid w:val="003A5E8A"/>
    <w:rsid w:val="003A60E4"/>
    <w:rsid w:val="003A61BC"/>
    <w:rsid w:val="003A6357"/>
    <w:rsid w:val="003A637D"/>
    <w:rsid w:val="003A6397"/>
    <w:rsid w:val="003A65CC"/>
    <w:rsid w:val="003A669A"/>
    <w:rsid w:val="003A66FF"/>
    <w:rsid w:val="003A6AE3"/>
    <w:rsid w:val="003A6F1E"/>
    <w:rsid w:val="003A6FED"/>
    <w:rsid w:val="003A7972"/>
    <w:rsid w:val="003A7E66"/>
    <w:rsid w:val="003A7FAF"/>
    <w:rsid w:val="003B02E3"/>
    <w:rsid w:val="003B02E6"/>
    <w:rsid w:val="003B0356"/>
    <w:rsid w:val="003B0998"/>
    <w:rsid w:val="003B0B92"/>
    <w:rsid w:val="003B0E9F"/>
    <w:rsid w:val="003B10D5"/>
    <w:rsid w:val="003B1254"/>
    <w:rsid w:val="003B1586"/>
    <w:rsid w:val="003B16B8"/>
    <w:rsid w:val="003B1989"/>
    <w:rsid w:val="003B19A1"/>
    <w:rsid w:val="003B2038"/>
    <w:rsid w:val="003B23A0"/>
    <w:rsid w:val="003B262A"/>
    <w:rsid w:val="003B26D1"/>
    <w:rsid w:val="003B29D4"/>
    <w:rsid w:val="003B2CB5"/>
    <w:rsid w:val="003B2D14"/>
    <w:rsid w:val="003B2D29"/>
    <w:rsid w:val="003B33A0"/>
    <w:rsid w:val="003B36B4"/>
    <w:rsid w:val="003B3710"/>
    <w:rsid w:val="003B378A"/>
    <w:rsid w:val="003B37C6"/>
    <w:rsid w:val="003B382B"/>
    <w:rsid w:val="003B38E1"/>
    <w:rsid w:val="003B3A6E"/>
    <w:rsid w:val="003B3AD6"/>
    <w:rsid w:val="003B404C"/>
    <w:rsid w:val="003B4879"/>
    <w:rsid w:val="003B4914"/>
    <w:rsid w:val="003B4B2E"/>
    <w:rsid w:val="003B4BDF"/>
    <w:rsid w:val="003B4C0C"/>
    <w:rsid w:val="003B4E83"/>
    <w:rsid w:val="003B5384"/>
    <w:rsid w:val="003B564B"/>
    <w:rsid w:val="003B5662"/>
    <w:rsid w:val="003B5D48"/>
    <w:rsid w:val="003B6071"/>
    <w:rsid w:val="003B60CE"/>
    <w:rsid w:val="003B61B9"/>
    <w:rsid w:val="003B6419"/>
    <w:rsid w:val="003B6488"/>
    <w:rsid w:val="003B6807"/>
    <w:rsid w:val="003B7284"/>
    <w:rsid w:val="003B7393"/>
    <w:rsid w:val="003B73A7"/>
    <w:rsid w:val="003B77C7"/>
    <w:rsid w:val="003B77D8"/>
    <w:rsid w:val="003B789C"/>
    <w:rsid w:val="003B7CAD"/>
    <w:rsid w:val="003B7EF8"/>
    <w:rsid w:val="003B7F25"/>
    <w:rsid w:val="003B7F41"/>
    <w:rsid w:val="003C0046"/>
    <w:rsid w:val="003C0066"/>
    <w:rsid w:val="003C0494"/>
    <w:rsid w:val="003C053E"/>
    <w:rsid w:val="003C0542"/>
    <w:rsid w:val="003C06D5"/>
    <w:rsid w:val="003C0BA6"/>
    <w:rsid w:val="003C0C6C"/>
    <w:rsid w:val="003C0EE4"/>
    <w:rsid w:val="003C0F9F"/>
    <w:rsid w:val="003C15CB"/>
    <w:rsid w:val="003C1874"/>
    <w:rsid w:val="003C19FA"/>
    <w:rsid w:val="003C1BB4"/>
    <w:rsid w:val="003C1C20"/>
    <w:rsid w:val="003C1D1F"/>
    <w:rsid w:val="003C1DC1"/>
    <w:rsid w:val="003C1F1F"/>
    <w:rsid w:val="003C2166"/>
    <w:rsid w:val="003C220A"/>
    <w:rsid w:val="003C2718"/>
    <w:rsid w:val="003C28EB"/>
    <w:rsid w:val="003C2CF4"/>
    <w:rsid w:val="003C2D7F"/>
    <w:rsid w:val="003C2E70"/>
    <w:rsid w:val="003C2FBA"/>
    <w:rsid w:val="003C31F1"/>
    <w:rsid w:val="003C326A"/>
    <w:rsid w:val="003C3482"/>
    <w:rsid w:val="003C37AC"/>
    <w:rsid w:val="003C391A"/>
    <w:rsid w:val="003C3942"/>
    <w:rsid w:val="003C3C93"/>
    <w:rsid w:val="003C3E37"/>
    <w:rsid w:val="003C3F13"/>
    <w:rsid w:val="003C3F3C"/>
    <w:rsid w:val="003C3FA8"/>
    <w:rsid w:val="003C3FD5"/>
    <w:rsid w:val="003C4179"/>
    <w:rsid w:val="003C41D1"/>
    <w:rsid w:val="003C4356"/>
    <w:rsid w:val="003C442A"/>
    <w:rsid w:val="003C4589"/>
    <w:rsid w:val="003C47C4"/>
    <w:rsid w:val="003C4D67"/>
    <w:rsid w:val="003C53F7"/>
    <w:rsid w:val="003C54D9"/>
    <w:rsid w:val="003C5511"/>
    <w:rsid w:val="003C5637"/>
    <w:rsid w:val="003C5702"/>
    <w:rsid w:val="003C5920"/>
    <w:rsid w:val="003C59DF"/>
    <w:rsid w:val="003C5A71"/>
    <w:rsid w:val="003C5B54"/>
    <w:rsid w:val="003C5FA0"/>
    <w:rsid w:val="003C5FBD"/>
    <w:rsid w:val="003C6052"/>
    <w:rsid w:val="003C6430"/>
    <w:rsid w:val="003C6B21"/>
    <w:rsid w:val="003C6BD5"/>
    <w:rsid w:val="003C6DB8"/>
    <w:rsid w:val="003C712C"/>
    <w:rsid w:val="003C7319"/>
    <w:rsid w:val="003C77A9"/>
    <w:rsid w:val="003C7EDD"/>
    <w:rsid w:val="003C7F27"/>
    <w:rsid w:val="003D0139"/>
    <w:rsid w:val="003D0430"/>
    <w:rsid w:val="003D04A3"/>
    <w:rsid w:val="003D0603"/>
    <w:rsid w:val="003D07E9"/>
    <w:rsid w:val="003D086E"/>
    <w:rsid w:val="003D08DF"/>
    <w:rsid w:val="003D0986"/>
    <w:rsid w:val="003D0A4B"/>
    <w:rsid w:val="003D0DFC"/>
    <w:rsid w:val="003D10FF"/>
    <w:rsid w:val="003D14C3"/>
    <w:rsid w:val="003D1737"/>
    <w:rsid w:val="003D1B09"/>
    <w:rsid w:val="003D1DAD"/>
    <w:rsid w:val="003D1DE8"/>
    <w:rsid w:val="003D1ED5"/>
    <w:rsid w:val="003D2094"/>
    <w:rsid w:val="003D218F"/>
    <w:rsid w:val="003D222D"/>
    <w:rsid w:val="003D2243"/>
    <w:rsid w:val="003D2540"/>
    <w:rsid w:val="003D2572"/>
    <w:rsid w:val="003D261D"/>
    <w:rsid w:val="003D27B6"/>
    <w:rsid w:val="003D2867"/>
    <w:rsid w:val="003D2889"/>
    <w:rsid w:val="003D288D"/>
    <w:rsid w:val="003D2B0C"/>
    <w:rsid w:val="003D2B2F"/>
    <w:rsid w:val="003D2E99"/>
    <w:rsid w:val="003D2EFF"/>
    <w:rsid w:val="003D31AE"/>
    <w:rsid w:val="003D32DA"/>
    <w:rsid w:val="003D334A"/>
    <w:rsid w:val="003D38C4"/>
    <w:rsid w:val="003D3AE0"/>
    <w:rsid w:val="003D3AE8"/>
    <w:rsid w:val="003D3C3A"/>
    <w:rsid w:val="003D3CF2"/>
    <w:rsid w:val="003D3DD4"/>
    <w:rsid w:val="003D40FB"/>
    <w:rsid w:val="003D4459"/>
    <w:rsid w:val="003D45B0"/>
    <w:rsid w:val="003D46D0"/>
    <w:rsid w:val="003D4905"/>
    <w:rsid w:val="003D4A4C"/>
    <w:rsid w:val="003D4CB8"/>
    <w:rsid w:val="003D5059"/>
    <w:rsid w:val="003D53B5"/>
    <w:rsid w:val="003D550A"/>
    <w:rsid w:val="003D581B"/>
    <w:rsid w:val="003D59D5"/>
    <w:rsid w:val="003D5D89"/>
    <w:rsid w:val="003D64B5"/>
    <w:rsid w:val="003D65D4"/>
    <w:rsid w:val="003D65F7"/>
    <w:rsid w:val="003D66C2"/>
    <w:rsid w:val="003D670F"/>
    <w:rsid w:val="003D6BB1"/>
    <w:rsid w:val="003D70B5"/>
    <w:rsid w:val="003D72BD"/>
    <w:rsid w:val="003D750A"/>
    <w:rsid w:val="003D7552"/>
    <w:rsid w:val="003D75FF"/>
    <w:rsid w:val="003D76B1"/>
    <w:rsid w:val="003D774F"/>
    <w:rsid w:val="003D7C27"/>
    <w:rsid w:val="003D7C91"/>
    <w:rsid w:val="003D7F37"/>
    <w:rsid w:val="003E05A3"/>
    <w:rsid w:val="003E0824"/>
    <w:rsid w:val="003E086D"/>
    <w:rsid w:val="003E0C67"/>
    <w:rsid w:val="003E0DCE"/>
    <w:rsid w:val="003E0EAF"/>
    <w:rsid w:val="003E102C"/>
    <w:rsid w:val="003E1144"/>
    <w:rsid w:val="003E14A9"/>
    <w:rsid w:val="003E153B"/>
    <w:rsid w:val="003E1549"/>
    <w:rsid w:val="003E1584"/>
    <w:rsid w:val="003E1701"/>
    <w:rsid w:val="003E1776"/>
    <w:rsid w:val="003E1A6B"/>
    <w:rsid w:val="003E1BC8"/>
    <w:rsid w:val="003E1EE9"/>
    <w:rsid w:val="003E210A"/>
    <w:rsid w:val="003E21E9"/>
    <w:rsid w:val="003E26DA"/>
    <w:rsid w:val="003E2738"/>
    <w:rsid w:val="003E27B3"/>
    <w:rsid w:val="003E2877"/>
    <w:rsid w:val="003E29F5"/>
    <w:rsid w:val="003E2ECD"/>
    <w:rsid w:val="003E2F23"/>
    <w:rsid w:val="003E3033"/>
    <w:rsid w:val="003E3281"/>
    <w:rsid w:val="003E328A"/>
    <w:rsid w:val="003E32FD"/>
    <w:rsid w:val="003E3341"/>
    <w:rsid w:val="003E3488"/>
    <w:rsid w:val="003E3544"/>
    <w:rsid w:val="003E370C"/>
    <w:rsid w:val="003E37DA"/>
    <w:rsid w:val="003E3A85"/>
    <w:rsid w:val="003E3BDB"/>
    <w:rsid w:val="003E3C7B"/>
    <w:rsid w:val="003E3D1E"/>
    <w:rsid w:val="003E3DB8"/>
    <w:rsid w:val="003E3F99"/>
    <w:rsid w:val="003E4069"/>
    <w:rsid w:val="003E4079"/>
    <w:rsid w:val="003E41D2"/>
    <w:rsid w:val="003E4249"/>
    <w:rsid w:val="003E4311"/>
    <w:rsid w:val="003E44A6"/>
    <w:rsid w:val="003E460A"/>
    <w:rsid w:val="003E471A"/>
    <w:rsid w:val="003E48C5"/>
    <w:rsid w:val="003E4A06"/>
    <w:rsid w:val="003E4C45"/>
    <w:rsid w:val="003E4C74"/>
    <w:rsid w:val="003E5049"/>
    <w:rsid w:val="003E56E0"/>
    <w:rsid w:val="003E5875"/>
    <w:rsid w:val="003E5B1B"/>
    <w:rsid w:val="003E5B63"/>
    <w:rsid w:val="003E5CA1"/>
    <w:rsid w:val="003E5CEC"/>
    <w:rsid w:val="003E5E9A"/>
    <w:rsid w:val="003E6040"/>
    <w:rsid w:val="003E627C"/>
    <w:rsid w:val="003E6325"/>
    <w:rsid w:val="003E6431"/>
    <w:rsid w:val="003E649E"/>
    <w:rsid w:val="003E65B3"/>
    <w:rsid w:val="003E662A"/>
    <w:rsid w:val="003E6809"/>
    <w:rsid w:val="003E6894"/>
    <w:rsid w:val="003E6EE0"/>
    <w:rsid w:val="003E72E0"/>
    <w:rsid w:val="003E73E5"/>
    <w:rsid w:val="003E7B8F"/>
    <w:rsid w:val="003E7E17"/>
    <w:rsid w:val="003F03CB"/>
    <w:rsid w:val="003F05DF"/>
    <w:rsid w:val="003F07A1"/>
    <w:rsid w:val="003F07F6"/>
    <w:rsid w:val="003F08AE"/>
    <w:rsid w:val="003F09A7"/>
    <w:rsid w:val="003F0C61"/>
    <w:rsid w:val="003F0E41"/>
    <w:rsid w:val="003F1290"/>
    <w:rsid w:val="003F1692"/>
    <w:rsid w:val="003F17E6"/>
    <w:rsid w:val="003F1CD7"/>
    <w:rsid w:val="003F1CFB"/>
    <w:rsid w:val="003F1DC2"/>
    <w:rsid w:val="003F1E18"/>
    <w:rsid w:val="003F1F19"/>
    <w:rsid w:val="003F207E"/>
    <w:rsid w:val="003F2629"/>
    <w:rsid w:val="003F2644"/>
    <w:rsid w:val="003F270E"/>
    <w:rsid w:val="003F27FA"/>
    <w:rsid w:val="003F2BD1"/>
    <w:rsid w:val="003F2CEE"/>
    <w:rsid w:val="003F36D8"/>
    <w:rsid w:val="003F3F05"/>
    <w:rsid w:val="003F4117"/>
    <w:rsid w:val="003F47B0"/>
    <w:rsid w:val="003F4AD6"/>
    <w:rsid w:val="003F4B5E"/>
    <w:rsid w:val="003F4C7A"/>
    <w:rsid w:val="003F4D68"/>
    <w:rsid w:val="003F5499"/>
    <w:rsid w:val="003F5904"/>
    <w:rsid w:val="003F59C5"/>
    <w:rsid w:val="003F5D2D"/>
    <w:rsid w:val="003F5D7A"/>
    <w:rsid w:val="003F5DB4"/>
    <w:rsid w:val="003F5E9A"/>
    <w:rsid w:val="003F5F62"/>
    <w:rsid w:val="003F6127"/>
    <w:rsid w:val="003F6A81"/>
    <w:rsid w:val="003F6C7F"/>
    <w:rsid w:val="003F6DC8"/>
    <w:rsid w:val="003F6EE1"/>
    <w:rsid w:val="003F70F0"/>
    <w:rsid w:val="003F7309"/>
    <w:rsid w:val="003F7608"/>
    <w:rsid w:val="003F76AB"/>
    <w:rsid w:val="003F78B1"/>
    <w:rsid w:val="003F7B5E"/>
    <w:rsid w:val="003F7B8E"/>
    <w:rsid w:val="003F7EE0"/>
    <w:rsid w:val="00400A4C"/>
    <w:rsid w:val="00400B44"/>
    <w:rsid w:val="004014B2"/>
    <w:rsid w:val="0040189B"/>
    <w:rsid w:val="00401CDD"/>
    <w:rsid w:val="00402061"/>
    <w:rsid w:val="004022BA"/>
    <w:rsid w:val="004023BC"/>
    <w:rsid w:val="004026A5"/>
    <w:rsid w:val="00402A05"/>
    <w:rsid w:val="00402AAD"/>
    <w:rsid w:val="00402C54"/>
    <w:rsid w:val="00402F63"/>
    <w:rsid w:val="00402FC6"/>
    <w:rsid w:val="004030CE"/>
    <w:rsid w:val="004032C3"/>
    <w:rsid w:val="004033A2"/>
    <w:rsid w:val="00403909"/>
    <w:rsid w:val="004039EA"/>
    <w:rsid w:val="00403AA5"/>
    <w:rsid w:val="00403D26"/>
    <w:rsid w:val="0040420F"/>
    <w:rsid w:val="0040425A"/>
    <w:rsid w:val="0040429D"/>
    <w:rsid w:val="00404360"/>
    <w:rsid w:val="00404540"/>
    <w:rsid w:val="00404765"/>
    <w:rsid w:val="004047A3"/>
    <w:rsid w:val="00404AE9"/>
    <w:rsid w:val="00404AFF"/>
    <w:rsid w:val="00404B93"/>
    <w:rsid w:val="00404EE4"/>
    <w:rsid w:val="0040519F"/>
    <w:rsid w:val="00405294"/>
    <w:rsid w:val="00405747"/>
    <w:rsid w:val="00405748"/>
    <w:rsid w:val="00405891"/>
    <w:rsid w:val="00405A12"/>
    <w:rsid w:val="00405BAE"/>
    <w:rsid w:val="00405E4D"/>
    <w:rsid w:val="00405F42"/>
    <w:rsid w:val="00405FDE"/>
    <w:rsid w:val="004063EA"/>
    <w:rsid w:val="004064EB"/>
    <w:rsid w:val="004064F2"/>
    <w:rsid w:val="0040655E"/>
    <w:rsid w:val="00406652"/>
    <w:rsid w:val="00406801"/>
    <w:rsid w:val="004068C6"/>
    <w:rsid w:val="0040694B"/>
    <w:rsid w:val="00406B3D"/>
    <w:rsid w:val="00406CAF"/>
    <w:rsid w:val="00406D5D"/>
    <w:rsid w:val="00406F16"/>
    <w:rsid w:val="00406FFF"/>
    <w:rsid w:val="004070EC"/>
    <w:rsid w:val="0040718F"/>
    <w:rsid w:val="004074C9"/>
    <w:rsid w:val="004076F6"/>
    <w:rsid w:val="00407A73"/>
    <w:rsid w:val="00407B70"/>
    <w:rsid w:val="00407C86"/>
    <w:rsid w:val="00407D29"/>
    <w:rsid w:val="004100FB"/>
    <w:rsid w:val="0041033A"/>
    <w:rsid w:val="0041053F"/>
    <w:rsid w:val="00410A55"/>
    <w:rsid w:val="00410BE4"/>
    <w:rsid w:val="00410CEF"/>
    <w:rsid w:val="0041106A"/>
    <w:rsid w:val="0041148A"/>
    <w:rsid w:val="00411573"/>
    <w:rsid w:val="004115E2"/>
    <w:rsid w:val="0041161A"/>
    <w:rsid w:val="0041199F"/>
    <w:rsid w:val="00411B5B"/>
    <w:rsid w:val="00411B9A"/>
    <w:rsid w:val="00411E47"/>
    <w:rsid w:val="00411F77"/>
    <w:rsid w:val="0041208C"/>
    <w:rsid w:val="00412124"/>
    <w:rsid w:val="004126E3"/>
    <w:rsid w:val="0041274A"/>
    <w:rsid w:val="0041298B"/>
    <w:rsid w:val="00412AF1"/>
    <w:rsid w:val="00412AF2"/>
    <w:rsid w:val="00412B2C"/>
    <w:rsid w:val="00412D20"/>
    <w:rsid w:val="00412E71"/>
    <w:rsid w:val="0041329F"/>
    <w:rsid w:val="00413421"/>
    <w:rsid w:val="0041353F"/>
    <w:rsid w:val="0041358A"/>
    <w:rsid w:val="004135CD"/>
    <w:rsid w:val="00413671"/>
    <w:rsid w:val="00413A2A"/>
    <w:rsid w:val="00413B2F"/>
    <w:rsid w:val="00413D19"/>
    <w:rsid w:val="00413E5F"/>
    <w:rsid w:val="00413EDD"/>
    <w:rsid w:val="00414262"/>
    <w:rsid w:val="004143C5"/>
    <w:rsid w:val="00414442"/>
    <w:rsid w:val="0041455E"/>
    <w:rsid w:val="0041474A"/>
    <w:rsid w:val="00414AB3"/>
    <w:rsid w:val="00414B16"/>
    <w:rsid w:val="00414D42"/>
    <w:rsid w:val="00414E79"/>
    <w:rsid w:val="0041569B"/>
    <w:rsid w:val="0041580D"/>
    <w:rsid w:val="00415B8C"/>
    <w:rsid w:val="00415BF0"/>
    <w:rsid w:val="00415D2F"/>
    <w:rsid w:val="00415DF2"/>
    <w:rsid w:val="00415E86"/>
    <w:rsid w:val="00415F93"/>
    <w:rsid w:val="00416332"/>
    <w:rsid w:val="004163F0"/>
    <w:rsid w:val="004166EB"/>
    <w:rsid w:val="0041693E"/>
    <w:rsid w:val="00416A4D"/>
    <w:rsid w:val="00416A6A"/>
    <w:rsid w:val="00416AF7"/>
    <w:rsid w:val="00416BAC"/>
    <w:rsid w:val="00416BD5"/>
    <w:rsid w:val="00416D16"/>
    <w:rsid w:val="00416DD4"/>
    <w:rsid w:val="00416FA0"/>
    <w:rsid w:val="0041726B"/>
    <w:rsid w:val="0041736A"/>
    <w:rsid w:val="00417387"/>
    <w:rsid w:val="0041766C"/>
    <w:rsid w:val="00417F20"/>
    <w:rsid w:val="00417FAF"/>
    <w:rsid w:val="0042020B"/>
    <w:rsid w:val="00420619"/>
    <w:rsid w:val="0042083C"/>
    <w:rsid w:val="00420875"/>
    <w:rsid w:val="00420992"/>
    <w:rsid w:val="00420A32"/>
    <w:rsid w:val="00420C5B"/>
    <w:rsid w:val="004211EF"/>
    <w:rsid w:val="0042125B"/>
    <w:rsid w:val="00421489"/>
    <w:rsid w:val="004214F4"/>
    <w:rsid w:val="004219D5"/>
    <w:rsid w:val="00422241"/>
    <w:rsid w:val="00422400"/>
    <w:rsid w:val="004224BA"/>
    <w:rsid w:val="00422567"/>
    <w:rsid w:val="004226F6"/>
    <w:rsid w:val="00422743"/>
    <w:rsid w:val="00422BD5"/>
    <w:rsid w:val="004231EF"/>
    <w:rsid w:val="004232F2"/>
    <w:rsid w:val="00423430"/>
    <w:rsid w:val="00424736"/>
    <w:rsid w:val="00424843"/>
    <w:rsid w:val="0042488A"/>
    <w:rsid w:val="004249AA"/>
    <w:rsid w:val="00424A0D"/>
    <w:rsid w:val="00424A41"/>
    <w:rsid w:val="00424BC8"/>
    <w:rsid w:val="00424C82"/>
    <w:rsid w:val="00424E93"/>
    <w:rsid w:val="0042556B"/>
    <w:rsid w:val="0042556D"/>
    <w:rsid w:val="0042573F"/>
    <w:rsid w:val="00425B77"/>
    <w:rsid w:val="00425C67"/>
    <w:rsid w:val="00425CBF"/>
    <w:rsid w:val="00425D08"/>
    <w:rsid w:val="00425F30"/>
    <w:rsid w:val="00426409"/>
    <w:rsid w:val="004265A4"/>
    <w:rsid w:val="00426714"/>
    <w:rsid w:val="004269F4"/>
    <w:rsid w:val="00426A0B"/>
    <w:rsid w:val="00426A99"/>
    <w:rsid w:val="00426D7E"/>
    <w:rsid w:val="00426E75"/>
    <w:rsid w:val="004270D6"/>
    <w:rsid w:val="004271A2"/>
    <w:rsid w:val="004272D2"/>
    <w:rsid w:val="004275DB"/>
    <w:rsid w:val="004276BB"/>
    <w:rsid w:val="00427B66"/>
    <w:rsid w:val="00427BB1"/>
    <w:rsid w:val="00427BE6"/>
    <w:rsid w:val="00427DFA"/>
    <w:rsid w:val="00427FDF"/>
    <w:rsid w:val="0043036B"/>
    <w:rsid w:val="00430682"/>
    <w:rsid w:val="0043074C"/>
    <w:rsid w:val="00430A78"/>
    <w:rsid w:val="00430C2B"/>
    <w:rsid w:val="0043110D"/>
    <w:rsid w:val="0043110E"/>
    <w:rsid w:val="004312B9"/>
    <w:rsid w:val="00431A7A"/>
    <w:rsid w:val="00431BAF"/>
    <w:rsid w:val="00431FCA"/>
    <w:rsid w:val="004320CF"/>
    <w:rsid w:val="004321C8"/>
    <w:rsid w:val="004324BE"/>
    <w:rsid w:val="004329BF"/>
    <w:rsid w:val="00432B10"/>
    <w:rsid w:val="00432B21"/>
    <w:rsid w:val="00432B9D"/>
    <w:rsid w:val="00432BFF"/>
    <w:rsid w:val="004330D0"/>
    <w:rsid w:val="00433389"/>
    <w:rsid w:val="0043344A"/>
    <w:rsid w:val="00433479"/>
    <w:rsid w:val="00433556"/>
    <w:rsid w:val="00433654"/>
    <w:rsid w:val="00433859"/>
    <w:rsid w:val="004339FC"/>
    <w:rsid w:val="0043419C"/>
    <w:rsid w:val="0043460F"/>
    <w:rsid w:val="00434811"/>
    <w:rsid w:val="00434829"/>
    <w:rsid w:val="00434A0F"/>
    <w:rsid w:val="00434B8C"/>
    <w:rsid w:val="00434CB1"/>
    <w:rsid w:val="00434D24"/>
    <w:rsid w:val="0043504C"/>
    <w:rsid w:val="004350DD"/>
    <w:rsid w:val="00435126"/>
    <w:rsid w:val="004351C0"/>
    <w:rsid w:val="0043523C"/>
    <w:rsid w:val="0043524D"/>
    <w:rsid w:val="00435714"/>
    <w:rsid w:val="004357BE"/>
    <w:rsid w:val="00435B53"/>
    <w:rsid w:val="00435FD3"/>
    <w:rsid w:val="004362C4"/>
    <w:rsid w:val="004366C3"/>
    <w:rsid w:val="004366FC"/>
    <w:rsid w:val="00436899"/>
    <w:rsid w:val="00436BF5"/>
    <w:rsid w:val="00436F5E"/>
    <w:rsid w:val="0043703D"/>
    <w:rsid w:val="004373D4"/>
    <w:rsid w:val="0043765D"/>
    <w:rsid w:val="004379AE"/>
    <w:rsid w:val="00437BBB"/>
    <w:rsid w:val="00437C03"/>
    <w:rsid w:val="00437FC9"/>
    <w:rsid w:val="0044050A"/>
    <w:rsid w:val="004405A7"/>
    <w:rsid w:val="00440875"/>
    <w:rsid w:val="00440B39"/>
    <w:rsid w:val="00440E3E"/>
    <w:rsid w:val="0044122C"/>
    <w:rsid w:val="004412EA"/>
    <w:rsid w:val="00441664"/>
    <w:rsid w:val="004416F7"/>
    <w:rsid w:val="004418B5"/>
    <w:rsid w:val="00441E85"/>
    <w:rsid w:val="00441EA1"/>
    <w:rsid w:val="004420AA"/>
    <w:rsid w:val="004420BF"/>
    <w:rsid w:val="00442103"/>
    <w:rsid w:val="0044221F"/>
    <w:rsid w:val="004422B4"/>
    <w:rsid w:val="00442304"/>
    <w:rsid w:val="004423F5"/>
    <w:rsid w:val="004424DA"/>
    <w:rsid w:val="00442637"/>
    <w:rsid w:val="004426F0"/>
    <w:rsid w:val="00442A6C"/>
    <w:rsid w:val="00442B1C"/>
    <w:rsid w:val="00442DF3"/>
    <w:rsid w:val="00443769"/>
    <w:rsid w:val="00443989"/>
    <w:rsid w:val="00443C7E"/>
    <w:rsid w:val="004443AB"/>
    <w:rsid w:val="00444B2B"/>
    <w:rsid w:val="00444BEA"/>
    <w:rsid w:val="00444D67"/>
    <w:rsid w:val="00444E24"/>
    <w:rsid w:val="00444E92"/>
    <w:rsid w:val="00445161"/>
    <w:rsid w:val="00445296"/>
    <w:rsid w:val="0044529C"/>
    <w:rsid w:val="0044562A"/>
    <w:rsid w:val="00445AED"/>
    <w:rsid w:val="00445C61"/>
    <w:rsid w:val="00445D3A"/>
    <w:rsid w:val="00445ED0"/>
    <w:rsid w:val="00446000"/>
    <w:rsid w:val="0044603B"/>
    <w:rsid w:val="00446076"/>
    <w:rsid w:val="0044619F"/>
    <w:rsid w:val="0044635F"/>
    <w:rsid w:val="00446429"/>
    <w:rsid w:val="00446451"/>
    <w:rsid w:val="004464D7"/>
    <w:rsid w:val="00446670"/>
    <w:rsid w:val="00446674"/>
    <w:rsid w:val="00446804"/>
    <w:rsid w:val="00446AD8"/>
    <w:rsid w:val="00446B18"/>
    <w:rsid w:val="00446D5F"/>
    <w:rsid w:val="0044738F"/>
    <w:rsid w:val="00447539"/>
    <w:rsid w:val="004477E6"/>
    <w:rsid w:val="00450286"/>
    <w:rsid w:val="00450432"/>
    <w:rsid w:val="0045062F"/>
    <w:rsid w:val="00450798"/>
    <w:rsid w:val="00450843"/>
    <w:rsid w:val="0045094D"/>
    <w:rsid w:val="00450A05"/>
    <w:rsid w:val="00450A27"/>
    <w:rsid w:val="00450B8E"/>
    <w:rsid w:val="00450EDA"/>
    <w:rsid w:val="0045152A"/>
    <w:rsid w:val="0045155B"/>
    <w:rsid w:val="0045182B"/>
    <w:rsid w:val="00451870"/>
    <w:rsid w:val="004518A6"/>
    <w:rsid w:val="00451A54"/>
    <w:rsid w:val="0045226A"/>
    <w:rsid w:val="004523A9"/>
    <w:rsid w:val="00452415"/>
    <w:rsid w:val="0045284A"/>
    <w:rsid w:val="00452BCA"/>
    <w:rsid w:val="00452D07"/>
    <w:rsid w:val="00452E80"/>
    <w:rsid w:val="00452F39"/>
    <w:rsid w:val="0045300B"/>
    <w:rsid w:val="00453322"/>
    <w:rsid w:val="0045339D"/>
    <w:rsid w:val="00453713"/>
    <w:rsid w:val="00453F15"/>
    <w:rsid w:val="00453F9B"/>
    <w:rsid w:val="004540B8"/>
    <w:rsid w:val="0045410C"/>
    <w:rsid w:val="0045434E"/>
    <w:rsid w:val="00454468"/>
    <w:rsid w:val="004545CB"/>
    <w:rsid w:val="0045488E"/>
    <w:rsid w:val="00454AE8"/>
    <w:rsid w:val="00454AF1"/>
    <w:rsid w:val="00454B1D"/>
    <w:rsid w:val="00454F80"/>
    <w:rsid w:val="00455009"/>
    <w:rsid w:val="004555C6"/>
    <w:rsid w:val="00455682"/>
    <w:rsid w:val="00455C75"/>
    <w:rsid w:val="00455D31"/>
    <w:rsid w:val="00455D68"/>
    <w:rsid w:val="0045645D"/>
    <w:rsid w:val="00456498"/>
    <w:rsid w:val="00456CD2"/>
    <w:rsid w:val="00456FDA"/>
    <w:rsid w:val="0045716F"/>
    <w:rsid w:val="00457331"/>
    <w:rsid w:val="00457389"/>
    <w:rsid w:val="00457599"/>
    <w:rsid w:val="00457A98"/>
    <w:rsid w:val="00457E72"/>
    <w:rsid w:val="00460422"/>
    <w:rsid w:val="0046067F"/>
    <w:rsid w:val="004608AD"/>
    <w:rsid w:val="00460991"/>
    <w:rsid w:val="00460B6D"/>
    <w:rsid w:val="00461419"/>
    <w:rsid w:val="00461620"/>
    <w:rsid w:val="0046169D"/>
    <w:rsid w:val="00461726"/>
    <w:rsid w:val="004620E7"/>
    <w:rsid w:val="004621D1"/>
    <w:rsid w:val="00462472"/>
    <w:rsid w:val="004625F5"/>
    <w:rsid w:val="0046285B"/>
    <w:rsid w:val="004628D5"/>
    <w:rsid w:val="004629F3"/>
    <w:rsid w:val="00462BE4"/>
    <w:rsid w:val="00462C0C"/>
    <w:rsid w:val="00462C1C"/>
    <w:rsid w:val="00462C40"/>
    <w:rsid w:val="00462D23"/>
    <w:rsid w:val="00462F99"/>
    <w:rsid w:val="0046311C"/>
    <w:rsid w:val="00463215"/>
    <w:rsid w:val="0046363B"/>
    <w:rsid w:val="0046363D"/>
    <w:rsid w:val="00463643"/>
    <w:rsid w:val="004636FE"/>
    <w:rsid w:val="0046372F"/>
    <w:rsid w:val="00463770"/>
    <w:rsid w:val="00463777"/>
    <w:rsid w:val="004638A3"/>
    <w:rsid w:val="00463DF6"/>
    <w:rsid w:val="004640C5"/>
    <w:rsid w:val="004641A7"/>
    <w:rsid w:val="0046435C"/>
    <w:rsid w:val="00464A80"/>
    <w:rsid w:val="00464A93"/>
    <w:rsid w:val="00464C4C"/>
    <w:rsid w:val="00464FC3"/>
    <w:rsid w:val="00465019"/>
    <w:rsid w:val="00465050"/>
    <w:rsid w:val="004653A7"/>
    <w:rsid w:val="004653F3"/>
    <w:rsid w:val="0046544A"/>
    <w:rsid w:val="0046548F"/>
    <w:rsid w:val="0046581B"/>
    <w:rsid w:val="00465975"/>
    <w:rsid w:val="004659B8"/>
    <w:rsid w:val="00466094"/>
    <w:rsid w:val="004662EA"/>
    <w:rsid w:val="0046638E"/>
    <w:rsid w:val="004663D5"/>
    <w:rsid w:val="00466670"/>
    <w:rsid w:val="004666EA"/>
    <w:rsid w:val="00466BE4"/>
    <w:rsid w:val="00466C36"/>
    <w:rsid w:val="00466F20"/>
    <w:rsid w:val="00466F9F"/>
    <w:rsid w:val="0046701F"/>
    <w:rsid w:val="00467035"/>
    <w:rsid w:val="004670FC"/>
    <w:rsid w:val="0046712D"/>
    <w:rsid w:val="0046713A"/>
    <w:rsid w:val="004673FF"/>
    <w:rsid w:val="0046747C"/>
    <w:rsid w:val="00467735"/>
    <w:rsid w:val="0046774D"/>
    <w:rsid w:val="00467863"/>
    <w:rsid w:val="00467C9E"/>
    <w:rsid w:val="00467DFF"/>
    <w:rsid w:val="0047015A"/>
    <w:rsid w:val="004701D5"/>
    <w:rsid w:val="004705B3"/>
    <w:rsid w:val="0047062C"/>
    <w:rsid w:val="00470672"/>
    <w:rsid w:val="004706B3"/>
    <w:rsid w:val="004706DE"/>
    <w:rsid w:val="00470A0B"/>
    <w:rsid w:val="00470A0E"/>
    <w:rsid w:val="00470CFE"/>
    <w:rsid w:val="00470DAF"/>
    <w:rsid w:val="004710E2"/>
    <w:rsid w:val="00471144"/>
    <w:rsid w:val="00471479"/>
    <w:rsid w:val="004714AA"/>
    <w:rsid w:val="00471522"/>
    <w:rsid w:val="0047180C"/>
    <w:rsid w:val="00471FCA"/>
    <w:rsid w:val="00472466"/>
    <w:rsid w:val="00472758"/>
    <w:rsid w:val="00472B17"/>
    <w:rsid w:val="00472DC1"/>
    <w:rsid w:val="00472E72"/>
    <w:rsid w:val="00472E9F"/>
    <w:rsid w:val="0047301D"/>
    <w:rsid w:val="00473661"/>
    <w:rsid w:val="004737C5"/>
    <w:rsid w:val="00473A0E"/>
    <w:rsid w:val="00473A39"/>
    <w:rsid w:val="00473A4A"/>
    <w:rsid w:val="00473ABB"/>
    <w:rsid w:val="00473C6B"/>
    <w:rsid w:val="00473E1D"/>
    <w:rsid w:val="00473F74"/>
    <w:rsid w:val="004746DA"/>
    <w:rsid w:val="00474B1F"/>
    <w:rsid w:val="00474B54"/>
    <w:rsid w:val="00474D65"/>
    <w:rsid w:val="00474E91"/>
    <w:rsid w:val="004750E6"/>
    <w:rsid w:val="004755A2"/>
    <w:rsid w:val="00475778"/>
    <w:rsid w:val="00475B7D"/>
    <w:rsid w:val="00475D50"/>
    <w:rsid w:val="00475F0F"/>
    <w:rsid w:val="00475FFF"/>
    <w:rsid w:val="004762E6"/>
    <w:rsid w:val="00476489"/>
    <w:rsid w:val="00476791"/>
    <w:rsid w:val="004767AF"/>
    <w:rsid w:val="00476856"/>
    <w:rsid w:val="0047685E"/>
    <w:rsid w:val="0047692F"/>
    <w:rsid w:val="00476947"/>
    <w:rsid w:val="00476954"/>
    <w:rsid w:val="0047695A"/>
    <w:rsid w:val="00476A54"/>
    <w:rsid w:val="004771C4"/>
    <w:rsid w:val="004772AD"/>
    <w:rsid w:val="0047747B"/>
    <w:rsid w:val="004774B1"/>
    <w:rsid w:val="00477564"/>
    <w:rsid w:val="00477920"/>
    <w:rsid w:val="004779F0"/>
    <w:rsid w:val="00477BB8"/>
    <w:rsid w:val="00477C7B"/>
    <w:rsid w:val="00477CB3"/>
    <w:rsid w:val="00477D23"/>
    <w:rsid w:val="00477D59"/>
    <w:rsid w:val="00477DFA"/>
    <w:rsid w:val="00480156"/>
    <w:rsid w:val="0048028A"/>
    <w:rsid w:val="00480415"/>
    <w:rsid w:val="004805B9"/>
    <w:rsid w:val="00480679"/>
    <w:rsid w:val="00480E8C"/>
    <w:rsid w:val="0048128A"/>
    <w:rsid w:val="00481483"/>
    <w:rsid w:val="004816E9"/>
    <w:rsid w:val="00481798"/>
    <w:rsid w:val="0048199A"/>
    <w:rsid w:val="0048233E"/>
    <w:rsid w:val="00482422"/>
    <w:rsid w:val="0048246E"/>
    <w:rsid w:val="0048281E"/>
    <w:rsid w:val="004829BF"/>
    <w:rsid w:val="00482EB8"/>
    <w:rsid w:val="00482F87"/>
    <w:rsid w:val="00483121"/>
    <w:rsid w:val="004833F2"/>
    <w:rsid w:val="00483649"/>
    <w:rsid w:val="0048394C"/>
    <w:rsid w:val="00483BAB"/>
    <w:rsid w:val="00483E7C"/>
    <w:rsid w:val="004840A6"/>
    <w:rsid w:val="0048435B"/>
    <w:rsid w:val="00484720"/>
    <w:rsid w:val="0048495F"/>
    <w:rsid w:val="00484BFA"/>
    <w:rsid w:val="00484CEB"/>
    <w:rsid w:val="00484DF5"/>
    <w:rsid w:val="00485046"/>
    <w:rsid w:val="00485353"/>
    <w:rsid w:val="004853A6"/>
    <w:rsid w:val="00485528"/>
    <w:rsid w:val="004856EA"/>
    <w:rsid w:val="00485825"/>
    <w:rsid w:val="004859F7"/>
    <w:rsid w:val="00485A93"/>
    <w:rsid w:val="00485BC5"/>
    <w:rsid w:val="00485D24"/>
    <w:rsid w:val="00486307"/>
    <w:rsid w:val="00486393"/>
    <w:rsid w:val="004863CF"/>
    <w:rsid w:val="004865BD"/>
    <w:rsid w:val="004866D2"/>
    <w:rsid w:val="00486801"/>
    <w:rsid w:val="004869BD"/>
    <w:rsid w:val="00486E56"/>
    <w:rsid w:val="004871EC"/>
    <w:rsid w:val="004873B1"/>
    <w:rsid w:val="00487BDA"/>
    <w:rsid w:val="00487D62"/>
    <w:rsid w:val="00487D9A"/>
    <w:rsid w:val="00487DAC"/>
    <w:rsid w:val="004901BA"/>
    <w:rsid w:val="004901E8"/>
    <w:rsid w:val="00490278"/>
    <w:rsid w:val="0049029C"/>
    <w:rsid w:val="004903C1"/>
    <w:rsid w:val="004903CB"/>
    <w:rsid w:val="0049079C"/>
    <w:rsid w:val="00490C83"/>
    <w:rsid w:val="00490EDD"/>
    <w:rsid w:val="00490F56"/>
    <w:rsid w:val="00491008"/>
    <w:rsid w:val="004918C0"/>
    <w:rsid w:val="0049196E"/>
    <w:rsid w:val="0049198F"/>
    <w:rsid w:val="00491B88"/>
    <w:rsid w:val="00491E5D"/>
    <w:rsid w:val="00491F3C"/>
    <w:rsid w:val="00492080"/>
    <w:rsid w:val="0049224A"/>
    <w:rsid w:val="0049233C"/>
    <w:rsid w:val="00492410"/>
    <w:rsid w:val="0049268E"/>
    <w:rsid w:val="0049278C"/>
    <w:rsid w:val="004928DD"/>
    <w:rsid w:val="00492974"/>
    <w:rsid w:val="00492A3D"/>
    <w:rsid w:val="00492DC8"/>
    <w:rsid w:val="00493197"/>
    <w:rsid w:val="004932F5"/>
    <w:rsid w:val="004935D9"/>
    <w:rsid w:val="0049399C"/>
    <w:rsid w:val="00493A48"/>
    <w:rsid w:val="00493D80"/>
    <w:rsid w:val="00493DFD"/>
    <w:rsid w:val="004940D7"/>
    <w:rsid w:val="004942D5"/>
    <w:rsid w:val="0049431C"/>
    <w:rsid w:val="004943FC"/>
    <w:rsid w:val="0049453D"/>
    <w:rsid w:val="004946C6"/>
    <w:rsid w:val="00494817"/>
    <w:rsid w:val="00494995"/>
    <w:rsid w:val="00494AE8"/>
    <w:rsid w:val="00494E79"/>
    <w:rsid w:val="00495365"/>
    <w:rsid w:val="00495504"/>
    <w:rsid w:val="004955A5"/>
    <w:rsid w:val="004955E6"/>
    <w:rsid w:val="00495AC3"/>
    <w:rsid w:val="00495B5C"/>
    <w:rsid w:val="0049616E"/>
    <w:rsid w:val="0049620A"/>
    <w:rsid w:val="00496950"/>
    <w:rsid w:val="00496AEA"/>
    <w:rsid w:val="00496BAE"/>
    <w:rsid w:val="00496C6E"/>
    <w:rsid w:val="0049781B"/>
    <w:rsid w:val="00497846"/>
    <w:rsid w:val="004978B6"/>
    <w:rsid w:val="00497A6E"/>
    <w:rsid w:val="00497B60"/>
    <w:rsid w:val="00497BCC"/>
    <w:rsid w:val="00497DA0"/>
    <w:rsid w:val="00497DD3"/>
    <w:rsid w:val="00497E82"/>
    <w:rsid w:val="004A013D"/>
    <w:rsid w:val="004A01CA"/>
    <w:rsid w:val="004A0253"/>
    <w:rsid w:val="004A02D9"/>
    <w:rsid w:val="004A034C"/>
    <w:rsid w:val="004A04F1"/>
    <w:rsid w:val="004A07F6"/>
    <w:rsid w:val="004A08D4"/>
    <w:rsid w:val="004A0BE3"/>
    <w:rsid w:val="004A0DF8"/>
    <w:rsid w:val="004A115D"/>
    <w:rsid w:val="004A1163"/>
    <w:rsid w:val="004A1379"/>
    <w:rsid w:val="004A151E"/>
    <w:rsid w:val="004A195A"/>
    <w:rsid w:val="004A1963"/>
    <w:rsid w:val="004A1C14"/>
    <w:rsid w:val="004A1E1A"/>
    <w:rsid w:val="004A1F3E"/>
    <w:rsid w:val="004A1FB9"/>
    <w:rsid w:val="004A2089"/>
    <w:rsid w:val="004A237E"/>
    <w:rsid w:val="004A2C12"/>
    <w:rsid w:val="004A3062"/>
    <w:rsid w:val="004A30B5"/>
    <w:rsid w:val="004A312E"/>
    <w:rsid w:val="004A340F"/>
    <w:rsid w:val="004A344B"/>
    <w:rsid w:val="004A3759"/>
    <w:rsid w:val="004A3858"/>
    <w:rsid w:val="004A39D2"/>
    <w:rsid w:val="004A401C"/>
    <w:rsid w:val="004A40DD"/>
    <w:rsid w:val="004A43BE"/>
    <w:rsid w:val="004A4412"/>
    <w:rsid w:val="004A4620"/>
    <w:rsid w:val="004A488C"/>
    <w:rsid w:val="004A4C04"/>
    <w:rsid w:val="004A4CA3"/>
    <w:rsid w:val="004A514E"/>
    <w:rsid w:val="004A5C32"/>
    <w:rsid w:val="004A5C49"/>
    <w:rsid w:val="004A6A53"/>
    <w:rsid w:val="004A6CDE"/>
    <w:rsid w:val="004A6D32"/>
    <w:rsid w:val="004A6D74"/>
    <w:rsid w:val="004A6D89"/>
    <w:rsid w:val="004A6F8F"/>
    <w:rsid w:val="004A7195"/>
    <w:rsid w:val="004A724B"/>
    <w:rsid w:val="004A72E7"/>
    <w:rsid w:val="004A7376"/>
    <w:rsid w:val="004A747C"/>
    <w:rsid w:val="004A79C4"/>
    <w:rsid w:val="004A79EA"/>
    <w:rsid w:val="004A7B78"/>
    <w:rsid w:val="004A7E4A"/>
    <w:rsid w:val="004A7F62"/>
    <w:rsid w:val="004A7F72"/>
    <w:rsid w:val="004A7FE0"/>
    <w:rsid w:val="004A7FE6"/>
    <w:rsid w:val="004B0704"/>
    <w:rsid w:val="004B07C5"/>
    <w:rsid w:val="004B081E"/>
    <w:rsid w:val="004B08C1"/>
    <w:rsid w:val="004B0A9D"/>
    <w:rsid w:val="004B0EC0"/>
    <w:rsid w:val="004B0F76"/>
    <w:rsid w:val="004B1341"/>
    <w:rsid w:val="004B140C"/>
    <w:rsid w:val="004B15B1"/>
    <w:rsid w:val="004B1AB7"/>
    <w:rsid w:val="004B1D2A"/>
    <w:rsid w:val="004B281E"/>
    <w:rsid w:val="004B285E"/>
    <w:rsid w:val="004B2882"/>
    <w:rsid w:val="004B2964"/>
    <w:rsid w:val="004B29C5"/>
    <w:rsid w:val="004B2B88"/>
    <w:rsid w:val="004B2CD3"/>
    <w:rsid w:val="004B2D42"/>
    <w:rsid w:val="004B3062"/>
    <w:rsid w:val="004B31F3"/>
    <w:rsid w:val="004B34F9"/>
    <w:rsid w:val="004B353B"/>
    <w:rsid w:val="004B3715"/>
    <w:rsid w:val="004B3888"/>
    <w:rsid w:val="004B39AC"/>
    <w:rsid w:val="004B39F9"/>
    <w:rsid w:val="004B3C17"/>
    <w:rsid w:val="004B3DF6"/>
    <w:rsid w:val="004B3F44"/>
    <w:rsid w:val="004B4172"/>
    <w:rsid w:val="004B44F3"/>
    <w:rsid w:val="004B45C6"/>
    <w:rsid w:val="004B4778"/>
    <w:rsid w:val="004B4BF4"/>
    <w:rsid w:val="004B4F20"/>
    <w:rsid w:val="004B51DB"/>
    <w:rsid w:val="004B5717"/>
    <w:rsid w:val="004B5A20"/>
    <w:rsid w:val="004B5A77"/>
    <w:rsid w:val="004B5B3A"/>
    <w:rsid w:val="004B5E42"/>
    <w:rsid w:val="004B5E4C"/>
    <w:rsid w:val="004B5F34"/>
    <w:rsid w:val="004B62DA"/>
    <w:rsid w:val="004B641D"/>
    <w:rsid w:val="004B6431"/>
    <w:rsid w:val="004B660D"/>
    <w:rsid w:val="004B67A1"/>
    <w:rsid w:val="004B68B7"/>
    <w:rsid w:val="004B68C5"/>
    <w:rsid w:val="004B6AC9"/>
    <w:rsid w:val="004B6D91"/>
    <w:rsid w:val="004B7028"/>
    <w:rsid w:val="004B73D8"/>
    <w:rsid w:val="004B7615"/>
    <w:rsid w:val="004B785E"/>
    <w:rsid w:val="004B7869"/>
    <w:rsid w:val="004B78D3"/>
    <w:rsid w:val="004B7D06"/>
    <w:rsid w:val="004B7D56"/>
    <w:rsid w:val="004C00E4"/>
    <w:rsid w:val="004C0872"/>
    <w:rsid w:val="004C09D9"/>
    <w:rsid w:val="004C133E"/>
    <w:rsid w:val="004C13EF"/>
    <w:rsid w:val="004C1452"/>
    <w:rsid w:val="004C1AE4"/>
    <w:rsid w:val="004C1C63"/>
    <w:rsid w:val="004C1C7C"/>
    <w:rsid w:val="004C1F1E"/>
    <w:rsid w:val="004C204E"/>
    <w:rsid w:val="004C2740"/>
    <w:rsid w:val="004C29FE"/>
    <w:rsid w:val="004C2AA6"/>
    <w:rsid w:val="004C2B42"/>
    <w:rsid w:val="004C2BF8"/>
    <w:rsid w:val="004C2EF4"/>
    <w:rsid w:val="004C2F7A"/>
    <w:rsid w:val="004C330B"/>
    <w:rsid w:val="004C3426"/>
    <w:rsid w:val="004C3CB1"/>
    <w:rsid w:val="004C3EC9"/>
    <w:rsid w:val="004C3F52"/>
    <w:rsid w:val="004C3F98"/>
    <w:rsid w:val="004C3FEC"/>
    <w:rsid w:val="004C42FF"/>
    <w:rsid w:val="004C49D0"/>
    <w:rsid w:val="004C4B7C"/>
    <w:rsid w:val="004C4BB5"/>
    <w:rsid w:val="004C4C35"/>
    <w:rsid w:val="004C4C9D"/>
    <w:rsid w:val="004C4CA2"/>
    <w:rsid w:val="004C4DD3"/>
    <w:rsid w:val="004C4F9C"/>
    <w:rsid w:val="004C51F7"/>
    <w:rsid w:val="004C5476"/>
    <w:rsid w:val="004C5609"/>
    <w:rsid w:val="004C5711"/>
    <w:rsid w:val="004C5881"/>
    <w:rsid w:val="004C5A2D"/>
    <w:rsid w:val="004C5D31"/>
    <w:rsid w:val="004C61E8"/>
    <w:rsid w:val="004C62D6"/>
    <w:rsid w:val="004C6B73"/>
    <w:rsid w:val="004C6B8E"/>
    <w:rsid w:val="004C6D5F"/>
    <w:rsid w:val="004C6D77"/>
    <w:rsid w:val="004C6E2E"/>
    <w:rsid w:val="004C6E9F"/>
    <w:rsid w:val="004C70A1"/>
    <w:rsid w:val="004C71C7"/>
    <w:rsid w:val="004C7276"/>
    <w:rsid w:val="004C7406"/>
    <w:rsid w:val="004C741A"/>
    <w:rsid w:val="004C7A14"/>
    <w:rsid w:val="004C7D23"/>
    <w:rsid w:val="004C7DE6"/>
    <w:rsid w:val="004D001D"/>
    <w:rsid w:val="004D0047"/>
    <w:rsid w:val="004D0087"/>
    <w:rsid w:val="004D08A0"/>
    <w:rsid w:val="004D091E"/>
    <w:rsid w:val="004D096D"/>
    <w:rsid w:val="004D09E2"/>
    <w:rsid w:val="004D0A80"/>
    <w:rsid w:val="004D0B55"/>
    <w:rsid w:val="004D0F0A"/>
    <w:rsid w:val="004D0FE8"/>
    <w:rsid w:val="004D1581"/>
    <w:rsid w:val="004D15AC"/>
    <w:rsid w:val="004D15DF"/>
    <w:rsid w:val="004D184E"/>
    <w:rsid w:val="004D1AD9"/>
    <w:rsid w:val="004D1CF8"/>
    <w:rsid w:val="004D1E06"/>
    <w:rsid w:val="004D1F5B"/>
    <w:rsid w:val="004D1F84"/>
    <w:rsid w:val="004D1FE4"/>
    <w:rsid w:val="004D2038"/>
    <w:rsid w:val="004D2463"/>
    <w:rsid w:val="004D263D"/>
    <w:rsid w:val="004D2873"/>
    <w:rsid w:val="004D2AE8"/>
    <w:rsid w:val="004D2DFA"/>
    <w:rsid w:val="004D3482"/>
    <w:rsid w:val="004D39FE"/>
    <w:rsid w:val="004D3ADD"/>
    <w:rsid w:val="004D3CE2"/>
    <w:rsid w:val="004D41CD"/>
    <w:rsid w:val="004D46A5"/>
    <w:rsid w:val="004D46D3"/>
    <w:rsid w:val="004D470A"/>
    <w:rsid w:val="004D4758"/>
    <w:rsid w:val="004D47DB"/>
    <w:rsid w:val="004D4E2D"/>
    <w:rsid w:val="004D5026"/>
    <w:rsid w:val="004D5044"/>
    <w:rsid w:val="004D5054"/>
    <w:rsid w:val="004D5290"/>
    <w:rsid w:val="004D52C8"/>
    <w:rsid w:val="004D5344"/>
    <w:rsid w:val="004D558F"/>
    <w:rsid w:val="004D579B"/>
    <w:rsid w:val="004D588C"/>
    <w:rsid w:val="004D5BE9"/>
    <w:rsid w:val="004D5CBC"/>
    <w:rsid w:val="004D5D0D"/>
    <w:rsid w:val="004D64A0"/>
    <w:rsid w:val="004D64BF"/>
    <w:rsid w:val="004D68DF"/>
    <w:rsid w:val="004D6B09"/>
    <w:rsid w:val="004D6C07"/>
    <w:rsid w:val="004D6E10"/>
    <w:rsid w:val="004D6EE6"/>
    <w:rsid w:val="004D717E"/>
    <w:rsid w:val="004D7621"/>
    <w:rsid w:val="004D7637"/>
    <w:rsid w:val="004D7795"/>
    <w:rsid w:val="004D795E"/>
    <w:rsid w:val="004D7A65"/>
    <w:rsid w:val="004D7B55"/>
    <w:rsid w:val="004D7DB9"/>
    <w:rsid w:val="004D7E96"/>
    <w:rsid w:val="004E0273"/>
    <w:rsid w:val="004E0699"/>
    <w:rsid w:val="004E07EB"/>
    <w:rsid w:val="004E0AC5"/>
    <w:rsid w:val="004E0B9B"/>
    <w:rsid w:val="004E0E7B"/>
    <w:rsid w:val="004E124D"/>
    <w:rsid w:val="004E137A"/>
    <w:rsid w:val="004E17CE"/>
    <w:rsid w:val="004E1981"/>
    <w:rsid w:val="004E19F3"/>
    <w:rsid w:val="004E1F91"/>
    <w:rsid w:val="004E2670"/>
    <w:rsid w:val="004E2849"/>
    <w:rsid w:val="004E28E4"/>
    <w:rsid w:val="004E2B86"/>
    <w:rsid w:val="004E2D23"/>
    <w:rsid w:val="004E2FB6"/>
    <w:rsid w:val="004E3054"/>
    <w:rsid w:val="004E31F3"/>
    <w:rsid w:val="004E33DB"/>
    <w:rsid w:val="004E3678"/>
    <w:rsid w:val="004E3A5B"/>
    <w:rsid w:val="004E3DF3"/>
    <w:rsid w:val="004E4074"/>
    <w:rsid w:val="004E4304"/>
    <w:rsid w:val="004E4537"/>
    <w:rsid w:val="004E479B"/>
    <w:rsid w:val="004E4A17"/>
    <w:rsid w:val="004E4F12"/>
    <w:rsid w:val="004E5169"/>
    <w:rsid w:val="004E52E0"/>
    <w:rsid w:val="004E54D3"/>
    <w:rsid w:val="004E5824"/>
    <w:rsid w:val="004E5968"/>
    <w:rsid w:val="004E5B8C"/>
    <w:rsid w:val="004E5BDA"/>
    <w:rsid w:val="004E5C2E"/>
    <w:rsid w:val="004E5D0D"/>
    <w:rsid w:val="004E5E6C"/>
    <w:rsid w:val="004E634E"/>
    <w:rsid w:val="004E6395"/>
    <w:rsid w:val="004E6425"/>
    <w:rsid w:val="004E64C9"/>
    <w:rsid w:val="004E6535"/>
    <w:rsid w:val="004E655E"/>
    <w:rsid w:val="004E66E7"/>
    <w:rsid w:val="004E67F4"/>
    <w:rsid w:val="004E6B2E"/>
    <w:rsid w:val="004E6BB9"/>
    <w:rsid w:val="004E6E39"/>
    <w:rsid w:val="004E726A"/>
    <w:rsid w:val="004E7279"/>
    <w:rsid w:val="004E773E"/>
    <w:rsid w:val="004E7768"/>
    <w:rsid w:val="004E783D"/>
    <w:rsid w:val="004E7AD2"/>
    <w:rsid w:val="004E7CC8"/>
    <w:rsid w:val="004E7F00"/>
    <w:rsid w:val="004F0017"/>
    <w:rsid w:val="004F036A"/>
    <w:rsid w:val="004F0523"/>
    <w:rsid w:val="004F059E"/>
    <w:rsid w:val="004F05AF"/>
    <w:rsid w:val="004F0901"/>
    <w:rsid w:val="004F0AE9"/>
    <w:rsid w:val="004F0B21"/>
    <w:rsid w:val="004F0D92"/>
    <w:rsid w:val="004F0F34"/>
    <w:rsid w:val="004F10B3"/>
    <w:rsid w:val="004F131D"/>
    <w:rsid w:val="004F15CE"/>
    <w:rsid w:val="004F183C"/>
    <w:rsid w:val="004F191D"/>
    <w:rsid w:val="004F1A19"/>
    <w:rsid w:val="004F20A5"/>
    <w:rsid w:val="004F20E9"/>
    <w:rsid w:val="004F21C6"/>
    <w:rsid w:val="004F242F"/>
    <w:rsid w:val="004F2759"/>
    <w:rsid w:val="004F2C8B"/>
    <w:rsid w:val="004F30EE"/>
    <w:rsid w:val="004F357C"/>
    <w:rsid w:val="004F37C2"/>
    <w:rsid w:val="004F39E9"/>
    <w:rsid w:val="004F3B5F"/>
    <w:rsid w:val="004F3F02"/>
    <w:rsid w:val="004F442C"/>
    <w:rsid w:val="004F4F81"/>
    <w:rsid w:val="004F5110"/>
    <w:rsid w:val="004F5432"/>
    <w:rsid w:val="004F5582"/>
    <w:rsid w:val="004F5654"/>
    <w:rsid w:val="004F572E"/>
    <w:rsid w:val="004F57E8"/>
    <w:rsid w:val="004F5849"/>
    <w:rsid w:val="004F5908"/>
    <w:rsid w:val="004F5B68"/>
    <w:rsid w:val="004F6016"/>
    <w:rsid w:val="004F616A"/>
    <w:rsid w:val="004F6199"/>
    <w:rsid w:val="004F64EA"/>
    <w:rsid w:val="004F6506"/>
    <w:rsid w:val="004F65AA"/>
    <w:rsid w:val="004F6B0D"/>
    <w:rsid w:val="004F6CE9"/>
    <w:rsid w:val="004F6E12"/>
    <w:rsid w:val="004F70A0"/>
    <w:rsid w:val="004F714B"/>
    <w:rsid w:val="004F72DD"/>
    <w:rsid w:val="004F73ED"/>
    <w:rsid w:val="004F7547"/>
    <w:rsid w:val="004F7649"/>
    <w:rsid w:val="004F76E3"/>
    <w:rsid w:val="004F785E"/>
    <w:rsid w:val="004F7919"/>
    <w:rsid w:val="004F7A59"/>
    <w:rsid w:val="004F7BA0"/>
    <w:rsid w:val="004F7C0E"/>
    <w:rsid w:val="004F7E2B"/>
    <w:rsid w:val="004F7E67"/>
    <w:rsid w:val="005006CB"/>
    <w:rsid w:val="005006FD"/>
    <w:rsid w:val="005008D2"/>
    <w:rsid w:val="005008F1"/>
    <w:rsid w:val="005009B0"/>
    <w:rsid w:val="00500C53"/>
    <w:rsid w:val="00500CD9"/>
    <w:rsid w:val="00500E5F"/>
    <w:rsid w:val="00500EB7"/>
    <w:rsid w:val="005013E1"/>
    <w:rsid w:val="00501481"/>
    <w:rsid w:val="0050154B"/>
    <w:rsid w:val="00501551"/>
    <w:rsid w:val="0050164F"/>
    <w:rsid w:val="00501BE1"/>
    <w:rsid w:val="005023AF"/>
    <w:rsid w:val="00502474"/>
    <w:rsid w:val="005025F3"/>
    <w:rsid w:val="005025FE"/>
    <w:rsid w:val="00502647"/>
    <w:rsid w:val="00502655"/>
    <w:rsid w:val="005027DA"/>
    <w:rsid w:val="00502AED"/>
    <w:rsid w:val="00502BE4"/>
    <w:rsid w:val="00502D5C"/>
    <w:rsid w:val="005030B6"/>
    <w:rsid w:val="0050312B"/>
    <w:rsid w:val="005032A0"/>
    <w:rsid w:val="005032EE"/>
    <w:rsid w:val="00503450"/>
    <w:rsid w:val="00503486"/>
    <w:rsid w:val="005037B6"/>
    <w:rsid w:val="00503866"/>
    <w:rsid w:val="005039DF"/>
    <w:rsid w:val="00503F2D"/>
    <w:rsid w:val="0050428D"/>
    <w:rsid w:val="005045E9"/>
    <w:rsid w:val="0050465F"/>
    <w:rsid w:val="00504BCC"/>
    <w:rsid w:val="00504C83"/>
    <w:rsid w:val="00504D1B"/>
    <w:rsid w:val="0050507A"/>
    <w:rsid w:val="005051D0"/>
    <w:rsid w:val="005052E1"/>
    <w:rsid w:val="0050544D"/>
    <w:rsid w:val="00505725"/>
    <w:rsid w:val="00505892"/>
    <w:rsid w:val="005059CE"/>
    <w:rsid w:val="005059DB"/>
    <w:rsid w:val="005059EF"/>
    <w:rsid w:val="00505BC1"/>
    <w:rsid w:val="00505F33"/>
    <w:rsid w:val="005062D0"/>
    <w:rsid w:val="005062E1"/>
    <w:rsid w:val="00506643"/>
    <w:rsid w:val="00506894"/>
    <w:rsid w:val="00506986"/>
    <w:rsid w:val="00506A59"/>
    <w:rsid w:val="00506ADD"/>
    <w:rsid w:val="00506C72"/>
    <w:rsid w:val="00506E14"/>
    <w:rsid w:val="0050723D"/>
    <w:rsid w:val="005075E2"/>
    <w:rsid w:val="00507892"/>
    <w:rsid w:val="0050789A"/>
    <w:rsid w:val="00507D9A"/>
    <w:rsid w:val="00507DE7"/>
    <w:rsid w:val="00507EB4"/>
    <w:rsid w:val="005102EA"/>
    <w:rsid w:val="005103F1"/>
    <w:rsid w:val="00510671"/>
    <w:rsid w:val="00510A91"/>
    <w:rsid w:val="00510B0C"/>
    <w:rsid w:val="00510BF5"/>
    <w:rsid w:val="00510F4F"/>
    <w:rsid w:val="005111B3"/>
    <w:rsid w:val="005116A2"/>
    <w:rsid w:val="005117C6"/>
    <w:rsid w:val="00511EBD"/>
    <w:rsid w:val="00511EE0"/>
    <w:rsid w:val="005121F4"/>
    <w:rsid w:val="005123EB"/>
    <w:rsid w:val="0051240F"/>
    <w:rsid w:val="0051278D"/>
    <w:rsid w:val="00512952"/>
    <w:rsid w:val="00512FB1"/>
    <w:rsid w:val="00513230"/>
    <w:rsid w:val="0051335C"/>
    <w:rsid w:val="005134CF"/>
    <w:rsid w:val="0051367A"/>
    <w:rsid w:val="00513850"/>
    <w:rsid w:val="00513996"/>
    <w:rsid w:val="00513A60"/>
    <w:rsid w:val="00513BC7"/>
    <w:rsid w:val="00513E00"/>
    <w:rsid w:val="00513E94"/>
    <w:rsid w:val="0051420A"/>
    <w:rsid w:val="00514412"/>
    <w:rsid w:val="0051448D"/>
    <w:rsid w:val="00514673"/>
    <w:rsid w:val="005146F2"/>
    <w:rsid w:val="0051474F"/>
    <w:rsid w:val="00514825"/>
    <w:rsid w:val="00514A9F"/>
    <w:rsid w:val="00514D30"/>
    <w:rsid w:val="00514F96"/>
    <w:rsid w:val="0051547A"/>
    <w:rsid w:val="00515695"/>
    <w:rsid w:val="005159A7"/>
    <w:rsid w:val="00515DD5"/>
    <w:rsid w:val="0051604E"/>
    <w:rsid w:val="005163D3"/>
    <w:rsid w:val="00516460"/>
    <w:rsid w:val="00516544"/>
    <w:rsid w:val="00516614"/>
    <w:rsid w:val="00516A0C"/>
    <w:rsid w:val="00516BC6"/>
    <w:rsid w:val="00516C80"/>
    <w:rsid w:val="00516CE4"/>
    <w:rsid w:val="00516D33"/>
    <w:rsid w:val="0051727A"/>
    <w:rsid w:val="005172AB"/>
    <w:rsid w:val="005175AD"/>
    <w:rsid w:val="005175B0"/>
    <w:rsid w:val="005177F0"/>
    <w:rsid w:val="00517941"/>
    <w:rsid w:val="00517964"/>
    <w:rsid w:val="00517A77"/>
    <w:rsid w:val="00517DE7"/>
    <w:rsid w:val="0052006E"/>
    <w:rsid w:val="005202CC"/>
    <w:rsid w:val="005207AE"/>
    <w:rsid w:val="00520868"/>
    <w:rsid w:val="00520AEB"/>
    <w:rsid w:val="00520D37"/>
    <w:rsid w:val="00521019"/>
    <w:rsid w:val="005211A0"/>
    <w:rsid w:val="00521584"/>
    <w:rsid w:val="00521656"/>
    <w:rsid w:val="005218D7"/>
    <w:rsid w:val="00521C20"/>
    <w:rsid w:val="00521CDF"/>
    <w:rsid w:val="00521F30"/>
    <w:rsid w:val="005220B1"/>
    <w:rsid w:val="0052275D"/>
    <w:rsid w:val="005227E3"/>
    <w:rsid w:val="00522818"/>
    <w:rsid w:val="00522BB8"/>
    <w:rsid w:val="00522D68"/>
    <w:rsid w:val="00522E8C"/>
    <w:rsid w:val="00522F53"/>
    <w:rsid w:val="00522F9C"/>
    <w:rsid w:val="00522FE0"/>
    <w:rsid w:val="00523203"/>
    <w:rsid w:val="005232E6"/>
    <w:rsid w:val="005235BF"/>
    <w:rsid w:val="0052361C"/>
    <w:rsid w:val="005238C4"/>
    <w:rsid w:val="00523A97"/>
    <w:rsid w:val="00523C14"/>
    <w:rsid w:val="00523D8E"/>
    <w:rsid w:val="00524027"/>
    <w:rsid w:val="00524207"/>
    <w:rsid w:val="005242F0"/>
    <w:rsid w:val="005242FB"/>
    <w:rsid w:val="00524532"/>
    <w:rsid w:val="00524996"/>
    <w:rsid w:val="005249DA"/>
    <w:rsid w:val="00524A94"/>
    <w:rsid w:val="00525122"/>
    <w:rsid w:val="00525183"/>
    <w:rsid w:val="005254A7"/>
    <w:rsid w:val="0052594B"/>
    <w:rsid w:val="00525F38"/>
    <w:rsid w:val="00525F54"/>
    <w:rsid w:val="005262F1"/>
    <w:rsid w:val="00526439"/>
    <w:rsid w:val="00526DAA"/>
    <w:rsid w:val="00526F23"/>
    <w:rsid w:val="0052719D"/>
    <w:rsid w:val="005271DF"/>
    <w:rsid w:val="0052728A"/>
    <w:rsid w:val="005276FB"/>
    <w:rsid w:val="005279EC"/>
    <w:rsid w:val="00527C70"/>
    <w:rsid w:val="00530073"/>
    <w:rsid w:val="005302DE"/>
    <w:rsid w:val="005303DA"/>
    <w:rsid w:val="005304B5"/>
    <w:rsid w:val="005305B9"/>
    <w:rsid w:val="00530AF2"/>
    <w:rsid w:val="00530E0B"/>
    <w:rsid w:val="0053103F"/>
    <w:rsid w:val="0053120A"/>
    <w:rsid w:val="005312EF"/>
    <w:rsid w:val="00531598"/>
    <w:rsid w:val="00531A09"/>
    <w:rsid w:val="00531AEC"/>
    <w:rsid w:val="0053222A"/>
    <w:rsid w:val="00532311"/>
    <w:rsid w:val="00532360"/>
    <w:rsid w:val="005324E5"/>
    <w:rsid w:val="0053257A"/>
    <w:rsid w:val="0053259D"/>
    <w:rsid w:val="00532666"/>
    <w:rsid w:val="00532834"/>
    <w:rsid w:val="00532A34"/>
    <w:rsid w:val="00532B39"/>
    <w:rsid w:val="00532C96"/>
    <w:rsid w:val="00532CE7"/>
    <w:rsid w:val="0053305E"/>
    <w:rsid w:val="00533394"/>
    <w:rsid w:val="00533509"/>
    <w:rsid w:val="005335C6"/>
    <w:rsid w:val="00533B96"/>
    <w:rsid w:val="00533D0B"/>
    <w:rsid w:val="0053407E"/>
    <w:rsid w:val="00534169"/>
    <w:rsid w:val="00534362"/>
    <w:rsid w:val="00534E4E"/>
    <w:rsid w:val="00534F07"/>
    <w:rsid w:val="005350F2"/>
    <w:rsid w:val="0053518F"/>
    <w:rsid w:val="00535732"/>
    <w:rsid w:val="0053577E"/>
    <w:rsid w:val="00535BF8"/>
    <w:rsid w:val="00535E67"/>
    <w:rsid w:val="0053661D"/>
    <w:rsid w:val="00536735"/>
    <w:rsid w:val="00536B5E"/>
    <w:rsid w:val="00536CD2"/>
    <w:rsid w:val="00536EA8"/>
    <w:rsid w:val="00536F07"/>
    <w:rsid w:val="00537071"/>
    <w:rsid w:val="00537216"/>
    <w:rsid w:val="00537299"/>
    <w:rsid w:val="0053768A"/>
    <w:rsid w:val="0053774A"/>
    <w:rsid w:val="00537A44"/>
    <w:rsid w:val="00537B3A"/>
    <w:rsid w:val="00537B58"/>
    <w:rsid w:val="00537D53"/>
    <w:rsid w:val="00537ED2"/>
    <w:rsid w:val="00537FAF"/>
    <w:rsid w:val="005402A3"/>
    <w:rsid w:val="005407F9"/>
    <w:rsid w:val="005407FD"/>
    <w:rsid w:val="005408FA"/>
    <w:rsid w:val="00540DED"/>
    <w:rsid w:val="00540DF6"/>
    <w:rsid w:val="005411E5"/>
    <w:rsid w:val="005414C1"/>
    <w:rsid w:val="005416B7"/>
    <w:rsid w:val="0054177C"/>
    <w:rsid w:val="0054185A"/>
    <w:rsid w:val="00541AEF"/>
    <w:rsid w:val="00541B42"/>
    <w:rsid w:val="00541DD4"/>
    <w:rsid w:val="00541E8E"/>
    <w:rsid w:val="00541FE6"/>
    <w:rsid w:val="0054216B"/>
    <w:rsid w:val="005424C2"/>
    <w:rsid w:val="005424D5"/>
    <w:rsid w:val="00542568"/>
    <w:rsid w:val="00542F7E"/>
    <w:rsid w:val="00542FD3"/>
    <w:rsid w:val="00543411"/>
    <w:rsid w:val="0054359C"/>
    <w:rsid w:val="00543770"/>
    <w:rsid w:val="0054385F"/>
    <w:rsid w:val="0054395D"/>
    <w:rsid w:val="00543C1D"/>
    <w:rsid w:val="00543C8A"/>
    <w:rsid w:val="00543DD2"/>
    <w:rsid w:val="00543ED5"/>
    <w:rsid w:val="00544118"/>
    <w:rsid w:val="00544450"/>
    <w:rsid w:val="005448BC"/>
    <w:rsid w:val="00544BBE"/>
    <w:rsid w:val="00544C3C"/>
    <w:rsid w:val="00545129"/>
    <w:rsid w:val="00545381"/>
    <w:rsid w:val="005453EB"/>
    <w:rsid w:val="005454CC"/>
    <w:rsid w:val="005457BF"/>
    <w:rsid w:val="00545BAC"/>
    <w:rsid w:val="00545E71"/>
    <w:rsid w:val="00545EDF"/>
    <w:rsid w:val="00546063"/>
    <w:rsid w:val="0054620D"/>
    <w:rsid w:val="00546301"/>
    <w:rsid w:val="00546739"/>
    <w:rsid w:val="0054688B"/>
    <w:rsid w:val="0054699C"/>
    <w:rsid w:val="00546C39"/>
    <w:rsid w:val="005472EF"/>
    <w:rsid w:val="00547390"/>
    <w:rsid w:val="005474AF"/>
    <w:rsid w:val="0054761B"/>
    <w:rsid w:val="00547651"/>
    <w:rsid w:val="00547954"/>
    <w:rsid w:val="00547994"/>
    <w:rsid w:val="005479AE"/>
    <w:rsid w:val="005479ED"/>
    <w:rsid w:val="00547A3F"/>
    <w:rsid w:val="00547C56"/>
    <w:rsid w:val="005501E4"/>
    <w:rsid w:val="00550501"/>
    <w:rsid w:val="00550760"/>
    <w:rsid w:val="0055086E"/>
    <w:rsid w:val="00550910"/>
    <w:rsid w:val="005509DB"/>
    <w:rsid w:val="00550CBB"/>
    <w:rsid w:val="0055113F"/>
    <w:rsid w:val="005512EE"/>
    <w:rsid w:val="00551979"/>
    <w:rsid w:val="00551ADE"/>
    <w:rsid w:val="00551DFE"/>
    <w:rsid w:val="00551E87"/>
    <w:rsid w:val="00551F1E"/>
    <w:rsid w:val="00551F23"/>
    <w:rsid w:val="00551F7C"/>
    <w:rsid w:val="00551FC6"/>
    <w:rsid w:val="005522D7"/>
    <w:rsid w:val="0055253E"/>
    <w:rsid w:val="005528E1"/>
    <w:rsid w:val="00552C27"/>
    <w:rsid w:val="00552D21"/>
    <w:rsid w:val="00552EEF"/>
    <w:rsid w:val="00552F01"/>
    <w:rsid w:val="005532C2"/>
    <w:rsid w:val="005532ED"/>
    <w:rsid w:val="005533FD"/>
    <w:rsid w:val="005535CC"/>
    <w:rsid w:val="0055378E"/>
    <w:rsid w:val="00553AF2"/>
    <w:rsid w:val="00553FBA"/>
    <w:rsid w:val="005542A1"/>
    <w:rsid w:val="00554370"/>
    <w:rsid w:val="00554676"/>
    <w:rsid w:val="005548AD"/>
    <w:rsid w:val="005548D9"/>
    <w:rsid w:val="00554B42"/>
    <w:rsid w:val="00554E84"/>
    <w:rsid w:val="00554EDB"/>
    <w:rsid w:val="00554F6D"/>
    <w:rsid w:val="00554FA4"/>
    <w:rsid w:val="0055536D"/>
    <w:rsid w:val="00555510"/>
    <w:rsid w:val="005556E0"/>
    <w:rsid w:val="00555706"/>
    <w:rsid w:val="00555F4B"/>
    <w:rsid w:val="0055615E"/>
    <w:rsid w:val="00556265"/>
    <w:rsid w:val="00556353"/>
    <w:rsid w:val="00556466"/>
    <w:rsid w:val="005564B5"/>
    <w:rsid w:val="00556565"/>
    <w:rsid w:val="00556621"/>
    <w:rsid w:val="00556A18"/>
    <w:rsid w:val="00556B1B"/>
    <w:rsid w:val="00556D4A"/>
    <w:rsid w:val="00556E58"/>
    <w:rsid w:val="00556EF5"/>
    <w:rsid w:val="00556FA3"/>
    <w:rsid w:val="0055707D"/>
    <w:rsid w:val="0055756C"/>
    <w:rsid w:val="00557796"/>
    <w:rsid w:val="005579BE"/>
    <w:rsid w:val="00557D59"/>
    <w:rsid w:val="0056002A"/>
    <w:rsid w:val="0056028E"/>
    <w:rsid w:val="00560836"/>
    <w:rsid w:val="00560A21"/>
    <w:rsid w:val="00560BCF"/>
    <w:rsid w:val="00560DAC"/>
    <w:rsid w:val="00560E7C"/>
    <w:rsid w:val="005613FA"/>
    <w:rsid w:val="00561427"/>
    <w:rsid w:val="00561433"/>
    <w:rsid w:val="0056161E"/>
    <w:rsid w:val="00561ECC"/>
    <w:rsid w:val="005628EF"/>
    <w:rsid w:val="00562AFC"/>
    <w:rsid w:val="00562D03"/>
    <w:rsid w:val="00562D6E"/>
    <w:rsid w:val="00562EEE"/>
    <w:rsid w:val="00563271"/>
    <w:rsid w:val="005632CF"/>
    <w:rsid w:val="00563954"/>
    <w:rsid w:val="005639A3"/>
    <w:rsid w:val="00563CEE"/>
    <w:rsid w:val="00563FF4"/>
    <w:rsid w:val="00564469"/>
    <w:rsid w:val="00564477"/>
    <w:rsid w:val="00564799"/>
    <w:rsid w:val="00564A2D"/>
    <w:rsid w:val="00564A71"/>
    <w:rsid w:val="00564A73"/>
    <w:rsid w:val="00564B16"/>
    <w:rsid w:val="00564C8D"/>
    <w:rsid w:val="00564C91"/>
    <w:rsid w:val="0056504C"/>
    <w:rsid w:val="005653DF"/>
    <w:rsid w:val="00565526"/>
    <w:rsid w:val="00565584"/>
    <w:rsid w:val="005656C5"/>
    <w:rsid w:val="00565B1B"/>
    <w:rsid w:val="00565DB5"/>
    <w:rsid w:val="00565FC9"/>
    <w:rsid w:val="00565FF3"/>
    <w:rsid w:val="00566253"/>
    <w:rsid w:val="0056655B"/>
    <w:rsid w:val="00566613"/>
    <w:rsid w:val="00566807"/>
    <w:rsid w:val="0056689D"/>
    <w:rsid w:val="00566986"/>
    <w:rsid w:val="00566A19"/>
    <w:rsid w:val="00566AF2"/>
    <w:rsid w:val="00566BE9"/>
    <w:rsid w:val="00566C31"/>
    <w:rsid w:val="00566CCC"/>
    <w:rsid w:val="00566D65"/>
    <w:rsid w:val="00566FC6"/>
    <w:rsid w:val="00566FE1"/>
    <w:rsid w:val="0056728F"/>
    <w:rsid w:val="005672F6"/>
    <w:rsid w:val="0056755C"/>
    <w:rsid w:val="005676C7"/>
    <w:rsid w:val="00567849"/>
    <w:rsid w:val="005679DA"/>
    <w:rsid w:val="00567CEA"/>
    <w:rsid w:val="00567EA4"/>
    <w:rsid w:val="00570098"/>
    <w:rsid w:val="00570583"/>
    <w:rsid w:val="00570904"/>
    <w:rsid w:val="0057094D"/>
    <w:rsid w:val="0057095D"/>
    <w:rsid w:val="0057108D"/>
    <w:rsid w:val="0057111B"/>
    <w:rsid w:val="005713B0"/>
    <w:rsid w:val="005713B6"/>
    <w:rsid w:val="005714E0"/>
    <w:rsid w:val="005719E7"/>
    <w:rsid w:val="00571B88"/>
    <w:rsid w:val="00571BC1"/>
    <w:rsid w:val="00571C7D"/>
    <w:rsid w:val="00571D6A"/>
    <w:rsid w:val="0057235C"/>
    <w:rsid w:val="005723E8"/>
    <w:rsid w:val="0057248C"/>
    <w:rsid w:val="005724BA"/>
    <w:rsid w:val="00572C2A"/>
    <w:rsid w:val="00572C7A"/>
    <w:rsid w:val="00572DF7"/>
    <w:rsid w:val="00572EED"/>
    <w:rsid w:val="00572F27"/>
    <w:rsid w:val="00572F7E"/>
    <w:rsid w:val="00573035"/>
    <w:rsid w:val="00573170"/>
    <w:rsid w:val="0057342A"/>
    <w:rsid w:val="0057385B"/>
    <w:rsid w:val="00573941"/>
    <w:rsid w:val="00573A7B"/>
    <w:rsid w:val="00573CAC"/>
    <w:rsid w:val="00574192"/>
    <w:rsid w:val="005745AA"/>
    <w:rsid w:val="005745AE"/>
    <w:rsid w:val="005745D0"/>
    <w:rsid w:val="00574627"/>
    <w:rsid w:val="005746E2"/>
    <w:rsid w:val="0057483A"/>
    <w:rsid w:val="00574CAF"/>
    <w:rsid w:val="00575961"/>
    <w:rsid w:val="00575A66"/>
    <w:rsid w:val="00575B7C"/>
    <w:rsid w:val="00575BF6"/>
    <w:rsid w:val="00575CB4"/>
    <w:rsid w:val="00575CD0"/>
    <w:rsid w:val="00575DD8"/>
    <w:rsid w:val="0057611A"/>
    <w:rsid w:val="00576198"/>
    <w:rsid w:val="00576430"/>
    <w:rsid w:val="00576595"/>
    <w:rsid w:val="0057667F"/>
    <w:rsid w:val="00576791"/>
    <w:rsid w:val="005768A9"/>
    <w:rsid w:val="00576924"/>
    <w:rsid w:val="00576CC4"/>
    <w:rsid w:val="00576D02"/>
    <w:rsid w:val="00576FCF"/>
    <w:rsid w:val="0057710E"/>
    <w:rsid w:val="00577124"/>
    <w:rsid w:val="005771E6"/>
    <w:rsid w:val="005776C5"/>
    <w:rsid w:val="005779E1"/>
    <w:rsid w:val="00577D7F"/>
    <w:rsid w:val="00580543"/>
    <w:rsid w:val="00580635"/>
    <w:rsid w:val="00580A53"/>
    <w:rsid w:val="00580A6C"/>
    <w:rsid w:val="00580C62"/>
    <w:rsid w:val="005810E6"/>
    <w:rsid w:val="0058189E"/>
    <w:rsid w:val="00581BD7"/>
    <w:rsid w:val="00581D1A"/>
    <w:rsid w:val="0058203C"/>
    <w:rsid w:val="0058228A"/>
    <w:rsid w:val="0058256A"/>
    <w:rsid w:val="00582921"/>
    <w:rsid w:val="00582B4F"/>
    <w:rsid w:val="00582D62"/>
    <w:rsid w:val="00582F8E"/>
    <w:rsid w:val="00582F94"/>
    <w:rsid w:val="0058322C"/>
    <w:rsid w:val="00583852"/>
    <w:rsid w:val="005838DF"/>
    <w:rsid w:val="00583BAD"/>
    <w:rsid w:val="00583BAE"/>
    <w:rsid w:val="00583D00"/>
    <w:rsid w:val="00583DF0"/>
    <w:rsid w:val="00583E51"/>
    <w:rsid w:val="00583F8E"/>
    <w:rsid w:val="0058404A"/>
    <w:rsid w:val="005841A3"/>
    <w:rsid w:val="00584413"/>
    <w:rsid w:val="00584461"/>
    <w:rsid w:val="00584791"/>
    <w:rsid w:val="0058480D"/>
    <w:rsid w:val="005848C4"/>
    <w:rsid w:val="00584FCB"/>
    <w:rsid w:val="00585063"/>
    <w:rsid w:val="005851A6"/>
    <w:rsid w:val="005851CA"/>
    <w:rsid w:val="00585290"/>
    <w:rsid w:val="0058545D"/>
    <w:rsid w:val="00586195"/>
    <w:rsid w:val="00586465"/>
    <w:rsid w:val="005866D3"/>
    <w:rsid w:val="005869F9"/>
    <w:rsid w:val="00586A07"/>
    <w:rsid w:val="00586BB8"/>
    <w:rsid w:val="00586BE8"/>
    <w:rsid w:val="00586BF7"/>
    <w:rsid w:val="00586FC5"/>
    <w:rsid w:val="0058702C"/>
    <w:rsid w:val="005870D0"/>
    <w:rsid w:val="005870F9"/>
    <w:rsid w:val="005874CF"/>
    <w:rsid w:val="00587768"/>
    <w:rsid w:val="0058777E"/>
    <w:rsid w:val="00587F67"/>
    <w:rsid w:val="00587F87"/>
    <w:rsid w:val="00590234"/>
    <w:rsid w:val="00590586"/>
    <w:rsid w:val="0059065E"/>
    <w:rsid w:val="0059091B"/>
    <w:rsid w:val="005909FD"/>
    <w:rsid w:val="00590A6B"/>
    <w:rsid w:val="00590B1F"/>
    <w:rsid w:val="00590D43"/>
    <w:rsid w:val="00590D84"/>
    <w:rsid w:val="0059131B"/>
    <w:rsid w:val="005915A3"/>
    <w:rsid w:val="005917B8"/>
    <w:rsid w:val="00591935"/>
    <w:rsid w:val="00591A96"/>
    <w:rsid w:val="00591B30"/>
    <w:rsid w:val="00591CC8"/>
    <w:rsid w:val="005920BE"/>
    <w:rsid w:val="00592104"/>
    <w:rsid w:val="00592137"/>
    <w:rsid w:val="005921C6"/>
    <w:rsid w:val="005923AD"/>
    <w:rsid w:val="00592897"/>
    <w:rsid w:val="005929A7"/>
    <w:rsid w:val="005929DD"/>
    <w:rsid w:val="00592A15"/>
    <w:rsid w:val="00592C59"/>
    <w:rsid w:val="00592CD5"/>
    <w:rsid w:val="00593009"/>
    <w:rsid w:val="005932B9"/>
    <w:rsid w:val="00593304"/>
    <w:rsid w:val="00593685"/>
    <w:rsid w:val="005938D7"/>
    <w:rsid w:val="00593912"/>
    <w:rsid w:val="00593919"/>
    <w:rsid w:val="00593BB3"/>
    <w:rsid w:val="00593D88"/>
    <w:rsid w:val="00594284"/>
    <w:rsid w:val="0059432F"/>
    <w:rsid w:val="00594360"/>
    <w:rsid w:val="00594C6F"/>
    <w:rsid w:val="00594D2B"/>
    <w:rsid w:val="00594D5B"/>
    <w:rsid w:val="00595246"/>
    <w:rsid w:val="005958EE"/>
    <w:rsid w:val="00595ABA"/>
    <w:rsid w:val="00595C00"/>
    <w:rsid w:val="00596400"/>
    <w:rsid w:val="0059644A"/>
    <w:rsid w:val="00596562"/>
    <w:rsid w:val="00596700"/>
    <w:rsid w:val="005967BC"/>
    <w:rsid w:val="005967D1"/>
    <w:rsid w:val="00596A74"/>
    <w:rsid w:val="00596C74"/>
    <w:rsid w:val="00596C7A"/>
    <w:rsid w:val="00596E21"/>
    <w:rsid w:val="00596EAD"/>
    <w:rsid w:val="00596F3A"/>
    <w:rsid w:val="00596F7F"/>
    <w:rsid w:val="00597079"/>
    <w:rsid w:val="00597188"/>
    <w:rsid w:val="005973C7"/>
    <w:rsid w:val="005975B2"/>
    <w:rsid w:val="00597984"/>
    <w:rsid w:val="005979C9"/>
    <w:rsid w:val="00597DA8"/>
    <w:rsid w:val="005A00CB"/>
    <w:rsid w:val="005A0180"/>
    <w:rsid w:val="005A01A1"/>
    <w:rsid w:val="005A04A5"/>
    <w:rsid w:val="005A0763"/>
    <w:rsid w:val="005A0797"/>
    <w:rsid w:val="005A0C99"/>
    <w:rsid w:val="005A0ECD"/>
    <w:rsid w:val="005A1056"/>
    <w:rsid w:val="005A1414"/>
    <w:rsid w:val="005A1452"/>
    <w:rsid w:val="005A169A"/>
    <w:rsid w:val="005A16D2"/>
    <w:rsid w:val="005A176A"/>
    <w:rsid w:val="005A1850"/>
    <w:rsid w:val="005A1A6F"/>
    <w:rsid w:val="005A1AD7"/>
    <w:rsid w:val="005A1C92"/>
    <w:rsid w:val="005A1E8D"/>
    <w:rsid w:val="005A1E91"/>
    <w:rsid w:val="005A219A"/>
    <w:rsid w:val="005A219F"/>
    <w:rsid w:val="005A2440"/>
    <w:rsid w:val="005A2442"/>
    <w:rsid w:val="005A2466"/>
    <w:rsid w:val="005A24A1"/>
    <w:rsid w:val="005A28D6"/>
    <w:rsid w:val="005A2D6F"/>
    <w:rsid w:val="005A30B6"/>
    <w:rsid w:val="005A3207"/>
    <w:rsid w:val="005A3252"/>
    <w:rsid w:val="005A3273"/>
    <w:rsid w:val="005A33EF"/>
    <w:rsid w:val="005A363D"/>
    <w:rsid w:val="005A3721"/>
    <w:rsid w:val="005A37AD"/>
    <w:rsid w:val="005A3947"/>
    <w:rsid w:val="005A3C3A"/>
    <w:rsid w:val="005A3C8F"/>
    <w:rsid w:val="005A3D04"/>
    <w:rsid w:val="005A3EB2"/>
    <w:rsid w:val="005A4266"/>
    <w:rsid w:val="005A448F"/>
    <w:rsid w:val="005A4AD8"/>
    <w:rsid w:val="005A4B23"/>
    <w:rsid w:val="005A4D27"/>
    <w:rsid w:val="005A4E93"/>
    <w:rsid w:val="005A50E7"/>
    <w:rsid w:val="005A5513"/>
    <w:rsid w:val="005A5568"/>
    <w:rsid w:val="005A5688"/>
    <w:rsid w:val="005A575E"/>
    <w:rsid w:val="005A58DF"/>
    <w:rsid w:val="005A5901"/>
    <w:rsid w:val="005A5C1E"/>
    <w:rsid w:val="005A5C90"/>
    <w:rsid w:val="005A6116"/>
    <w:rsid w:val="005A6177"/>
    <w:rsid w:val="005A6218"/>
    <w:rsid w:val="005A6345"/>
    <w:rsid w:val="005A63B8"/>
    <w:rsid w:val="005A647E"/>
    <w:rsid w:val="005A66BD"/>
    <w:rsid w:val="005A694D"/>
    <w:rsid w:val="005A6967"/>
    <w:rsid w:val="005A699A"/>
    <w:rsid w:val="005A699E"/>
    <w:rsid w:val="005A6CC9"/>
    <w:rsid w:val="005A6CEC"/>
    <w:rsid w:val="005A6E2B"/>
    <w:rsid w:val="005A6F39"/>
    <w:rsid w:val="005A7086"/>
    <w:rsid w:val="005A72BA"/>
    <w:rsid w:val="005A74C5"/>
    <w:rsid w:val="005A7761"/>
    <w:rsid w:val="005A7ADC"/>
    <w:rsid w:val="005A7C6A"/>
    <w:rsid w:val="005A7FCC"/>
    <w:rsid w:val="005B0083"/>
    <w:rsid w:val="005B046F"/>
    <w:rsid w:val="005B07A9"/>
    <w:rsid w:val="005B0AE9"/>
    <w:rsid w:val="005B0B0E"/>
    <w:rsid w:val="005B0C52"/>
    <w:rsid w:val="005B0DD6"/>
    <w:rsid w:val="005B0F3B"/>
    <w:rsid w:val="005B1192"/>
    <w:rsid w:val="005B1306"/>
    <w:rsid w:val="005B14A7"/>
    <w:rsid w:val="005B163A"/>
    <w:rsid w:val="005B163E"/>
    <w:rsid w:val="005B1683"/>
    <w:rsid w:val="005B1826"/>
    <w:rsid w:val="005B190C"/>
    <w:rsid w:val="005B1C0E"/>
    <w:rsid w:val="005B1CE4"/>
    <w:rsid w:val="005B2418"/>
    <w:rsid w:val="005B253C"/>
    <w:rsid w:val="005B25FE"/>
    <w:rsid w:val="005B262E"/>
    <w:rsid w:val="005B2643"/>
    <w:rsid w:val="005B2664"/>
    <w:rsid w:val="005B2851"/>
    <w:rsid w:val="005B290B"/>
    <w:rsid w:val="005B2A76"/>
    <w:rsid w:val="005B2C50"/>
    <w:rsid w:val="005B2DE9"/>
    <w:rsid w:val="005B2EBB"/>
    <w:rsid w:val="005B3971"/>
    <w:rsid w:val="005B3A7B"/>
    <w:rsid w:val="005B3C2C"/>
    <w:rsid w:val="005B3CE1"/>
    <w:rsid w:val="005B3E4E"/>
    <w:rsid w:val="005B3EAD"/>
    <w:rsid w:val="005B4131"/>
    <w:rsid w:val="005B44C7"/>
    <w:rsid w:val="005B4597"/>
    <w:rsid w:val="005B45F6"/>
    <w:rsid w:val="005B46EB"/>
    <w:rsid w:val="005B4758"/>
    <w:rsid w:val="005B4817"/>
    <w:rsid w:val="005B4867"/>
    <w:rsid w:val="005B49A1"/>
    <w:rsid w:val="005B585A"/>
    <w:rsid w:val="005B590F"/>
    <w:rsid w:val="005B5B6B"/>
    <w:rsid w:val="005B5C71"/>
    <w:rsid w:val="005B5C78"/>
    <w:rsid w:val="005B5DB3"/>
    <w:rsid w:val="005B5F7D"/>
    <w:rsid w:val="005B60BD"/>
    <w:rsid w:val="005B60C3"/>
    <w:rsid w:val="005B62C4"/>
    <w:rsid w:val="005B6709"/>
    <w:rsid w:val="005B67AD"/>
    <w:rsid w:val="005B696E"/>
    <w:rsid w:val="005B6A94"/>
    <w:rsid w:val="005B6BCC"/>
    <w:rsid w:val="005B6C21"/>
    <w:rsid w:val="005B6EA6"/>
    <w:rsid w:val="005B7123"/>
    <w:rsid w:val="005B7593"/>
    <w:rsid w:val="005B78EA"/>
    <w:rsid w:val="005B7AF5"/>
    <w:rsid w:val="005B7BD3"/>
    <w:rsid w:val="005B7EE5"/>
    <w:rsid w:val="005C0050"/>
    <w:rsid w:val="005C009D"/>
    <w:rsid w:val="005C02CF"/>
    <w:rsid w:val="005C0516"/>
    <w:rsid w:val="005C058F"/>
    <w:rsid w:val="005C07D2"/>
    <w:rsid w:val="005C0B30"/>
    <w:rsid w:val="005C0CC0"/>
    <w:rsid w:val="005C0E7B"/>
    <w:rsid w:val="005C0EF8"/>
    <w:rsid w:val="005C10CF"/>
    <w:rsid w:val="005C11F6"/>
    <w:rsid w:val="005C1218"/>
    <w:rsid w:val="005C1236"/>
    <w:rsid w:val="005C12EC"/>
    <w:rsid w:val="005C167A"/>
    <w:rsid w:val="005C18CD"/>
    <w:rsid w:val="005C1C7F"/>
    <w:rsid w:val="005C1D77"/>
    <w:rsid w:val="005C1F95"/>
    <w:rsid w:val="005C2842"/>
    <w:rsid w:val="005C2D93"/>
    <w:rsid w:val="005C2DC0"/>
    <w:rsid w:val="005C3144"/>
    <w:rsid w:val="005C3B70"/>
    <w:rsid w:val="005C3C4D"/>
    <w:rsid w:val="005C3F69"/>
    <w:rsid w:val="005C4385"/>
    <w:rsid w:val="005C4757"/>
    <w:rsid w:val="005C4A04"/>
    <w:rsid w:val="005C4D09"/>
    <w:rsid w:val="005C543D"/>
    <w:rsid w:val="005C5727"/>
    <w:rsid w:val="005C5909"/>
    <w:rsid w:val="005C5A28"/>
    <w:rsid w:val="005C5B73"/>
    <w:rsid w:val="005C5D82"/>
    <w:rsid w:val="005C6124"/>
    <w:rsid w:val="005C6137"/>
    <w:rsid w:val="005C67FD"/>
    <w:rsid w:val="005C6858"/>
    <w:rsid w:val="005C68DA"/>
    <w:rsid w:val="005C6A8A"/>
    <w:rsid w:val="005C71AA"/>
    <w:rsid w:val="005C721F"/>
    <w:rsid w:val="005C7417"/>
    <w:rsid w:val="005C747A"/>
    <w:rsid w:val="005C7695"/>
    <w:rsid w:val="005C7880"/>
    <w:rsid w:val="005C788B"/>
    <w:rsid w:val="005C7B28"/>
    <w:rsid w:val="005C7D4C"/>
    <w:rsid w:val="005C7E58"/>
    <w:rsid w:val="005C7E89"/>
    <w:rsid w:val="005C7FE7"/>
    <w:rsid w:val="005D00C1"/>
    <w:rsid w:val="005D01E5"/>
    <w:rsid w:val="005D03D6"/>
    <w:rsid w:val="005D03E5"/>
    <w:rsid w:val="005D04FE"/>
    <w:rsid w:val="005D0BD6"/>
    <w:rsid w:val="005D0E46"/>
    <w:rsid w:val="005D1642"/>
    <w:rsid w:val="005D1830"/>
    <w:rsid w:val="005D1AF2"/>
    <w:rsid w:val="005D1ED2"/>
    <w:rsid w:val="005D219E"/>
    <w:rsid w:val="005D243A"/>
    <w:rsid w:val="005D281F"/>
    <w:rsid w:val="005D2B93"/>
    <w:rsid w:val="005D2E5A"/>
    <w:rsid w:val="005D315C"/>
    <w:rsid w:val="005D3538"/>
    <w:rsid w:val="005D381D"/>
    <w:rsid w:val="005D3874"/>
    <w:rsid w:val="005D3B15"/>
    <w:rsid w:val="005D3BF3"/>
    <w:rsid w:val="005D3DE3"/>
    <w:rsid w:val="005D4098"/>
    <w:rsid w:val="005D44B8"/>
    <w:rsid w:val="005D4510"/>
    <w:rsid w:val="005D4625"/>
    <w:rsid w:val="005D49DB"/>
    <w:rsid w:val="005D4B38"/>
    <w:rsid w:val="005D4CB5"/>
    <w:rsid w:val="005D4EB4"/>
    <w:rsid w:val="005D5002"/>
    <w:rsid w:val="005D584E"/>
    <w:rsid w:val="005D59F6"/>
    <w:rsid w:val="005D5AEB"/>
    <w:rsid w:val="005D5C85"/>
    <w:rsid w:val="005D5DD7"/>
    <w:rsid w:val="005D5EC9"/>
    <w:rsid w:val="005D5EDA"/>
    <w:rsid w:val="005D5EDB"/>
    <w:rsid w:val="005D6028"/>
    <w:rsid w:val="005D6AD4"/>
    <w:rsid w:val="005D71DE"/>
    <w:rsid w:val="005D732A"/>
    <w:rsid w:val="005D7BC9"/>
    <w:rsid w:val="005D7CED"/>
    <w:rsid w:val="005D7F59"/>
    <w:rsid w:val="005D7F5D"/>
    <w:rsid w:val="005E00C5"/>
    <w:rsid w:val="005E01BC"/>
    <w:rsid w:val="005E02DD"/>
    <w:rsid w:val="005E042B"/>
    <w:rsid w:val="005E0538"/>
    <w:rsid w:val="005E093E"/>
    <w:rsid w:val="005E0B31"/>
    <w:rsid w:val="005E0C9A"/>
    <w:rsid w:val="005E10C1"/>
    <w:rsid w:val="005E15A5"/>
    <w:rsid w:val="005E1AB6"/>
    <w:rsid w:val="005E1ACB"/>
    <w:rsid w:val="005E1BB7"/>
    <w:rsid w:val="005E20A2"/>
    <w:rsid w:val="005E21C3"/>
    <w:rsid w:val="005E220C"/>
    <w:rsid w:val="005E237B"/>
    <w:rsid w:val="005E23C4"/>
    <w:rsid w:val="005E2A33"/>
    <w:rsid w:val="005E2C05"/>
    <w:rsid w:val="005E2E3B"/>
    <w:rsid w:val="005E32BA"/>
    <w:rsid w:val="005E36BC"/>
    <w:rsid w:val="005E36D9"/>
    <w:rsid w:val="005E3C1F"/>
    <w:rsid w:val="005E3C7D"/>
    <w:rsid w:val="005E3DE6"/>
    <w:rsid w:val="005E43CF"/>
    <w:rsid w:val="005E476F"/>
    <w:rsid w:val="005E47F9"/>
    <w:rsid w:val="005E4A1C"/>
    <w:rsid w:val="005E4B5B"/>
    <w:rsid w:val="005E4CDE"/>
    <w:rsid w:val="005E5593"/>
    <w:rsid w:val="005E5623"/>
    <w:rsid w:val="005E56BC"/>
    <w:rsid w:val="005E573D"/>
    <w:rsid w:val="005E5928"/>
    <w:rsid w:val="005E5B31"/>
    <w:rsid w:val="005E5F07"/>
    <w:rsid w:val="005E5F2E"/>
    <w:rsid w:val="005E6DCA"/>
    <w:rsid w:val="005E6EF7"/>
    <w:rsid w:val="005E722C"/>
    <w:rsid w:val="005E747E"/>
    <w:rsid w:val="005E75BB"/>
    <w:rsid w:val="005E7898"/>
    <w:rsid w:val="005E79AF"/>
    <w:rsid w:val="005E79B2"/>
    <w:rsid w:val="005E7A05"/>
    <w:rsid w:val="005E7D87"/>
    <w:rsid w:val="005E7E82"/>
    <w:rsid w:val="005E7FBC"/>
    <w:rsid w:val="005F019C"/>
    <w:rsid w:val="005F0348"/>
    <w:rsid w:val="005F04B1"/>
    <w:rsid w:val="005F057C"/>
    <w:rsid w:val="005F05C3"/>
    <w:rsid w:val="005F07FE"/>
    <w:rsid w:val="005F0902"/>
    <w:rsid w:val="005F1006"/>
    <w:rsid w:val="005F106A"/>
    <w:rsid w:val="005F117B"/>
    <w:rsid w:val="005F1187"/>
    <w:rsid w:val="005F11A1"/>
    <w:rsid w:val="005F15C8"/>
    <w:rsid w:val="005F1651"/>
    <w:rsid w:val="005F1716"/>
    <w:rsid w:val="005F1880"/>
    <w:rsid w:val="005F1889"/>
    <w:rsid w:val="005F1AC2"/>
    <w:rsid w:val="005F1FE0"/>
    <w:rsid w:val="005F232C"/>
    <w:rsid w:val="005F2345"/>
    <w:rsid w:val="005F2474"/>
    <w:rsid w:val="005F2A8D"/>
    <w:rsid w:val="005F2B7C"/>
    <w:rsid w:val="005F2C70"/>
    <w:rsid w:val="005F2C79"/>
    <w:rsid w:val="005F2D49"/>
    <w:rsid w:val="005F320F"/>
    <w:rsid w:val="005F35FB"/>
    <w:rsid w:val="005F367B"/>
    <w:rsid w:val="005F3B08"/>
    <w:rsid w:val="005F3D34"/>
    <w:rsid w:val="005F4885"/>
    <w:rsid w:val="005F4B91"/>
    <w:rsid w:val="005F4D53"/>
    <w:rsid w:val="005F4DB0"/>
    <w:rsid w:val="005F4EA2"/>
    <w:rsid w:val="005F5007"/>
    <w:rsid w:val="005F53DA"/>
    <w:rsid w:val="005F549E"/>
    <w:rsid w:val="005F5526"/>
    <w:rsid w:val="005F57BD"/>
    <w:rsid w:val="005F58E6"/>
    <w:rsid w:val="005F5D53"/>
    <w:rsid w:val="005F5DBF"/>
    <w:rsid w:val="005F64A8"/>
    <w:rsid w:val="005F660F"/>
    <w:rsid w:val="005F66E0"/>
    <w:rsid w:val="005F6A3D"/>
    <w:rsid w:val="005F7026"/>
    <w:rsid w:val="005F72CD"/>
    <w:rsid w:val="005F7442"/>
    <w:rsid w:val="005F748E"/>
    <w:rsid w:val="005F75E9"/>
    <w:rsid w:val="005F76EE"/>
    <w:rsid w:val="005F7863"/>
    <w:rsid w:val="005F7B9C"/>
    <w:rsid w:val="005F7C1C"/>
    <w:rsid w:val="005F7D16"/>
    <w:rsid w:val="006002DB"/>
    <w:rsid w:val="00600693"/>
    <w:rsid w:val="00600BFD"/>
    <w:rsid w:val="00600CC1"/>
    <w:rsid w:val="0060107D"/>
    <w:rsid w:val="0060128D"/>
    <w:rsid w:val="0060137C"/>
    <w:rsid w:val="00601487"/>
    <w:rsid w:val="006018E9"/>
    <w:rsid w:val="00601C01"/>
    <w:rsid w:val="00601D96"/>
    <w:rsid w:val="00601E10"/>
    <w:rsid w:val="00601E26"/>
    <w:rsid w:val="00602419"/>
    <w:rsid w:val="006025E0"/>
    <w:rsid w:val="006029B9"/>
    <w:rsid w:val="00602D7B"/>
    <w:rsid w:val="00602EA4"/>
    <w:rsid w:val="00603159"/>
    <w:rsid w:val="0060318C"/>
    <w:rsid w:val="006031BE"/>
    <w:rsid w:val="00603223"/>
    <w:rsid w:val="00603486"/>
    <w:rsid w:val="006034D1"/>
    <w:rsid w:val="0060374A"/>
    <w:rsid w:val="006039F9"/>
    <w:rsid w:val="00603BA1"/>
    <w:rsid w:val="00603CED"/>
    <w:rsid w:val="00603E37"/>
    <w:rsid w:val="006041AE"/>
    <w:rsid w:val="00604477"/>
    <w:rsid w:val="00604776"/>
    <w:rsid w:val="00604A2F"/>
    <w:rsid w:val="0060526C"/>
    <w:rsid w:val="006052EF"/>
    <w:rsid w:val="0060533D"/>
    <w:rsid w:val="0060535E"/>
    <w:rsid w:val="0060558F"/>
    <w:rsid w:val="006058A4"/>
    <w:rsid w:val="0060593E"/>
    <w:rsid w:val="00605A15"/>
    <w:rsid w:val="00605B33"/>
    <w:rsid w:val="00605BA6"/>
    <w:rsid w:val="00605E4A"/>
    <w:rsid w:val="00606164"/>
    <w:rsid w:val="006063FD"/>
    <w:rsid w:val="006064BB"/>
    <w:rsid w:val="006066D0"/>
    <w:rsid w:val="006068C1"/>
    <w:rsid w:val="00606993"/>
    <w:rsid w:val="00606B09"/>
    <w:rsid w:val="00606BAF"/>
    <w:rsid w:val="00606D8B"/>
    <w:rsid w:val="00606EBB"/>
    <w:rsid w:val="00606EF6"/>
    <w:rsid w:val="00607044"/>
    <w:rsid w:val="00607081"/>
    <w:rsid w:val="006070CF"/>
    <w:rsid w:val="0060738C"/>
    <w:rsid w:val="006074C6"/>
    <w:rsid w:val="006074D0"/>
    <w:rsid w:val="00607E39"/>
    <w:rsid w:val="0061006C"/>
    <w:rsid w:val="006102B5"/>
    <w:rsid w:val="0061080B"/>
    <w:rsid w:val="00610C75"/>
    <w:rsid w:val="00610C79"/>
    <w:rsid w:val="00610E5F"/>
    <w:rsid w:val="00611039"/>
    <w:rsid w:val="006112D2"/>
    <w:rsid w:val="0061153C"/>
    <w:rsid w:val="00611619"/>
    <w:rsid w:val="00611C7A"/>
    <w:rsid w:val="00611E67"/>
    <w:rsid w:val="00612214"/>
    <w:rsid w:val="00612252"/>
    <w:rsid w:val="0061235D"/>
    <w:rsid w:val="006125C8"/>
    <w:rsid w:val="00612680"/>
    <w:rsid w:val="006126D9"/>
    <w:rsid w:val="0061270C"/>
    <w:rsid w:val="006129E0"/>
    <w:rsid w:val="00612A18"/>
    <w:rsid w:val="0061303B"/>
    <w:rsid w:val="006130EA"/>
    <w:rsid w:val="00613367"/>
    <w:rsid w:val="00613387"/>
    <w:rsid w:val="00613866"/>
    <w:rsid w:val="00613A25"/>
    <w:rsid w:val="00613C09"/>
    <w:rsid w:val="00613E9E"/>
    <w:rsid w:val="00613F4D"/>
    <w:rsid w:val="0061408F"/>
    <w:rsid w:val="006140DE"/>
    <w:rsid w:val="006141E7"/>
    <w:rsid w:val="00614673"/>
    <w:rsid w:val="00614921"/>
    <w:rsid w:val="00614CD5"/>
    <w:rsid w:val="00614CF0"/>
    <w:rsid w:val="00614CF7"/>
    <w:rsid w:val="00615402"/>
    <w:rsid w:val="0061594F"/>
    <w:rsid w:val="00615ABD"/>
    <w:rsid w:val="00615AD7"/>
    <w:rsid w:val="00615FEC"/>
    <w:rsid w:val="00616038"/>
    <w:rsid w:val="00616893"/>
    <w:rsid w:val="00616986"/>
    <w:rsid w:val="00616DBD"/>
    <w:rsid w:val="00616E60"/>
    <w:rsid w:val="00616FF8"/>
    <w:rsid w:val="006171BC"/>
    <w:rsid w:val="0061722C"/>
    <w:rsid w:val="00617EEE"/>
    <w:rsid w:val="00617FF6"/>
    <w:rsid w:val="00620333"/>
    <w:rsid w:val="00620445"/>
    <w:rsid w:val="006204ED"/>
    <w:rsid w:val="006204F6"/>
    <w:rsid w:val="0062056E"/>
    <w:rsid w:val="00620571"/>
    <w:rsid w:val="0062064D"/>
    <w:rsid w:val="0062076A"/>
    <w:rsid w:val="00620941"/>
    <w:rsid w:val="00620CE7"/>
    <w:rsid w:val="00621049"/>
    <w:rsid w:val="00621075"/>
    <w:rsid w:val="006210E3"/>
    <w:rsid w:val="00621134"/>
    <w:rsid w:val="00621138"/>
    <w:rsid w:val="00621600"/>
    <w:rsid w:val="00621636"/>
    <w:rsid w:val="00621861"/>
    <w:rsid w:val="00621AEE"/>
    <w:rsid w:val="00621B0E"/>
    <w:rsid w:val="00621B74"/>
    <w:rsid w:val="00621D88"/>
    <w:rsid w:val="00622719"/>
    <w:rsid w:val="00622D70"/>
    <w:rsid w:val="00623540"/>
    <w:rsid w:val="006235D4"/>
    <w:rsid w:val="00623772"/>
    <w:rsid w:val="00623BBA"/>
    <w:rsid w:val="00623BBB"/>
    <w:rsid w:val="006240FD"/>
    <w:rsid w:val="0062423B"/>
    <w:rsid w:val="006243B2"/>
    <w:rsid w:val="00624726"/>
    <w:rsid w:val="006247EA"/>
    <w:rsid w:val="006248B3"/>
    <w:rsid w:val="006248EE"/>
    <w:rsid w:val="00624CED"/>
    <w:rsid w:val="00624D90"/>
    <w:rsid w:val="00624E70"/>
    <w:rsid w:val="00624E81"/>
    <w:rsid w:val="00624EE9"/>
    <w:rsid w:val="00624F4A"/>
    <w:rsid w:val="006253E1"/>
    <w:rsid w:val="006253EE"/>
    <w:rsid w:val="00625533"/>
    <w:rsid w:val="006258B8"/>
    <w:rsid w:val="006259C2"/>
    <w:rsid w:val="00625C3A"/>
    <w:rsid w:val="00625D82"/>
    <w:rsid w:val="00625F5C"/>
    <w:rsid w:val="006261D1"/>
    <w:rsid w:val="00626304"/>
    <w:rsid w:val="006264A6"/>
    <w:rsid w:val="006269ED"/>
    <w:rsid w:val="00626A6B"/>
    <w:rsid w:val="00626C00"/>
    <w:rsid w:val="006273A7"/>
    <w:rsid w:val="006273C0"/>
    <w:rsid w:val="006274D7"/>
    <w:rsid w:val="0062786A"/>
    <w:rsid w:val="0062796A"/>
    <w:rsid w:val="00627B72"/>
    <w:rsid w:val="00627B74"/>
    <w:rsid w:val="006300F1"/>
    <w:rsid w:val="00630116"/>
    <w:rsid w:val="006301A1"/>
    <w:rsid w:val="0063087C"/>
    <w:rsid w:val="00630946"/>
    <w:rsid w:val="00630B13"/>
    <w:rsid w:val="00630FAE"/>
    <w:rsid w:val="006310BF"/>
    <w:rsid w:val="006313A0"/>
    <w:rsid w:val="006314AC"/>
    <w:rsid w:val="0063153B"/>
    <w:rsid w:val="00631681"/>
    <w:rsid w:val="0063186B"/>
    <w:rsid w:val="006318AB"/>
    <w:rsid w:val="00631993"/>
    <w:rsid w:val="00631B2C"/>
    <w:rsid w:val="00631DDA"/>
    <w:rsid w:val="00631F87"/>
    <w:rsid w:val="006321E8"/>
    <w:rsid w:val="006323A2"/>
    <w:rsid w:val="00632550"/>
    <w:rsid w:val="006326E9"/>
    <w:rsid w:val="006327E9"/>
    <w:rsid w:val="00632BE5"/>
    <w:rsid w:val="00632D80"/>
    <w:rsid w:val="00632ED7"/>
    <w:rsid w:val="00632EDE"/>
    <w:rsid w:val="00632EF9"/>
    <w:rsid w:val="0063305E"/>
    <w:rsid w:val="0063309D"/>
    <w:rsid w:val="00633134"/>
    <w:rsid w:val="006331A2"/>
    <w:rsid w:val="0063347E"/>
    <w:rsid w:val="0063386B"/>
    <w:rsid w:val="006338AE"/>
    <w:rsid w:val="00633B5A"/>
    <w:rsid w:val="006340A0"/>
    <w:rsid w:val="006340B4"/>
    <w:rsid w:val="006341CA"/>
    <w:rsid w:val="00634233"/>
    <w:rsid w:val="006343D9"/>
    <w:rsid w:val="00634553"/>
    <w:rsid w:val="0063476B"/>
    <w:rsid w:val="006347E2"/>
    <w:rsid w:val="00634861"/>
    <w:rsid w:val="006348D2"/>
    <w:rsid w:val="00634912"/>
    <w:rsid w:val="00634B07"/>
    <w:rsid w:val="00634D47"/>
    <w:rsid w:val="00635512"/>
    <w:rsid w:val="00635564"/>
    <w:rsid w:val="006355DB"/>
    <w:rsid w:val="00635692"/>
    <w:rsid w:val="006356AE"/>
    <w:rsid w:val="00635822"/>
    <w:rsid w:val="00635914"/>
    <w:rsid w:val="006359C0"/>
    <w:rsid w:val="00635BAC"/>
    <w:rsid w:val="00635FD3"/>
    <w:rsid w:val="0063688A"/>
    <w:rsid w:val="006369D8"/>
    <w:rsid w:val="00636ADF"/>
    <w:rsid w:val="00636CAA"/>
    <w:rsid w:val="00636DED"/>
    <w:rsid w:val="0063702D"/>
    <w:rsid w:val="00637086"/>
    <w:rsid w:val="00637664"/>
    <w:rsid w:val="0063770A"/>
    <w:rsid w:val="006377C3"/>
    <w:rsid w:val="00637830"/>
    <w:rsid w:val="00637868"/>
    <w:rsid w:val="0063798E"/>
    <w:rsid w:val="00637DED"/>
    <w:rsid w:val="00637E04"/>
    <w:rsid w:val="00637F68"/>
    <w:rsid w:val="00640242"/>
    <w:rsid w:val="0064031A"/>
    <w:rsid w:val="0064032D"/>
    <w:rsid w:val="00640600"/>
    <w:rsid w:val="006407D5"/>
    <w:rsid w:val="006408B9"/>
    <w:rsid w:val="006408E4"/>
    <w:rsid w:val="00640C03"/>
    <w:rsid w:val="00640E25"/>
    <w:rsid w:val="00640F97"/>
    <w:rsid w:val="006411D8"/>
    <w:rsid w:val="006417E3"/>
    <w:rsid w:val="00641810"/>
    <w:rsid w:val="00641ABD"/>
    <w:rsid w:val="006427EE"/>
    <w:rsid w:val="006427F1"/>
    <w:rsid w:val="006428DC"/>
    <w:rsid w:val="006429DD"/>
    <w:rsid w:val="00642CB8"/>
    <w:rsid w:val="00642E27"/>
    <w:rsid w:val="00642EDF"/>
    <w:rsid w:val="006430E8"/>
    <w:rsid w:val="0064316F"/>
    <w:rsid w:val="00643865"/>
    <w:rsid w:val="00643A67"/>
    <w:rsid w:val="00643AF3"/>
    <w:rsid w:val="00643C9D"/>
    <w:rsid w:val="00644277"/>
    <w:rsid w:val="006445AD"/>
    <w:rsid w:val="006446BA"/>
    <w:rsid w:val="006449C5"/>
    <w:rsid w:val="006453DC"/>
    <w:rsid w:val="006458FC"/>
    <w:rsid w:val="00645915"/>
    <w:rsid w:val="00645B51"/>
    <w:rsid w:val="00645B95"/>
    <w:rsid w:val="00645ED3"/>
    <w:rsid w:val="00645F01"/>
    <w:rsid w:val="006462C9"/>
    <w:rsid w:val="00646365"/>
    <w:rsid w:val="0064640F"/>
    <w:rsid w:val="006466B7"/>
    <w:rsid w:val="006466C1"/>
    <w:rsid w:val="0064671E"/>
    <w:rsid w:val="006467D8"/>
    <w:rsid w:val="0064689B"/>
    <w:rsid w:val="00646A05"/>
    <w:rsid w:val="006470F4"/>
    <w:rsid w:val="00647569"/>
    <w:rsid w:val="0064756F"/>
    <w:rsid w:val="00647C99"/>
    <w:rsid w:val="00647E40"/>
    <w:rsid w:val="00647F6D"/>
    <w:rsid w:val="00650038"/>
    <w:rsid w:val="00650216"/>
    <w:rsid w:val="00650763"/>
    <w:rsid w:val="00650ECE"/>
    <w:rsid w:val="00651068"/>
    <w:rsid w:val="00651230"/>
    <w:rsid w:val="00651658"/>
    <w:rsid w:val="0065195E"/>
    <w:rsid w:val="00651ADA"/>
    <w:rsid w:val="00651B49"/>
    <w:rsid w:val="00651B58"/>
    <w:rsid w:val="00651BD8"/>
    <w:rsid w:val="00651BF6"/>
    <w:rsid w:val="00651E03"/>
    <w:rsid w:val="00651EF0"/>
    <w:rsid w:val="00651F04"/>
    <w:rsid w:val="0065211B"/>
    <w:rsid w:val="00652141"/>
    <w:rsid w:val="00652369"/>
    <w:rsid w:val="00652391"/>
    <w:rsid w:val="006524DD"/>
    <w:rsid w:val="006524FF"/>
    <w:rsid w:val="006528B5"/>
    <w:rsid w:val="00652D12"/>
    <w:rsid w:val="00652F00"/>
    <w:rsid w:val="00653077"/>
    <w:rsid w:val="00653287"/>
    <w:rsid w:val="006532F4"/>
    <w:rsid w:val="006534E3"/>
    <w:rsid w:val="006535C0"/>
    <w:rsid w:val="006537F6"/>
    <w:rsid w:val="0065389B"/>
    <w:rsid w:val="0065435E"/>
    <w:rsid w:val="0065445E"/>
    <w:rsid w:val="0065461D"/>
    <w:rsid w:val="00654F31"/>
    <w:rsid w:val="00655122"/>
    <w:rsid w:val="0065518B"/>
    <w:rsid w:val="006554FE"/>
    <w:rsid w:val="006557A7"/>
    <w:rsid w:val="0065581D"/>
    <w:rsid w:val="006558AF"/>
    <w:rsid w:val="00655D8B"/>
    <w:rsid w:val="006562A1"/>
    <w:rsid w:val="006562F3"/>
    <w:rsid w:val="00656644"/>
    <w:rsid w:val="006566A0"/>
    <w:rsid w:val="00656E12"/>
    <w:rsid w:val="00656F3F"/>
    <w:rsid w:val="00656FD3"/>
    <w:rsid w:val="006574EA"/>
    <w:rsid w:val="00657501"/>
    <w:rsid w:val="00657A10"/>
    <w:rsid w:val="00657BAE"/>
    <w:rsid w:val="0066011F"/>
    <w:rsid w:val="00660B70"/>
    <w:rsid w:val="00660DFF"/>
    <w:rsid w:val="006612AF"/>
    <w:rsid w:val="00661864"/>
    <w:rsid w:val="00661BBB"/>
    <w:rsid w:val="00661DBB"/>
    <w:rsid w:val="00661F8E"/>
    <w:rsid w:val="00661F9E"/>
    <w:rsid w:val="00661FB5"/>
    <w:rsid w:val="00662175"/>
    <w:rsid w:val="00662248"/>
    <w:rsid w:val="0066234C"/>
    <w:rsid w:val="00662715"/>
    <w:rsid w:val="00662791"/>
    <w:rsid w:val="00662B54"/>
    <w:rsid w:val="00662FE4"/>
    <w:rsid w:val="006631AE"/>
    <w:rsid w:val="006634AA"/>
    <w:rsid w:val="006634EB"/>
    <w:rsid w:val="00663CA9"/>
    <w:rsid w:val="00663D40"/>
    <w:rsid w:val="006642D4"/>
    <w:rsid w:val="0066451D"/>
    <w:rsid w:val="0066465B"/>
    <w:rsid w:val="00664728"/>
    <w:rsid w:val="00664BC7"/>
    <w:rsid w:val="00664D0C"/>
    <w:rsid w:val="006653CA"/>
    <w:rsid w:val="006653E2"/>
    <w:rsid w:val="006657C7"/>
    <w:rsid w:val="00665938"/>
    <w:rsid w:val="00665999"/>
    <w:rsid w:val="00665F1A"/>
    <w:rsid w:val="0066601C"/>
    <w:rsid w:val="006660A4"/>
    <w:rsid w:val="006661CB"/>
    <w:rsid w:val="0066624D"/>
    <w:rsid w:val="0066633D"/>
    <w:rsid w:val="00666349"/>
    <w:rsid w:val="00666973"/>
    <w:rsid w:val="00666A46"/>
    <w:rsid w:val="00666A9F"/>
    <w:rsid w:val="00666B77"/>
    <w:rsid w:val="00666E7F"/>
    <w:rsid w:val="00667178"/>
    <w:rsid w:val="00667555"/>
    <w:rsid w:val="00667568"/>
    <w:rsid w:val="00667871"/>
    <w:rsid w:val="00667F99"/>
    <w:rsid w:val="006704DE"/>
    <w:rsid w:val="0067072C"/>
    <w:rsid w:val="006709C1"/>
    <w:rsid w:val="00670A27"/>
    <w:rsid w:val="00670BA2"/>
    <w:rsid w:val="00670BB1"/>
    <w:rsid w:val="00670C29"/>
    <w:rsid w:val="00670D53"/>
    <w:rsid w:val="006713A8"/>
    <w:rsid w:val="0067177D"/>
    <w:rsid w:val="00671C39"/>
    <w:rsid w:val="00671E9A"/>
    <w:rsid w:val="00671EF3"/>
    <w:rsid w:val="00672002"/>
    <w:rsid w:val="0067203A"/>
    <w:rsid w:val="006720B1"/>
    <w:rsid w:val="006720BD"/>
    <w:rsid w:val="00672B55"/>
    <w:rsid w:val="00672B72"/>
    <w:rsid w:val="00672BE3"/>
    <w:rsid w:val="00672DC1"/>
    <w:rsid w:val="00672E12"/>
    <w:rsid w:val="00673306"/>
    <w:rsid w:val="00673431"/>
    <w:rsid w:val="006736AF"/>
    <w:rsid w:val="00673753"/>
    <w:rsid w:val="00673839"/>
    <w:rsid w:val="0067383F"/>
    <w:rsid w:val="00673B09"/>
    <w:rsid w:val="00673BFD"/>
    <w:rsid w:val="00673C29"/>
    <w:rsid w:val="0067400E"/>
    <w:rsid w:val="00674050"/>
    <w:rsid w:val="00674576"/>
    <w:rsid w:val="0067493A"/>
    <w:rsid w:val="00674B0C"/>
    <w:rsid w:val="00675085"/>
    <w:rsid w:val="00675188"/>
    <w:rsid w:val="006751A8"/>
    <w:rsid w:val="006751B8"/>
    <w:rsid w:val="0067521E"/>
    <w:rsid w:val="0067544F"/>
    <w:rsid w:val="006756CB"/>
    <w:rsid w:val="00675A37"/>
    <w:rsid w:val="00675FB9"/>
    <w:rsid w:val="0067634A"/>
    <w:rsid w:val="0067637F"/>
    <w:rsid w:val="0067658B"/>
    <w:rsid w:val="00676B70"/>
    <w:rsid w:val="00676C24"/>
    <w:rsid w:val="00676D3E"/>
    <w:rsid w:val="00676FC9"/>
    <w:rsid w:val="0067719A"/>
    <w:rsid w:val="00677288"/>
    <w:rsid w:val="006772FC"/>
    <w:rsid w:val="00677704"/>
    <w:rsid w:val="006777C4"/>
    <w:rsid w:val="00677B01"/>
    <w:rsid w:val="0068017D"/>
    <w:rsid w:val="0068033B"/>
    <w:rsid w:val="00680521"/>
    <w:rsid w:val="006806E8"/>
    <w:rsid w:val="0068091B"/>
    <w:rsid w:val="00680D08"/>
    <w:rsid w:val="00680D34"/>
    <w:rsid w:val="0068112A"/>
    <w:rsid w:val="0068143D"/>
    <w:rsid w:val="0068161B"/>
    <w:rsid w:val="00681A8A"/>
    <w:rsid w:val="00681AA3"/>
    <w:rsid w:val="00681B7C"/>
    <w:rsid w:val="00681F60"/>
    <w:rsid w:val="0068228E"/>
    <w:rsid w:val="006823CE"/>
    <w:rsid w:val="00682887"/>
    <w:rsid w:val="00682A77"/>
    <w:rsid w:val="00682C2E"/>
    <w:rsid w:val="00682FD6"/>
    <w:rsid w:val="006830D4"/>
    <w:rsid w:val="00683299"/>
    <w:rsid w:val="006834D4"/>
    <w:rsid w:val="00683579"/>
    <w:rsid w:val="0068360D"/>
    <w:rsid w:val="006836AA"/>
    <w:rsid w:val="006838B8"/>
    <w:rsid w:val="00683CE5"/>
    <w:rsid w:val="006843D5"/>
    <w:rsid w:val="006847A4"/>
    <w:rsid w:val="006849ED"/>
    <w:rsid w:val="00684A81"/>
    <w:rsid w:val="00684ACF"/>
    <w:rsid w:val="00685044"/>
    <w:rsid w:val="0068522A"/>
    <w:rsid w:val="00685285"/>
    <w:rsid w:val="006855C6"/>
    <w:rsid w:val="00685A0E"/>
    <w:rsid w:val="00685CBA"/>
    <w:rsid w:val="00685F94"/>
    <w:rsid w:val="00686385"/>
    <w:rsid w:val="0068665C"/>
    <w:rsid w:val="006866E9"/>
    <w:rsid w:val="00686E9A"/>
    <w:rsid w:val="00686F7F"/>
    <w:rsid w:val="00687023"/>
    <w:rsid w:val="00687162"/>
    <w:rsid w:val="006871A0"/>
    <w:rsid w:val="0068723F"/>
    <w:rsid w:val="00687242"/>
    <w:rsid w:val="0068735A"/>
    <w:rsid w:val="00687565"/>
    <w:rsid w:val="00687B61"/>
    <w:rsid w:val="00690187"/>
    <w:rsid w:val="006901D5"/>
    <w:rsid w:val="00690479"/>
    <w:rsid w:val="006905B8"/>
    <w:rsid w:val="00690637"/>
    <w:rsid w:val="00690774"/>
    <w:rsid w:val="006907FB"/>
    <w:rsid w:val="00690847"/>
    <w:rsid w:val="00690BEE"/>
    <w:rsid w:val="00691224"/>
    <w:rsid w:val="006912D5"/>
    <w:rsid w:val="00691324"/>
    <w:rsid w:val="0069151C"/>
    <w:rsid w:val="00691AA6"/>
    <w:rsid w:val="006920CC"/>
    <w:rsid w:val="00692181"/>
    <w:rsid w:val="006928B9"/>
    <w:rsid w:val="00692999"/>
    <w:rsid w:val="0069299C"/>
    <w:rsid w:val="00693181"/>
    <w:rsid w:val="00693391"/>
    <w:rsid w:val="0069348A"/>
    <w:rsid w:val="006936BB"/>
    <w:rsid w:val="00693B22"/>
    <w:rsid w:val="00693E51"/>
    <w:rsid w:val="006942DF"/>
    <w:rsid w:val="006943EC"/>
    <w:rsid w:val="00694425"/>
    <w:rsid w:val="00694665"/>
    <w:rsid w:val="00694BB2"/>
    <w:rsid w:val="00694DDA"/>
    <w:rsid w:val="00694E46"/>
    <w:rsid w:val="0069512B"/>
    <w:rsid w:val="00695309"/>
    <w:rsid w:val="006953A8"/>
    <w:rsid w:val="006953C0"/>
    <w:rsid w:val="006954FB"/>
    <w:rsid w:val="0069583E"/>
    <w:rsid w:val="006959F4"/>
    <w:rsid w:val="00695CED"/>
    <w:rsid w:val="00695E60"/>
    <w:rsid w:val="00696292"/>
    <w:rsid w:val="0069652F"/>
    <w:rsid w:val="0069657E"/>
    <w:rsid w:val="0069688F"/>
    <w:rsid w:val="00696A8A"/>
    <w:rsid w:val="00696E25"/>
    <w:rsid w:val="00697193"/>
    <w:rsid w:val="006972BA"/>
    <w:rsid w:val="0069782C"/>
    <w:rsid w:val="00697901"/>
    <w:rsid w:val="00697B59"/>
    <w:rsid w:val="00697E1F"/>
    <w:rsid w:val="00697E59"/>
    <w:rsid w:val="00697E97"/>
    <w:rsid w:val="006A01CC"/>
    <w:rsid w:val="006A023C"/>
    <w:rsid w:val="006A02DC"/>
    <w:rsid w:val="006A0432"/>
    <w:rsid w:val="006A0433"/>
    <w:rsid w:val="006A05F8"/>
    <w:rsid w:val="006A09E9"/>
    <w:rsid w:val="006A0A54"/>
    <w:rsid w:val="006A0BB6"/>
    <w:rsid w:val="006A10EC"/>
    <w:rsid w:val="006A1147"/>
    <w:rsid w:val="006A11D8"/>
    <w:rsid w:val="006A1299"/>
    <w:rsid w:val="006A1436"/>
    <w:rsid w:val="006A164B"/>
    <w:rsid w:val="006A1A00"/>
    <w:rsid w:val="006A1B04"/>
    <w:rsid w:val="006A1DD3"/>
    <w:rsid w:val="006A2396"/>
    <w:rsid w:val="006A244A"/>
    <w:rsid w:val="006A2582"/>
    <w:rsid w:val="006A2A1F"/>
    <w:rsid w:val="006A2C4D"/>
    <w:rsid w:val="006A2D81"/>
    <w:rsid w:val="006A2D9C"/>
    <w:rsid w:val="006A313C"/>
    <w:rsid w:val="006A3260"/>
    <w:rsid w:val="006A336A"/>
    <w:rsid w:val="006A3372"/>
    <w:rsid w:val="006A3732"/>
    <w:rsid w:val="006A3956"/>
    <w:rsid w:val="006A3A82"/>
    <w:rsid w:val="006A3CBC"/>
    <w:rsid w:val="006A3CE0"/>
    <w:rsid w:val="006A4112"/>
    <w:rsid w:val="006A413D"/>
    <w:rsid w:val="006A4439"/>
    <w:rsid w:val="006A4547"/>
    <w:rsid w:val="006A4827"/>
    <w:rsid w:val="006A49CB"/>
    <w:rsid w:val="006A4A70"/>
    <w:rsid w:val="006A4AB0"/>
    <w:rsid w:val="006A4AE2"/>
    <w:rsid w:val="006A4B74"/>
    <w:rsid w:val="006A4EBF"/>
    <w:rsid w:val="006A513E"/>
    <w:rsid w:val="006A5192"/>
    <w:rsid w:val="006A538D"/>
    <w:rsid w:val="006A559F"/>
    <w:rsid w:val="006A56A6"/>
    <w:rsid w:val="006A5878"/>
    <w:rsid w:val="006A5917"/>
    <w:rsid w:val="006A59C0"/>
    <w:rsid w:val="006A5B6E"/>
    <w:rsid w:val="006A5D06"/>
    <w:rsid w:val="006A5FAA"/>
    <w:rsid w:val="006A5FCF"/>
    <w:rsid w:val="006A6069"/>
    <w:rsid w:val="006A616E"/>
    <w:rsid w:val="006A632F"/>
    <w:rsid w:val="006A66E0"/>
    <w:rsid w:val="006A671F"/>
    <w:rsid w:val="006A67C1"/>
    <w:rsid w:val="006A6873"/>
    <w:rsid w:val="006A6A06"/>
    <w:rsid w:val="006A6B89"/>
    <w:rsid w:val="006A6D9C"/>
    <w:rsid w:val="006A6F09"/>
    <w:rsid w:val="006A722A"/>
    <w:rsid w:val="006A72D9"/>
    <w:rsid w:val="006A7325"/>
    <w:rsid w:val="006A740A"/>
    <w:rsid w:val="006A75FD"/>
    <w:rsid w:val="006A76D5"/>
    <w:rsid w:val="006A7CE2"/>
    <w:rsid w:val="006A7F41"/>
    <w:rsid w:val="006B002E"/>
    <w:rsid w:val="006B003F"/>
    <w:rsid w:val="006B018B"/>
    <w:rsid w:val="006B02A1"/>
    <w:rsid w:val="006B02ED"/>
    <w:rsid w:val="006B0353"/>
    <w:rsid w:val="006B0587"/>
    <w:rsid w:val="006B062A"/>
    <w:rsid w:val="006B06AC"/>
    <w:rsid w:val="006B088C"/>
    <w:rsid w:val="006B08AC"/>
    <w:rsid w:val="006B092F"/>
    <w:rsid w:val="006B0A5D"/>
    <w:rsid w:val="006B0BAB"/>
    <w:rsid w:val="006B0C45"/>
    <w:rsid w:val="006B0CB8"/>
    <w:rsid w:val="006B0DA9"/>
    <w:rsid w:val="006B1154"/>
    <w:rsid w:val="006B16EC"/>
    <w:rsid w:val="006B17EB"/>
    <w:rsid w:val="006B1849"/>
    <w:rsid w:val="006B1881"/>
    <w:rsid w:val="006B1A8C"/>
    <w:rsid w:val="006B1E9C"/>
    <w:rsid w:val="006B1FEA"/>
    <w:rsid w:val="006B2388"/>
    <w:rsid w:val="006B2616"/>
    <w:rsid w:val="006B268C"/>
    <w:rsid w:val="006B273A"/>
    <w:rsid w:val="006B2AC5"/>
    <w:rsid w:val="006B2B09"/>
    <w:rsid w:val="006B2CA0"/>
    <w:rsid w:val="006B2FFF"/>
    <w:rsid w:val="006B32A6"/>
    <w:rsid w:val="006B3402"/>
    <w:rsid w:val="006B3434"/>
    <w:rsid w:val="006B34BD"/>
    <w:rsid w:val="006B35EB"/>
    <w:rsid w:val="006B37B3"/>
    <w:rsid w:val="006B390D"/>
    <w:rsid w:val="006B3A20"/>
    <w:rsid w:val="006B3FE2"/>
    <w:rsid w:val="006B4037"/>
    <w:rsid w:val="006B4085"/>
    <w:rsid w:val="006B41EF"/>
    <w:rsid w:val="006B423D"/>
    <w:rsid w:val="006B4243"/>
    <w:rsid w:val="006B4392"/>
    <w:rsid w:val="006B4710"/>
    <w:rsid w:val="006B4746"/>
    <w:rsid w:val="006B4C0F"/>
    <w:rsid w:val="006B5119"/>
    <w:rsid w:val="006B5196"/>
    <w:rsid w:val="006B5294"/>
    <w:rsid w:val="006B52CF"/>
    <w:rsid w:val="006B53D7"/>
    <w:rsid w:val="006B5740"/>
    <w:rsid w:val="006B58E2"/>
    <w:rsid w:val="006B5CCF"/>
    <w:rsid w:val="006B5D79"/>
    <w:rsid w:val="006B6079"/>
    <w:rsid w:val="006B6236"/>
    <w:rsid w:val="006B67F9"/>
    <w:rsid w:val="006B683B"/>
    <w:rsid w:val="006B6881"/>
    <w:rsid w:val="006B691A"/>
    <w:rsid w:val="006B6952"/>
    <w:rsid w:val="006B6CE3"/>
    <w:rsid w:val="006B6D87"/>
    <w:rsid w:val="006B6DCE"/>
    <w:rsid w:val="006B717D"/>
    <w:rsid w:val="006B73BD"/>
    <w:rsid w:val="006B7591"/>
    <w:rsid w:val="006B76D2"/>
    <w:rsid w:val="006B7E0A"/>
    <w:rsid w:val="006B7F9C"/>
    <w:rsid w:val="006B7FF7"/>
    <w:rsid w:val="006C009C"/>
    <w:rsid w:val="006C0527"/>
    <w:rsid w:val="006C0584"/>
    <w:rsid w:val="006C0614"/>
    <w:rsid w:val="006C0679"/>
    <w:rsid w:val="006C0896"/>
    <w:rsid w:val="006C08AE"/>
    <w:rsid w:val="006C0A31"/>
    <w:rsid w:val="006C0AFA"/>
    <w:rsid w:val="006C0CF3"/>
    <w:rsid w:val="006C0E1F"/>
    <w:rsid w:val="006C10BE"/>
    <w:rsid w:val="006C11FA"/>
    <w:rsid w:val="006C12E3"/>
    <w:rsid w:val="006C134E"/>
    <w:rsid w:val="006C13B8"/>
    <w:rsid w:val="006C15BB"/>
    <w:rsid w:val="006C171A"/>
    <w:rsid w:val="006C1781"/>
    <w:rsid w:val="006C1859"/>
    <w:rsid w:val="006C1951"/>
    <w:rsid w:val="006C1AD7"/>
    <w:rsid w:val="006C2022"/>
    <w:rsid w:val="006C2052"/>
    <w:rsid w:val="006C222C"/>
    <w:rsid w:val="006C2275"/>
    <w:rsid w:val="006C22C6"/>
    <w:rsid w:val="006C2635"/>
    <w:rsid w:val="006C2951"/>
    <w:rsid w:val="006C2DE2"/>
    <w:rsid w:val="006C2F40"/>
    <w:rsid w:val="006C3135"/>
    <w:rsid w:val="006C3241"/>
    <w:rsid w:val="006C3462"/>
    <w:rsid w:val="006C35A1"/>
    <w:rsid w:val="006C38FC"/>
    <w:rsid w:val="006C3B3B"/>
    <w:rsid w:val="006C3C87"/>
    <w:rsid w:val="006C3D34"/>
    <w:rsid w:val="006C3ECD"/>
    <w:rsid w:val="006C46FC"/>
    <w:rsid w:val="006C4B8C"/>
    <w:rsid w:val="006C4BE9"/>
    <w:rsid w:val="006C5045"/>
    <w:rsid w:val="006C5224"/>
    <w:rsid w:val="006C537F"/>
    <w:rsid w:val="006C5AA6"/>
    <w:rsid w:val="006C5BA8"/>
    <w:rsid w:val="006C5BCA"/>
    <w:rsid w:val="006C5C0B"/>
    <w:rsid w:val="006C6321"/>
    <w:rsid w:val="006C637A"/>
    <w:rsid w:val="006C64BB"/>
    <w:rsid w:val="006C6846"/>
    <w:rsid w:val="006C6A79"/>
    <w:rsid w:val="006C6B24"/>
    <w:rsid w:val="006C6BDD"/>
    <w:rsid w:val="006C6BDF"/>
    <w:rsid w:val="006C6C4B"/>
    <w:rsid w:val="006C6C99"/>
    <w:rsid w:val="006C7686"/>
    <w:rsid w:val="006C787F"/>
    <w:rsid w:val="006C788B"/>
    <w:rsid w:val="006C7951"/>
    <w:rsid w:val="006C7A3F"/>
    <w:rsid w:val="006C7E1F"/>
    <w:rsid w:val="006C7E22"/>
    <w:rsid w:val="006C7E3E"/>
    <w:rsid w:val="006C7E9B"/>
    <w:rsid w:val="006D00F1"/>
    <w:rsid w:val="006D03A7"/>
    <w:rsid w:val="006D055C"/>
    <w:rsid w:val="006D0902"/>
    <w:rsid w:val="006D0CD0"/>
    <w:rsid w:val="006D12FC"/>
    <w:rsid w:val="006D14D7"/>
    <w:rsid w:val="006D15CC"/>
    <w:rsid w:val="006D174F"/>
    <w:rsid w:val="006D1913"/>
    <w:rsid w:val="006D195E"/>
    <w:rsid w:val="006D1BF6"/>
    <w:rsid w:val="006D1D90"/>
    <w:rsid w:val="006D1E4C"/>
    <w:rsid w:val="006D22EA"/>
    <w:rsid w:val="006D2D6A"/>
    <w:rsid w:val="006D2FA5"/>
    <w:rsid w:val="006D30CC"/>
    <w:rsid w:val="006D3219"/>
    <w:rsid w:val="006D34EF"/>
    <w:rsid w:val="006D3591"/>
    <w:rsid w:val="006D35C8"/>
    <w:rsid w:val="006D3684"/>
    <w:rsid w:val="006D3705"/>
    <w:rsid w:val="006D372A"/>
    <w:rsid w:val="006D3B5A"/>
    <w:rsid w:val="006D3F08"/>
    <w:rsid w:val="006D3F7E"/>
    <w:rsid w:val="006D3FC9"/>
    <w:rsid w:val="006D400E"/>
    <w:rsid w:val="006D41D6"/>
    <w:rsid w:val="006D4311"/>
    <w:rsid w:val="006D4579"/>
    <w:rsid w:val="006D477E"/>
    <w:rsid w:val="006D49E4"/>
    <w:rsid w:val="006D4A0F"/>
    <w:rsid w:val="006D4AD1"/>
    <w:rsid w:val="006D501E"/>
    <w:rsid w:val="006D5107"/>
    <w:rsid w:val="006D5410"/>
    <w:rsid w:val="006D56EA"/>
    <w:rsid w:val="006D58CC"/>
    <w:rsid w:val="006D5943"/>
    <w:rsid w:val="006D5A45"/>
    <w:rsid w:val="006D5A67"/>
    <w:rsid w:val="006D5DC9"/>
    <w:rsid w:val="006D5E4B"/>
    <w:rsid w:val="006D5E80"/>
    <w:rsid w:val="006D5E8B"/>
    <w:rsid w:val="006D606B"/>
    <w:rsid w:val="006D60FE"/>
    <w:rsid w:val="006D6354"/>
    <w:rsid w:val="006D63A3"/>
    <w:rsid w:val="006D63A9"/>
    <w:rsid w:val="006D63D0"/>
    <w:rsid w:val="006D64A4"/>
    <w:rsid w:val="006D6818"/>
    <w:rsid w:val="006D681C"/>
    <w:rsid w:val="006D6856"/>
    <w:rsid w:val="006D6983"/>
    <w:rsid w:val="006D6B3B"/>
    <w:rsid w:val="006D6ED2"/>
    <w:rsid w:val="006D7013"/>
    <w:rsid w:val="006D70B5"/>
    <w:rsid w:val="006D75B2"/>
    <w:rsid w:val="006D7EB5"/>
    <w:rsid w:val="006E0176"/>
    <w:rsid w:val="006E02C0"/>
    <w:rsid w:val="006E06B7"/>
    <w:rsid w:val="006E06BB"/>
    <w:rsid w:val="006E072F"/>
    <w:rsid w:val="006E0758"/>
    <w:rsid w:val="006E0C55"/>
    <w:rsid w:val="006E0CE5"/>
    <w:rsid w:val="006E0DDC"/>
    <w:rsid w:val="006E0EA8"/>
    <w:rsid w:val="006E1818"/>
    <w:rsid w:val="006E1885"/>
    <w:rsid w:val="006E1AAE"/>
    <w:rsid w:val="006E1B40"/>
    <w:rsid w:val="006E1C0F"/>
    <w:rsid w:val="006E1F53"/>
    <w:rsid w:val="006E209C"/>
    <w:rsid w:val="006E2262"/>
    <w:rsid w:val="006E228E"/>
    <w:rsid w:val="006E2614"/>
    <w:rsid w:val="006E2723"/>
    <w:rsid w:val="006E27BF"/>
    <w:rsid w:val="006E27FF"/>
    <w:rsid w:val="006E2C24"/>
    <w:rsid w:val="006E305A"/>
    <w:rsid w:val="006E30A8"/>
    <w:rsid w:val="006E30BB"/>
    <w:rsid w:val="006E34AA"/>
    <w:rsid w:val="006E38BA"/>
    <w:rsid w:val="006E3DF8"/>
    <w:rsid w:val="006E3F7E"/>
    <w:rsid w:val="006E3FF0"/>
    <w:rsid w:val="006E409F"/>
    <w:rsid w:val="006E41F4"/>
    <w:rsid w:val="006E4283"/>
    <w:rsid w:val="006E4581"/>
    <w:rsid w:val="006E45D6"/>
    <w:rsid w:val="006E485E"/>
    <w:rsid w:val="006E4B30"/>
    <w:rsid w:val="006E5244"/>
    <w:rsid w:val="006E545A"/>
    <w:rsid w:val="006E55D6"/>
    <w:rsid w:val="006E567C"/>
    <w:rsid w:val="006E58E9"/>
    <w:rsid w:val="006E59AA"/>
    <w:rsid w:val="006E5B4D"/>
    <w:rsid w:val="006E5FB8"/>
    <w:rsid w:val="006E63A2"/>
    <w:rsid w:val="006E6449"/>
    <w:rsid w:val="006E6A1F"/>
    <w:rsid w:val="006E6BDD"/>
    <w:rsid w:val="006E6DBA"/>
    <w:rsid w:val="006E6EC1"/>
    <w:rsid w:val="006E6F10"/>
    <w:rsid w:val="006E74FA"/>
    <w:rsid w:val="006E78AA"/>
    <w:rsid w:val="006F004E"/>
    <w:rsid w:val="006F00D3"/>
    <w:rsid w:val="006F0119"/>
    <w:rsid w:val="006F0606"/>
    <w:rsid w:val="006F0ABD"/>
    <w:rsid w:val="006F0B55"/>
    <w:rsid w:val="006F0C39"/>
    <w:rsid w:val="006F0CA3"/>
    <w:rsid w:val="006F1066"/>
    <w:rsid w:val="006F107B"/>
    <w:rsid w:val="006F11C0"/>
    <w:rsid w:val="006F1399"/>
    <w:rsid w:val="006F15E8"/>
    <w:rsid w:val="006F172E"/>
    <w:rsid w:val="006F1A2D"/>
    <w:rsid w:val="006F1BD0"/>
    <w:rsid w:val="006F1C84"/>
    <w:rsid w:val="006F22EF"/>
    <w:rsid w:val="006F248E"/>
    <w:rsid w:val="006F2509"/>
    <w:rsid w:val="006F2610"/>
    <w:rsid w:val="006F26FE"/>
    <w:rsid w:val="006F2B90"/>
    <w:rsid w:val="006F2D0A"/>
    <w:rsid w:val="006F2F3C"/>
    <w:rsid w:val="006F3326"/>
    <w:rsid w:val="006F3389"/>
    <w:rsid w:val="006F33EC"/>
    <w:rsid w:val="006F3589"/>
    <w:rsid w:val="006F3A13"/>
    <w:rsid w:val="006F3D60"/>
    <w:rsid w:val="006F3FE8"/>
    <w:rsid w:val="006F410E"/>
    <w:rsid w:val="006F4124"/>
    <w:rsid w:val="006F44EB"/>
    <w:rsid w:val="006F4508"/>
    <w:rsid w:val="006F4574"/>
    <w:rsid w:val="006F4893"/>
    <w:rsid w:val="006F4985"/>
    <w:rsid w:val="006F4B6B"/>
    <w:rsid w:val="006F4C43"/>
    <w:rsid w:val="006F4C8B"/>
    <w:rsid w:val="006F4D51"/>
    <w:rsid w:val="006F4E8A"/>
    <w:rsid w:val="006F501A"/>
    <w:rsid w:val="006F505E"/>
    <w:rsid w:val="006F5091"/>
    <w:rsid w:val="006F5445"/>
    <w:rsid w:val="006F56FB"/>
    <w:rsid w:val="006F5D74"/>
    <w:rsid w:val="006F5E87"/>
    <w:rsid w:val="006F6005"/>
    <w:rsid w:val="006F6164"/>
    <w:rsid w:val="006F6166"/>
    <w:rsid w:val="006F708E"/>
    <w:rsid w:val="006F73CD"/>
    <w:rsid w:val="006F76F5"/>
    <w:rsid w:val="006F77E2"/>
    <w:rsid w:val="006F7A3C"/>
    <w:rsid w:val="006F7FF2"/>
    <w:rsid w:val="0070006F"/>
    <w:rsid w:val="0070047A"/>
    <w:rsid w:val="0070058A"/>
    <w:rsid w:val="007005B2"/>
    <w:rsid w:val="00700605"/>
    <w:rsid w:val="007006DD"/>
    <w:rsid w:val="007009CC"/>
    <w:rsid w:val="00700E85"/>
    <w:rsid w:val="00701415"/>
    <w:rsid w:val="0070176A"/>
    <w:rsid w:val="00701771"/>
    <w:rsid w:val="00701A01"/>
    <w:rsid w:val="00701ABC"/>
    <w:rsid w:val="00701DC2"/>
    <w:rsid w:val="00701E8C"/>
    <w:rsid w:val="00701F56"/>
    <w:rsid w:val="0070264F"/>
    <w:rsid w:val="00702AEB"/>
    <w:rsid w:val="00702B52"/>
    <w:rsid w:val="00702D6B"/>
    <w:rsid w:val="00702EBB"/>
    <w:rsid w:val="00702FAD"/>
    <w:rsid w:val="00703204"/>
    <w:rsid w:val="007033F7"/>
    <w:rsid w:val="00703AA3"/>
    <w:rsid w:val="00703BA5"/>
    <w:rsid w:val="00703DEE"/>
    <w:rsid w:val="00703ED9"/>
    <w:rsid w:val="00704868"/>
    <w:rsid w:val="00704875"/>
    <w:rsid w:val="00704BAB"/>
    <w:rsid w:val="00704CF5"/>
    <w:rsid w:val="00704F2D"/>
    <w:rsid w:val="00705134"/>
    <w:rsid w:val="0070515C"/>
    <w:rsid w:val="00705342"/>
    <w:rsid w:val="0070547E"/>
    <w:rsid w:val="00705589"/>
    <w:rsid w:val="0070567A"/>
    <w:rsid w:val="00705698"/>
    <w:rsid w:val="0070605B"/>
    <w:rsid w:val="007060DE"/>
    <w:rsid w:val="0070626A"/>
    <w:rsid w:val="00706355"/>
    <w:rsid w:val="00706583"/>
    <w:rsid w:val="00706755"/>
    <w:rsid w:val="00706824"/>
    <w:rsid w:val="0070685E"/>
    <w:rsid w:val="00706A97"/>
    <w:rsid w:val="00706DAF"/>
    <w:rsid w:val="00706DC1"/>
    <w:rsid w:val="00706FDD"/>
    <w:rsid w:val="007070A7"/>
    <w:rsid w:val="00707241"/>
    <w:rsid w:val="007072A1"/>
    <w:rsid w:val="007072B1"/>
    <w:rsid w:val="007072C3"/>
    <w:rsid w:val="00707326"/>
    <w:rsid w:val="00707788"/>
    <w:rsid w:val="0070778A"/>
    <w:rsid w:val="00707A05"/>
    <w:rsid w:val="00710032"/>
    <w:rsid w:val="007103B1"/>
    <w:rsid w:val="007104DF"/>
    <w:rsid w:val="00710574"/>
    <w:rsid w:val="0071057A"/>
    <w:rsid w:val="007106FF"/>
    <w:rsid w:val="007107FA"/>
    <w:rsid w:val="00710835"/>
    <w:rsid w:val="00710849"/>
    <w:rsid w:val="00710A28"/>
    <w:rsid w:val="00710C13"/>
    <w:rsid w:val="00710D2C"/>
    <w:rsid w:val="00710F49"/>
    <w:rsid w:val="00710FAF"/>
    <w:rsid w:val="00710FD0"/>
    <w:rsid w:val="007113AC"/>
    <w:rsid w:val="00711A69"/>
    <w:rsid w:val="0071211B"/>
    <w:rsid w:val="007123E9"/>
    <w:rsid w:val="0071245B"/>
    <w:rsid w:val="00712DA8"/>
    <w:rsid w:val="00712E0E"/>
    <w:rsid w:val="007130D5"/>
    <w:rsid w:val="007134DF"/>
    <w:rsid w:val="0071398C"/>
    <w:rsid w:val="00713B8E"/>
    <w:rsid w:val="00714249"/>
    <w:rsid w:val="00714934"/>
    <w:rsid w:val="00714CDA"/>
    <w:rsid w:val="00715351"/>
    <w:rsid w:val="00715977"/>
    <w:rsid w:val="00715DF9"/>
    <w:rsid w:val="00715EFE"/>
    <w:rsid w:val="00716101"/>
    <w:rsid w:val="007167CD"/>
    <w:rsid w:val="00716D34"/>
    <w:rsid w:val="00716ED5"/>
    <w:rsid w:val="00716F68"/>
    <w:rsid w:val="00717211"/>
    <w:rsid w:val="0071774F"/>
    <w:rsid w:val="00717783"/>
    <w:rsid w:val="00717A41"/>
    <w:rsid w:val="00717A72"/>
    <w:rsid w:val="00717CD4"/>
    <w:rsid w:val="00717D3E"/>
    <w:rsid w:val="00717DA3"/>
    <w:rsid w:val="00720277"/>
    <w:rsid w:val="00720C32"/>
    <w:rsid w:val="0072109B"/>
    <w:rsid w:val="007214AB"/>
    <w:rsid w:val="00721610"/>
    <w:rsid w:val="00721ECD"/>
    <w:rsid w:val="00721FA8"/>
    <w:rsid w:val="00721FAD"/>
    <w:rsid w:val="00722372"/>
    <w:rsid w:val="00722402"/>
    <w:rsid w:val="007227C7"/>
    <w:rsid w:val="00722871"/>
    <w:rsid w:val="00722926"/>
    <w:rsid w:val="00722CD3"/>
    <w:rsid w:val="00722D16"/>
    <w:rsid w:val="00722D6E"/>
    <w:rsid w:val="00722DEA"/>
    <w:rsid w:val="00722E26"/>
    <w:rsid w:val="00723289"/>
    <w:rsid w:val="00723450"/>
    <w:rsid w:val="00723775"/>
    <w:rsid w:val="0072385B"/>
    <w:rsid w:val="00723985"/>
    <w:rsid w:val="00723C72"/>
    <w:rsid w:val="00723DC4"/>
    <w:rsid w:val="007241F3"/>
    <w:rsid w:val="007245A0"/>
    <w:rsid w:val="00724845"/>
    <w:rsid w:val="00724997"/>
    <w:rsid w:val="00724A07"/>
    <w:rsid w:val="00724A83"/>
    <w:rsid w:val="00724B5F"/>
    <w:rsid w:val="00724C01"/>
    <w:rsid w:val="00724EA5"/>
    <w:rsid w:val="007250C4"/>
    <w:rsid w:val="00725109"/>
    <w:rsid w:val="007254A4"/>
    <w:rsid w:val="007254C2"/>
    <w:rsid w:val="007255C3"/>
    <w:rsid w:val="0072560E"/>
    <w:rsid w:val="00725960"/>
    <w:rsid w:val="00725D1A"/>
    <w:rsid w:val="00725E9B"/>
    <w:rsid w:val="0072626F"/>
    <w:rsid w:val="00726425"/>
    <w:rsid w:val="00726450"/>
    <w:rsid w:val="007266B2"/>
    <w:rsid w:val="007266D8"/>
    <w:rsid w:val="00726ACD"/>
    <w:rsid w:val="007271A6"/>
    <w:rsid w:val="00727287"/>
    <w:rsid w:val="007272E2"/>
    <w:rsid w:val="00727418"/>
    <w:rsid w:val="00727C56"/>
    <w:rsid w:val="00727E2C"/>
    <w:rsid w:val="00727E90"/>
    <w:rsid w:val="00727F6D"/>
    <w:rsid w:val="00730169"/>
    <w:rsid w:val="007301DB"/>
    <w:rsid w:val="0073029C"/>
    <w:rsid w:val="007303A8"/>
    <w:rsid w:val="00730A0C"/>
    <w:rsid w:val="00730DE4"/>
    <w:rsid w:val="00730FC1"/>
    <w:rsid w:val="00731095"/>
    <w:rsid w:val="007311A8"/>
    <w:rsid w:val="00731350"/>
    <w:rsid w:val="0073153B"/>
    <w:rsid w:val="00731549"/>
    <w:rsid w:val="00731961"/>
    <w:rsid w:val="00731FB1"/>
    <w:rsid w:val="0073203B"/>
    <w:rsid w:val="0073209C"/>
    <w:rsid w:val="007322AE"/>
    <w:rsid w:val="007322B8"/>
    <w:rsid w:val="00732435"/>
    <w:rsid w:val="007325B8"/>
    <w:rsid w:val="00732A08"/>
    <w:rsid w:val="00732C8E"/>
    <w:rsid w:val="00732DF2"/>
    <w:rsid w:val="00732EA8"/>
    <w:rsid w:val="007331A1"/>
    <w:rsid w:val="00733382"/>
    <w:rsid w:val="00733643"/>
    <w:rsid w:val="00733710"/>
    <w:rsid w:val="007337ED"/>
    <w:rsid w:val="00733AD9"/>
    <w:rsid w:val="00733DD7"/>
    <w:rsid w:val="0073411B"/>
    <w:rsid w:val="007342B8"/>
    <w:rsid w:val="007343F3"/>
    <w:rsid w:val="00734730"/>
    <w:rsid w:val="00734835"/>
    <w:rsid w:val="0073489F"/>
    <w:rsid w:val="007348BA"/>
    <w:rsid w:val="00734A26"/>
    <w:rsid w:val="00734D2E"/>
    <w:rsid w:val="00734F4E"/>
    <w:rsid w:val="0073527B"/>
    <w:rsid w:val="0073528A"/>
    <w:rsid w:val="00735488"/>
    <w:rsid w:val="00735762"/>
    <w:rsid w:val="007359FB"/>
    <w:rsid w:val="007359FC"/>
    <w:rsid w:val="00735BAE"/>
    <w:rsid w:val="00735D1F"/>
    <w:rsid w:val="007363FB"/>
    <w:rsid w:val="0073642D"/>
    <w:rsid w:val="007364CC"/>
    <w:rsid w:val="00736891"/>
    <w:rsid w:val="007368DE"/>
    <w:rsid w:val="00737447"/>
    <w:rsid w:val="00737450"/>
    <w:rsid w:val="0073753F"/>
    <w:rsid w:val="00737598"/>
    <w:rsid w:val="007375E3"/>
    <w:rsid w:val="0073773B"/>
    <w:rsid w:val="007377D0"/>
    <w:rsid w:val="00737F17"/>
    <w:rsid w:val="00740064"/>
    <w:rsid w:val="00740132"/>
    <w:rsid w:val="00740575"/>
    <w:rsid w:val="00740594"/>
    <w:rsid w:val="007405E3"/>
    <w:rsid w:val="007405E9"/>
    <w:rsid w:val="0074083C"/>
    <w:rsid w:val="007409F2"/>
    <w:rsid w:val="00740ACD"/>
    <w:rsid w:val="00740C1B"/>
    <w:rsid w:val="00740C6D"/>
    <w:rsid w:val="00740DA0"/>
    <w:rsid w:val="007411B5"/>
    <w:rsid w:val="007418A6"/>
    <w:rsid w:val="007418AD"/>
    <w:rsid w:val="007419B2"/>
    <w:rsid w:val="00741A52"/>
    <w:rsid w:val="00741D30"/>
    <w:rsid w:val="00742E7A"/>
    <w:rsid w:val="0074314C"/>
    <w:rsid w:val="007433CC"/>
    <w:rsid w:val="00743748"/>
    <w:rsid w:val="00743923"/>
    <w:rsid w:val="00743955"/>
    <w:rsid w:val="00743B57"/>
    <w:rsid w:val="00743D64"/>
    <w:rsid w:val="00743F3E"/>
    <w:rsid w:val="00743F48"/>
    <w:rsid w:val="00744048"/>
    <w:rsid w:val="007440BE"/>
    <w:rsid w:val="00744362"/>
    <w:rsid w:val="0074446B"/>
    <w:rsid w:val="00744701"/>
    <w:rsid w:val="00744E6F"/>
    <w:rsid w:val="0074528C"/>
    <w:rsid w:val="007454C8"/>
    <w:rsid w:val="0074550A"/>
    <w:rsid w:val="0074574A"/>
    <w:rsid w:val="00745964"/>
    <w:rsid w:val="00745BE5"/>
    <w:rsid w:val="00745E3B"/>
    <w:rsid w:val="00745F02"/>
    <w:rsid w:val="0074605D"/>
    <w:rsid w:val="0074652A"/>
    <w:rsid w:val="0074665F"/>
    <w:rsid w:val="007467C3"/>
    <w:rsid w:val="00746A57"/>
    <w:rsid w:val="00746D63"/>
    <w:rsid w:val="00746F08"/>
    <w:rsid w:val="007471EF"/>
    <w:rsid w:val="00747367"/>
    <w:rsid w:val="007473E7"/>
    <w:rsid w:val="007477CB"/>
    <w:rsid w:val="007479A6"/>
    <w:rsid w:val="00750141"/>
    <w:rsid w:val="00750483"/>
    <w:rsid w:val="007505AD"/>
    <w:rsid w:val="007505E8"/>
    <w:rsid w:val="00750682"/>
    <w:rsid w:val="0075069C"/>
    <w:rsid w:val="007508EC"/>
    <w:rsid w:val="00751232"/>
    <w:rsid w:val="00751595"/>
    <w:rsid w:val="007516D3"/>
    <w:rsid w:val="00751732"/>
    <w:rsid w:val="00751769"/>
    <w:rsid w:val="0075194B"/>
    <w:rsid w:val="0075198F"/>
    <w:rsid w:val="007519E7"/>
    <w:rsid w:val="00751A8E"/>
    <w:rsid w:val="00751FE0"/>
    <w:rsid w:val="007520B9"/>
    <w:rsid w:val="00752186"/>
    <w:rsid w:val="007524C5"/>
    <w:rsid w:val="007528CF"/>
    <w:rsid w:val="00752A0E"/>
    <w:rsid w:val="00752AFF"/>
    <w:rsid w:val="00752B04"/>
    <w:rsid w:val="00752D51"/>
    <w:rsid w:val="00753443"/>
    <w:rsid w:val="00753833"/>
    <w:rsid w:val="00753B4E"/>
    <w:rsid w:val="00753E6C"/>
    <w:rsid w:val="00754215"/>
    <w:rsid w:val="007542B2"/>
    <w:rsid w:val="0075432A"/>
    <w:rsid w:val="007544F8"/>
    <w:rsid w:val="007545DE"/>
    <w:rsid w:val="00754721"/>
    <w:rsid w:val="007548CE"/>
    <w:rsid w:val="00754BD9"/>
    <w:rsid w:val="00754E18"/>
    <w:rsid w:val="00754F0F"/>
    <w:rsid w:val="00755339"/>
    <w:rsid w:val="007554C4"/>
    <w:rsid w:val="007555FE"/>
    <w:rsid w:val="00755827"/>
    <w:rsid w:val="00755995"/>
    <w:rsid w:val="00755D3B"/>
    <w:rsid w:val="00755E02"/>
    <w:rsid w:val="00755EA2"/>
    <w:rsid w:val="00755F82"/>
    <w:rsid w:val="007560D4"/>
    <w:rsid w:val="0075613F"/>
    <w:rsid w:val="007564A8"/>
    <w:rsid w:val="0075659D"/>
    <w:rsid w:val="0075664E"/>
    <w:rsid w:val="00756783"/>
    <w:rsid w:val="0075697B"/>
    <w:rsid w:val="00756B05"/>
    <w:rsid w:val="00756B99"/>
    <w:rsid w:val="00756BF0"/>
    <w:rsid w:val="00756CD1"/>
    <w:rsid w:val="00756E42"/>
    <w:rsid w:val="00756E59"/>
    <w:rsid w:val="00757043"/>
    <w:rsid w:val="00757416"/>
    <w:rsid w:val="00757541"/>
    <w:rsid w:val="00757713"/>
    <w:rsid w:val="007577E4"/>
    <w:rsid w:val="007578BB"/>
    <w:rsid w:val="00757ABA"/>
    <w:rsid w:val="00757C1E"/>
    <w:rsid w:val="00757E03"/>
    <w:rsid w:val="00760068"/>
    <w:rsid w:val="0076072B"/>
    <w:rsid w:val="00760D28"/>
    <w:rsid w:val="00760F4B"/>
    <w:rsid w:val="00761044"/>
    <w:rsid w:val="007610CD"/>
    <w:rsid w:val="0076143C"/>
    <w:rsid w:val="0076148D"/>
    <w:rsid w:val="007614B6"/>
    <w:rsid w:val="00761808"/>
    <w:rsid w:val="0076180C"/>
    <w:rsid w:val="00761CC1"/>
    <w:rsid w:val="007622BA"/>
    <w:rsid w:val="007627CF"/>
    <w:rsid w:val="007628F8"/>
    <w:rsid w:val="00762FB7"/>
    <w:rsid w:val="00763052"/>
    <w:rsid w:val="007632E0"/>
    <w:rsid w:val="007634FB"/>
    <w:rsid w:val="007637B3"/>
    <w:rsid w:val="00763958"/>
    <w:rsid w:val="007639DF"/>
    <w:rsid w:val="00763A98"/>
    <w:rsid w:val="00763D40"/>
    <w:rsid w:val="00763EFF"/>
    <w:rsid w:val="007640AE"/>
    <w:rsid w:val="007640BB"/>
    <w:rsid w:val="00764186"/>
    <w:rsid w:val="00764371"/>
    <w:rsid w:val="00764974"/>
    <w:rsid w:val="007649EE"/>
    <w:rsid w:val="00764C55"/>
    <w:rsid w:val="00764DC8"/>
    <w:rsid w:val="00764E2C"/>
    <w:rsid w:val="007650DF"/>
    <w:rsid w:val="0076514A"/>
    <w:rsid w:val="007653C9"/>
    <w:rsid w:val="007656C1"/>
    <w:rsid w:val="007658AE"/>
    <w:rsid w:val="007658EF"/>
    <w:rsid w:val="007659EC"/>
    <w:rsid w:val="00765AA2"/>
    <w:rsid w:val="00765CE3"/>
    <w:rsid w:val="00765D04"/>
    <w:rsid w:val="00765DAE"/>
    <w:rsid w:val="00765DB8"/>
    <w:rsid w:val="00766023"/>
    <w:rsid w:val="007664E6"/>
    <w:rsid w:val="00766561"/>
    <w:rsid w:val="00766B0A"/>
    <w:rsid w:val="00766BAE"/>
    <w:rsid w:val="00766C39"/>
    <w:rsid w:val="00766C8D"/>
    <w:rsid w:val="00766E94"/>
    <w:rsid w:val="00766E9A"/>
    <w:rsid w:val="007670F9"/>
    <w:rsid w:val="00767235"/>
    <w:rsid w:val="007672DB"/>
    <w:rsid w:val="00767669"/>
    <w:rsid w:val="007677E5"/>
    <w:rsid w:val="00767824"/>
    <w:rsid w:val="007678E7"/>
    <w:rsid w:val="007679B5"/>
    <w:rsid w:val="00767A24"/>
    <w:rsid w:val="00767B46"/>
    <w:rsid w:val="00767C63"/>
    <w:rsid w:val="00767DF5"/>
    <w:rsid w:val="00767E31"/>
    <w:rsid w:val="0077019B"/>
    <w:rsid w:val="00770B69"/>
    <w:rsid w:val="00770CDC"/>
    <w:rsid w:val="00771262"/>
    <w:rsid w:val="007714EE"/>
    <w:rsid w:val="0077174E"/>
    <w:rsid w:val="00771AF0"/>
    <w:rsid w:val="00771E79"/>
    <w:rsid w:val="007723B4"/>
    <w:rsid w:val="00772762"/>
    <w:rsid w:val="007727E6"/>
    <w:rsid w:val="00772C79"/>
    <w:rsid w:val="00772D28"/>
    <w:rsid w:val="00772E22"/>
    <w:rsid w:val="00772E87"/>
    <w:rsid w:val="00773623"/>
    <w:rsid w:val="00773706"/>
    <w:rsid w:val="00773772"/>
    <w:rsid w:val="007737E9"/>
    <w:rsid w:val="00773ADD"/>
    <w:rsid w:val="00774144"/>
    <w:rsid w:val="00774268"/>
    <w:rsid w:val="007743BE"/>
    <w:rsid w:val="007743E1"/>
    <w:rsid w:val="00774989"/>
    <w:rsid w:val="00774C53"/>
    <w:rsid w:val="00774DFB"/>
    <w:rsid w:val="00774F70"/>
    <w:rsid w:val="00775521"/>
    <w:rsid w:val="007757DD"/>
    <w:rsid w:val="007759E4"/>
    <w:rsid w:val="00775BF4"/>
    <w:rsid w:val="00775C1A"/>
    <w:rsid w:val="00775CED"/>
    <w:rsid w:val="00775D31"/>
    <w:rsid w:val="00775FF4"/>
    <w:rsid w:val="00776572"/>
    <w:rsid w:val="007765D8"/>
    <w:rsid w:val="0077680B"/>
    <w:rsid w:val="007771A0"/>
    <w:rsid w:val="0077728B"/>
    <w:rsid w:val="007776FC"/>
    <w:rsid w:val="007778C7"/>
    <w:rsid w:val="007779A6"/>
    <w:rsid w:val="0078006A"/>
    <w:rsid w:val="007801D1"/>
    <w:rsid w:val="00780491"/>
    <w:rsid w:val="007806D6"/>
    <w:rsid w:val="00780722"/>
    <w:rsid w:val="00780742"/>
    <w:rsid w:val="007808A7"/>
    <w:rsid w:val="00780D91"/>
    <w:rsid w:val="00780E59"/>
    <w:rsid w:val="00780F2A"/>
    <w:rsid w:val="007810B0"/>
    <w:rsid w:val="00781283"/>
    <w:rsid w:val="007812DA"/>
    <w:rsid w:val="007814D2"/>
    <w:rsid w:val="00781536"/>
    <w:rsid w:val="00781AEE"/>
    <w:rsid w:val="00781D00"/>
    <w:rsid w:val="00781DB2"/>
    <w:rsid w:val="00781DD9"/>
    <w:rsid w:val="00781F14"/>
    <w:rsid w:val="0078227D"/>
    <w:rsid w:val="007822EC"/>
    <w:rsid w:val="0078238D"/>
    <w:rsid w:val="00782421"/>
    <w:rsid w:val="0078267E"/>
    <w:rsid w:val="00782698"/>
    <w:rsid w:val="007826DA"/>
    <w:rsid w:val="007826E8"/>
    <w:rsid w:val="00782974"/>
    <w:rsid w:val="0078299A"/>
    <w:rsid w:val="00782D4D"/>
    <w:rsid w:val="00782E01"/>
    <w:rsid w:val="00782EC4"/>
    <w:rsid w:val="00783330"/>
    <w:rsid w:val="00783601"/>
    <w:rsid w:val="007836FD"/>
    <w:rsid w:val="0078381F"/>
    <w:rsid w:val="007838E6"/>
    <w:rsid w:val="00783996"/>
    <w:rsid w:val="007839D8"/>
    <w:rsid w:val="00783A4F"/>
    <w:rsid w:val="00783D4F"/>
    <w:rsid w:val="00783EAE"/>
    <w:rsid w:val="00783FEF"/>
    <w:rsid w:val="00784338"/>
    <w:rsid w:val="007844DB"/>
    <w:rsid w:val="007845D8"/>
    <w:rsid w:val="0078469F"/>
    <w:rsid w:val="007848BC"/>
    <w:rsid w:val="00784D6A"/>
    <w:rsid w:val="00784E56"/>
    <w:rsid w:val="00784F58"/>
    <w:rsid w:val="00785140"/>
    <w:rsid w:val="007851DE"/>
    <w:rsid w:val="00785515"/>
    <w:rsid w:val="00785567"/>
    <w:rsid w:val="007855EA"/>
    <w:rsid w:val="00785AE7"/>
    <w:rsid w:val="00785D2A"/>
    <w:rsid w:val="00785FEF"/>
    <w:rsid w:val="00786525"/>
    <w:rsid w:val="0078668D"/>
    <w:rsid w:val="00786794"/>
    <w:rsid w:val="007869CE"/>
    <w:rsid w:val="00786C6E"/>
    <w:rsid w:val="00786E22"/>
    <w:rsid w:val="00786E9C"/>
    <w:rsid w:val="00786F2E"/>
    <w:rsid w:val="00786F3E"/>
    <w:rsid w:val="0078751B"/>
    <w:rsid w:val="0078773A"/>
    <w:rsid w:val="00787A15"/>
    <w:rsid w:val="00787C44"/>
    <w:rsid w:val="00787D73"/>
    <w:rsid w:val="0079008C"/>
    <w:rsid w:val="00790431"/>
    <w:rsid w:val="00790453"/>
    <w:rsid w:val="007905D5"/>
    <w:rsid w:val="00790693"/>
    <w:rsid w:val="007907B9"/>
    <w:rsid w:val="00790866"/>
    <w:rsid w:val="007909D8"/>
    <w:rsid w:val="00790B21"/>
    <w:rsid w:val="0079129A"/>
    <w:rsid w:val="007913EF"/>
    <w:rsid w:val="007914CE"/>
    <w:rsid w:val="007914E5"/>
    <w:rsid w:val="00791550"/>
    <w:rsid w:val="007918BD"/>
    <w:rsid w:val="00791A78"/>
    <w:rsid w:val="00791B70"/>
    <w:rsid w:val="00791E96"/>
    <w:rsid w:val="00792283"/>
    <w:rsid w:val="007927C7"/>
    <w:rsid w:val="007929FD"/>
    <w:rsid w:val="00792B7A"/>
    <w:rsid w:val="00792C1E"/>
    <w:rsid w:val="00792DC3"/>
    <w:rsid w:val="00792F10"/>
    <w:rsid w:val="00792FFB"/>
    <w:rsid w:val="0079309D"/>
    <w:rsid w:val="007931F7"/>
    <w:rsid w:val="007932F1"/>
    <w:rsid w:val="007933BA"/>
    <w:rsid w:val="00793408"/>
    <w:rsid w:val="0079347A"/>
    <w:rsid w:val="00793682"/>
    <w:rsid w:val="007936E2"/>
    <w:rsid w:val="0079391D"/>
    <w:rsid w:val="00793A80"/>
    <w:rsid w:val="00793CDA"/>
    <w:rsid w:val="00793D4E"/>
    <w:rsid w:val="00793EC9"/>
    <w:rsid w:val="007940B2"/>
    <w:rsid w:val="00794457"/>
    <w:rsid w:val="00794560"/>
    <w:rsid w:val="00794666"/>
    <w:rsid w:val="00794726"/>
    <w:rsid w:val="00794862"/>
    <w:rsid w:val="00794994"/>
    <w:rsid w:val="00794A63"/>
    <w:rsid w:val="00794A94"/>
    <w:rsid w:val="00794EE5"/>
    <w:rsid w:val="0079529A"/>
    <w:rsid w:val="0079532F"/>
    <w:rsid w:val="007953DB"/>
    <w:rsid w:val="0079547B"/>
    <w:rsid w:val="007956BB"/>
    <w:rsid w:val="007957D5"/>
    <w:rsid w:val="007958EA"/>
    <w:rsid w:val="0079592D"/>
    <w:rsid w:val="0079599C"/>
    <w:rsid w:val="00795B61"/>
    <w:rsid w:val="00795CB3"/>
    <w:rsid w:val="00795D55"/>
    <w:rsid w:val="00795E60"/>
    <w:rsid w:val="007961E7"/>
    <w:rsid w:val="0079634E"/>
    <w:rsid w:val="007965A0"/>
    <w:rsid w:val="00796875"/>
    <w:rsid w:val="00796890"/>
    <w:rsid w:val="00796934"/>
    <w:rsid w:val="00796C46"/>
    <w:rsid w:val="00796CF1"/>
    <w:rsid w:val="007972FC"/>
    <w:rsid w:val="007976CE"/>
    <w:rsid w:val="00797759"/>
    <w:rsid w:val="00797A4B"/>
    <w:rsid w:val="00797C16"/>
    <w:rsid w:val="00797D5F"/>
    <w:rsid w:val="00797F64"/>
    <w:rsid w:val="007A02F8"/>
    <w:rsid w:val="007A0322"/>
    <w:rsid w:val="007A0387"/>
    <w:rsid w:val="007A03BD"/>
    <w:rsid w:val="007A05FA"/>
    <w:rsid w:val="007A0ACC"/>
    <w:rsid w:val="007A0BDA"/>
    <w:rsid w:val="007A0C66"/>
    <w:rsid w:val="007A0EE5"/>
    <w:rsid w:val="007A16DD"/>
    <w:rsid w:val="007A185B"/>
    <w:rsid w:val="007A1C67"/>
    <w:rsid w:val="007A1EA8"/>
    <w:rsid w:val="007A1F25"/>
    <w:rsid w:val="007A1FDA"/>
    <w:rsid w:val="007A2039"/>
    <w:rsid w:val="007A266D"/>
    <w:rsid w:val="007A273C"/>
    <w:rsid w:val="007A2BB4"/>
    <w:rsid w:val="007A2BB7"/>
    <w:rsid w:val="007A2C7A"/>
    <w:rsid w:val="007A3377"/>
    <w:rsid w:val="007A361A"/>
    <w:rsid w:val="007A38A7"/>
    <w:rsid w:val="007A3990"/>
    <w:rsid w:val="007A3B92"/>
    <w:rsid w:val="007A3E0B"/>
    <w:rsid w:val="007A3F6A"/>
    <w:rsid w:val="007A3F70"/>
    <w:rsid w:val="007A409B"/>
    <w:rsid w:val="007A413A"/>
    <w:rsid w:val="007A41F0"/>
    <w:rsid w:val="007A430B"/>
    <w:rsid w:val="007A4367"/>
    <w:rsid w:val="007A4706"/>
    <w:rsid w:val="007A478D"/>
    <w:rsid w:val="007A47FF"/>
    <w:rsid w:val="007A51D8"/>
    <w:rsid w:val="007A532B"/>
    <w:rsid w:val="007A543B"/>
    <w:rsid w:val="007A55A4"/>
    <w:rsid w:val="007A5899"/>
    <w:rsid w:val="007A5A8F"/>
    <w:rsid w:val="007A5D30"/>
    <w:rsid w:val="007A61E6"/>
    <w:rsid w:val="007A62E8"/>
    <w:rsid w:val="007A62ED"/>
    <w:rsid w:val="007A650C"/>
    <w:rsid w:val="007A65C3"/>
    <w:rsid w:val="007A65F6"/>
    <w:rsid w:val="007A67B3"/>
    <w:rsid w:val="007A69AA"/>
    <w:rsid w:val="007A69F3"/>
    <w:rsid w:val="007A6A0D"/>
    <w:rsid w:val="007A6E2E"/>
    <w:rsid w:val="007A7085"/>
    <w:rsid w:val="007A718B"/>
    <w:rsid w:val="007A7620"/>
    <w:rsid w:val="007A771F"/>
    <w:rsid w:val="007A7BB0"/>
    <w:rsid w:val="007A7BE6"/>
    <w:rsid w:val="007B0197"/>
    <w:rsid w:val="007B04C2"/>
    <w:rsid w:val="007B04CE"/>
    <w:rsid w:val="007B05C2"/>
    <w:rsid w:val="007B0815"/>
    <w:rsid w:val="007B0A15"/>
    <w:rsid w:val="007B0AC6"/>
    <w:rsid w:val="007B0BD8"/>
    <w:rsid w:val="007B0CC3"/>
    <w:rsid w:val="007B0EA7"/>
    <w:rsid w:val="007B0F27"/>
    <w:rsid w:val="007B0F7B"/>
    <w:rsid w:val="007B10AE"/>
    <w:rsid w:val="007B119A"/>
    <w:rsid w:val="007B11E4"/>
    <w:rsid w:val="007B1229"/>
    <w:rsid w:val="007B122B"/>
    <w:rsid w:val="007B1878"/>
    <w:rsid w:val="007B19EE"/>
    <w:rsid w:val="007B204A"/>
    <w:rsid w:val="007B206C"/>
    <w:rsid w:val="007B20FD"/>
    <w:rsid w:val="007B21DE"/>
    <w:rsid w:val="007B2243"/>
    <w:rsid w:val="007B246E"/>
    <w:rsid w:val="007B269F"/>
    <w:rsid w:val="007B272B"/>
    <w:rsid w:val="007B27B3"/>
    <w:rsid w:val="007B2ABF"/>
    <w:rsid w:val="007B2DBD"/>
    <w:rsid w:val="007B34B1"/>
    <w:rsid w:val="007B34DB"/>
    <w:rsid w:val="007B374A"/>
    <w:rsid w:val="007B3909"/>
    <w:rsid w:val="007B3B1B"/>
    <w:rsid w:val="007B3CD6"/>
    <w:rsid w:val="007B3D77"/>
    <w:rsid w:val="007B3E15"/>
    <w:rsid w:val="007B3F47"/>
    <w:rsid w:val="007B43C4"/>
    <w:rsid w:val="007B44AA"/>
    <w:rsid w:val="007B44B1"/>
    <w:rsid w:val="007B47D6"/>
    <w:rsid w:val="007B4B88"/>
    <w:rsid w:val="007B4BB3"/>
    <w:rsid w:val="007B4C4D"/>
    <w:rsid w:val="007B4EB7"/>
    <w:rsid w:val="007B50B8"/>
    <w:rsid w:val="007B50D8"/>
    <w:rsid w:val="007B510B"/>
    <w:rsid w:val="007B555C"/>
    <w:rsid w:val="007B55BC"/>
    <w:rsid w:val="007B57F7"/>
    <w:rsid w:val="007B5F94"/>
    <w:rsid w:val="007B5FE7"/>
    <w:rsid w:val="007B5FE9"/>
    <w:rsid w:val="007B6005"/>
    <w:rsid w:val="007B605E"/>
    <w:rsid w:val="007B6781"/>
    <w:rsid w:val="007B68AA"/>
    <w:rsid w:val="007B69F3"/>
    <w:rsid w:val="007B6BCE"/>
    <w:rsid w:val="007B6E69"/>
    <w:rsid w:val="007B6F91"/>
    <w:rsid w:val="007B7215"/>
    <w:rsid w:val="007B7711"/>
    <w:rsid w:val="007B7C42"/>
    <w:rsid w:val="007C027F"/>
    <w:rsid w:val="007C063E"/>
    <w:rsid w:val="007C06A3"/>
    <w:rsid w:val="007C08A6"/>
    <w:rsid w:val="007C0AE3"/>
    <w:rsid w:val="007C0D0D"/>
    <w:rsid w:val="007C0E44"/>
    <w:rsid w:val="007C0FAD"/>
    <w:rsid w:val="007C1B75"/>
    <w:rsid w:val="007C1BDE"/>
    <w:rsid w:val="007C1C40"/>
    <w:rsid w:val="007C1C83"/>
    <w:rsid w:val="007C1D16"/>
    <w:rsid w:val="007C1D98"/>
    <w:rsid w:val="007C1E35"/>
    <w:rsid w:val="007C1F1E"/>
    <w:rsid w:val="007C1FFC"/>
    <w:rsid w:val="007C21D9"/>
    <w:rsid w:val="007C26B9"/>
    <w:rsid w:val="007C28C8"/>
    <w:rsid w:val="007C28F9"/>
    <w:rsid w:val="007C2D07"/>
    <w:rsid w:val="007C2F96"/>
    <w:rsid w:val="007C2FD2"/>
    <w:rsid w:val="007C31F9"/>
    <w:rsid w:val="007C3282"/>
    <w:rsid w:val="007C3543"/>
    <w:rsid w:val="007C3E20"/>
    <w:rsid w:val="007C3F53"/>
    <w:rsid w:val="007C41F8"/>
    <w:rsid w:val="007C4346"/>
    <w:rsid w:val="007C434F"/>
    <w:rsid w:val="007C47C4"/>
    <w:rsid w:val="007C480D"/>
    <w:rsid w:val="007C4B3C"/>
    <w:rsid w:val="007C4C9B"/>
    <w:rsid w:val="007C4FFD"/>
    <w:rsid w:val="007C54D5"/>
    <w:rsid w:val="007C5669"/>
    <w:rsid w:val="007C569D"/>
    <w:rsid w:val="007C56DD"/>
    <w:rsid w:val="007C578C"/>
    <w:rsid w:val="007C58DD"/>
    <w:rsid w:val="007C5B3B"/>
    <w:rsid w:val="007C5BD8"/>
    <w:rsid w:val="007C5D5D"/>
    <w:rsid w:val="007C5F13"/>
    <w:rsid w:val="007C5F4F"/>
    <w:rsid w:val="007C6398"/>
    <w:rsid w:val="007C6798"/>
    <w:rsid w:val="007C67CA"/>
    <w:rsid w:val="007C6C2B"/>
    <w:rsid w:val="007C6D29"/>
    <w:rsid w:val="007C6DED"/>
    <w:rsid w:val="007C6EF3"/>
    <w:rsid w:val="007C7D5D"/>
    <w:rsid w:val="007C7DC9"/>
    <w:rsid w:val="007D0118"/>
    <w:rsid w:val="007D017B"/>
    <w:rsid w:val="007D0394"/>
    <w:rsid w:val="007D043B"/>
    <w:rsid w:val="007D05F7"/>
    <w:rsid w:val="007D0675"/>
    <w:rsid w:val="007D0776"/>
    <w:rsid w:val="007D08DB"/>
    <w:rsid w:val="007D0924"/>
    <w:rsid w:val="007D0A26"/>
    <w:rsid w:val="007D0C96"/>
    <w:rsid w:val="007D0D84"/>
    <w:rsid w:val="007D0FB4"/>
    <w:rsid w:val="007D1086"/>
    <w:rsid w:val="007D1247"/>
    <w:rsid w:val="007D15A7"/>
    <w:rsid w:val="007D1754"/>
    <w:rsid w:val="007D18D0"/>
    <w:rsid w:val="007D1A3A"/>
    <w:rsid w:val="007D1C96"/>
    <w:rsid w:val="007D1EEE"/>
    <w:rsid w:val="007D1F13"/>
    <w:rsid w:val="007D2162"/>
    <w:rsid w:val="007D2170"/>
    <w:rsid w:val="007D21FD"/>
    <w:rsid w:val="007D2370"/>
    <w:rsid w:val="007D23B0"/>
    <w:rsid w:val="007D23ED"/>
    <w:rsid w:val="007D24A6"/>
    <w:rsid w:val="007D24D2"/>
    <w:rsid w:val="007D2743"/>
    <w:rsid w:val="007D27ED"/>
    <w:rsid w:val="007D2869"/>
    <w:rsid w:val="007D2C92"/>
    <w:rsid w:val="007D2DDE"/>
    <w:rsid w:val="007D2ED5"/>
    <w:rsid w:val="007D2F1C"/>
    <w:rsid w:val="007D306C"/>
    <w:rsid w:val="007D390D"/>
    <w:rsid w:val="007D3958"/>
    <w:rsid w:val="007D3A19"/>
    <w:rsid w:val="007D3BDB"/>
    <w:rsid w:val="007D3D78"/>
    <w:rsid w:val="007D3DD0"/>
    <w:rsid w:val="007D3DD2"/>
    <w:rsid w:val="007D3E41"/>
    <w:rsid w:val="007D3EC3"/>
    <w:rsid w:val="007D4115"/>
    <w:rsid w:val="007D41BB"/>
    <w:rsid w:val="007D431E"/>
    <w:rsid w:val="007D43CC"/>
    <w:rsid w:val="007D4710"/>
    <w:rsid w:val="007D4A23"/>
    <w:rsid w:val="007D4B70"/>
    <w:rsid w:val="007D4DBB"/>
    <w:rsid w:val="007D4DBD"/>
    <w:rsid w:val="007D4E20"/>
    <w:rsid w:val="007D4EE5"/>
    <w:rsid w:val="007D5B09"/>
    <w:rsid w:val="007D5CB5"/>
    <w:rsid w:val="007D5FC2"/>
    <w:rsid w:val="007D6153"/>
    <w:rsid w:val="007D6279"/>
    <w:rsid w:val="007D62E5"/>
    <w:rsid w:val="007D656D"/>
    <w:rsid w:val="007D6711"/>
    <w:rsid w:val="007D6730"/>
    <w:rsid w:val="007D6827"/>
    <w:rsid w:val="007D6AB8"/>
    <w:rsid w:val="007D6AEE"/>
    <w:rsid w:val="007D6BE8"/>
    <w:rsid w:val="007D6D53"/>
    <w:rsid w:val="007D6D7B"/>
    <w:rsid w:val="007D7542"/>
    <w:rsid w:val="007D763E"/>
    <w:rsid w:val="007D78A0"/>
    <w:rsid w:val="007D7B4F"/>
    <w:rsid w:val="007D7CA9"/>
    <w:rsid w:val="007D7DB2"/>
    <w:rsid w:val="007D7F0B"/>
    <w:rsid w:val="007D7FE9"/>
    <w:rsid w:val="007E015D"/>
    <w:rsid w:val="007E01A1"/>
    <w:rsid w:val="007E070C"/>
    <w:rsid w:val="007E071E"/>
    <w:rsid w:val="007E09B0"/>
    <w:rsid w:val="007E0B6A"/>
    <w:rsid w:val="007E0B7B"/>
    <w:rsid w:val="007E0C99"/>
    <w:rsid w:val="007E0D3F"/>
    <w:rsid w:val="007E0D98"/>
    <w:rsid w:val="007E0F6F"/>
    <w:rsid w:val="007E0FE3"/>
    <w:rsid w:val="007E11AE"/>
    <w:rsid w:val="007E1262"/>
    <w:rsid w:val="007E126F"/>
    <w:rsid w:val="007E13D4"/>
    <w:rsid w:val="007E16ED"/>
    <w:rsid w:val="007E178C"/>
    <w:rsid w:val="007E17B6"/>
    <w:rsid w:val="007E1B9F"/>
    <w:rsid w:val="007E1BDD"/>
    <w:rsid w:val="007E1C60"/>
    <w:rsid w:val="007E1CC7"/>
    <w:rsid w:val="007E23C5"/>
    <w:rsid w:val="007E23EE"/>
    <w:rsid w:val="007E279D"/>
    <w:rsid w:val="007E29AD"/>
    <w:rsid w:val="007E29B7"/>
    <w:rsid w:val="007E2ECC"/>
    <w:rsid w:val="007E30A8"/>
    <w:rsid w:val="007E3156"/>
    <w:rsid w:val="007E3587"/>
    <w:rsid w:val="007E3858"/>
    <w:rsid w:val="007E3AB5"/>
    <w:rsid w:val="007E3BD7"/>
    <w:rsid w:val="007E3DE0"/>
    <w:rsid w:val="007E3F7B"/>
    <w:rsid w:val="007E4188"/>
    <w:rsid w:val="007E4442"/>
    <w:rsid w:val="007E4444"/>
    <w:rsid w:val="007E45E1"/>
    <w:rsid w:val="007E49F6"/>
    <w:rsid w:val="007E4EAE"/>
    <w:rsid w:val="007E4FDD"/>
    <w:rsid w:val="007E51C7"/>
    <w:rsid w:val="007E5255"/>
    <w:rsid w:val="007E5271"/>
    <w:rsid w:val="007E5826"/>
    <w:rsid w:val="007E5838"/>
    <w:rsid w:val="007E5905"/>
    <w:rsid w:val="007E5925"/>
    <w:rsid w:val="007E5ADC"/>
    <w:rsid w:val="007E5B33"/>
    <w:rsid w:val="007E5B70"/>
    <w:rsid w:val="007E5F69"/>
    <w:rsid w:val="007E5F78"/>
    <w:rsid w:val="007E6020"/>
    <w:rsid w:val="007E6199"/>
    <w:rsid w:val="007E61BD"/>
    <w:rsid w:val="007E61E6"/>
    <w:rsid w:val="007E6646"/>
    <w:rsid w:val="007E671D"/>
    <w:rsid w:val="007E681A"/>
    <w:rsid w:val="007E6969"/>
    <w:rsid w:val="007E6DA9"/>
    <w:rsid w:val="007E6DEE"/>
    <w:rsid w:val="007E7165"/>
    <w:rsid w:val="007E75B6"/>
    <w:rsid w:val="007E7A0A"/>
    <w:rsid w:val="007E7A3A"/>
    <w:rsid w:val="007E7DC7"/>
    <w:rsid w:val="007E7FDE"/>
    <w:rsid w:val="007F019D"/>
    <w:rsid w:val="007F0255"/>
    <w:rsid w:val="007F0B87"/>
    <w:rsid w:val="007F1033"/>
    <w:rsid w:val="007F1295"/>
    <w:rsid w:val="007F17F2"/>
    <w:rsid w:val="007F198D"/>
    <w:rsid w:val="007F199B"/>
    <w:rsid w:val="007F1B03"/>
    <w:rsid w:val="007F1C41"/>
    <w:rsid w:val="007F209D"/>
    <w:rsid w:val="007F2202"/>
    <w:rsid w:val="007F25BD"/>
    <w:rsid w:val="007F2762"/>
    <w:rsid w:val="007F2D54"/>
    <w:rsid w:val="007F2D69"/>
    <w:rsid w:val="007F2F47"/>
    <w:rsid w:val="007F3032"/>
    <w:rsid w:val="007F358E"/>
    <w:rsid w:val="007F363E"/>
    <w:rsid w:val="007F380B"/>
    <w:rsid w:val="007F3873"/>
    <w:rsid w:val="007F3AD7"/>
    <w:rsid w:val="007F3B79"/>
    <w:rsid w:val="007F3CE4"/>
    <w:rsid w:val="007F3EBC"/>
    <w:rsid w:val="007F3FB5"/>
    <w:rsid w:val="007F4186"/>
    <w:rsid w:val="007F425F"/>
    <w:rsid w:val="007F43AC"/>
    <w:rsid w:val="007F4421"/>
    <w:rsid w:val="007F47F0"/>
    <w:rsid w:val="007F4EBE"/>
    <w:rsid w:val="007F4F99"/>
    <w:rsid w:val="007F5015"/>
    <w:rsid w:val="007F526A"/>
    <w:rsid w:val="007F54E1"/>
    <w:rsid w:val="007F56CC"/>
    <w:rsid w:val="007F59EC"/>
    <w:rsid w:val="007F5A40"/>
    <w:rsid w:val="007F5AB9"/>
    <w:rsid w:val="007F5BCB"/>
    <w:rsid w:val="007F5D83"/>
    <w:rsid w:val="007F5D97"/>
    <w:rsid w:val="007F5DD1"/>
    <w:rsid w:val="007F5E07"/>
    <w:rsid w:val="007F5FDB"/>
    <w:rsid w:val="007F6129"/>
    <w:rsid w:val="007F6304"/>
    <w:rsid w:val="007F6527"/>
    <w:rsid w:val="007F67D2"/>
    <w:rsid w:val="007F7057"/>
    <w:rsid w:val="007F73A8"/>
    <w:rsid w:val="007F771D"/>
    <w:rsid w:val="007F77AA"/>
    <w:rsid w:val="007F793D"/>
    <w:rsid w:val="007F7BCF"/>
    <w:rsid w:val="007F7C64"/>
    <w:rsid w:val="007F7D6F"/>
    <w:rsid w:val="008002DC"/>
    <w:rsid w:val="008003E8"/>
    <w:rsid w:val="00800603"/>
    <w:rsid w:val="00800F3B"/>
    <w:rsid w:val="0080104F"/>
    <w:rsid w:val="00801234"/>
    <w:rsid w:val="008016D8"/>
    <w:rsid w:val="008017EA"/>
    <w:rsid w:val="00801D90"/>
    <w:rsid w:val="00801F70"/>
    <w:rsid w:val="00802308"/>
    <w:rsid w:val="0080246D"/>
    <w:rsid w:val="00802586"/>
    <w:rsid w:val="0080294C"/>
    <w:rsid w:val="00802BD9"/>
    <w:rsid w:val="00802D82"/>
    <w:rsid w:val="00802E31"/>
    <w:rsid w:val="008030CB"/>
    <w:rsid w:val="00803255"/>
    <w:rsid w:val="008032FD"/>
    <w:rsid w:val="0080339F"/>
    <w:rsid w:val="0080346D"/>
    <w:rsid w:val="00803577"/>
    <w:rsid w:val="00803582"/>
    <w:rsid w:val="00803716"/>
    <w:rsid w:val="00803761"/>
    <w:rsid w:val="008037C1"/>
    <w:rsid w:val="008038F6"/>
    <w:rsid w:val="00803B7E"/>
    <w:rsid w:val="00803E0B"/>
    <w:rsid w:val="00803F8B"/>
    <w:rsid w:val="00804392"/>
    <w:rsid w:val="00804530"/>
    <w:rsid w:val="008045C4"/>
    <w:rsid w:val="00804BCB"/>
    <w:rsid w:val="00804E3E"/>
    <w:rsid w:val="00804F2A"/>
    <w:rsid w:val="0080559F"/>
    <w:rsid w:val="00805685"/>
    <w:rsid w:val="008057A2"/>
    <w:rsid w:val="008058A0"/>
    <w:rsid w:val="008058A1"/>
    <w:rsid w:val="00805906"/>
    <w:rsid w:val="008059CE"/>
    <w:rsid w:val="00805ABF"/>
    <w:rsid w:val="00805C98"/>
    <w:rsid w:val="00805E8F"/>
    <w:rsid w:val="00805F18"/>
    <w:rsid w:val="00806065"/>
    <w:rsid w:val="0080610B"/>
    <w:rsid w:val="008061FE"/>
    <w:rsid w:val="0080625B"/>
    <w:rsid w:val="0080630C"/>
    <w:rsid w:val="0080643B"/>
    <w:rsid w:val="00806466"/>
    <w:rsid w:val="00806517"/>
    <w:rsid w:val="00806551"/>
    <w:rsid w:val="0080664C"/>
    <w:rsid w:val="00806814"/>
    <w:rsid w:val="00806B5B"/>
    <w:rsid w:val="00806B77"/>
    <w:rsid w:val="00806BE3"/>
    <w:rsid w:val="00806DAF"/>
    <w:rsid w:val="00806FB9"/>
    <w:rsid w:val="0080713B"/>
    <w:rsid w:val="00807163"/>
    <w:rsid w:val="00807258"/>
    <w:rsid w:val="00807346"/>
    <w:rsid w:val="00807AED"/>
    <w:rsid w:val="00807B2A"/>
    <w:rsid w:val="00807F1A"/>
    <w:rsid w:val="0081026E"/>
    <w:rsid w:val="008103C0"/>
    <w:rsid w:val="00810790"/>
    <w:rsid w:val="00810841"/>
    <w:rsid w:val="0081088A"/>
    <w:rsid w:val="0081088E"/>
    <w:rsid w:val="00810D64"/>
    <w:rsid w:val="008110B7"/>
    <w:rsid w:val="008111FD"/>
    <w:rsid w:val="008112BD"/>
    <w:rsid w:val="00811389"/>
    <w:rsid w:val="00811588"/>
    <w:rsid w:val="00811A40"/>
    <w:rsid w:val="00811A69"/>
    <w:rsid w:val="00811D6D"/>
    <w:rsid w:val="00811E3B"/>
    <w:rsid w:val="00812774"/>
    <w:rsid w:val="008128DB"/>
    <w:rsid w:val="00812AA5"/>
    <w:rsid w:val="00812F28"/>
    <w:rsid w:val="00812F40"/>
    <w:rsid w:val="008131A1"/>
    <w:rsid w:val="0081334F"/>
    <w:rsid w:val="008134F1"/>
    <w:rsid w:val="00813703"/>
    <w:rsid w:val="00813737"/>
    <w:rsid w:val="00813A68"/>
    <w:rsid w:val="00813D0D"/>
    <w:rsid w:val="00813E1A"/>
    <w:rsid w:val="00813FA5"/>
    <w:rsid w:val="00813FD7"/>
    <w:rsid w:val="0081417F"/>
    <w:rsid w:val="0081420D"/>
    <w:rsid w:val="008142DF"/>
    <w:rsid w:val="00814408"/>
    <w:rsid w:val="008146E5"/>
    <w:rsid w:val="00814C25"/>
    <w:rsid w:val="008150BE"/>
    <w:rsid w:val="00815139"/>
    <w:rsid w:val="0081548C"/>
    <w:rsid w:val="0081592B"/>
    <w:rsid w:val="00815ABF"/>
    <w:rsid w:val="00816402"/>
    <w:rsid w:val="008164B2"/>
    <w:rsid w:val="0081659A"/>
    <w:rsid w:val="00816A3A"/>
    <w:rsid w:val="00817066"/>
    <w:rsid w:val="00817144"/>
    <w:rsid w:val="00817344"/>
    <w:rsid w:val="008173C7"/>
    <w:rsid w:val="00817568"/>
    <w:rsid w:val="00817983"/>
    <w:rsid w:val="00817ADC"/>
    <w:rsid w:val="00817D7A"/>
    <w:rsid w:val="00817E88"/>
    <w:rsid w:val="00820086"/>
    <w:rsid w:val="00820285"/>
    <w:rsid w:val="0082030D"/>
    <w:rsid w:val="008206BA"/>
    <w:rsid w:val="008209E7"/>
    <w:rsid w:val="00820A35"/>
    <w:rsid w:val="00820F29"/>
    <w:rsid w:val="0082103C"/>
    <w:rsid w:val="00821096"/>
    <w:rsid w:val="008216A4"/>
    <w:rsid w:val="008217CB"/>
    <w:rsid w:val="00821997"/>
    <w:rsid w:val="00821B4E"/>
    <w:rsid w:val="00821C0F"/>
    <w:rsid w:val="00821C40"/>
    <w:rsid w:val="00821CBB"/>
    <w:rsid w:val="00821D56"/>
    <w:rsid w:val="00821E8F"/>
    <w:rsid w:val="00821EE8"/>
    <w:rsid w:val="008222E6"/>
    <w:rsid w:val="00822365"/>
    <w:rsid w:val="0082238E"/>
    <w:rsid w:val="0082246D"/>
    <w:rsid w:val="00822584"/>
    <w:rsid w:val="00822588"/>
    <w:rsid w:val="00822674"/>
    <w:rsid w:val="0082284E"/>
    <w:rsid w:val="00822897"/>
    <w:rsid w:val="00822C4A"/>
    <w:rsid w:val="00822D89"/>
    <w:rsid w:val="00822EBE"/>
    <w:rsid w:val="0082330D"/>
    <w:rsid w:val="008233B7"/>
    <w:rsid w:val="008234CF"/>
    <w:rsid w:val="008235B0"/>
    <w:rsid w:val="008236AB"/>
    <w:rsid w:val="008236B0"/>
    <w:rsid w:val="00823C1E"/>
    <w:rsid w:val="00823C95"/>
    <w:rsid w:val="00823D9F"/>
    <w:rsid w:val="00824074"/>
    <w:rsid w:val="00824081"/>
    <w:rsid w:val="008242C8"/>
    <w:rsid w:val="00824625"/>
    <w:rsid w:val="00824694"/>
    <w:rsid w:val="00824712"/>
    <w:rsid w:val="0082473F"/>
    <w:rsid w:val="00824D2C"/>
    <w:rsid w:val="0082509B"/>
    <w:rsid w:val="00825127"/>
    <w:rsid w:val="008251E4"/>
    <w:rsid w:val="00825308"/>
    <w:rsid w:val="00825413"/>
    <w:rsid w:val="0082558A"/>
    <w:rsid w:val="0082572A"/>
    <w:rsid w:val="00825798"/>
    <w:rsid w:val="008257DC"/>
    <w:rsid w:val="008259BA"/>
    <w:rsid w:val="00825A96"/>
    <w:rsid w:val="00825C7C"/>
    <w:rsid w:val="00825ED0"/>
    <w:rsid w:val="008260E5"/>
    <w:rsid w:val="00826186"/>
    <w:rsid w:val="008261AC"/>
    <w:rsid w:val="0082665D"/>
    <w:rsid w:val="008266D2"/>
    <w:rsid w:val="00826A55"/>
    <w:rsid w:val="00826ED0"/>
    <w:rsid w:val="0082726C"/>
    <w:rsid w:val="00827441"/>
    <w:rsid w:val="00827893"/>
    <w:rsid w:val="00827936"/>
    <w:rsid w:val="00827A0A"/>
    <w:rsid w:val="00827EFD"/>
    <w:rsid w:val="008300F2"/>
    <w:rsid w:val="00830257"/>
    <w:rsid w:val="008303EC"/>
    <w:rsid w:val="00830ED2"/>
    <w:rsid w:val="00830F05"/>
    <w:rsid w:val="008311DC"/>
    <w:rsid w:val="00831704"/>
    <w:rsid w:val="008318A0"/>
    <w:rsid w:val="0083200C"/>
    <w:rsid w:val="0083216A"/>
    <w:rsid w:val="00832200"/>
    <w:rsid w:val="00832458"/>
    <w:rsid w:val="008324AE"/>
    <w:rsid w:val="0083251C"/>
    <w:rsid w:val="00832819"/>
    <w:rsid w:val="00832ACE"/>
    <w:rsid w:val="00832C6D"/>
    <w:rsid w:val="00832D21"/>
    <w:rsid w:val="0083301A"/>
    <w:rsid w:val="008330F8"/>
    <w:rsid w:val="00833231"/>
    <w:rsid w:val="00833330"/>
    <w:rsid w:val="0083363B"/>
    <w:rsid w:val="00833A7F"/>
    <w:rsid w:val="00833BC6"/>
    <w:rsid w:val="00833C33"/>
    <w:rsid w:val="00833D69"/>
    <w:rsid w:val="00834098"/>
    <w:rsid w:val="008340E5"/>
    <w:rsid w:val="00834293"/>
    <w:rsid w:val="008343BA"/>
    <w:rsid w:val="008343EB"/>
    <w:rsid w:val="00834455"/>
    <w:rsid w:val="00834953"/>
    <w:rsid w:val="00834AE6"/>
    <w:rsid w:val="00834BC6"/>
    <w:rsid w:val="00834DE4"/>
    <w:rsid w:val="00835142"/>
    <w:rsid w:val="0083542E"/>
    <w:rsid w:val="00835439"/>
    <w:rsid w:val="008359E6"/>
    <w:rsid w:val="00835FA4"/>
    <w:rsid w:val="008360DE"/>
    <w:rsid w:val="00836379"/>
    <w:rsid w:val="008366E2"/>
    <w:rsid w:val="00836879"/>
    <w:rsid w:val="00836EB6"/>
    <w:rsid w:val="00836F11"/>
    <w:rsid w:val="00836F9E"/>
    <w:rsid w:val="00837071"/>
    <w:rsid w:val="008370BE"/>
    <w:rsid w:val="0083712D"/>
    <w:rsid w:val="008372E0"/>
    <w:rsid w:val="00837609"/>
    <w:rsid w:val="00837739"/>
    <w:rsid w:val="00837744"/>
    <w:rsid w:val="008378C2"/>
    <w:rsid w:val="00837977"/>
    <w:rsid w:val="008379ED"/>
    <w:rsid w:val="00837D2E"/>
    <w:rsid w:val="00837E05"/>
    <w:rsid w:val="008402A8"/>
    <w:rsid w:val="00840376"/>
    <w:rsid w:val="008403A3"/>
    <w:rsid w:val="0084047C"/>
    <w:rsid w:val="0084068C"/>
    <w:rsid w:val="00840A1F"/>
    <w:rsid w:val="00840AA3"/>
    <w:rsid w:val="00840DBA"/>
    <w:rsid w:val="00840DC1"/>
    <w:rsid w:val="00840E49"/>
    <w:rsid w:val="00841664"/>
    <w:rsid w:val="00841819"/>
    <w:rsid w:val="008418CA"/>
    <w:rsid w:val="0084191A"/>
    <w:rsid w:val="00841C68"/>
    <w:rsid w:val="00841D04"/>
    <w:rsid w:val="00841D87"/>
    <w:rsid w:val="00841E67"/>
    <w:rsid w:val="00842118"/>
    <w:rsid w:val="0084220F"/>
    <w:rsid w:val="008423E8"/>
    <w:rsid w:val="008425C6"/>
    <w:rsid w:val="00842A24"/>
    <w:rsid w:val="00842CD9"/>
    <w:rsid w:val="00842D9F"/>
    <w:rsid w:val="008430AA"/>
    <w:rsid w:val="0084338F"/>
    <w:rsid w:val="00843490"/>
    <w:rsid w:val="0084349B"/>
    <w:rsid w:val="008434E2"/>
    <w:rsid w:val="00843651"/>
    <w:rsid w:val="00843852"/>
    <w:rsid w:val="0084393D"/>
    <w:rsid w:val="00843AE8"/>
    <w:rsid w:val="00843F4A"/>
    <w:rsid w:val="00843FAD"/>
    <w:rsid w:val="00843FC3"/>
    <w:rsid w:val="008444DA"/>
    <w:rsid w:val="0084469F"/>
    <w:rsid w:val="00844DF4"/>
    <w:rsid w:val="00844E57"/>
    <w:rsid w:val="00844E8F"/>
    <w:rsid w:val="00845560"/>
    <w:rsid w:val="00845669"/>
    <w:rsid w:val="00845BF2"/>
    <w:rsid w:val="00845BF8"/>
    <w:rsid w:val="00845BFA"/>
    <w:rsid w:val="00845C39"/>
    <w:rsid w:val="00845E50"/>
    <w:rsid w:val="00845EA8"/>
    <w:rsid w:val="0084617E"/>
    <w:rsid w:val="00846187"/>
    <w:rsid w:val="008461D3"/>
    <w:rsid w:val="008461EB"/>
    <w:rsid w:val="008466D1"/>
    <w:rsid w:val="00846809"/>
    <w:rsid w:val="00846870"/>
    <w:rsid w:val="0084732A"/>
    <w:rsid w:val="008474D7"/>
    <w:rsid w:val="00847526"/>
    <w:rsid w:val="00847B65"/>
    <w:rsid w:val="00847C7E"/>
    <w:rsid w:val="00847E1B"/>
    <w:rsid w:val="00847E53"/>
    <w:rsid w:val="00847F31"/>
    <w:rsid w:val="00847F6D"/>
    <w:rsid w:val="00850204"/>
    <w:rsid w:val="00850332"/>
    <w:rsid w:val="008503E1"/>
    <w:rsid w:val="00850404"/>
    <w:rsid w:val="00850617"/>
    <w:rsid w:val="0085081A"/>
    <w:rsid w:val="00850946"/>
    <w:rsid w:val="008509CB"/>
    <w:rsid w:val="00850BFC"/>
    <w:rsid w:val="00850C1F"/>
    <w:rsid w:val="00850C5A"/>
    <w:rsid w:val="0085108C"/>
    <w:rsid w:val="0085121E"/>
    <w:rsid w:val="008512C2"/>
    <w:rsid w:val="00851A65"/>
    <w:rsid w:val="00851F87"/>
    <w:rsid w:val="0085201D"/>
    <w:rsid w:val="008522A1"/>
    <w:rsid w:val="00852341"/>
    <w:rsid w:val="008525A9"/>
    <w:rsid w:val="00852968"/>
    <w:rsid w:val="00852C2E"/>
    <w:rsid w:val="00852CD2"/>
    <w:rsid w:val="00852D95"/>
    <w:rsid w:val="00852FA1"/>
    <w:rsid w:val="00852FDA"/>
    <w:rsid w:val="008531DA"/>
    <w:rsid w:val="0085348B"/>
    <w:rsid w:val="00853529"/>
    <w:rsid w:val="0085382E"/>
    <w:rsid w:val="00853A6F"/>
    <w:rsid w:val="00853E34"/>
    <w:rsid w:val="008540E2"/>
    <w:rsid w:val="00854188"/>
    <w:rsid w:val="008541CC"/>
    <w:rsid w:val="008543CD"/>
    <w:rsid w:val="00854572"/>
    <w:rsid w:val="008547EB"/>
    <w:rsid w:val="00854A3A"/>
    <w:rsid w:val="00854B01"/>
    <w:rsid w:val="00854E0B"/>
    <w:rsid w:val="0085547D"/>
    <w:rsid w:val="00855CCB"/>
    <w:rsid w:val="008566D4"/>
    <w:rsid w:val="008568A0"/>
    <w:rsid w:val="00856913"/>
    <w:rsid w:val="00856A40"/>
    <w:rsid w:val="00856AF9"/>
    <w:rsid w:val="00856B14"/>
    <w:rsid w:val="008572F3"/>
    <w:rsid w:val="00857359"/>
    <w:rsid w:val="008574C3"/>
    <w:rsid w:val="008574E7"/>
    <w:rsid w:val="0085776A"/>
    <w:rsid w:val="00857A7E"/>
    <w:rsid w:val="00857C38"/>
    <w:rsid w:val="0086023B"/>
    <w:rsid w:val="00860265"/>
    <w:rsid w:val="00860276"/>
    <w:rsid w:val="008603D3"/>
    <w:rsid w:val="00860624"/>
    <w:rsid w:val="0086063E"/>
    <w:rsid w:val="0086082F"/>
    <w:rsid w:val="00860E5D"/>
    <w:rsid w:val="0086115C"/>
    <w:rsid w:val="0086138D"/>
    <w:rsid w:val="008615B6"/>
    <w:rsid w:val="00861666"/>
    <w:rsid w:val="0086169A"/>
    <w:rsid w:val="008618AC"/>
    <w:rsid w:val="008618BF"/>
    <w:rsid w:val="008619DB"/>
    <w:rsid w:val="00861B68"/>
    <w:rsid w:val="00861C6E"/>
    <w:rsid w:val="00862456"/>
    <w:rsid w:val="00862568"/>
    <w:rsid w:val="00862E71"/>
    <w:rsid w:val="0086309A"/>
    <w:rsid w:val="00863275"/>
    <w:rsid w:val="00863309"/>
    <w:rsid w:val="00863311"/>
    <w:rsid w:val="008633DF"/>
    <w:rsid w:val="00863480"/>
    <w:rsid w:val="00863595"/>
    <w:rsid w:val="008637A7"/>
    <w:rsid w:val="00863C77"/>
    <w:rsid w:val="0086415C"/>
    <w:rsid w:val="0086463A"/>
    <w:rsid w:val="00864F81"/>
    <w:rsid w:val="0086507F"/>
    <w:rsid w:val="008653E0"/>
    <w:rsid w:val="00865433"/>
    <w:rsid w:val="008655CB"/>
    <w:rsid w:val="008657E6"/>
    <w:rsid w:val="00865E98"/>
    <w:rsid w:val="0086607F"/>
    <w:rsid w:val="00866425"/>
    <w:rsid w:val="008664A2"/>
    <w:rsid w:val="00866967"/>
    <w:rsid w:val="008669EA"/>
    <w:rsid w:val="00866AD1"/>
    <w:rsid w:val="00866E65"/>
    <w:rsid w:val="00867124"/>
    <w:rsid w:val="00867284"/>
    <w:rsid w:val="008676D6"/>
    <w:rsid w:val="008677E4"/>
    <w:rsid w:val="008679F7"/>
    <w:rsid w:val="00867AB8"/>
    <w:rsid w:val="00867B8C"/>
    <w:rsid w:val="00867CB1"/>
    <w:rsid w:val="00867CCA"/>
    <w:rsid w:val="00867D4C"/>
    <w:rsid w:val="00867F56"/>
    <w:rsid w:val="008703FE"/>
    <w:rsid w:val="00870620"/>
    <w:rsid w:val="00870BDC"/>
    <w:rsid w:val="00870F45"/>
    <w:rsid w:val="00870F56"/>
    <w:rsid w:val="00871130"/>
    <w:rsid w:val="008713E5"/>
    <w:rsid w:val="0087142A"/>
    <w:rsid w:val="008714B3"/>
    <w:rsid w:val="008716C4"/>
    <w:rsid w:val="00871A4A"/>
    <w:rsid w:val="00871AC4"/>
    <w:rsid w:val="00871D1A"/>
    <w:rsid w:val="00871EE1"/>
    <w:rsid w:val="008722D2"/>
    <w:rsid w:val="00872A70"/>
    <w:rsid w:val="00872EAA"/>
    <w:rsid w:val="0087312F"/>
    <w:rsid w:val="008731E7"/>
    <w:rsid w:val="0087331F"/>
    <w:rsid w:val="00873486"/>
    <w:rsid w:val="0087369C"/>
    <w:rsid w:val="008737A0"/>
    <w:rsid w:val="008737A6"/>
    <w:rsid w:val="0087380D"/>
    <w:rsid w:val="00873940"/>
    <w:rsid w:val="00873AE0"/>
    <w:rsid w:val="00873C1B"/>
    <w:rsid w:val="00873DF6"/>
    <w:rsid w:val="00873EE7"/>
    <w:rsid w:val="00873F55"/>
    <w:rsid w:val="008740B1"/>
    <w:rsid w:val="008740CD"/>
    <w:rsid w:val="008740F0"/>
    <w:rsid w:val="00874108"/>
    <w:rsid w:val="0087410D"/>
    <w:rsid w:val="00874212"/>
    <w:rsid w:val="008742C0"/>
    <w:rsid w:val="008743F8"/>
    <w:rsid w:val="00874551"/>
    <w:rsid w:val="00874E92"/>
    <w:rsid w:val="008751EF"/>
    <w:rsid w:val="0087527C"/>
    <w:rsid w:val="0087566D"/>
    <w:rsid w:val="00875682"/>
    <w:rsid w:val="008756F4"/>
    <w:rsid w:val="00875881"/>
    <w:rsid w:val="00875934"/>
    <w:rsid w:val="00875B3F"/>
    <w:rsid w:val="00875D4A"/>
    <w:rsid w:val="00875ECD"/>
    <w:rsid w:val="00876318"/>
    <w:rsid w:val="008764C6"/>
    <w:rsid w:val="00876560"/>
    <w:rsid w:val="0087657C"/>
    <w:rsid w:val="0087670E"/>
    <w:rsid w:val="00876B30"/>
    <w:rsid w:val="00876BE5"/>
    <w:rsid w:val="00876D3A"/>
    <w:rsid w:val="0087712B"/>
    <w:rsid w:val="00877457"/>
    <w:rsid w:val="008774B5"/>
    <w:rsid w:val="00877681"/>
    <w:rsid w:val="00877723"/>
    <w:rsid w:val="00877860"/>
    <w:rsid w:val="00877964"/>
    <w:rsid w:val="008801A4"/>
    <w:rsid w:val="00880595"/>
    <w:rsid w:val="00880684"/>
    <w:rsid w:val="00880806"/>
    <w:rsid w:val="008808C0"/>
    <w:rsid w:val="0088099E"/>
    <w:rsid w:val="00880F32"/>
    <w:rsid w:val="00880FD0"/>
    <w:rsid w:val="00881285"/>
    <w:rsid w:val="008814E0"/>
    <w:rsid w:val="00881715"/>
    <w:rsid w:val="008817C9"/>
    <w:rsid w:val="00881831"/>
    <w:rsid w:val="00881E26"/>
    <w:rsid w:val="00881F49"/>
    <w:rsid w:val="00882158"/>
    <w:rsid w:val="008822E8"/>
    <w:rsid w:val="0088258B"/>
    <w:rsid w:val="0088266B"/>
    <w:rsid w:val="00882810"/>
    <w:rsid w:val="00882B23"/>
    <w:rsid w:val="00882EB4"/>
    <w:rsid w:val="00882ED3"/>
    <w:rsid w:val="0088342B"/>
    <w:rsid w:val="0088344F"/>
    <w:rsid w:val="0088370D"/>
    <w:rsid w:val="0088399E"/>
    <w:rsid w:val="008839B5"/>
    <w:rsid w:val="00883A47"/>
    <w:rsid w:val="00883A5F"/>
    <w:rsid w:val="008842F7"/>
    <w:rsid w:val="00884800"/>
    <w:rsid w:val="00884C23"/>
    <w:rsid w:val="00884DC8"/>
    <w:rsid w:val="0088513A"/>
    <w:rsid w:val="00885308"/>
    <w:rsid w:val="00885705"/>
    <w:rsid w:val="0088581B"/>
    <w:rsid w:val="008858D5"/>
    <w:rsid w:val="008859FF"/>
    <w:rsid w:val="00885FC2"/>
    <w:rsid w:val="008860B0"/>
    <w:rsid w:val="00886711"/>
    <w:rsid w:val="00886A49"/>
    <w:rsid w:val="00886B6D"/>
    <w:rsid w:val="00886DBC"/>
    <w:rsid w:val="00886E66"/>
    <w:rsid w:val="00886E7D"/>
    <w:rsid w:val="00887118"/>
    <w:rsid w:val="00887275"/>
    <w:rsid w:val="008872C1"/>
    <w:rsid w:val="0088737C"/>
    <w:rsid w:val="0088750A"/>
    <w:rsid w:val="0088794F"/>
    <w:rsid w:val="00887950"/>
    <w:rsid w:val="008879DE"/>
    <w:rsid w:val="00887A8B"/>
    <w:rsid w:val="0089005F"/>
    <w:rsid w:val="00890109"/>
    <w:rsid w:val="0089017D"/>
    <w:rsid w:val="008902E6"/>
    <w:rsid w:val="00890724"/>
    <w:rsid w:val="008908FA"/>
    <w:rsid w:val="008909DA"/>
    <w:rsid w:val="00890B51"/>
    <w:rsid w:val="00890C00"/>
    <w:rsid w:val="00890C5E"/>
    <w:rsid w:val="00890E19"/>
    <w:rsid w:val="008911D5"/>
    <w:rsid w:val="0089121D"/>
    <w:rsid w:val="00891326"/>
    <w:rsid w:val="00891714"/>
    <w:rsid w:val="0089181E"/>
    <w:rsid w:val="00891AAE"/>
    <w:rsid w:val="00891FE3"/>
    <w:rsid w:val="00891FEA"/>
    <w:rsid w:val="00892241"/>
    <w:rsid w:val="00892295"/>
    <w:rsid w:val="00892312"/>
    <w:rsid w:val="0089288C"/>
    <w:rsid w:val="00892939"/>
    <w:rsid w:val="0089295A"/>
    <w:rsid w:val="00892A2C"/>
    <w:rsid w:val="00892A9E"/>
    <w:rsid w:val="00892B63"/>
    <w:rsid w:val="00892C57"/>
    <w:rsid w:val="00892D4C"/>
    <w:rsid w:val="00892EC0"/>
    <w:rsid w:val="00893339"/>
    <w:rsid w:val="008934D7"/>
    <w:rsid w:val="00893566"/>
    <w:rsid w:val="00893653"/>
    <w:rsid w:val="008936E9"/>
    <w:rsid w:val="008939D4"/>
    <w:rsid w:val="00893B98"/>
    <w:rsid w:val="00893C06"/>
    <w:rsid w:val="00893E09"/>
    <w:rsid w:val="00893E2D"/>
    <w:rsid w:val="00894005"/>
    <w:rsid w:val="0089409B"/>
    <w:rsid w:val="008940A2"/>
    <w:rsid w:val="00894201"/>
    <w:rsid w:val="00894434"/>
    <w:rsid w:val="008944A8"/>
    <w:rsid w:val="008945A6"/>
    <w:rsid w:val="008945E3"/>
    <w:rsid w:val="00894900"/>
    <w:rsid w:val="00894D2C"/>
    <w:rsid w:val="0089531E"/>
    <w:rsid w:val="00895656"/>
    <w:rsid w:val="008958DC"/>
    <w:rsid w:val="008958E5"/>
    <w:rsid w:val="00895BBA"/>
    <w:rsid w:val="00895DCA"/>
    <w:rsid w:val="00895F34"/>
    <w:rsid w:val="008960F7"/>
    <w:rsid w:val="00896973"/>
    <w:rsid w:val="00896B32"/>
    <w:rsid w:val="00896C95"/>
    <w:rsid w:val="00896CDF"/>
    <w:rsid w:val="00896CF6"/>
    <w:rsid w:val="00896E47"/>
    <w:rsid w:val="008979F1"/>
    <w:rsid w:val="00897D55"/>
    <w:rsid w:val="00897E00"/>
    <w:rsid w:val="00897F28"/>
    <w:rsid w:val="00897FF8"/>
    <w:rsid w:val="00897FFB"/>
    <w:rsid w:val="008A00DD"/>
    <w:rsid w:val="008A06F3"/>
    <w:rsid w:val="008A07BF"/>
    <w:rsid w:val="008A085E"/>
    <w:rsid w:val="008A096D"/>
    <w:rsid w:val="008A0D71"/>
    <w:rsid w:val="008A0F06"/>
    <w:rsid w:val="008A0F0B"/>
    <w:rsid w:val="008A109A"/>
    <w:rsid w:val="008A11F4"/>
    <w:rsid w:val="008A13B7"/>
    <w:rsid w:val="008A1440"/>
    <w:rsid w:val="008A1484"/>
    <w:rsid w:val="008A14AB"/>
    <w:rsid w:val="008A15CD"/>
    <w:rsid w:val="008A1A41"/>
    <w:rsid w:val="008A1C4A"/>
    <w:rsid w:val="008A1D91"/>
    <w:rsid w:val="008A1F6F"/>
    <w:rsid w:val="008A200A"/>
    <w:rsid w:val="008A202D"/>
    <w:rsid w:val="008A20DD"/>
    <w:rsid w:val="008A236B"/>
    <w:rsid w:val="008A2525"/>
    <w:rsid w:val="008A25F0"/>
    <w:rsid w:val="008A2C3D"/>
    <w:rsid w:val="008A2C44"/>
    <w:rsid w:val="008A2D48"/>
    <w:rsid w:val="008A2E57"/>
    <w:rsid w:val="008A336D"/>
    <w:rsid w:val="008A33D0"/>
    <w:rsid w:val="008A33DB"/>
    <w:rsid w:val="008A3551"/>
    <w:rsid w:val="008A3624"/>
    <w:rsid w:val="008A374F"/>
    <w:rsid w:val="008A3CAC"/>
    <w:rsid w:val="008A3D34"/>
    <w:rsid w:val="008A3D44"/>
    <w:rsid w:val="008A41CA"/>
    <w:rsid w:val="008A44C0"/>
    <w:rsid w:val="008A44E4"/>
    <w:rsid w:val="008A47CA"/>
    <w:rsid w:val="008A4A67"/>
    <w:rsid w:val="008A4D15"/>
    <w:rsid w:val="008A4E95"/>
    <w:rsid w:val="008A4EA0"/>
    <w:rsid w:val="008A538C"/>
    <w:rsid w:val="008A5542"/>
    <w:rsid w:val="008A5733"/>
    <w:rsid w:val="008A5845"/>
    <w:rsid w:val="008A58D2"/>
    <w:rsid w:val="008A59D9"/>
    <w:rsid w:val="008A5A74"/>
    <w:rsid w:val="008A5E3A"/>
    <w:rsid w:val="008A60BD"/>
    <w:rsid w:val="008A637A"/>
    <w:rsid w:val="008A67AE"/>
    <w:rsid w:val="008A6E11"/>
    <w:rsid w:val="008A6FC2"/>
    <w:rsid w:val="008A75CC"/>
    <w:rsid w:val="008A75D8"/>
    <w:rsid w:val="008A76E9"/>
    <w:rsid w:val="008A78C1"/>
    <w:rsid w:val="008A7C76"/>
    <w:rsid w:val="008B0126"/>
    <w:rsid w:val="008B01A3"/>
    <w:rsid w:val="008B0BFA"/>
    <w:rsid w:val="008B0CEF"/>
    <w:rsid w:val="008B0F88"/>
    <w:rsid w:val="008B13DE"/>
    <w:rsid w:val="008B148A"/>
    <w:rsid w:val="008B1673"/>
    <w:rsid w:val="008B1989"/>
    <w:rsid w:val="008B1B56"/>
    <w:rsid w:val="008B1B7D"/>
    <w:rsid w:val="008B1CBA"/>
    <w:rsid w:val="008B1E96"/>
    <w:rsid w:val="008B1F72"/>
    <w:rsid w:val="008B1FA3"/>
    <w:rsid w:val="008B1FC5"/>
    <w:rsid w:val="008B21B8"/>
    <w:rsid w:val="008B2202"/>
    <w:rsid w:val="008B220B"/>
    <w:rsid w:val="008B263C"/>
    <w:rsid w:val="008B29F8"/>
    <w:rsid w:val="008B2B40"/>
    <w:rsid w:val="008B2C35"/>
    <w:rsid w:val="008B2CE7"/>
    <w:rsid w:val="008B2D62"/>
    <w:rsid w:val="008B37B7"/>
    <w:rsid w:val="008B388C"/>
    <w:rsid w:val="008B38A6"/>
    <w:rsid w:val="008B3932"/>
    <w:rsid w:val="008B3BA2"/>
    <w:rsid w:val="008B40C5"/>
    <w:rsid w:val="008B4400"/>
    <w:rsid w:val="008B455A"/>
    <w:rsid w:val="008B488D"/>
    <w:rsid w:val="008B4953"/>
    <w:rsid w:val="008B4CBA"/>
    <w:rsid w:val="008B508C"/>
    <w:rsid w:val="008B521E"/>
    <w:rsid w:val="008B54CA"/>
    <w:rsid w:val="008B54E9"/>
    <w:rsid w:val="008B58E9"/>
    <w:rsid w:val="008B5A97"/>
    <w:rsid w:val="008B5B70"/>
    <w:rsid w:val="008B5BDE"/>
    <w:rsid w:val="008B620E"/>
    <w:rsid w:val="008B6233"/>
    <w:rsid w:val="008B63EA"/>
    <w:rsid w:val="008B660E"/>
    <w:rsid w:val="008B69BF"/>
    <w:rsid w:val="008B6AE2"/>
    <w:rsid w:val="008B6C39"/>
    <w:rsid w:val="008B6C74"/>
    <w:rsid w:val="008B6F62"/>
    <w:rsid w:val="008B7002"/>
    <w:rsid w:val="008B710E"/>
    <w:rsid w:val="008B728A"/>
    <w:rsid w:val="008B741D"/>
    <w:rsid w:val="008B7643"/>
    <w:rsid w:val="008B7ED6"/>
    <w:rsid w:val="008B7FC7"/>
    <w:rsid w:val="008C01C6"/>
    <w:rsid w:val="008C01F5"/>
    <w:rsid w:val="008C03C7"/>
    <w:rsid w:val="008C0614"/>
    <w:rsid w:val="008C098E"/>
    <w:rsid w:val="008C13E7"/>
    <w:rsid w:val="008C15BD"/>
    <w:rsid w:val="008C1618"/>
    <w:rsid w:val="008C1681"/>
    <w:rsid w:val="008C16D3"/>
    <w:rsid w:val="008C182F"/>
    <w:rsid w:val="008C1A57"/>
    <w:rsid w:val="008C1C5C"/>
    <w:rsid w:val="008C1FEE"/>
    <w:rsid w:val="008C2091"/>
    <w:rsid w:val="008C2356"/>
    <w:rsid w:val="008C2539"/>
    <w:rsid w:val="008C263F"/>
    <w:rsid w:val="008C2885"/>
    <w:rsid w:val="008C2C10"/>
    <w:rsid w:val="008C348C"/>
    <w:rsid w:val="008C3684"/>
    <w:rsid w:val="008C3810"/>
    <w:rsid w:val="008C403F"/>
    <w:rsid w:val="008C42FA"/>
    <w:rsid w:val="008C4364"/>
    <w:rsid w:val="008C451C"/>
    <w:rsid w:val="008C45DF"/>
    <w:rsid w:val="008C47EE"/>
    <w:rsid w:val="008C487C"/>
    <w:rsid w:val="008C4A86"/>
    <w:rsid w:val="008C4D65"/>
    <w:rsid w:val="008C4FF9"/>
    <w:rsid w:val="008C5227"/>
    <w:rsid w:val="008C5451"/>
    <w:rsid w:val="008C593A"/>
    <w:rsid w:val="008C59ED"/>
    <w:rsid w:val="008C5AF5"/>
    <w:rsid w:val="008C5EA3"/>
    <w:rsid w:val="008C5ED2"/>
    <w:rsid w:val="008C613A"/>
    <w:rsid w:val="008C6142"/>
    <w:rsid w:val="008C62D3"/>
    <w:rsid w:val="008C63ED"/>
    <w:rsid w:val="008C66C0"/>
    <w:rsid w:val="008C6856"/>
    <w:rsid w:val="008C6E87"/>
    <w:rsid w:val="008C7000"/>
    <w:rsid w:val="008C72D0"/>
    <w:rsid w:val="008C7357"/>
    <w:rsid w:val="008C7797"/>
    <w:rsid w:val="008C77BE"/>
    <w:rsid w:val="008C782A"/>
    <w:rsid w:val="008C783E"/>
    <w:rsid w:val="008C7A2C"/>
    <w:rsid w:val="008C7D09"/>
    <w:rsid w:val="008C7D3D"/>
    <w:rsid w:val="008D000F"/>
    <w:rsid w:val="008D0031"/>
    <w:rsid w:val="008D03EF"/>
    <w:rsid w:val="008D072D"/>
    <w:rsid w:val="008D07F2"/>
    <w:rsid w:val="008D0924"/>
    <w:rsid w:val="008D0C7C"/>
    <w:rsid w:val="008D0D18"/>
    <w:rsid w:val="008D0D40"/>
    <w:rsid w:val="008D0EA4"/>
    <w:rsid w:val="008D0EB3"/>
    <w:rsid w:val="008D0FF7"/>
    <w:rsid w:val="008D104A"/>
    <w:rsid w:val="008D11B7"/>
    <w:rsid w:val="008D1318"/>
    <w:rsid w:val="008D14E1"/>
    <w:rsid w:val="008D17FB"/>
    <w:rsid w:val="008D1864"/>
    <w:rsid w:val="008D1B4A"/>
    <w:rsid w:val="008D1BD2"/>
    <w:rsid w:val="008D1CCD"/>
    <w:rsid w:val="008D2010"/>
    <w:rsid w:val="008D22ED"/>
    <w:rsid w:val="008D22EF"/>
    <w:rsid w:val="008D24CD"/>
    <w:rsid w:val="008D26C5"/>
    <w:rsid w:val="008D273A"/>
    <w:rsid w:val="008D295A"/>
    <w:rsid w:val="008D29CC"/>
    <w:rsid w:val="008D2B1B"/>
    <w:rsid w:val="008D2ED5"/>
    <w:rsid w:val="008D2FC7"/>
    <w:rsid w:val="008D3276"/>
    <w:rsid w:val="008D378A"/>
    <w:rsid w:val="008D395A"/>
    <w:rsid w:val="008D3ABF"/>
    <w:rsid w:val="008D3F51"/>
    <w:rsid w:val="008D4343"/>
    <w:rsid w:val="008D4762"/>
    <w:rsid w:val="008D4C2D"/>
    <w:rsid w:val="008D4C4D"/>
    <w:rsid w:val="008D4D39"/>
    <w:rsid w:val="008D4EE2"/>
    <w:rsid w:val="008D4F42"/>
    <w:rsid w:val="008D50A4"/>
    <w:rsid w:val="008D516F"/>
    <w:rsid w:val="008D52E5"/>
    <w:rsid w:val="008D542B"/>
    <w:rsid w:val="008D5469"/>
    <w:rsid w:val="008D546C"/>
    <w:rsid w:val="008D5514"/>
    <w:rsid w:val="008D5549"/>
    <w:rsid w:val="008D55C2"/>
    <w:rsid w:val="008D581F"/>
    <w:rsid w:val="008D58D6"/>
    <w:rsid w:val="008D5BA2"/>
    <w:rsid w:val="008D5D15"/>
    <w:rsid w:val="008D5DF4"/>
    <w:rsid w:val="008D5F52"/>
    <w:rsid w:val="008D62CD"/>
    <w:rsid w:val="008D644F"/>
    <w:rsid w:val="008D648B"/>
    <w:rsid w:val="008D691D"/>
    <w:rsid w:val="008D6A4E"/>
    <w:rsid w:val="008D6D07"/>
    <w:rsid w:val="008D6DF1"/>
    <w:rsid w:val="008D6F18"/>
    <w:rsid w:val="008D710E"/>
    <w:rsid w:val="008D7216"/>
    <w:rsid w:val="008D740A"/>
    <w:rsid w:val="008D7566"/>
    <w:rsid w:val="008D773F"/>
    <w:rsid w:val="008D7948"/>
    <w:rsid w:val="008D7C5F"/>
    <w:rsid w:val="008D7CB8"/>
    <w:rsid w:val="008D7E48"/>
    <w:rsid w:val="008D7E4B"/>
    <w:rsid w:val="008D7E61"/>
    <w:rsid w:val="008D7F97"/>
    <w:rsid w:val="008E00E9"/>
    <w:rsid w:val="008E0759"/>
    <w:rsid w:val="008E0B09"/>
    <w:rsid w:val="008E0B0B"/>
    <w:rsid w:val="008E0C5E"/>
    <w:rsid w:val="008E103B"/>
    <w:rsid w:val="008E14B6"/>
    <w:rsid w:val="008E15CF"/>
    <w:rsid w:val="008E1767"/>
    <w:rsid w:val="008E17AC"/>
    <w:rsid w:val="008E1B86"/>
    <w:rsid w:val="008E1D2E"/>
    <w:rsid w:val="008E2055"/>
    <w:rsid w:val="008E23B1"/>
    <w:rsid w:val="008E2475"/>
    <w:rsid w:val="008E266D"/>
    <w:rsid w:val="008E2A75"/>
    <w:rsid w:val="008E2ACA"/>
    <w:rsid w:val="008E2D46"/>
    <w:rsid w:val="008E2E48"/>
    <w:rsid w:val="008E2F05"/>
    <w:rsid w:val="008E30CD"/>
    <w:rsid w:val="008E319E"/>
    <w:rsid w:val="008E31E2"/>
    <w:rsid w:val="008E333B"/>
    <w:rsid w:val="008E3575"/>
    <w:rsid w:val="008E395A"/>
    <w:rsid w:val="008E39FF"/>
    <w:rsid w:val="008E3B5C"/>
    <w:rsid w:val="008E3D80"/>
    <w:rsid w:val="008E4037"/>
    <w:rsid w:val="008E4200"/>
    <w:rsid w:val="008E44FE"/>
    <w:rsid w:val="008E4599"/>
    <w:rsid w:val="008E45B3"/>
    <w:rsid w:val="008E45EF"/>
    <w:rsid w:val="008E4638"/>
    <w:rsid w:val="008E5443"/>
    <w:rsid w:val="008E55D6"/>
    <w:rsid w:val="008E5618"/>
    <w:rsid w:val="008E5B8F"/>
    <w:rsid w:val="008E5B9F"/>
    <w:rsid w:val="008E5C0F"/>
    <w:rsid w:val="008E5F4C"/>
    <w:rsid w:val="008E5F7B"/>
    <w:rsid w:val="008E6040"/>
    <w:rsid w:val="008E62FC"/>
    <w:rsid w:val="008E6506"/>
    <w:rsid w:val="008E6630"/>
    <w:rsid w:val="008E663F"/>
    <w:rsid w:val="008E66A8"/>
    <w:rsid w:val="008E6714"/>
    <w:rsid w:val="008E6A11"/>
    <w:rsid w:val="008E6BD6"/>
    <w:rsid w:val="008E6DC2"/>
    <w:rsid w:val="008E6FE7"/>
    <w:rsid w:val="008E701A"/>
    <w:rsid w:val="008E70FF"/>
    <w:rsid w:val="008E71EA"/>
    <w:rsid w:val="008E7818"/>
    <w:rsid w:val="008E784A"/>
    <w:rsid w:val="008E791D"/>
    <w:rsid w:val="008E7AE7"/>
    <w:rsid w:val="008F0183"/>
    <w:rsid w:val="008F0234"/>
    <w:rsid w:val="008F043E"/>
    <w:rsid w:val="008F0734"/>
    <w:rsid w:val="008F0A52"/>
    <w:rsid w:val="008F0CBD"/>
    <w:rsid w:val="008F0E30"/>
    <w:rsid w:val="008F1008"/>
    <w:rsid w:val="008F1170"/>
    <w:rsid w:val="008F168F"/>
    <w:rsid w:val="008F16E5"/>
    <w:rsid w:val="008F185F"/>
    <w:rsid w:val="008F1906"/>
    <w:rsid w:val="008F1B4F"/>
    <w:rsid w:val="008F1B55"/>
    <w:rsid w:val="008F1C95"/>
    <w:rsid w:val="008F1FCA"/>
    <w:rsid w:val="008F20BC"/>
    <w:rsid w:val="008F2240"/>
    <w:rsid w:val="008F27AD"/>
    <w:rsid w:val="008F27EB"/>
    <w:rsid w:val="008F28D0"/>
    <w:rsid w:val="008F2AB3"/>
    <w:rsid w:val="008F2E37"/>
    <w:rsid w:val="008F3328"/>
    <w:rsid w:val="008F3B17"/>
    <w:rsid w:val="008F3D8E"/>
    <w:rsid w:val="008F3EFC"/>
    <w:rsid w:val="008F3F65"/>
    <w:rsid w:val="008F4065"/>
    <w:rsid w:val="008F43A9"/>
    <w:rsid w:val="008F43FC"/>
    <w:rsid w:val="008F49E6"/>
    <w:rsid w:val="008F4D03"/>
    <w:rsid w:val="008F552C"/>
    <w:rsid w:val="008F56F9"/>
    <w:rsid w:val="008F57D4"/>
    <w:rsid w:val="008F5835"/>
    <w:rsid w:val="008F58AE"/>
    <w:rsid w:val="008F59D8"/>
    <w:rsid w:val="008F5A1D"/>
    <w:rsid w:val="008F5AC4"/>
    <w:rsid w:val="008F5B20"/>
    <w:rsid w:val="008F5DF9"/>
    <w:rsid w:val="008F5F0B"/>
    <w:rsid w:val="008F662A"/>
    <w:rsid w:val="008F6907"/>
    <w:rsid w:val="008F692E"/>
    <w:rsid w:val="008F6938"/>
    <w:rsid w:val="008F6ACF"/>
    <w:rsid w:val="008F6BBA"/>
    <w:rsid w:val="008F6DB7"/>
    <w:rsid w:val="008F6DBB"/>
    <w:rsid w:val="008F6F48"/>
    <w:rsid w:val="008F7494"/>
    <w:rsid w:val="008F759E"/>
    <w:rsid w:val="008F75D4"/>
    <w:rsid w:val="008F7866"/>
    <w:rsid w:val="008F792B"/>
    <w:rsid w:val="008F798B"/>
    <w:rsid w:val="008F7AFA"/>
    <w:rsid w:val="008F7B22"/>
    <w:rsid w:val="008F7DFB"/>
    <w:rsid w:val="008F7FB1"/>
    <w:rsid w:val="00900041"/>
    <w:rsid w:val="009003D8"/>
    <w:rsid w:val="00900431"/>
    <w:rsid w:val="0090054B"/>
    <w:rsid w:val="00900D8D"/>
    <w:rsid w:val="00900F63"/>
    <w:rsid w:val="00901005"/>
    <w:rsid w:val="0090118F"/>
    <w:rsid w:val="0090154B"/>
    <w:rsid w:val="00901A72"/>
    <w:rsid w:val="00901DD1"/>
    <w:rsid w:val="009024B7"/>
    <w:rsid w:val="009027AB"/>
    <w:rsid w:val="00902A7D"/>
    <w:rsid w:val="00902F97"/>
    <w:rsid w:val="00902FDD"/>
    <w:rsid w:val="009032E6"/>
    <w:rsid w:val="00903340"/>
    <w:rsid w:val="00903774"/>
    <w:rsid w:val="00903A35"/>
    <w:rsid w:val="00903A85"/>
    <w:rsid w:val="00903B5B"/>
    <w:rsid w:val="00903CFC"/>
    <w:rsid w:val="009041B6"/>
    <w:rsid w:val="00904292"/>
    <w:rsid w:val="0090450C"/>
    <w:rsid w:val="009046BE"/>
    <w:rsid w:val="009047CE"/>
    <w:rsid w:val="0090497C"/>
    <w:rsid w:val="00904CC9"/>
    <w:rsid w:val="00904DDE"/>
    <w:rsid w:val="0090516F"/>
    <w:rsid w:val="009055E5"/>
    <w:rsid w:val="00905A01"/>
    <w:rsid w:val="00905AAB"/>
    <w:rsid w:val="00905AE1"/>
    <w:rsid w:val="00905C82"/>
    <w:rsid w:val="00905FF1"/>
    <w:rsid w:val="00906024"/>
    <w:rsid w:val="00906447"/>
    <w:rsid w:val="00906485"/>
    <w:rsid w:val="00906736"/>
    <w:rsid w:val="00906756"/>
    <w:rsid w:val="009069CC"/>
    <w:rsid w:val="009069D4"/>
    <w:rsid w:val="009071D8"/>
    <w:rsid w:val="00907302"/>
    <w:rsid w:val="009073AD"/>
    <w:rsid w:val="009077CE"/>
    <w:rsid w:val="009078BA"/>
    <w:rsid w:val="00907FAE"/>
    <w:rsid w:val="0091019B"/>
    <w:rsid w:val="00910867"/>
    <w:rsid w:val="00910A89"/>
    <w:rsid w:val="00910C5E"/>
    <w:rsid w:val="00910F2E"/>
    <w:rsid w:val="00911315"/>
    <w:rsid w:val="00911565"/>
    <w:rsid w:val="009115A7"/>
    <w:rsid w:val="00911956"/>
    <w:rsid w:val="009121F5"/>
    <w:rsid w:val="00912307"/>
    <w:rsid w:val="009124D6"/>
    <w:rsid w:val="009126B4"/>
    <w:rsid w:val="00912713"/>
    <w:rsid w:val="009127D7"/>
    <w:rsid w:val="009127F0"/>
    <w:rsid w:val="00912B86"/>
    <w:rsid w:val="0091313B"/>
    <w:rsid w:val="0091359B"/>
    <w:rsid w:val="0091370C"/>
    <w:rsid w:val="00913958"/>
    <w:rsid w:val="009139E3"/>
    <w:rsid w:val="00913A27"/>
    <w:rsid w:val="00913C8A"/>
    <w:rsid w:val="00913CEF"/>
    <w:rsid w:val="00913DF7"/>
    <w:rsid w:val="00913E8D"/>
    <w:rsid w:val="00913FAA"/>
    <w:rsid w:val="009140B3"/>
    <w:rsid w:val="0091418E"/>
    <w:rsid w:val="00914408"/>
    <w:rsid w:val="00914486"/>
    <w:rsid w:val="009144A4"/>
    <w:rsid w:val="009146AF"/>
    <w:rsid w:val="009147BD"/>
    <w:rsid w:val="00914B75"/>
    <w:rsid w:val="00914E06"/>
    <w:rsid w:val="00915171"/>
    <w:rsid w:val="009156BC"/>
    <w:rsid w:val="009157CC"/>
    <w:rsid w:val="00915993"/>
    <w:rsid w:val="00915B2F"/>
    <w:rsid w:val="00915FE4"/>
    <w:rsid w:val="009160E5"/>
    <w:rsid w:val="00916335"/>
    <w:rsid w:val="00916445"/>
    <w:rsid w:val="00916620"/>
    <w:rsid w:val="00916B85"/>
    <w:rsid w:val="00916E21"/>
    <w:rsid w:val="00916E32"/>
    <w:rsid w:val="00916E59"/>
    <w:rsid w:val="009170BD"/>
    <w:rsid w:val="00917638"/>
    <w:rsid w:val="009176A9"/>
    <w:rsid w:val="00917D50"/>
    <w:rsid w:val="00920132"/>
    <w:rsid w:val="009202E0"/>
    <w:rsid w:val="0092047A"/>
    <w:rsid w:val="009206BE"/>
    <w:rsid w:val="00920A52"/>
    <w:rsid w:val="00920AE4"/>
    <w:rsid w:val="00920E3C"/>
    <w:rsid w:val="00920EC2"/>
    <w:rsid w:val="009212BB"/>
    <w:rsid w:val="009214A0"/>
    <w:rsid w:val="0092170A"/>
    <w:rsid w:val="009218A4"/>
    <w:rsid w:val="00921971"/>
    <w:rsid w:val="00921AD6"/>
    <w:rsid w:val="00921EE3"/>
    <w:rsid w:val="00922087"/>
    <w:rsid w:val="009224BF"/>
    <w:rsid w:val="009229D1"/>
    <w:rsid w:val="00922ABC"/>
    <w:rsid w:val="00923016"/>
    <w:rsid w:val="009230D7"/>
    <w:rsid w:val="0092310A"/>
    <w:rsid w:val="00923120"/>
    <w:rsid w:val="009235DF"/>
    <w:rsid w:val="00923608"/>
    <w:rsid w:val="0092371D"/>
    <w:rsid w:val="009239C6"/>
    <w:rsid w:val="00923BA9"/>
    <w:rsid w:val="00923CF3"/>
    <w:rsid w:val="00924061"/>
    <w:rsid w:val="009240A7"/>
    <w:rsid w:val="0092414C"/>
    <w:rsid w:val="00924343"/>
    <w:rsid w:val="00924E09"/>
    <w:rsid w:val="00924FAB"/>
    <w:rsid w:val="00925254"/>
    <w:rsid w:val="0092532C"/>
    <w:rsid w:val="0092545F"/>
    <w:rsid w:val="009254E1"/>
    <w:rsid w:val="00925539"/>
    <w:rsid w:val="009257FD"/>
    <w:rsid w:val="0092580F"/>
    <w:rsid w:val="00925E73"/>
    <w:rsid w:val="00926257"/>
    <w:rsid w:val="00926382"/>
    <w:rsid w:val="009264DC"/>
    <w:rsid w:val="009265CA"/>
    <w:rsid w:val="00926635"/>
    <w:rsid w:val="00926C0E"/>
    <w:rsid w:val="00926ED5"/>
    <w:rsid w:val="00926F1D"/>
    <w:rsid w:val="009271FA"/>
    <w:rsid w:val="0092743B"/>
    <w:rsid w:val="00927672"/>
    <w:rsid w:val="0092769D"/>
    <w:rsid w:val="00927A94"/>
    <w:rsid w:val="00927F00"/>
    <w:rsid w:val="00927F5B"/>
    <w:rsid w:val="0093013B"/>
    <w:rsid w:val="00930142"/>
    <w:rsid w:val="00930245"/>
    <w:rsid w:val="00930704"/>
    <w:rsid w:val="00930775"/>
    <w:rsid w:val="00930A0B"/>
    <w:rsid w:val="00930A6A"/>
    <w:rsid w:val="00930B8E"/>
    <w:rsid w:val="0093159F"/>
    <w:rsid w:val="009316F1"/>
    <w:rsid w:val="00931743"/>
    <w:rsid w:val="009318C8"/>
    <w:rsid w:val="00931934"/>
    <w:rsid w:val="00931B56"/>
    <w:rsid w:val="00931B98"/>
    <w:rsid w:val="00931D40"/>
    <w:rsid w:val="00931E7A"/>
    <w:rsid w:val="00932059"/>
    <w:rsid w:val="009320C5"/>
    <w:rsid w:val="009320F5"/>
    <w:rsid w:val="00932309"/>
    <w:rsid w:val="009324C5"/>
    <w:rsid w:val="009327D8"/>
    <w:rsid w:val="009328DB"/>
    <w:rsid w:val="009328F1"/>
    <w:rsid w:val="00932BB1"/>
    <w:rsid w:val="00932C3E"/>
    <w:rsid w:val="00932DE9"/>
    <w:rsid w:val="00932EF7"/>
    <w:rsid w:val="00932FF1"/>
    <w:rsid w:val="009330A4"/>
    <w:rsid w:val="009332D7"/>
    <w:rsid w:val="00933319"/>
    <w:rsid w:val="00933A73"/>
    <w:rsid w:val="00933C84"/>
    <w:rsid w:val="00933D52"/>
    <w:rsid w:val="00933D61"/>
    <w:rsid w:val="00933F8C"/>
    <w:rsid w:val="00934092"/>
    <w:rsid w:val="009343D2"/>
    <w:rsid w:val="0093456B"/>
    <w:rsid w:val="0093478A"/>
    <w:rsid w:val="00934866"/>
    <w:rsid w:val="009348CF"/>
    <w:rsid w:val="00934973"/>
    <w:rsid w:val="00934D5C"/>
    <w:rsid w:val="00934E05"/>
    <w:rsid w:val="00935341"/>
    <w:rsid w:val="009355F7"/>
    <w:rsid w:val="00935936"/>
    <w:rsid w:val="00935C44"/>
    <w:rsid w:val="00935FF5"/>
    <w:rsid w:val="009367D6"/>
    <w:rsid w:val="0093683D"/>
    <w:rsid w:val="009369C3"/>
    <w:rsid w:val="00936A74"/>
    <w:rsid w:val="00936B67"/>
    <w:rsid w:val="00936C2E"/>
    <w:rsid w:val="00936C46"/>
    <w:rsid w:val="00936FB3"/>
    <w:rsid w:val="00937843"/>
    <w:rsid w:val="00937873"/>
    <w:rsid w:val="00937A19"/>
    <w:rsid w:val="00937A6A"/>
    <w:rsid w:val="00937E10"/>
    <w:rsid w:val="00937EC3"/>
    <w:rsid w:val="009403AD"/>
    <w:rsid w:val="00940608"/>
    <w:rsid w:val="00940CFD"/>
    <w:rsid w:val="00941597"/>
    <w:rsid w:val="009416DC"/>
    <w:rsid w:val="00941AAB"/>
    <w:rsid w:val="00941B38"/>
    <w:rsid w:val="00941CD0"/>
    <w:rsid w:val="00941D9A"/>
    <w:rsid w:val="00941EA3"/>
    <w:rsid w:val="00941FC2"/>
    <w:rsid w:val="009421A3"/>
    <w:rsid w:val="009425FD"/>
    <w:rsid w:val="00942838"/>
    <w:rsid w:val="00942AFD"/>
    <w:rsid w:val="00942BF5"/>
    <w:rsid w:val="00942D47"/>
    <w:rsid w:val="00942F4B"/>
    <w:rsid w:val="00942F9F"/>
    <w:rsid w:val="00943451"/>
    <w:rsid w:val="009434A8"/>
    <w:rsid w:val="00943716"/>
    <w:rsid w:val="00943931"/>
    <w:rsid w:val="00943A66"/>
    <w:rsid w:val="00943BE6"/>
    <w:rsid w:val="0094459D"/>
    <w:rsid w:val="009447EB"/>
    <w:rsid w:val="009448EC"/>
    <w:rsid w:val="009449CC"/>
    <w:rsid w:val="009449F7"/>
    <w:rsid w:val="00944D38"/>
    <w:rsid w:val="00944EB3"/>
    <w:rsid w:val="00944F79"/>
    <w:rsid w:val="009452A8"/>
    <w:rsid w:val="009455AE"/>
    <w:rsid w:val="009456A1"/>
    <w:rsid w:val="009457CC"/>
    <w:rsid w:val="0094580C"/>
    <w:rsid w:val="009458DD"/>
    <w:rsid w:val="00945B0B"/>
    <w:rsid w:val="00945EA3"/>
    <w:rsid w:val="009463E5"/>
    <w:rsid w:val="009464BB"/>
    <w:rsid w:val="00946509"/>
    <w:rsid w:val="009467E7"/>
    <w:rsid w:val="00946C5E"/>
    <w:rsid w:val="00946DEC"/>
    <w:rsid w:val="0094707D"/>
    <w:rsid w:val="0094716B"/>
    <w:rsid w:val="0094717F"/>
    <w:rsid w:val="00947447"/>
    <w:rsid w:val="0094748A"/>
    <w:rsid w:val="0094764F"/>
    <w:rsid w:val="009476AE"/>
    <w:rsid w:val="00947A21"/>
    <w:rsid w:val="00947AD5"/>
    <w:rsid w:val="00947B03"/>
    <w:rsid w:val="00947B43"/>
    <w:rsid w:val="00947B7A"/>
    <w:rsid w:val="00947F92"/>
    <w:rsid w:val="009503B5"/>
    <w:rsid w:val="00950476"/>
    <w:rsid w:val="009509CD"/>
    <w:rsid w:val="00950BD8"/>
    <w:rsid w:val="00950D05"/>
    <w:rsid w:val="00950EE6"/>
    <w:rsid w:val="009515FE"/>
    <w:rsid w:val="00951706"/>
    <w:rsid w:val="0095179D"/>
    <w:rsid w:val="009517B0"/>
    <w:rsid w:val="00951C4E"/>
    <w:rsid w:val="00951CD2"/>
    <w:rsid w:val="00951E8A"/>
    <w:rsid w:val="009526F8"/>
    <w:rsid w:val="00952A50"/>
    <w:rsid w:val="00952B91"/>
    <w:rsid w:val="00952EE6"/>
    <w:rsid w:val="00952EEE"/>
    <w:rsid w:val="00952EFA"/>
    <w:rsid w:val="009530AD"/>
    <w:rsid w:val="00953154"/>
    <w:rsid w:val="00953403"/>
    <w:rsid w:val="00953817"/>
    <w:rsid w:val="009539FB"/>
    <w:rsid w:val="00953C59"/>
    <w:rsid w:val="00953C98"/>
    <w:rsid w:val="00953D7F"/>
    <w:rsid w:val="00953F03"/>
    <w:rsid w:val="00953F8B"/>
    <w:rsid w:val="009541B6"/>
    <w:rsid w:val="00954233"/>
    <w:rsid w:val="009542A8"/>
    <w:rsid w:val="0095453B"/>
    <w:rsid w:val="00954750"/>
    <w:rsid w:val="009547BE"/>
    <w:rsid w:val="00954EC1"/>
    <w:rsid w:val="00954FDE"/>
    <w:rsid w:val="00955051"/>
    <w:rsid w:val="009551E4"/>
    <w:rsid w:val="009552A8"/>
    <w:rsid w:val="009555B2"/>
    <w:rsid w:val="0095578B"/>
    <w:rsid w:val="00955AA3"/>
    <w:rsid w:val="00955B89"/>
    <w:rsid w:val="00955CF1"/>
    <w:rsid w:val="00955D7B"/>
    <w:rsid w:val="00955DCD"/>
    <w:rsid w:val="00955E56"/>
    <w:rsid w:val="00956002"/>
    <w:rsid w:val="009560DB"/>
    <w:rsid w:val="00956158"/>
    <w:rsid w:val="0095617F"/>
    <w:rsid w:val="009561D4"/>
    <w:rsid w:val="0095623E"/>
    <w:rsid w:val="00956322"/>
    <w:rsid w:val="00956581"/>
    <w:rsid w:val="0095692F"/>
    <w:rsid w:val="00956E09"/>
    <w:rsid w:val="00956E4C"/>
    <w:rsid w:val="00956E5B"/>
    <w:rsid w:val="00956F77"/>
    <w:rsid w:val="0095702A"/>
    <w:rsid w:val="009572F3"/>
    <w:rsid w:val="00957357"/>
    <w:rsid w:val="009573A7"/>
    <w:rsid w:val="00957513"/>
    <w:rsid w:val="00957CAE"/>
    <w:rsid w:val="00957CD6"/>
    <w:rsid w:val="00957E40"/>
    <w:rsid w:val="00957F2A"/>
    <w:rsid w:val="00957F37"/>
    <w:rsid w:val="00960214"/>
    <w:rsid w:val="00960580"/>
    <w:rsid w:val="00960583"/>
    <w:rsid w:val="009608BB"/>
    <w:rsid w:val="009608D9"/>
    <w:rsid w:val="00960931"/>
    <w:rsid w:val="009609DC"/>
    <w:rsid w:val="00960C9B"/>
    <w:rsid w:val="00960E86"/>
    <w:rsid w:val="00960F88"/>
    <w:rsid w:val="00961189"/>
    <w:rsid w:val="009611BC"/>
    <w:rsid w:val="009612B3"/>
    <w:rsid w:val="00961585"/>
    <w:rsid w:val="0096164B"/>
    <w:rsid w:val="0096166C"/>
    <w:rsid w:val="009616A8"/>
    <w:rsid w:val="009616E4"/>
    <w:rsid w:val="009617F4"/>
    <w:rsid w:val="00961880"/>
    <w:rsid w:val="00961C3A"/>
    <w:rsid w:val="00962124"/>
    <w:rsid w:val="0096222D"/>
    <w:rsid w:val="009622FD"/>
    <w:rsid w:val="00962480"/>
    <w:rsid w:val="00962986"/>
    <w:rsid w:val="00962B2E"/>
    <w:rsid w:val="00962B75"/>
    <w:rsid w:val="00963103"/>
    <w:rsid w:val="00963196"/>
    <w:rsid w:val="00963468"/>
    <w:rsid w:val="00963889"/>
    <w:rsid w:val="00963A11"/>
    <w:rsid w:val="00963B12"/>
    <w:rsid w:val="00963B89"/>
    <w:rsid w:val="00963C54"/>
    <w:rsid w:val="00963D53"/>
    <w:rsid w:val="00963DA6"/>
    <w:rsid w:val="00963E06"/>
    <w:rsid w:val="00964185"/>
    <w:rsid w:val="00964714"/>
    <w:rsid w:val="009649A9"/>
    <w:rsid w:val="00964AEB"/>
    <w:rsid w:val="00964BB1"/>
    <w:rsid w:val="00964FAF"/>
    <w:rsid w:val="00964FF3"/>
    <w:rsid w:val="009653FE"/>
    <w:rsid w:val="00965463"/>
    <w:rsid w:val="00965543"/>
    <w:rsid w:val="009655F6"/>
    <w:rsid w:val="00965653"/>
    <w:rsid w:val="00965984"/>
    <w:rsid w:val="009659B4"/>
    <w:rsid w:val="00965A01"/>
    <w:rsid w:val="00965AC3"/>
    <w:rsid w:val="00965B92"/>
    <w:rsid w:val="00965C60"/>
    <w:rsid w:val="00965FA6"/>
    <w:rsid w:val="009661E3"/>
    <w:rsid w:val="009663DB"/>
    <w:rsid w:val="00966790"/>
    <w:rsid w:val="009669D6"/>
    <w:rsid w:val="00966A74"/>
    <w:rsid w:val="0096702D"/>
    <w:rsid w:val="009670EF"/>
    <w:rsid w:val="009671E9"/>
    <w:rsid w:val="009672D4"/>
    <w:rsid w:val="009673A1"/>
    <w:rsid w:val="0096741D"/>
    <w:rsid w:val="009676C6"/>
    <w:rsid w:val="009679EC"/>
    <w:rsid w:val="00967C9A"/>
    <w:rsid w:val="00967DA7"/>
    <w:rsid w:val="00967DE4"/>
    <w:rsid w:val="00967FC5"/>
    <w:rsid w:val="0097012C"/>
    <w:rsid w:val="0097024C"/>
    <w:rsid w:val="0097060E"/>
    <w:rsid w:val="00970955"/>
    <w:rsid w:val="00970A62"/>
    <w:rsid w:val="00970DD5"/>
    <w:rsid w:val="00970F6F"/>
    <w:rsid w:val="0097101C"/>
    <w:rsid w:val="00971199"/>
    <w:rsid w:val="009711C7"/>
    <w:rsid w:val="00971431"/>
    <w:rsid w:val="0097189C"/>
    <w:rsid w:val="0097193F"/>
    <w:rsid w:val="00971AF9"/>
    <w:rsid w:val="00971C3A"/>
    <w:rsid w:val="00971CF6"/>
    <w:rsid w:val="00971D66"/>
    <w:rsid w:val="009725BC"/>
    <w:rsid w:val="009729CA"/>
    <w:rsid w:val="00972ECA"/>
    <w:rsid w:val="009733F0"/>
    <w:rsid w:val="009735AD"/>
    <w:rsid w:val="00973D1F"/>
    <w:rsid w:val="00973E7A"/>
    <w:rsid w:val="00973F5D"/>
    <w:rsid w:val="00974022"/>
    <w:rsid w:val="009742B2"/>
    <w:rsid w:val="009743CD"/>
    <w:rsid w:val="009744CE"/>
    <w:rsid w:val="0097459E"/>
    <w:rsid w:val="00974DA9"/>
    <w:rsid w:val="00974E42"/>
    <w:rsid w:val="0097531D"/>
    <w:rsid w:val="00975348"/>
    <w:rsid w:val="00975401"/>
    <w:rsid w:val="00975413"/>
    <w:rsid w:val="0097573C"/>
    <w:rsid w:val="00975794"/>
    <w:rsid w:val="0097598E"/>
    <w:rsid w:val="00975CB0"/>
    <w:rsid w:val="00975CE5"/>
    <w:rsid w:val="00975E9E"/>
    <w:rsid w:val="009762F7"/>
    <w:rsid w:val="00976391"/>
    <w:rsid w:val="00976956"/>
    <w:rsid w:val="00976C7A"/>
    <w:rsid w:val="00977117"/>
    <w:rsid w:val="009773C5"/>
    <w:rsid w:val="0097784B"/>
    <w:rsid w:val="00977A2F"/>
    <w:rsid w:val="00977B7B"/>
    <w:rsid w:val="00980243"/>
    <w:rsid w:val="009802FF"/>
    <w:rsid w:val="00980589"/>
    <w:rsid w:val="00980812"/>
    <w:rsid w:val="00980830"/>
    <w:rsid w:val="00980C57"/>
    <w:rsid w:val="00980CD6"/>
    <w:rsid w:val="00980EAB"/>
    <w:rsid w:val="00980F2F"/>
    <w:rsid w:val="00981037"/>
    <w:rsid w:val="00981193"/>
    <w:rsid w:val="00981359"/>
    <w:rsid w:val="009813EE"/>
    <w:rsid w:val="00981509"/>
    <w:rsid w:val="009815FA"/>
    <w:rsid w:val="0098161A"/>
    <w:rsid w:val="00981ACA"/>
    <w:rsid w:val="009824F0"/>
    <w:rsid w:val="00982635"/>
    <w:rsid w:val="00982747"/>
    <w:rsid w:val="00982BCC"/>
    <w:rsid w:val="00982F30"/>
    <w:rsid w:val="00983399"/>
    <w:rsid w:val="0098361F"/>
    <w:rsid w:val="0098398D"/>
    <w:rsid w:val="00983C3F"/>
    <w:rsid w:val="00983CA4"/>
    <w:rsid w:val="00983CD1"/>
    <w:rsid w:val="00983D05"/>
    <w:rsid w:val="009844D2"/>
    <w:rsid w:val="00984F72"/>
    <w:rsid w:val="009853D7"/>
    <w:rsid w:val="0098546E"/>
    <w:rsid w:val="00985489"/>
    <w:rsid w:val="009856FA"/>
    <w:rsid w:val="00985780"/>
    <w:rsid w:val="0098590B"/>
    <w:rsid w:val="00985947"/>
    <w:rsid w:val="0098595D"/>
    <w:rsid w:val="00985BC8"/>
    <w:rsid w:val="00985F80"/>
    <w:rsid w:val="009861EB"/>
    <w:rsid w:val="00986343"/>
    <w:rsid w:val="00986474"/>
    <w:rsid w:val="00986497"/>
    <w:rsid w:val="00986593"/>
    <w:rsid w:val="009866BA"/>
    <w:rsid w:val="00986715"/>
    <w:rsid w:val="00986A88"/>
    <w:rsid w:val="00986B54"/>
    <w:rsid w:val="00986F7F"/>
    <w:rsid w:val="00987036"/>
    <w:rsid w:val="0098722D"/>
    <w:rsid w:val="00987969"/>
    <w:rsid w:val="00987E62"/>
    <w:rsid w:val="00990293"/>
    <w:rsid w:val="0099077F"/>
    <w:rsid w:val="00990852"/>
    <w:rsid w:val="00990883"/>
    <w:rsid w:val="00990906"/>
    <w:rsid w:val="00990A4B"/>
    <w:rsid w:val="00990AB4"/>
    <w:rsid w:val="00990AE3"/>
    <w:rsid w:val="00990B2C"/>
    <w:rsid w:val="00990C49"/>
    <w:rsid w:val="009911C6"/>
    <w:rsid w:val="00991331"/>
    <w:rsid w:val="00991895"/>
    <w:rsid w:val="00991C9E"/>
    <w:rsid w:val="00991D00"/>
    <w:rsid w:val="00992F5F"/>
    <w:rsid w:val="0099319A"/>
    <w:rsid w:val="0099329F"/>
    <w:rsid w:val="0099343E"/>
    <w:rsid w:val="0099347B"/>
    <w:rsid w:val="009938A3"/>
    <w:rsid w:val="009938E5"/>
    <w:rsid w:val="00993A99"/>
    <w:rsid w:val="00993B0A"/>
    <w:rsid w:val="00993C5F"/>
    <w:rsid w:val="00993CCE"/>
    <w:rsid w:val="00993DD8"/>
    <w:rsid w:val="00994394"/>
    <w:rsid w:val="0099456B"/>
    <w:rsid w:val="0099479B"/>
    <w:rsid w:val="00994966"/>
    <w:rsid w:val="00994E47"/>
    <w:rsid w:val="00994F83"/>
    <w:rsid w:val="00994FA1"/>
    <w:rsid w:val="0099503F"/>
    <w:rsid w:val="00995735"/>
    <w:rsid w:val="00995798"/>
    <w:rsid w:val="00995896"/>
    <w:rsid w:val="00995955"/>
    <w:rsid w:val="00995B19"/>
    <w:rsid w:val="00995C33"/>
    <w:rsid w:val="00995D92"/>
    <w:rsid w:val="009961B5"/>
    <w:rsid w:val="00996510"/>
    <w:rsid w:val="00996756"/>
    <w:rsid w:val="009969E1"/>
    <w:rsid w:val="00996A16"/>
    <w:rsid w:val="00996A4A"/>
    <w:rsid w:val="00996ADB"/>
    <w:rsid w:val="00996BCB"/>
    <w:rsid w:val="00997097"/>
    <w:rsid w:val="00997112"/>
    <w:rsid w:val="00997367"/>
    <w:rsid w:val="009975EF"/>
    <w:rsid w:val="00997641"/>
    <w:rsid w:val="00997B58"/>
    <w:rsid w:val="00997C00"/>
    <w:rsid w:val="00997FB2"/>
    <w:rsid w:val="009A0060"/>
    <w:rsid w:val="009A0083"/>
    <w:rsid w:val="009A0136"/>
    <w:rsid w:val="009A013F"/>
    <w:rsid w:val="009A0297"/>
    <w:rsid w:val="009A029E"/>
    <w:rsid w:val="009A0386"/>
    <w:rsid w:val="009A08EE"/>
    <w:rsid w:val="009A0D1A"/>
    <w:rsid w:val="009A0DCB"/>
    <w:rsid w:val="009A0F9B"/>
    <w:rsid w:val="009A0FB6"/>
    <w:rsid w:val="009A1277"/>
    <w:rsid w:val="009A1377"/>
    <w:rsid w:val="009A15B4"/>
    <w:rsid w:val="009A16A7"/>
    <w:rsid w:val="009A18A6"/>
    <w:rsid w:val="009A1F92"/>
    <w:rsid w:val="009A2122"/>
    <w:rsid w:val="009A21C8"/>
    <w:rsid w:val="009A23C1"/>
    <w:rsid w:val="009A277C"/>
    <w:rsid w:val="009A2790"/>
    <w:rsid w:val="009A2928"/>
    <w:rsid w:val="009A2997"/>
    <w:rsid w:val="009A29C3"/>
    <w:rsid w:val="009A2E32"/>
    <w:rsid w:val="009A2F2A"/>
    <w:rsid w:val="009A32E9"/>
    <w:rsid w:val="009A3369"/>
    <w:rsid w:val="009A3736"/>
    <w:rsid w:val="009A39BB"/>
    <w:rsid w:val="009A3C6D"/>
    <w:rsid w:val="009A3F15"/>
    <w:rsid w:val="009A3F50"/>
    <w:rsid w:val="009A4055"/>
    <w:rsid w:val="009A4517"/>
    <w:rsid w:val="009A4670"/>
    <w:rsid w:val="009A48A5"/>
    <w:rsid w:val="009A4995"/>
    <w:rsid w:val="009A4A1E"/>
    <w:rsid w:val="009A4BB7"/>
    <w:rsid w:val="009A4C0B"/>
    <w:rsid w:val="009A4FFA"/>
    <w:rsid w:val="009A5289"/>
    <w:rsid w:val="009A5500"/>
    <w:rsid w:val="009A55EA"/>
    <w:rsid w:val="009A58A7"/>
    <w:rsid w:val="009A59E2"/>
    <w:rsid w:val="009A5AB5"/>
    <w:rsid w:val="009A5ECA"/>
    <w:rsid w:val="009A5F68"/>
    <w:rsid w:val="009A6020"/>
    <w:rsid w:val="009A613F"/>
    <w:rsid w:val="009A62B2"/>
    <w:rsid w:val="009A62B5"/>
    <w:rsid w:val="009A63EB"/>
    <w:rsid w:val="009A692B"/>
    <w:rsid w:val="009A69AE"/>
    <w:rsid w:val="009A6C4D"/>
    <w:rsid w:val="009A7176"/>
    <w:rsid w:val="009A7263"/>
    <w:rsid w:val="009A734F"/>
    <w:rsid w:val="009A73B9"/>
    <w:rsid w:val="009A74FE"/>
    <w:rsid w:val="009A75C8"/>
    <w:rsid w:val="009A76C1"/>
    <w:rsid w:val="009A76C5"/>
    <w:rsid w:val="009A7887"/>
    <w:rsid w:val="009A7905"/>
    <w:rsid w:val="009A7AC5"/>
    <w:rsid w:val="009A7D6D"/>
    <w:rsid w:val="009A7ED0"/>
    <w:rsid w:val="009B000C"/>
    <w:rsid w:val="009B01BC"/>
    <w:rsid w:val="009B0438"/>
    <w:rsid w:val="009B0615"/>
    <w:rsid w:val="009B06BC"/>
    <w:rsid w:val="009B0723"/>
    <w:rsid w:val="009B0784"/>
    <w:rsid w:val="009B0817"/>
    <w:rsid w:val="009B0882"/>
    <w:rsid w:val="009B08D8"/>
    <w:rsid w:val="009B08E9"/>
    <w:rsid w:val="009B0AF1"/>
    <w:rsid w:val="009B0C95"/>
    <w:rsid w:val="009B10C9"/>
    <w:rsid w:val="009B111F"/>
    <w:rsid w:val="009B1223"/>
    <w:rsid w:val="009B12FF"/>
    <w:rsid w:val="009B1460"/>
    <w:rsid w:val="009B14F5"/>
    <w:rsid w:val="009B164B"/>
    <w:rsid w:val="009B1A47"/>
    <w:rsid w:val="009B1C24"/>
    <w:rsid w:val="009B1CB9"/>
    <w:rsid w:val="009B1CFC"/>
    <w:rsid w:val="009B1D2F"/>
    <w:rsid w:val="009B1DBB"/>
    <w:rsid w:val="009B21F2"/>
    <w:rsid w:val="009B283E"/>
    <w:rsid w:val="009B2BBC"/>
    <w:rsid w:val="009B2CDD"/>
    <w:rsid w:val="009B2E44"/>
    <w:rsid w:val="009B2F28"/>
    <w:rsid w:val="009B305E"/>
    <w:rsid w:val="009B32F4"/>
    <w:rsid w:val="009B3677"/>
    <w:rsid w:val="009B3BB4"/>
    <w:rsid w:val="009B3FBD"/>
    <w:rsid w:val="009B3FF0"/>
    <w:rsid w:val="009B425A"/>
    <w:rsid w:val="009B43DD"/>
    <w:rsid w:val="009B446A"/>
    <w:rsid w:val="009B4763"/>
    <w:rsid w:val="009B477E"/>
    <w:rsid w:val="009B48D4"/>
    <w:rsid w:val="009B4AE0"/>
    <w:rsid w:val="009B4E18"/>
    <w:rsid w:val="009B4F96"/>
    <w:rsid w:val="009B4FF1"/>
    <w:rsid w:val="009B50DB"/>
    <w:rsid w:val="009B525E"/>
    <w:rsid w:val="009B54C4"/>
    <w:rsid w:val="009B5795"/>
    <w:rsid w:val="009B5A7A"/>
    <w:rsid w:val="009B5F5A"/>
    <w:rsid w:val="009B5F7B"/>
    <w:rsid w:val="009B60B0"/>
    <w:rsid w:val="009B6569"/>
    <w:rsid w:val="009B6809"/>
    <w:rsid w:val="009B6C6C"/>
    <w:rsid w:val="009B6D53"/>
    <w:rsid w:val="009B70EA"/>
    <w:rsid w:val="009B72E2"/>
    <w:rsid w:val="009B7414"/>
    <w:rsid w:val="009B7507"/>
    <w:rsid w:val="009B7610"/>
    <w:rsid w:val="009B7647"/>
    <w:rsid w:val="009B76CC"/>
    <w:rsid w:val="009B76D9"/>
    <w:rsid w:val="009B76F1"/>
    <w:rsid w:val="009B7826"/>
    <w:rsid w:val="009B7B45"/>
    <w:rsid w:val="009B7F1C"/>
    <w:rsid w:val="009C024B"/>
    <w:rsid w:val="009C03BF"/>
    <w:rsid w:val="009C0416"/>
    <w:rsid w:val="009C05C4"/>
    <w:rsid w:val="009C09C7"/>
    <w:rsid w:val="009C0B4D"/>
    <w:rsid w:val="009C0BC6"/>
    <w:rsid w:val="009C0BEF"/>
    <w:rsid w:val="009C0D38"/>
    <w:rsid w:val="009C0E63"/>
    <w:rsid w:val="009C0FD5"/>
    <w:rsid w:val="009C1002"/>
    <w:rsid w:val="009C1ACE"/>
    <w:rsid w:val="009C1B9D"/>
    <w:rsid w:val="009C1BF9"/>
    <w:rsid w:val="009C20D6"/>
    <w:rsid w:val="009C2448"/>
    <w:rsid w:val="009C2B39"/>
    <w:rsid w:val="009C2B5F"/>
    <w:rsid w:val="009C2FBE"/>
    <w:rsid w:val="009C3048"/>
    <w:rsid w:val="009C3276"/>
    <w:rsid w:val="009C341D"/>
    <w:rsid w:val="009C3598"/>
    <w:rsid w:val="009C3862"/>
    <w:rsid w:val="009C397D"/>
    <w:rsid w:val="009C3A55"/>
    <w:rsid w:val="009C3B64"/>
    <w:rsid w:val="009C3C39"/>
    <w:rsid w:val="009C3EFB"/>
    <w:rsid w:val="009C4892"/>
    <w:rsid w:val="009C4C13"/>
    <w:rsid w:val="009C4CF5"/>
    <w:rsid w:val="009C4F94"/>
    <w:rsid w:val="009C5405"/>
    <w:rsid w:val="009C548B"/>
    <w:rsid w:val="009C55FB"/>
    <w:rsid w:val="009C566B"/>
    <w:rsid w:val="009C5B38"/>
    <w:rsid w:val="009C5CD5"/>
    <w:rsid w:val="009C5DB6"/>
    <w:rsid w:val="009C5F9D"/>
    <w:rsid w:val="009C63F0"/>
    <w:rsid w:val="009C6459"/>
    <w:rsid w:val="009C64AF"/>
    <w:rsid w:val="009C6526"/>
    <w:rsid w:val="009C6A30"/>
    <w:rsid w:val="009C6CB0"/>
    <w:rsid w:val="009C78A9"/>
    <w:rsid w:val="009C7ABD"/>
    <w:rsid w:val="009C7B07"/>
    <w:rsid w:val="009C7CBC"/>
    <w:rsid w:val="009C7D72"/>
    <w:rsid w:val="009C7E08"/>
    <w:rsid w:val="009D0177"/>
    <w:rsid w:val="009D01E1"/>
    <w:rsid w:val="009D02B9"/>
    <w:rsid w:val="009D064A"/>
    <w:rsid w:val="009D09FA"/>
    <w:rsid w:val="009D0AB7"/>
    <w:rsid w:val="009D0D8A"/>
    <w:rsid w:val="009D12E9"/>
    <w:rsid w:val="009D12F5"/>
    <w:rsid w:val="009D1300"/>
    <w:rsid w:val="009D149A"/>
    <w:rsid w:val="009D1687"/>
    <w:rsid w:val="009D169C"/>
    <w:rsid w:val="009D178C"/>
    <w:rsid w:val="009D1AA5"/>
    <w:rsid w:val="009D1B3E"/>
    <w:rsid w:val="009D1BC7"/>
    <w:rsid w:val="009D1D93"/>
    <w:rsid w:val="009D20F3"/>
    <w:rsid w:val="009D22DF"/>
    <w:rsid w:val="009D2388"/>
    <w:rsid w:val="009D2559"/>
    <w:rsid w:val="009D25A8"/>
    <w:rsid w:val="009D25F0"/>
    <w:rsid w:val="009D263F"/>
    <w:rsid w:val="009D284D"/>
    <w:rsid w:val="009D29DC"/>
    <w:rsid w:val="009D2E94"/>
    <w:rsid w:val="009D2F2F"/>
    <w:rsid w:val="009D360F"/>
    <w:rsid w:val="009D36C2"/>
    <w:rsid w:val="009D3940"/>
    <w:rsid w:val="009D3BBE"/>
    <w:rsid w:val="009D3D65"/>
    <w:rsid w:val="009D41B5"/>
    <w:rsid w:val="009D4242"/>
    <w:rsid w:val="009D431D"/>
    <w:rsid w:val="009D4564"/>
    <w:rsid w:val="009D474A"/>
    <w:rsid w:val="009D47C5"/>
    <w:rsid w:val="009D483F"/>
    <w:rsid w:val="009D49C8"/>
    <w:rsid w:val="009D4CBE"/>
    <w:rsid w:val="009D4D95"/>
    <w:rsid w:val="009D5661"/>
    <w:rsid w:val="009D5697"/>
    <w:rsid w:val="009D5712"/>
    <w:rsid w:val="009D5CFF"/>
    <w:rsid w:val="009D5F98"/>
    <w:rsid w:val="009D5FC0"/>
    <w:rsid w:val="009D6010"/>
    <w:rsid w:val="009D6157"/>
    <w:rsid w:val="009D6168"/>
    <w:rsid w:val="009D618C"/>
    <w:rsid w:val="009D6346"/>
    <w:rsid w:val="009D68DD"/>
    <w:rsid w:val="009D694F"/>
    <w:rsid w:val="009D6D4D"/>
    <w:rsid w:val="009D73A3"/>
    <w:rsid w:val="009D7416"/>
    <w:rsid w:val="009D78DF"/>
    <w:rsid w:val="009D79EA"/>
    <w:rsid w:val="009D7BFB"/>
    <w:rsid w:val="009D7D69"/>
    <w:rsid w:val="009D7EB4"/>
    <w:rsid w:val="009D7F40"/>
    <w:rsid w:val="009E0210"/>
    <w:rsid w:val="009E054E"/>
    <w:rsid w:val="009E0559"/>
    <w:rsid w:val="009E068F"/>
    <w:rsid w:val="009E0796"/>
    <w:rsid w:val="009E0BCA"/>
    <w:rsid w:val="009E13E9"/>
    <w:rsid w:val="009E1A8D"/>
    <w:rsid w:val="009E1BF3"/>
    <w:rsid w:val="009E1E17"/>
    <w:rsid w:val="009E216D"/>
    <w:rsid w:val="009E22BF"/>
    <w:rsid w:val="009E2578"/>
    <w:rsid w:val="009E2646"/>
    <w:rsid w:val="009E26B4"/>
    <w:rsid w:val="009E26CF"/>
    <w:rsid w:val="009E26E4"/>
    <w:rsid w:val="009E276B"/>
    <w:rsid w:val="009E2CC1"/>
    <w:rsid w:val="009E31E8"/>
    <w:rsid w:val="009E3442"/>
    <w:rsid w:val="009E348A"/>
    <w:rsid w:val="009E3540"/>
    <w:rsid w:val="009E3920"/>
    <w:rsid w:val="009E3BD6"/>
    <w:rsid w:val="009E3C57"/>
    <w:rsid w:val="009E3E33"/>
    <w:rsid w:val="009E4198"/>
    <w:rsid w:val="009E41F4"/>
    <w:rsid w:val="009E43F6"/>
    <w:rsid w:val="009E44EA"/>
    <w:rsid w:val="009E46E4"/>
    <w:rsid w:val="009E474F"/>
    <w:rsid w:val="009E4A2C"/>
    <w:rsid w:val="009E4E6E"/>
    <w:rsid w:val="009E4F8B"/>
    <w:rsid w:val="009E5128"/>
    <w:rsid w:val="009E52EF"/>
    <w:rsid w:val="009E53E6"/>
    <w:rsid w:val="009E5448"/>
    <w:rsid w:val="009E5642"/>
    <w:rsid w:val="009E5CB3"/>
    <w:rsid w:val="009E5CF9"/>
    <w:rsid w:val="009E64E6"/>
    <w:rsid w:val="009E65CF"/>
    <w:rsid w:val="009E66BD"/>
    <w:rsid w:val="009E6765"/>
    <w:rsid w:val="009E6988"/>
    <w:rsid w:val="009E6B9D"/>
    <w:rsid w:val="009E6D11"/>
    <w:rsid w:val="009E6D90"/>
    <w:rsid w:val="009E71AF"/>
    <w:rsid w:val="009E7661"/>
    <w:rsid w:val="009E77C1"/>
    <w:rsid w:val="009E7915"/>
    <w:rsid w:val="009E79D3"/>
    <w:rsid w:val="009E7C69"/>
    <w:rsid w:val="009E7CA6"/>
    <w:rsid w:val="009E7CC6"/>
    <w:rsid w:val="009E7D6A"/>
    <w:rsid w:val="009E7EE7"/>
    <w:rsid w:val="009F0237"/>
    <w:rsid w:val="009F04D3"/>
    <w:rsid w:val="009F06DB"/>
    <w:rsid w:val="009F08B1"/>
    <w:rsid w:val="009F0B80"/>
    <w:rsid w:val="009F0C6A"/>
    <w:rsid w:val="009F0CFF"/>
    <w:rsid w:val="009F0F15"/>
    <w:rsid w:val="009F1002"/>
    <w:rsid w:val="009F1165"/>
    <w:rsid w:val="009F123B"/>
    <w:rsid w:val="009F14CB"/>
    <w:rsid w:val="009F155F"/>
    <w:rsid w:val="009F167B"/>
    <w:rsid w:val="009F1708"/>
    <w:rsid w:val="009F1756"/>
    <w:rsid w:val="009F19B2"/>
    <w:rsid w:val="009F1A0A"/>
    <w:rsid w:val="009F1AEF"/>
    <w:rsid w:val="009F1D4E"/>
    <w:rsid w:val="009F1E49"/>
    <w:rsid w:val="009F1FD4"/>
    <w:rsid w:val="009F2105"/>
    <w:rsid w:val="009F2178"/>
    <w:rsid w:val="009F2424"/>
    <w:rsid w:val="009F2514"/>
    <w:rsid w:val="009F25DC"/>
    <w:rsid w:val="009F2670"/>
    <w:rsid w:val="009F2BBC"/>
    <w:rsid w:val="009F2F57"/>
    <w:rsid w:val="009F34EF"/>
    <w:rsid w:val="009F3795"/>
    <w:rsid w:val="009F3865"/>
    <w:rsid w:val="009F3A11"/>
    <w:rsid w:val="009F3A69"/>
    <w:rsid w:val="009F3AF3"/>
    <w:rsid w:val="009F3D21"/>
    <w:rsid w:val="009F3D92"/>
    <w:rsid w:val="009F3DC4"/>
    <w:rsid w:val="009F3E65"/>
    <w:rsid w:val="009F4124"/>
    <w:rsid w:val="009F435C"/>
    <w:rsid w:val="009F44C4"/>
    <w:rsid w:val="009F453B"/>
    <w:rsid w:val="009F4599"/>
    <w:rsid w:val="009F45AE"/>
    <w:rsid w:val="009F484A"/>
    <w:rsid w:val="009F494F"/>
    <w:rsid w:val="009F49CF"/>
    <w:rsid w:val="009F49E9"/>
    <w:rsid w:val="009F4A3E"/>
    <w:rsid w:val="009F513D"/>
    <w:rsid w:val="009F55FC"/>
    <w:rsid w:val="009F5AF7"/>
    <w:rsid w:val="009F5B8E"/>
    <w:rsid w:val="009F5DC7"/>
    <w:rsid w:val="009F60B8"/>
    <w:rsid w:val="009F6166"/>
    <w:rsid w:val="009F6251"/>
    <w:rsid w:val="009F634F"/>
    <w:rsid w:val="009F65F7"/>
    <w:rsid w:val="009F6953"/>
    <w:rsid w:val="009F6D3C"/>
    <w:rsid w:val="009F6F81"/>
    <w:rsid w:val="009F6FF7"/>
    <w:rsid w:val="009F7167"/>
    <w:rsid w:val="009F7237"/>
    <w:rsid w:val="009F72B0"/>
    <w:rsid w:val="009F73BD"/>
    <w:rsid w:val="009F74B6"/>
    <w:rsid w:val="009F75BF"/>
    <w:rsid w:val="009F760F"/>
    <w:rsid w:val="009F7A94"/>
    <w:rsid w:val="009F7F94"/>
    <w:rsid w:val="00A00148"/>
    <w:rsid w:val="00A0037C"/>
    <w:rsid w:val="00A00660"/>
    <w:rsid w:val="00A00686"/>
    <w:rsid w:val="00A00863"/>
    <w:rsid w:val="00A00988"/>
    <w:rsid w:val="00A00B5C"/>
    <w:rsid w:val="00A00B69"/>
    <w:rsid w:val="00A00CBC"/>
    <w:rsid w:val="00A01033"/>
    <w:rsid w:val="00A010B9"/>
    <w:rsid w:val="00A016C5"/>
    <w:rsid w:val="00A01705"/>
    <w:rsid w:val="00A01817"/>
    <w:rsid w:val="00A0184C"/>
    <w:rsid w:val="00A01852"/>
    <w:rsid w:val="00A0193D"/>
    <w:rsid w:val="00A01CEE"/>
    <w:rsid w:val="00A01D40"/>
    <w:rsid w:val="00A01D96"/>
    <w:rsid w:val="00A01E8C"/>
    <w:rsid w:val="00A0202F"/>
    <w:rsid w:val="00A02366"/>
    <w:rsid w:val="00A0237B"/>
    <w:rsid w:val="00A0241A"/>
    <w:rsid w:val="00A024D8"/>
    <w:rsid w:val="00A02546"/>
    <w:rsid w:val="00A02627"/>
    <w:rsid w:val="00A0280E"/>
    <w:rsid w:val="00A028F6"/>
    <w:rsid w:val="00A02D72"/>
    <w:rsid w:val="00A02DFD"/>
    <w:rsid w:val="00A02EF5"/>
    <w:rsid w:val="00A03449"/>
    <w:rsid w:val="00A0347E"/>
    <w:rsid w:val="00A0370D"/>
    <w:rsid w:val="00A03B4B"/>
    <w:rsid w:val="00A03BAD"/>
    <w:rsid w:val="00A03BC2"/>
    <w:rsid w:val="00A03BCE"/>
    <w:rsid w:val="00A03CB1"/>
    <w:rsid w:val="00A03D53"/>
    <w:rsid w:val="00A03D82"/>
    <w:rsid w:val="00A0415B"/>
    <w:rsid w:val="00A041E8"/>
    <w:rsid w:val="00A046A7"/>
    <w:rsid w:val="00A0487D"/>
    <w:rsid w:val="00A04C5C"/>
    <w:rsid w:val="00A04D0E"/>
    <w:rsid w:val="00A0520F"/>
    <w:rsid w:val="00A0528A"/>
    <w:rsid w:val="00A05525"/>
    <w:rsid w:val="00A05672"/>
    <w:rsid w:val="00A05741"/>
    <w:rsid w:val="00A0580E"/>
    <w:rsid w:val="00A05CCF"/>
    <w:rsid w:val="00A05EA3"/>
    <w:rsid w:val="00A05F66"/>
    <w:rsid w:val="00A06148"/>
    <w:rsid w:val="00A061E4"/>
    <w:rsid w:val="00A06788"/>
    <w:rsid w:val="00A06AB1"/>
    <w:rsid w:val="00A06DE0"/>
    <w:rsid w:val="00A06FC9"/>
    <w:rsid w:val="00A07156"/>
    <w:rsid w:val="00A0741F"/>
    <w:rsid w:val="00A07841"/>
    <w:rsid w:val="00A07932"/>
    <w:rsid w:val="00A07A64"/>
    <w:rsid w:val="00A07B40"/>
    <w:rsid w:val="00A07E2A"/>
    <w:rsid w:val="00A07F90"/>
    <w:rsid w:val="00A07FD4"/>
    <w:rsid w:val="00A1013F"/>
    <w:rsid w:val="00A102D0"/>
    <w:rsid w:val="00A1045C"/>
    <w:rsid w:val="00A1064D"/>
    <w:rsid w:val="00A10D23"/>
    <w:rsid w:val="00A10E00"/>
    <w:rsid w:val="00A111EA"/>
    <w:rsid w:val="00A1159C"/>
    <w:rsid w:val="00A115C1"/>
    <w:rsid w:val="00A1161E"/>
    <w:rsid w:val="00A11740"/>
    <w:rsid w:val="00A1188A"/>
    <w:rsid w:val="00A119FD"/>
    <w:rsid w:val="00A11A12"/>
    <w:rsid w:val="00A11D7D"/>
    <w:rsid w:val="00A11F4F"/>
    <w:rsid w:val="00A11FEC"/>
    <w:rsid w:val="00A12065"/>
    <w:rsid w:val="00A1210D"/>
    <w:rsid w:val="00A12446"/>
    <w:rsid w:val="00A12838"/>
    <w:rsid w:val="00A128A7"/>
    <w:rsid w:val="00A12900"/>
    <w:rsid w:val="00A12999"/>
    <w:rsid w:val="00A13554"/>
    <w:rsid w:val="00A13685"/>
    <w:rsid w:val="00A137BA"/>
    <w:rsid w:val="00A138C7"/>
    <w:rsid w:val="00A13ABD"/>
    <w:rsid w:val="00A13E76"/>
    <w:rsid w:val="00A13FB8"/>
    <w:rsid w:val="00A141FA"/>
    <w:rsid w:val="00A1421C"/>
    <w:rsid w:val="00A1429A"/>
    <w:rsid w:val="00A14407"/>
    <w:rsid w:val="00A145FD"/>
    <w:rsid w:val="00A14B5E"/>
    <w:rsid w:val="00A14F7B"/>
    <w:rsid w:val="00A15001"/>
    <w:rsid w:val="00A1507C"/>
    <w:rsid w:val="00A152B2"/>
    <w:rsid w:val="00A153AD"/>
    <w:rsid w:val="00A1562C"/>
    <w:rsid w:val="00A158C9"/>
    <w:rsid w:val="00A15A89"/>
    <w:rsid w:val="00A15B69"/>
    <w:rsid w:val="00A15F00"/>
    <w:rsid w:val="00A1631F"/>
    <w:rsid w:val="00A16388"/>
    <w:rsid w:val="00A16563"/>
    <w:rsid w:val="00A169DA"/>
    <w:rsid w:val="00A16A81"/>
    <w:rsid w:val="00A16DD9"/>
    <w:rsid w:val="00A16F44"/>
    <w:rsid w:val="00A17013"/>
    <w:rsid w:val="00A17021"/>
    <w:rsid w:val="00A17225"/>
    <w:rsid w:val="00A17523"/>
    <w:rsid w:val="00A17BFB"/>
    <w:rsid w:val="00A17F48"/>
    <w:rsid w:val="00A17F7E"/>
    <w:rsid w:val="00A17FF0"/>
    <w:rsid w:val="00A20178"/>
    <w:rsid w:val="00A20330"/>
    <w:rsid w:val="00A20536"/>
    <w:rsid w:val="00A20D61"/>
    <w:rsid w:val="00A20D91"/>
    <w:rsid w:val="00A20E7A"/>
    <w:rsid w:val="00A20EB3"/>
    <w:rsid w:val="00A210BB"/>
    <w:rsid w:val="00A210C1"/>
    <w:rsid w:val="00A211A9"/>
    <w:rsid w:val="00A21491"/>
    <w:rsid w:val="00A214A1"/>
    <w:rsid w:val="00A21F03"/>
    <w:rsid w:val="00A21FC4"/>
    <w:rsid w:val="00A220CB"/>
    <w:rsid w:val="00A2220E"/>
    <w:rsid w:val="00A22571"/>
    <w:rsid w:val="00A22712"/>
    <w:rsid w:val="00A229CC"/>
    <w:rsid w:val="00A22A87"/>
    <w:rsid w:val="00A22B6A"/>
    <w:rsid w:val="00A22BE2"/>
    <w:rsid w:val="00A22D31"/>
    <w:rsid w:val="00A22ECC"/>
    <w:rsid w:val="00A22F43"/>
    <w:rsid w:val="00A23230"/>
    <w:rsid w:val="00A23250"/>
    <w:rsid w:val="00A23366"/>
    <w:rsid w:val="00A234AC"/>
    <w:rsid w:val="00A23695"/>
    <w:rsid w:val="00A23724"/>
    <w:rsid w:val="00A23891"/>
    <w:rsid w:val="00A239EA"/>
    <w:rsid w:val="00A23CCA"/>
    <w:rsid w:val="00A23D77"/>
    <w:rsid w:val="00A23D86"/>
    <w:rsid w:val="00A23FD8"/>
    <w:rsid w:val="00A24692"/>
    <w:rsid w:val="00A246F7"/>
    <w:rsid w:val="00A248ED"/>
    <w:rsid w:val="00A249AA"/>
    <w:rsid w:val="00A24A13"/>
    <w:rsid w:val="00A24E62"/>
    <w:rsid w:val="00A25097"/>
    <w:rsid w:val="00A25261"/>
    <w:rsid w:val="00A2526D"/>
    <w:rsid w:val="00A254E0"/>
    <w:rsid w:val="00A25B73"/>
    <w:rsid w:val="00A25C67"/>
    <w:rsid w:val="00A25C86"/>
    <w:rsid w:val="00A25DA0"/>
    <w:rsid w:val="00A25E6B"/>
    <w:rsid w:val="00A26016"/>
    <w:rsid w:val="00A264FE"/>
    <w:rsid w:val="00A266D9"/>
    <w:rsid w:val="00A26729"/>
    <w:rsid w:val="00A2678B"/>
    <w:rsid w:val="00A26A75"/>
    <w:rsid w:val="00A26ACA"/>
    <w:rsid w:val="00A26BAB"/>
    <w:rsid w:val="00A270B7"/>
    <w:rsid w:val="00A274B0"/>
    <w:rsid w:val="00A27764"/>
    <w:rsid w:val="00A2779E"/>
    <w:rsid w:val="00A27B52"/>
    <w:rsid w:val="00A27BE4"/>
    <w:rsid w:val="00A27C32"/>
    <w:rsid w:val="00A27EC3"/>
    <w:rsid w:val="00A304D8"/>
    <w:rsid w:val="00A30776"/>
    <w:rsid w:val="00A30987"/>
    <w:rsid w:val="00A30B5B"/>
    <w:rsid w:val="00A30DA9"/>
    <w:rsid w:val="00A30EFB"/>
    <w:rsid w:val="00A30FAB"/>
    <w:rsid w:val="00A31426"/>
    <w:rsid w:val="00A31471"/>
    <w:rsid w:val="00A319C5"/>
    <w:rsid w:val="00A31A01"/>
    <w:rsid w:val="00A31BF8"/>
    <w:rsid w:val="00A31CB7"/>
    <w:rsid w:val="00A31DCF"/>
    <w:rsid w:val="00A321DD"/>
    <w:rsid w:val="00A322C3"/>
    <w:rsid w:val="00A32844"/>
    <w:rsid w:val="00A32873"/>
    <w:rsid w:val="00A329A1"/>
    <w:rsid w:val="00A32E21"/>
    <w:rsid w:val="00A32F64"/>
    <w:rsid w:val="00A33076"/>
    <w:rsid w:val="00A33149"/>
    <w:rsid w:val="00A3319D"/>
    <w:rsid w:val="00A33342"/>
    <w:rsid w:val="00A33447"/>
    <w:rsid w:val="00A337DD"/>
    <w:rsid w:val="00A33AB4"/>
    <w:rsid w:val="00A33B31"/>
    <w:rsid w:val="00A33E98"/>
    <w:rsid w:val="00A340E8"/>
    <w:rsid w:val="00A3418F"/>
    <w:rsid w:val="00A342B9"/>
    <w:rsid w:val="00A34645"/>
    <w:rsid w:val="00A34A11"/>
    <w:rsid w:val="00A34A53"/>
    <w:rsid w:val="00A34CDD"/>
    <w:rsid w:val="00A34D57"/>
    <w:rsid w:val="00A34DB0"/>
    <w:rsid w:val="00A34F70"/>
    <w:rsid w:val="00A34FE4"/>
    <w:rsid w:val="00A35614"/>
    <w:rsid w:val="00A356B8"/>
    <w:rsid w:val="00A35700"/>
    <w:rsid w:val="00A3582C"/>
    <w:rsid w:val="00A3583F"/>
    <w:rsid w:val="00A358C1"/>
    <w:rsid w:val="00A35B49"/>
    <w:rsid w:val="00A35BA5"/>
    <w:rsid w:val="00A35C96"/>
    <w:rsid w:val="00A35D5A"/>
    <w:rsid w:val="00A35E25"/>
    <w:rsid w:val="00A36086"/>
    <w:rsid w:val="00A364D0"/>
    <w:rsid w:val="00A365FB"/>
    <w:rsid w:val="00A36884"/>
    <w:rsid w:val="00A368B5"/>
    <w:rsid w:val="00A36930"/>
    <w:rsid w:val="00A36DAD"/>
    <w:rsid w:val="00A36FC2"/>
    <w:rsid w:val="00A373DB"/>
    <w:rsid w:val="00A374B1"/>
    <w:rsid w:val="00A3753F"/>
    <w:rsid w:val="00A376FA"/>
    <w:rsid w:val="00A3784F"/>
    <w:rsid w:val="00A37B3B"/>
    <w:rsid w:val="00A37E99"/>
    <w:rsid w:val="00A37FAB"/>
    <w:rsid w:val="00A402D7"/>
    <w:rsid w:val="00A405FD"/>
    <w:rsid w:val="00A40C56"/>
    <w:rsid w:val="00A40CF7"/>
    <w:rsid w:val="00A41065"/>
    <w:rsid w:val="00A414A7"/>
    <w:rsid w:val="00A41933"/>
    <w:rsid w:val="00A419F4"/>
    <w:rsid w:val="00A41A43"/>
    <w:rsid w:val="00A41AE6"/>
    <w:rsid w:val="00A41CF9"/>
    <w:rsid w:val="00A41EEC"/>
    <w:rsid w:val="00A41FA6"/>
    <w:rsid w:val="00A42067"/>
    <w:rsid w:val="00A420C3"/>
    <w:rsid w:val="00A421CE"/>
    <w:rsid w:val="00A42284"/>
    <w:rsid w:val="00A424F6"/>
    <w:rsid w:val="00A4250E"/>
    <w:rsid w:val="00A42D49"/>
    <w:rsid w:val="00A42E01"/>
    <w:rsid w:val="00A43041"/>
    <w:rsid w:val="00A4326D"/>
    <w:rsid w:val="00A43471"/>
    <w:rsid w:val="00A43848"/>
    <w:rsid w:val="00A43899"/>
    <w:rsid w:val="00A43AB1"/>
    <w:rsid w:val="00A43BBD"/>
    <w:rsid w:val="00A43C61"/>
    <w:rsid w:val="00A43C9B"/>
    <w:rsid w:val="00A440FA"/>
    <w:rsid w:val="00A449E1"/>
    <w:rsid w:val="00A44A49"/>
    <w:rsid w:val="00A44ACC"/>
    <w:rsid w:val="00A44D2F"/>
    <w:rsid w:val="00A45115"/>
    <w:rsid w:val="00A45957"/>
    <w:rsid w:val="00A45B4B"/>
    <w:rsid w:val="00A45E7A"/>
    <w:rsid w:val="00A4604E"/>
    <w:rsid w:val="00A4606B"/>
    <w:rsid w:val="00A46154"/>
    <w:rsid w:val="00A462A4"/>
    <w:rsid w:val="00A462CF"/>
    <w:rsid w:val="00A46327"/>
    <w:rsid w:val="00A463C0"/>
    <w:rsid w:val="00A46AB8"/>
    <w:rsid w:val="00A46AD0"/>
    <w:rsid w:val="00A46B71"/>
    <w:rsid w:val="00A46E3E"/>
    <w:rsid w:val="00A473AE"/>
    <w:rsid w:val="00A47553"/>
    <w:rsid w:val="00A475D6"/>
    <w:rsid w:val="00A47A9D"/>
    <w:rsid w:val="00A47B13"/>
    <w:rsid w:val="00A47E2B"/>
    <w:rsid w:val="00A47F59"/>
    <w:rsid w:val="00A5006B"/>
    <w:rsid w:val="00A5042D"/>
    <w:rsid w:val="00A504DC"/>
    <w:rsid w:val="00A50956"/>
    <w:rsid w:val="00A509A9"/>
    <w:rsid w:val="00A50A70"/>
    <w:rsid w:val="00A50B9D"/>
    <w:rsid w:val="00A50EA4"/>
    <w:rsid w:val="00A510F0"/>
    <w:rsid w:val="00A510F2"/>
    <w:rsid w:val="00A5137E"/>
    <w:rsid w:val="00A514DF"/>
    <w:rsid w:val="00A514F8"/>
    <w:rsid w:val="00A5150A"/>
    <w:rsid w:val="00A51572"/>
    <w:rsid w:val="00A51841"/>
    <w:rsid w:val="00A51B65"/>
    <w:rsid w:val="00A51C95"/>
    <w:rsid w:val="00A51ED7"/>
    <w:rsid w:val="00A52015"/>
    <w:rsid w:val="00A52398"/>
    <w:rsid w:val="00A5246F"/>
    <w:rsid w:val="00A52C0C"/>
    <w:rsid w:val="00A52D46"/>
    <w:rsid w:val="00A52D69"/>
    <w:rsid w:val="00A533F9"/>
    <w:rsid w:val="00A53427"/>
    <w:rsid w:val="00A53582"/>
    <w:rsid w:val="00A53900"/>
    <w:rsid w:val="00A5393F"/>
    <w:rsid w:val="00A53B67"/>
    <w:rsid w:val="00A53B91"/>
    <w:rsid w:val="00A53FF0"/>
    <w:rsid w:val="00A54210"/>
    <w:rsid w:val="00A5432B"/>
    <w:rsid w:val="00A5487B"/>
    <w:rsid w:val="00A5487F"/>
    <w:rsid w:val="00A549BA"/>
    <w:rsid w:val="00A549E4"/>
    <w:rsid w:val="00A54B91"/>
    <w:rsid w:val="00A54E2B"/>
    <w:rsid w:val="00A551EA"/>
    <w:rsid w:val="00A55475"/>
    <w:rsid w:val="00A556BE"/>
    <w:rsid w:val="00A557E7"/>
    <w:rsid w:val="00A55B56"/>
    <w:rsid w:val="00A55B86"/>
    <w:rsid w:val="00A55B87"/>
    <w:rsid w:val="00A561FB"/>
    <w:rsid w:val="00A56200"/>
    <w:rsid w:val="00A56A7C"/>
    <w:rsid w:val="00A56C41"/>
    <w:rsid w:val="00A57197"/>
    <w:rsid w:val="00A5729A"/>
    <w:rsid w:val="00A5738C"/>
    <w:rsid w:val="00A5738D"/>
    <w:rsid w:val="00A574BC"/>
    <w:rsid w:val="00A57753"/>
    <w:rsid w:val="00A57A49"/>
    <w:rsid w:val="00A57AD2"/>
    <w:rsid w:val="00A57BE0"/>
    <w:rsid w:val="00A57F1B"/>
    <w:rsid w:val="00A6047E"/>
    <w:rsid w:val="00A60482"/>
    <w:rsid w:val="00A605B1"/>
    <w:rsid w:val="00A60708"/>
    <w:rsid w:val="00A60739"/>
    <w:rsid w:val="00A60A4D"/>
    <w:rsid w:val="00A60ACF"/>
    <w:rsid w:val="00A60EF8"/>
    <w:rsid w:val="00A61469"/>
    <w:rsid w:val="00A6175D"/>
    <w:rsid w:val="00A61775"/>
    <w:rsid w:val="00A617CE"/>
    <w:rsid w:val="00A61949"/>
    <w:rsid w:val="00A61AC2"/>
    <w:rsid w:val="00A61B6C"/>
    <w:rsid w:val="00A61D09"/>
    <w:rsid w:val="00A61D67"/>
    <w:rsid w:val="00A61DF2"/>
    <w:rsid w:val="00A61E02"/>
    <w:rsid w:val="00A61EF3"/>
    <w:rsid w:val="00A6225B"/>
    <w:rsid w:val="00A62318"/>
    <w:rsid w:val="00A625B0"/>
    <w:rsid w:val="00A62642"/>
    <w:rsid w:val="00A6270D"/>
    <w:rsid w:val="00A628BA"/>
    <w:rsid w:val="00A6298C"/>
    <w:rsid w:val="00A62B61"/>
    <w:rsid w:val="00A62BBE"/>
    <w:rsid w:val="00A62DC6"/>
    <w:rsid w:val="00A62F56"/>
    <w:rsid w:val="00A6302F"/>
    <w:rsid w:val="00A630F9"/>
    <w:rsid w:val="00A631A3"/>
    <w:rsid w:val="00A6336A"/>
    <w:rsid w:val="00A633D6"/>
    <w:rsid w:val="00A633DD"/>
    <w:rsid w:val="00A6399D"/>
    <w:rsid w:val="00A63BF6"/>
    <w:rsid w:val="00A63E29"/>
    <w:rsid w:val="00A64692"/>
    <w:rsid w:val="00A6469D"/>
    <w:rsid w:val="00A648AF"/>
    <w:rsid w:val="00A64A05"/>
    <w:rsid w:val="00A64EC6"/>
    <w:rsid w:val="00A64F08"/>
    <w:rsid w:val="00A65040"/>
    <w:rsid w:val="00A650F9"/>
    <w:rsid w:val="00A65122"/>
    <w:rsid w:val="00A6537E"/>
    <w:rsid w:val="00A65472"/>
    <w:rsid w:val="00A6559A"/>
    <w:rsid w:val="00A6574C"/>
    <w:rsid w:val="00A65A73"/>
    <w:rsid w:val="00A65BB2"/>
    <w:rsid w:val="00A65E24"/>
    <w:rsid w:val="00A65FF2"/>
    <w:rsid w:val="00A66039"/>
    <w:rsid w:val="00A66126"/>
    <w:rsid w:val="00A662BE"/>
    <w:rsid w:val="00A66553"/>
    <w:rsid w:val="00A665E3"/>
    <w:rsid w:val="00A66653"/>
    <w:rsid w:val="00A66766"/>
    <w:rsid w:val="00A66D24"/>
    <w:rsid w:val="00A66D9B"/>
    <w:rsid w:val="00A6708C"/>
    <w:rsid w:val="00A678A2"/>
    <w:rsid w:val="00A678C2"/>
    <w:rsid w:val="00A67C4D"/>
    <w:rsid w:val="00A67CD8"/>
    <w:rsid w:val="00A70613"/>
    <w:rsid w:val="00A70631"/>
    <w:rsid w:val="00A70AE8"/>
    <w:rsid w:val="00A716B1"/>
    <w:rsid w:val="00A71AF8"/>
    <w:rsid w:val="00A71D8B"/>
    <w:rsid w:val="00A71E26"/>
    <w:rsid w:val="00A71E42"/>
    <w:rsid w:val="00A71EF3"/>
    <w:rsid w:val="00A721BE"/>
    <w:rsid w:val="00A72669"/>
    <w:rsid w:val="00A72786"/>
    <w:rsid w:val="00A728CC"/>
    <w:rsid w:val="00A72964"/>
    <w:rsid w:val="00A729F4"/>
    <w:rsid w:val="00A7323D"/>
    <w:rsid w:val="00A737D9"/>
    <w:rsid w:val="00A73849"/>
    <w:rsid w:val="00A7394E"/>
    <w:rsid w:val="00A73B4D"/>
    <w:rsid w:val="00A73EA9"/>
    <w:rsid w:val="00A741EA"/>
    <w:rsid w:val="00A743E8"/>
    <w:rsid w:val="00A748B9"/>
    <w:rsid w:val="00A74A3A"/>
    <w:rsid w:val="00A74E2D"/>
    <w:rsid w:val="00A74EF1"/>
    <w:rsid w:val="00A7506E"/>
    <w:rsid w:val="00A750B7"/>
    <w:rsid w:val="00A75250"/>
    <w:rsid w:val="00A752FD"/>
    <w:rsid w:val="00A7538E"/>
    <w:rsid w:val="00A75492"/>
    <w:rsid w:val="00A7572E"/>
    <w:rsid w:val="00A758A9"/>
    <w:rsid w:val="00A75FA5"/>
    <w:rsid w:val="00A763B4"/>
    <w:rsid w:val="00A76678"/>
    <w:rsid w:val="00A767D6"/>
    <w:rsid w:val="00A76884"/>
    <w:rsid w:val="00A76A80"/>
    <w:rsid w:val="00A76C8D"/>
    <w:rsid w:val="00A76CB4"/>
    <w:rsid w:val="00A77030"/>
    <w:rsid w:val="00A7742F"/>
    <w:rsid w:val="00A775EB"/>
    <w:rsid w:val="00A7765A"/>
    <w:rsid w:val="00A777E4"/>
    <w:rsid w:val="00A779CB"/>
    <w:rsid w:val="00A77A75"/>
    <w:rsid w:val="00A77C41"/>
    <w:rsid w:val="00A77C6B"/>
    <w:rsid w:val="00A77D24"/>
    <w:rsid w:val="00A8035B"/>
    <w:rsid w:val="00A80470"/>
    <w:rsid w:val="00A8062F"/>
    <w:rsid w:val="00A806A5"/>
    <w:rsid w:val="00A806AD"/>
    <w:rsid w:val="00A806BD"/>
    <w:rsid w:val="00A80827"/>
    <w:rsid w:val="00A8084A"/>
    <w:rsid w:val="00A809B1"/>
    <w:rsid w:val="00A80A7C"/>
    <w:rsid w:val="00A80AAE"/>
    <w:rsid w:val="00A81037"/>
    <w:rsid w:val="00A81229"/>
    <w:rsid w:val="00A8155F"/>
    <w:rsid w:val="00A81784"/>
    <w:rsid w:val="00A81828"/>
    <w:rsid w:val="00A81885"/>
    <w:rsid w:val="00A81997"/>
    <w:rsid w:val="00A81BE4"/>
    <w:rsid w:val="00A81E88"/>
    <w:rsid w:val="00A823F9"/>
    <w:rsid w:val="00A828BC"/>
    <w:rsid w:val="00A82C72"/>
    <w:rsid w:val="00A82EC7"/>
    <w:rsid w:val="00A82EF7"/>
    <w:rsid w:val="00A82F57"/>
    <w:rsid w:val="00A8310E"/>
    <w:rsid w:val="00A8320D"/>
    <w:rsid w:val="00A83544"/>
    <w:rsid w:val="00A8370B"/>
    <w:rsid w:val="00A841D2"/>
    <w:rsid w:val="00A8429D"/>
    <w:rsid w:val="00A846E1"/>
    <w:rsid w:val="00A84737"/>
    <w:rsid w:val="00A848E3"/>
    <w:rsid w:val="00A84A67"/>
    <w:rsid w:val="00A84BDD"/>
    <w:rsid w:val="00A84D85"/>
    <w:rsid w:val="00A850F5"/>
    <w:rsid w:val="00A85274"/>
    <w:rsid w:val="00A85631"/>
    <w:rsid w:val="00A859CE"/>
    <w:rsid w:val="00A85AA1"/>
    <w:rsid w:val="00A85AEE"/>
    <w:rsid w:val="00A86B8C"/>
    <w:rsid w:val="00A86CB1"/>
    <w:rsid w:val="00A86E44"/>
    <w:rsid w:val="00A86FF1"/>
    <w:rsid w:val="00A87017"/>
    <w:rsid w:val="00A873AC"/>
    <w:rsid w:val="00A87484"/>
    <w:rsid w:val="00A87539"/>
    <w:rsid w:val="00A87776"/>
    <w:rsid w:val="00A87C13"/>
    <w:rsid w:val="00A87DD1"/>
    <w:rsid w:val="00A87ECC"/>
    <w:rsid w:val="00A87F0C"/>
    <w:rsid w:val="00A904AC"/>
    <w:rsid w:val="00A90531"/>
    <w:rsid w:val="00A9063C"/>
    <w:rsid w:val="00A907B9"/>
    <w:rsid w:val="00A9082E"/>
    <w:rsid w:val="00A90869"/>
    <w:rsid w:val="00A90900"/>
    <w:rsid w:val="00A90C56"/>
    <w:rsid w:val="00A90DA1"/>
    <w:rsid w:val="00A91688"/>
    <w:rsid w:val="00A91734"/>
    <w:rsid w:val="00A91907"/>
    <w:rsid w:val="00A91CAD"/>
    <w:rsid w:val="00A92196"/>
    <w:rsid w:val="00A92545"/>
    <w:rsid w:val="00A9260C"/>
    <w:rsid w:val="00A9262E"/>
    <w:rsid w:val="00A9268B"/>
    <w:rsid w:val="00A92967"/>
    <w:rsid w:val="00A92AC9"/>
    <w:rsid w:val="00A92B72"/>
    <w:rsid w:val="00A92F7F"/>
    <w:rsid w:val="00A9324D"/>
    <w:rsid w:val="00A93311"/>
    <w:rsid w:val="00A9335D"/>
    <w:rsid w:val="00A93480"/>
    <w:rsid w:val="00A93683"/>
    <w:rsid w:val="00A9392D"/>
    <w:rsid w:val="00A9399C"/>
    <w:rsid w:val="00A93B2C"/>
    <w:rsid w:val="00A93BF1"/>
    <w:rsid w:val="00A93C23"/>
    <w:rsid w:val="00A93D07"/>
    <w:rsid w:val="00A93D25"/>
    <w:rsid w:val="00A93DAF"/>
    <w:rsid w:val="00A93EC4"/>
    <w:rsid w:val="00A93F57"/>
    <w:rsid w:val="00A94118"/>
    <w:rsid w:val="00A94323"/>
    <w:rsid w:val="00A9447F"/>
    <w:rsid w:val="00A9480F"/>
    <w:rsid w:val="00A94D1E"/>
    <w:rsid w:val="00A94DF6"/>
    <w:rsid w:val="00A9500D"/>
    <w:rsid w:val="00A95016"/>
    <w:rsid w:val="00A950E0"/>
    <w:rsid w:val="00A9552B"/>
    <w:rsid w:val="00A95725"/>
    <w:rsid w:val="00A9599D"/>
    <w:rsid w:val="00A95FA0"/>
    <w:rsid w:val="00A96598"/>
    <w:rsid w:val="00A968E8"/>
    <w:rsid w:val="00A968F2"/>
    <w:rsid w:val="00A96AEC"/>
    <w:rsid w:val="00A96E13"/>
    <w:rsid w:val="00A97248"/>
    <w:rsid w:val="00A97AE7"/>
    <w:rsid w:val="00A97CF4"/>
    <w:rsid w:val="00A97D07"/>
    <w:rsid w:val="00A97D8B"/>
    <w:rsid w:val="00AA01B6"/>
    <w:rsid w:val="00AA0398"/>
    <w:rsid w:val="00AA04E9"/>
    <w:rsid w:val="00AA05FC"/>
    <w:rsid w:val="00AA0724"/>
    <w:rsid w:val="00AA090F"/>
    <w:rsid w:val="00AA0A63"/>
    <w:rsid w:val="00AA169E"/>
    <w:rsid w:val="00AA1A59"/>
    <w:rsid w:val="00AA1DCC"/>
    <w:rsid w:val="00AA2483"/>
    <w:rsid w:val="00AA2511"/>
    <w:rsid w:val="00AA281B"/>
    <w:rsid w:val="00AA2C82"/>
    <w:rsid w:val="00AA2E6F"/>
    <w:rsid w:val="00AA3236"/>
    <w:rsid w:val="00AA3438"/>
    <w:rsid w:val="00AA34DF"/>
    <w:rsid w:val="00AA3518"/>
    <w:rsid w:val="00AA3702"/>
    <w:rsid w:val="00AA3A34"/>
    <w:rsid w:val="00AA3AAC"/>
    <w:rsid w:val="00AA3B9F"/>
    <w:rsid w:val="00AA3ECC"/>
    <w:rsid w:val="00AA4327"/>
    <w:rsid w:val="00AA433D"/>
    <w:rsid w:val="00AA43BD"/>
    <w:rsid w:val="00AA4645"/>
    <w:rsid w:val="00AA47BF"/>
    <w:rsid w:val="00AA48DF"/>
    <w:rsid w:val="00AA4B7E"/>
    <w:rsid w:val="00AA4C58"/>
    <w:rsid w:val="00AA4FC3"/>
    <w:rsid w:val="00AA5066"/>
    <w:rsid w:val="00AA5588"/>
    <w:rsid w:val="00AA56A5"/>
    <w:rsid w:val="00AA571A"/>
    <w:rsid w:val="00AA5E7A"/>
    <w:rsid w:val="00AA5EDD"/>
    <w:rsid w:val="00AA6041"/>
    <w:rsid w:val="00AA60C3"/>
    <w:rsid w:val="00AA6330"/>
    <w:rsid w:val="00AA6874"/>
    <w:rsid w:val="00AA6BEC"/>
    <w:rsid w:val="00AA6D12"/>
    <w:rsid w:val="00AA6D14"/>
    <w:rsid w:val="00AA6E58"/>
    <w:rsid w:val="00AA6ED7"/>
    <w:rsid w:val="00AA6F66"/>
    <w:rsid w:val="00AA7066"/>
    <w:rsid w:val="00AA778D"/>
    <w:rsid w:val="00AA77A8"/>
    <w:rsid w:val="00AA77CE"/>
    <w:rsid w:val="00AA7882"/>
    <w:rsid w:val="00AA7AFF"/>
    <w:rsid w:val="00AA7B23"/>
    <w:rsid w:val="00AA7E0C"/>
    <w:rsid w:val="00AA7ED0"/>
    <w:rsid w:val="00AB017D"/>
    <w:rsid w:val="00AB0326"/>
    <w:rsid w:val="00AB0689"/>
    <w:rsid w:val="00AB06EC"/>
    <w:rsid w:val="00AB08F2"/>
    <w:rsid w:val="00AB0ABD"/>
    <w:rsid w:val="00AB0B97"/>
    <w:rsid w:val="00AB0D65"/>
    <w:rsid w:val="00AB0E2B"/>
    <w:rsid w:val="00AB0FFA"/>
    <w:rsid w:val="00AB1009"/>
    <w:rsid w:val="00AB1420"/>
    <w:rsid w:val="00AB186D"/>
    <w:rsid w:val="00AB1ED7"/>
    <w:rsid w:val="00AB238F"/>
    <w:rsid w:val="00AB2511"/>
    <w:rsid w:val="00AB2534"/>
    <w:rsid w:val="00AB25C3"/>
    <w:rsid w:val="00AB28C4"/>
    <w:rsid w:val="00AB2980"/>
    <w:rsid w:val="00AB2BB4"/>
    <w:rsid w:val="00AB2C81"/>
    <w:rsid w:val="00AB2D6E"/>
    <w:rsid w:val="00AB2D91"/>
    <w:rsid w:val="00AB2DA6"/>
    <w:rsid w:val="00AB2F95"/>
    <w:rsid w:val="00AB34D6"/>
    <w:rsid w:val="00AB36B0"/>
    <w:rsid w:val="00AB3979"/>
    <w:rsid w:val="00AB3A6D"/>
    <w:rsid w:val="00AB3BE7"/>
    <w:rsid w:val="00AB3CFE"/>
    <w:rsid w:val="00AB3EF7"/>
    <w:rsid w:val="00AB4132"/>
    <w:rsid w:val="00AB4371"/>
    <w:rsid w:val="00AB4719"/>
    <w:rsid w:val="00AB48DC"/>
    <w:rsid w:val="00AB4B6B"/>
    <w:rsid w:val="00AB4C78"/>
    <w:rsid w:val="00AB4C9E"/>
    <w:rsid w:val="00AB51DE"/>
    <w:rsid w:val="00AB51E7"/>
    <w:rsid w:val="00AB53C6"/>
    <w:rsid w:val="00AB542A"/>
    <w:rsid w:val="00AB54A3"/>
    <w:rsid w:val="00AB5624"/>
    <w:rsid w:val="00AB5730"/>
    <w:rsid w:val="00AB5BAF"/>
    <w:rsid w:val="00AB5C7D"/>
    <w:rsid w:val="00AB5C8C"/>
    <w:rsid w:val="00AB5DEF"/>
    <w:rsid w:val="00AB6122"/>
    <w:rsid w:val="00AB621B"/>
    <w:rsid w:val="00AB65C4"/>
    <w:rsid w:val="00AB6889"/>
    <w:rsid w:val="00AB6C6D"/>
    <w:rsid w:val="00AB6ED9"/>
    <w:rsid w:val="00AB6F10"/>
    <w:rsid w:val="00AB6FD8"/>
    <w:rsid w:val="00AB71C4"/>
    <w:rsid w:val="00AB76E0"/>
    <w:rsid w:val="00AB7D30"/>
    <w:rsid w:val="00AB7E39"/>
    <w:rsid w:val="00AB7FDA"/>
    <w:rsid w:val="00AC0039"/>
    <w:rsid w:val="00AC00A8"/>
    <w:rsid w:val="00AC0106"/>
    <w:rsid w:val="00AC0121"/>
    <w:rsid w:val="00AC0224"/>
    <w:rsid w:val="00AC0515"/>
    <w:rsid w:val="00AC072E"/>
    <w:rsid w:val="00AC07CA"/>
    <w:rsid w:val="00AC0802"/>
    <w:rsid w:val="00AC09C0"/>
    <w:rsid w:val="00AC0A05"/>
    <w:rsid w:val="00AC0AC8"/>
    <w:rsid w:val="00AC0B1A"/>
    <w:rsid w:val="00AC0B1C"/>
    <w:rsid w:val="00AC0CD1"/>
    <w:rsid w:val="00AC0DAF"/>
    <w:rsid w:val="00AC0F3D"/>
    <w:rsid w:val="00AC1226"/>
    <w:rsid w:val="00AC1467"/>
    <w:rsid w:val="00AC151D"/>
    <w:rsid w:val="00AC19A8"/>
    <w:rsid w:val="00AC1DB1"/>
    <w:rsid w:val="00AC1ED8"/>
    <w:rsid w:val="00AC1EF5"/>
    <w:rsid w:val="00AC2175"/>
    <w:rsid w:val="00AC21D4"/>
    <w:rsid w:val="00AC235A"/>
    <w:rsid w:val="00AC24DD"/>
    <w:rsid w:val="00AC2708"/>
    <w:rsid w:val="00AC2A41"/>
    <w:rsid w:val="00AC2C27"/>
    <w:rsid w:val="00AC2CA4"/>
    <w:rsid w:val="00AC2D91"/>
    <w:rsid w:val="00AC3197"/>
    <w:rsid w:val="00AC33EA"/>
    <w:rsid w:val="00AC365E"/>
    <w:rsid w:val="00AC37FE"/>
    <w:rsid w:val="00AC386B"/>
    <w:rsid w:val="00AC3886"/>
    <w:rsid w:val="00AC3B5D"/>
    <w:rsid w:val="00AC3D69"/>
    <w:rsid w:val="00AC3E1E"/>
    <w:rsid w:val="00AC4073"/>
    <w:rsid w:val="00AC40C7"/>
    <w:rsid w:val="00AC4136"/>
    <w:rsid w:val="00AC4149"/>
    <w:rsid w:val="00AC4191"/>
    <w:rsid w:val="00AC41E5"/>
    <w:rsid w:val="00AC458F"/>
    <w:rsid w:val="00AC4A6C"/>
    <w:rsid w:val="00AC4E76"/>
    <w:rsid w:val="00AC5018"/>
    <w:rsid w:val="00AC511A"/>
    <w:rsid w:val="00AC5121"/>
    <w:rsid w:val="00AC5258"/>
    <w:rsid w:val="00AC527B"/>
    <w:rsid w:val="00AC5325"/>
    <w:rsid w:val="00AC55A3"/>
    <w:rsid w:val="00AC5C05"/>
    <w:rsid w:val="00AC5F12"/>
    <w:rsid w:val="00AC5F45"/>
    <w:rsid w:val="00AC63FF"/>
    <w:rsid w:val="00AC6442"/>
    <w:rsid w:val="00AC65BA"/>
    <w:rsid w:val="00AC699D"/>
    <w:rsid w:val="00AC6A7F"/>
    <w:rsid w:val="00AC6B1B"/>
    <w:rsid w:val="00AC6CAA"/>
    <w:rsid w:val="00AC6E4F"/>
    <w:rsid w:val="00AC6EBE"/>
    <w:rsid w:val="00AC7443"/>
    <w:rsid w:val="00AC7509"/>
    <w:rsid w:val="00AC7759"/>
    <w:rsid w:val="00AC77D5"/>
    <w:rsid w:val="00AC77F9"/>
    <w:rsid w:val="00AC78E3"/>
    <w:rsid w:val="00AC7B02"/>
    <w:rsid w:val="00AC7D98"/>
    <w:rsid w:val="00AC7F1F"/>
    <w:rsid w:val="00AD003F"/>
    <w:rsid w:val="00AD0593"/>
    <w:rsid w:val="00AD05ED"/>
    <w:rsid w:val="00AD06C1"/>
    <w:rsid w:val="00AD07F1"/>
    <w:rsid w:val="00AD0A93"/>
    <w:rsid w:val="00AD0BCF"/>
    <w:rsid w:val="00AD0DD8"/>
    <w:rsid w:val="00AD0E9B"/>
    <w:rsid w:val="00AD1113"/>
    <w:rsid w:val="00AD11FC"/>
    <w:rsid w:val="00AD13FE"/>
    <w:rsid w:val="00AD1786"/>
    <w:rsid w:val="00AD18BE"/>
    <w:rsid w:val="00AD199E"/>
    <w:rsid w:val="00AD1A3F"/>
    <w:rsid w:val="00AD1ABE"/>
    <w:rsid w:val="00AD2003"/>
    <w:rsid w:val="00AD2161"/>
    <w:rsid w:val="00AD2384"/>
    <w:rsid w:val="00AD27C1"/>
    <w:rsid w:val="00AD2836"/>
    <w:rsid w:val="00AD2B71"/>
    <w:rsid w:val="00AD2BE5"/>
    <w:rsid w:val="00AD2C29"/>
    <w:rsid w:val="00AD2EBE"/>
    <w:rsid w:val="00AD32B4"/>
    <w:rsid w:val="00AD3528"/>
    <w:rsid w:val="00AD35A4"/>
    <w:rsid w:val="00AD39A2"/>
    <w:rsid w:val="00AD3B24"/>
    <w:rsid w:val="00AD3E87"/>
    <w:rsid w:val="00AD3F39"/>
    <w:rsid w:val="00AD40D2"/>
    <w:rsid w:val="00AD4148"/>
    <w:rsid w:val="00AD42E7"/>
    <w:rsid w:val="00AD44A3"/>
    <w:rsid w:val="00AD454D"/>
    <w:rsid w:val="00AD4619"/>
    <w:rsid w:val="00AD48D4"/>
    <w:rsid w:val="00AD48E7"/>
    <w:rsid w:val="00AD49FA"/>
    <w:rsid w:val="00AD4AA5"/>
    <w:rsid w:val="00AD4F04"/>
    <w:rsid w:val="00AD5088"/>
    <w:rsid w:val="00AD5090"/>
    <w:rsid w:val="00AD511F"/>
    <w:rsid w:val="00AD534F"/>
    <w:rsid w:val="00AD545D"/>
    <w:rsid w:val="00AD5732"/>
    <w:rsid w:val="00AD595E"/>
    <w:rsid w:val="00AD5A30"/>
    <w:rsid w:val="00AD5CB3"/>
    <w:rsid w:val="00AD5CB9"/>
    <w:rsid w:val="00AD5D31"/>
    <w:rsid w:val="00AD5F50"/>
    <w:rsid w:val="00AD5F57"/>
    <w:rsid w:val="00AD602F"/>
    <w:rsid w:val="00AD6805"/>
    <w:rsid w:val="00AD69B9"/>
    <w:rsid w:val="00AD6AEF"/>
    <w:rsid w:val="00AD6B4A"/>
    <w:rsid w:val="00AD6CAB"/>
    <w:rsid w:val="00AD6FE0"/>
    <w:rsid w:val="00AD725C"/>
    <w:rsid w:val="00AD7649"/>
    <w:rsid w:val="00AD7702"/>
    <w:rsid w:val="00AD7A14"/>
    <w:rsid w:val="00AD7A2A"/>
    <w:rsid w:val="00AD7BA9"/>
    <w:rsid w:val="00AE0076"/>
    <w:rsid w:val="00AE011F"/>
    <w:rsid w:val="00AE0179"/>
    <w:rsid w:val="00AE036A"/>
    <w:rsid w:val="00AE0878"/>
    <w:rsid w:val="00AE0894"/>
    <w:rsid w:val="00AE0AE5"/>
    <w:rsid w:val="00AE0E6C"/>
    <w:rsid w:val="00AE11BF"/>
    <w:rsid w:val="00AE1279"/>
    <w:rsid w:val="00AE152A"/>
    <w:rsid w:val="00AE1810"/>
    <w:rsid w:val="00AE18C8"/>
    <w:rsid w:val="00AE194B"/>
    <w:rsid w:val="00AE1A0B"/>
    <w:rsid w:val="00AE1BDF"/>
    <w:rsid w:val="00AE1D3A"/>
    <w:rsid w:val="00AE1E2C"/>
    <w:rsid w:val="00AE1E98"/>
    <w:rsid w:val="00AE1EBA"/>
    <w:rsid w:val="00AE2351"/>
    <w:rsid w:val="00AE235C"/>
    <w:rsid w:val="00AE2410"/>
    <w:rsid w:val="00AE245F"/>
    <w:rsid w:val="00AE2527"/>
    <w:rsid w:val="00AE2549"/>
    <w:rsid w:val="00AE273A"/>
    <w:rsid w:val="00AE2A34"/>
    <w:rsid w:val="00AE2CA0"/>
    <w:rsid w:val="00AE2E3E"/>
    <w:rsid w:val="00AE31B6"/>
    <w:rsid w:val="00AE31E7"/>
    <w:rsid w:val="00AE32A7"/>
    <w:rsid w:val="00AE35C7"/>
    <w:rsid w:val="00AE367E"/>
    <w:rsid w:val="00AE37C8"/>
    <w:rsid w:val="00AE3833"/>
    <w:rsid w:val="00AE3870"/>
    <w:rsid w:val="00AE39EC"/>
    <w:rsid w:val="00AE3AAF"/>
    <w:rsid w:val="00AE3C11"/>
    <w:rsid w:val="00AE3C9B"/>
    <w:rsid w:val="00AE3C9E"/>
    <w:rsid w:val="00AE3DE8"/>
    <w:rsid w:val="00AE3E64"/>
    <w:rsid w:val="00AE3ECF"/>
    <w:rsid w:val="00AE3FC6"/>
    <w:rsid w:val="00AE40B7"/>
    <w:rsid w:val="00AE41D8"/>
    <w:rsid w:val="00AE420F"/>
    <w:rsid w:val="00AE4411"/>
    <w:rsid w:val="00AE4A40"/>
    <w:rsid w:val="00AE4AB3"/>
    <w:rsid w:val="00AE4B19"/>
    <w:rsid w:val="00AE4B65"/>
    <w:rsid w:val="00AE4DD7"/>
    <w:rsid w:val="00AE5187"/>
    <w:rsid w:val="00AE51D6"/>
    <w:rsid w:val="00AE51FD"/>
    <w:rsid w:val="00AE5402"/>
    <w:rsid w:val="00AE564F"/>
    <w:rsid w:val="00AE5BC8"/>
    <w:rsid w:val="00AE5DD8"/>
    <w:rsid w:val="00AE5FA6"/>
    <w:rsid w:val="00AE6807"/>
    <w:rsid w:val="00AE6935"/>
    <w:rsid w:val="00AE69C1"/>
    <w:rsid w:val="00AE6A99"/>
    <w:rsid w:val="00AE6AA9"/>
    <w:rsid w:val="00AE6BFF"/>
    <w:rsid w:val="00AE6C9C"/>
    <w:rsid w:val="00AE6D9C"/>
    <w:rsid w:val="00AE7193"/>
    <w:rsid w:val="00AE727B"/>
    <w:rsid w:val="00AE72B4"/>
    <w:rsid w:val="00AE749A"/>
    <w:rsid w:val="00AE7884"/>
    <w:rsid w:val="00AE79A3"/>
    <w:rsid w:val="00AE7B49"/>
    <w:rsid w:val="00AE7DBF"/>
    <w:rsid w:val="00AE7DFC"/>
    <w:rsid w:val="00AE7E02"/>
    <w:rsid w:val="00AE7F95"/>
    <w:rsid w:val="00AF022E"/>
    <w:rsid w:val="00AF036F"/>
    <w:rsid w:val="00AF03E7"/>
    <w:rsid w:val="00AF062C"/>
    <w:rsid w:val="00AF0A3D"/>
    <w:rsid w:val="00AF0B50"/>
    <w:rsid w:val="00AF0B52"/>
    <w:rsid w:val="00AF0B55"/>
    <w:rsid w:val="00AF11FE"/>
    <w:rsid w:val="00AF136D"/>
    <w:rsid w:val="00AF1603"/>
    <w:rsid w:val="00AF1843"/>
    <w:rsid w:val="00AF1A30"/>
    <w:rsid w:val="00AF1D07"/>
    <w:rsid w:val="00AF1EF5"/>
    <w:rsid w:val="00AF2020"/>
    <w:rsid w:val="00AF20C1"/>
    <w:rsid w:val="00AF22C2"/>
    <w:rsid w:val="00AF25DE"/>
    <w:rsid w:val="00AF2837"/>
    <w:rsid w:val="00AF2ABB"/>
    <w:rsid w:val="00AF2B75"/>
    <w:rsid w:val="00AF2FCB"/>
    <w:rsid w:val="00AF3165"/>
    <w:rsid w:val="00AF335E"/>
    <w:rsid w:val="00AF33E2"/>
    <w:rsid w:val="00AF3F13"/>
    <w:rsid w:val="00AF3F85"/>
    <w:rsid w:val="00AF403C"/>
    <w:rsid w:val="00AF40BC"/>
    <w:rsid w:val="00AF4348"/>
    <w:rsid w:val="00AF4579"/>
    <w:rsid w:val="00AF49F1"/>
    <w:rsid w:val="00AF4C73"/>
    <w:rsid w:val="00AF4E0D"/>
    <w:rsid w:val="00AF4EB7"/>
    <w:rsid w:val="00AF4F57"/>
    <w:rsid w:val="00AF50EF"/>
    <w:rsid w:val="00AF52D4"/>
    <w:rsid w:val="00AF552F"/>
    <w:rsid w:val="00AF567F"/>
    <w:rsid w:val="00AF58B6"/>
    <w:rsid w:val="00AF5927"/>
    <w:rsid w:val="00AF6082"/>
    <w:rsid w:val="00AF6534"/>
    <w:rsid w:val="00AF6752"/>
    <w:rsid w:val="00AF693D"/>
    <w:rsid w:val="00AF6983"/>
    <w:rsid w:val="00AF6EA4"/>
    <w:rsid w:val="00AF7500"/>
    <w:rsid w:val="00AF753B"/>
    <w:rsid w:val="00AF7640"/>
    <w:rsid w:val="00AF77B9"/>
    <w:rsid w:val="00B0003A"/>
    <w:rsid w:val="00B005EC"/>
    <w:rsid w:val="00B00860"/>
    <w:rsid w:val="00B00B4B"/>
    <w:rsid w:val="00B0102A"/>
    <w:rsid w:val="00B010A0"/>
    <w:rsid w:val="00B010C4"/>
    <w:rsid w:val="00B02194"/>
    <w:rsid w:val="00B021D3"/>
    <w:rsid w:val="00B02213"/>
    <w:rsid w:val="00B023B1"/>
    <w:rsid w:val="00B025C9"/>
    <w:rsid w:val="00B025F3"/>
    <w:rsid w:val="00B02624"/>
    <w:rsid w:val="00B02662"/>
    <w:rsid w:val="00B02791"/>
    <w:rsid w:val="00B02AAD"/>
    <w:rsid w:val="00B02CA4"/>
    <w:rsid w:val="00B02D0F"/>
    <w:rsid w:val="00B03508"/>
    <w:rsid w:val="00B03512"/>
    <w:rsid w:val="00B035A6"/>
    <w:rsid w:val="00B038A0"/>
    <w:rsid w:val="00B03B66"/>
    <w:rsid w:val="00B03EC3"/>
    <w:rsid w:val="00B03EF9"/>
    <w:rsid w:val="00B041BB"/>
    <w:rsid w:val="00B041CE"/>
    <w:rsid w:val="00B04434"/>
    <w:rsid w:val="00B044DD"/>
    <w:rsid w:val="00B0452F"/>
    <w:rsid w:val="00B0470C"/>
    <w:rsid w:val="00B047F8"/>
    <w:rsid w:val="00B049C6"/>
    <w:rsid w:val="00B04BCF"/>
    <w:rsid w:val="00B04E00"/>
    <w:rsid w:val="00B05054"/>
    <w:rsid w:val="00B051B8"/>
    <w:rsid w:val="00B05969"/>
    <w:rsid w:val="00B059C1"/>
    <w:rsid w:val="00B05ABE"/>
    <w:rsid w:val="00B05B3B"/>
    <w:rsid w:val="00B0669D"/>
    <w:rsid w:val="00B0699B"/>
    <w:rsid w:val="00B06A24"/>
    <w:rsid w:val="00B06C36"/>
    <w:rsid w:val="00B07036"/>
    <w:rsid w:val="00B071E8"/>
    <w:rsid w:val="00B076A3"/>
    <w:rsid w:val="00B07AF2"/>
    <w:rsid w:val="00B07BA2"/>
    <w:rsid w:val="00B07CF8"/>
    <w:rsid w:val="00B07D72"/>
    <w:rsid w:val="00B07E45"/>
    <w:rsid w:val="00B10377"/>
    <w:rsid w:val="00B103FE"/>
    <w:rsid w:val="00B106E0"/>
    <w:rsid w:val="00B10877"/>
    <w:rsid w:val="00B10899"/>
    <w:rsid w:val="00B1095A"/>
    <w:rsid w:val="00B1096F"/>
    <w:rsid w:val="00B109C6"/>
    <w:rsid w:val="00B10D12"/>
    <w:rsid w:val="00B10DC2"/>
    <w:rsid w:val="00B10F87"/>
    <w:rsid w:val="00B11094"/>
    <w:rsid w:val="00B11189"/>
    <w:rsid w:val="00B11231"/>
    <w:rsid w:val="00B116A0"/>
    <w:rsid w:val="00B116D9"/>
    <w:rsid w:val="00B11879"/>
    <w:rsid w:val="00B11915"/>
    <w:rsid w:val="00B11A21"/>
    <w:rsid w:val="00B11AF4"/>
    <w:rsid w:val="00B12130"/>
    <w:rsid w:val="00B12139"/>
    <w:rsid w:val="00B1281C"/>
    <w:rsid w:val="00B12A7B"/>
    <w:rsid w:val="00B12C02"/>
    <w:rsid w:val="00B12D1D"/>
    <w:rsid w:val="00B12FC3"/>
    <w:rsid w:val="00B12FE7"/>
    <w:rsid w:val="00B13336"/>
    <w:rsid w:val="00B13743"/>
    <w:rsid w:val="00B13CFA"/>
    <w:rsid w:val="00B13D61"/>
    <w:rsid w:val="00B13DBF"/>
    <w:rsid w:val="00B13EAA"/>
    <w:rsid w:val="00B13EBC"/>
    <w:rsid w:val="00B13EE0"/>
    <w:rsid w:val="00B13FF2"/>
    <w:rsid w:val="00B146C3"/>
    <w:rsid w:val="00B148E8"/>
    <w:rsid w:val="00B1494D"/>
    <w:rsid w:val="00B14985"/>
    <w:rsid w:val="00B14ADF"/>
    <w:rsid w:val="00B14CF6"/>
    <w:rsid w:val="00B14DE6"/>
    <w:rsid w:val="00B14EFF"/>
    <w:rsid w:val="00B15268"/>
    <w:rsid w:val="00B15400"/>
    <w:rsid w:val="00B154C6"/>
    <w:rsid w:val="00B1553F"/>
    <w:rsid w:val="00B158C7"/>
    <w:rsid w:val="00B1590C"/>
    <w:rsid w:val="00B159F7"/>
    <w:rsid w:val="00B15AF3"/>
    <w:rsid w:val="00B15DA5"/>
    <w:rsid w:val="00B15EEE"/>
    <w:rsid w:val="00B15FCC"/>
    <w:rsid w:val="00B16565"/>
    <w:rsid w:val="00B1659C"/>
    <w:rsid w:val="00B165E6"/>
    <w:rsid w:val="00B169E7"/>
    <w:rsid w:val="00B16C5A"/>
    <w:rsid w:val="00B16E82"/>
    <w:rsid w:val="00B172C7"/>
    <w:rsid w:val="00B1749A"/>
    <w:rsid w:val="00B17660"/>
    <w:rsid w:val="00B177FB"/>
    <w:rsid w:val="00B17A0E"/>
    <w:rsid w:val="00B17A81"/>
    <w:rsid w:val="00B17C93"/>
    <w:rsid w:val="00B17DA0"/>
    <w:rsid w:val="00B17F45"/>
    <w:rsid w:val="00B20746"/>
    <w:rsid w:val="00B20770"/>
    <w:rsid w:val="00B207FE"/>
    <w:rsid w:val="00B208AB"/>
    <w:rsid w:val="00B20C80"/>
    <w:rsid w:val="00B20CA4"/>
    <w:rsid w:val="00B20CF1"/>
    <w:rsid w:val="00B20DFF"/>
    <w:rsid w:val="00B20FD7"/>
    <w:rsid w:val="00B21366"/>
    <w:rsid w:val="00B2174B"/>
    <w:rsid w:val="00B21778"/>
    <w:rsid w:val="00B21845"/>
    <w:rsid w:val="00B219C5"/>
    <w:rsid w:val="00B21AA0"/>
    <w:rsid w:val="00B21DB5"/>
    <w:rsid w:val="00B2201A"/>
    <w:rsid w:val="00B220D9"/>
    <w:rsid w:val="00B22132"/>
    <w:rsid w:val="00B2220A"/>
    <w:rsid w:val="00B22442"/>
    <w:rsid w:val="00B22883"/>
    <w:rsid w:val="00B2297E"/>
    <w:rsid w:val="00B22A35"/>
    <w:rsid w:val="00B22A84"/>
    <w:rsid w:val="00B22BE6"/>
    <w:rsid w:val="00B22C36"/>
    <w:rsid w:val="00B22D8B"/>
    <w:rsid w:val="00B22F23"/>
    <w:rsid w:val="00B230CA"/>
    <w:rsid w:val="00B23427"/>
    <w:rsid w:val="00B23761"/>
    <w:rsid w:val="00B23AE5"/>
    <w:rsid w:val="00B23D81"/>
    <w:rsid w:val="00B23D98"/>
    <w:rsid w:val="00B23D99"/>
    <w:rsid w:val="00B23E68"/>
    <w:rsid w:val="00B23FC2"/>
    <w:rsid w:val="00B242CF"/>
    <w:rsid w:val="00B242E4"/>
    <w:rsid w:val="00B24321"/>
    <w:rsid w:val="00B248B2"/>
    <w:rsid w:val="00B24903"/>
    <w:rsid w:val="00B24CB5"/>
    <w:rsid w:val="00B24D6F"/>
    <w:rsid w:val="00B24E7E"/>
    <w:rsid w:val="00B24F56"/>
    <w:rsid w:val="00B2559A"/>
    <w:rsid w:val="00B25974"/>
    <w:rsid w:val="00B25DAC"/>
    <w:rsid w:val="00B25E02"/>
    <w:rsid w:val="00B25ED1"/>
    <w:rsid w:val="00B26278"/>
    <w:rsid w:val="00B262A1"/>
    <w:rsid w:val="00B264D5"/>
    <w:rsid w:val="00B26713"/>
    <w:rsid w:val="00B26781"/>
    <w:rsid w:val="00B26A14"/>
    <w:rsid w:val="00B26B1C"/>
    <w:rsid w:val="00B26CF2"/>
    <w:rsid w:val="00B26DD0"/>
    <w:rsid w:val="00B26E03"/>
    <w:rsid w:val="00B26E97"/>
    <w:rsid w:val="00B26EA3"/>
    <w:rsid w:val="00B2734C"/>
    <w:rsid w:val="00B27529"/>
    <w:rsid w:val="00B275C4"/>
    <w:rsid w:val="00B275D9"/>
    <w:rsid w:val="00B27A8C"/>
    <w:rsid w:val="00B27B07"/>
    <w:rsid w:val="00B27D62"/>
    <w:rsid w:val="00B27DB5"/>
    <w:rsid w:val="00B27F64"/>
    <w:rsid w:val="00B30178"/>
    <w:rsid w:val="00B3018B"/>
    <w:rsid w:val="00B30309"/>
    <w:rsid w:val="00B3032B"/>
    <w:rsid w:val="00B305C5"/>
    <w:rsid w:val="00B305C6"/>
    <w:rsid w:val="00B306C0"/>
    <w:rsid w:val="00B308C6"/>
    <w:rsid w:val="00B3094E"/>
    <w:rsid w:val="00B30D00"/>
    <w:rsid w:val="00B30D66"/>
    <w:rsid w:val="00B30E65"/>
    <w:rsid w:val="00B30E68"/>
    <w:rsid w:val="00B30F1E"/>
    <w:rsid w:val="00B30FBB"/>
    <w:rsid w:val="00B31034"/>
    <w:rsid w:val="00B31379"/>
    <w:rsid w:val="00B313B2"/>
    <w:rsid w:val="00B3156F"/>
    <w:rsid w:val="00B3176A"/>
    <w:rsid w:val="00B318C8"/>
    <w:rsid w:val="00B31A61"/>
    <w:rsid w:val="00B31B1C"/>
    <w:rsid w:val="00B31D03"/>
    <w:rsid w:val="00B31E74"/>
    <w:rsid w:val="00B320A8"/>
    <w:rsid w:val="00B321BC"/>
    <w:rsid w:val="00B321FE"/>
    <w:rsid w:val="00B32538"/>
    <w:rsid w:val="00B3259B"/>
    <w:rsid w:val="00B32872"/>
    <w:rsid w:val="00B32984"/>
    <w:rsid w:val="00B32F4A"/>
    <w:rsid w:val="00B3310C"/>
    <w:rsid w:val="00B33471"/>
    <w:rsid w:val="00B3371F"/>
    <w:rsid w:val="00B33942"/>
    <w:rsid w:val="00B3399F"/>
    <w:rsid w:val="00B33C07"/>
    <w:rsid w:val="00B33D30"/>
    <w:rsid w:val="00B33DDE"/>
    <w:rsid w:val="00B33FA6"/>
    <w:rsid w:val="00B3439E"/>
    <w:rsid w:val="00B34442"/>
    <w:rsid w:val="00B3471E"/>
    <w:rsid w:val="00B3478B"/>
    <w:rsid w:val="00B34875"/>
    <w:rsid w:val="00B348EB"/>
    <w:rsid w:val="00B3490F"/>
    <w:rsid w:val="00B34F9C"/>
    <w:rsid w:val="00B3514F"/>
    <w:rsid w:val="00B35218"/>
    <w:rsid w:val="00B3534F"/>
    <w:rsid w:val="00B35618"/>
    <w:rsid w:val="00B3563F"/>
    <w:rsid w:val="00B358C6"/>
    <w:rsid w:val="00B35A14"/>
    <w:rsid w:val="00B35ACA"/>
    <w:rsid w:val="00B35D14"/>
    <w:rsid w:val="00B35D21"/>
    <w:rsid w:val="00B35E6D"/>
    <w:rsid w:val="00B35EC7"/>
    <w:rsid w:val="00B361D4"/>
    <w:rsid w:val="00B363D3"/>
    <w:rsid w:val="00B364C5"/>
    <w:rsid w:val="00B3695F"/>
    <w:rsid w:val="00B36BA0"/>
    <w:rsid w:val="00B36C93"/>
    <w:rsid w:val="00B36D6E"/>
    <w:rsid w:val="00B36D97"/>
    <w:rsid w:val="00B36F20"/>
    <w:rsid w:val="00B370B3"/>
    <w:rsid w:val="00B37536"/>
    <w:rsid w:val="00B37650"/>
    <w:rsid w:val="00B37A0D"/>
    <w:rsid w:val="00B37AEA"/>
    <w:rsid w:val="00B37B37"/>
    <w:rsid w:val="00B37CB0"/>
    <w:rsid w:val="00B40082"/>
    <w:rsid w:val="00B400C9"/>
    <w:rsid w:val="00B4020E"/>
    <w:rsid w:val="00B40515"/>
    <w:rsid w:val="00B4092B"/>
    <w:rsid w:val="00B40CC9"/>
    <w:rsid w:val="00B40DBA"/>
    <w:rsid w:val="00B411F4"/>
    <w:rsid w:val="00B41254"/>
    <w:rsid w:val="00B413C9"/>
    <w:rsid w:val="00B414E0"/>
    <w:rsid w:val="00B41510"/>
    <w:rsid w:val="00B416DF"/>
    <w:rsid w:val="00B41733"/>
    <w:rsid w:val="00B41862"/>
    <w:rsid w:val="00B41994"/>
    <w:rsid w:val="00B41B04"/>
    <w:rsid w:val="00B41C77"/>
    <w:rsid w:val="00B41FDB"/>
    <w:rsid w:val="00B422FE"/>
    <w:rsid w:val="00B42441"/>
    <w:rsid w:val="00B4269D"/>
    <w:rsid w:val="00B42780"/>
    <w:rsid w:val="00B428C5"/>
    <w:rsid w:val="00B428DB"/>
    <w:rsid w:val="00B42A10"/>
    <w:rsid w:val="00B42BCF"/>
    <w:rsid w:val="00B42BD1"/>
    <w:rsid w:val="00B42CDC"/>
    <w:rsid w:val="00B42D15"/>
    <w:rsid w:val="00B438CF"/>
    <w:rsid w:val="00B43DAF"/>
    <w:rsid w:val="00B43E11"/>
    <w:rsid w:val="00B43FB6"/>
    <w:rsid w:val="00B44192"/>
    <w:rsid w:val="00B44769"/>
    <w:rsid w:val="00B449F2"/>
    <w:rsid w:val="00B44A70"/>
    <w:rsid w:val="00B44C9C"/>
    <w:rsid w:val="00B44DA1"/>
    <w:rsid w:val="00B4520F"/>
    <w:rsid w:val="00B45421"/>
    <w:rsid w:val="00B45580"/>
    <w:rsid w:val="00B455BB"/>
    <w:rsid w:val="00B45612"/>
    <w:rsid w:val="00B456B7"/>
    <w:rsid w:val="00B4587A"/>
    <w:rsid w:val="00B4592A"/>
    <w:rsid w:val="00B45BAE"/>
    <w:rsid w:val="00B45EDB"/>
    <w:rsid w:val="00B462FB"/>
    <w:rsid w:val="00B4633E"/>
    <w:rsid w:val="00B465A7"/>
    <w:rsid w:val="00B469CB"/>
    <w:rsid w:val="00B46D3E"/>
    <w:rsid w:val="00B46EBF"/>
    <w:rsid w:val="00B46FA3"/>
    <w:rsid w:val="00B4725D"/>
    <w:rsid w:val="00B47455"/>
    <w:rsid w:val="00B475B8"/>
    <w:rsid w:val="00B47DB4"/>
    <w:rsid w:val="00B47E42"/>
    <w:rsid w:val="00B50550"/>
    <w:rsid w:val="00B50607"/>
    <w:rsid w:val="00B509CF"/>
    <w:rsid w:val="00B50BEB"/>
    <w:rsid w:val="00B51387"/>
    <w:rsid w:val="00B515EC"/>
    <w:rsid w:val="00B51884"/>
    <w:rsid w:val="00B519E8"/>
    <w:rsid w:val="00B51AF4"/>
    <w:rsid w:val="00B5226B"/>
    <w:rsid w:val="00B52547"/>
    <w:rsid w:val="00B525B2"/>
    <w:rsid w:val="00B527D0"/>
    <w:rsid w:val="00B52811"/>
    <w:rsid w:val="00B52A61"/>
    <w:rsid w:val="00B52B89"/>
    <w:rsid w:val="00B52C8D"/>
    <w:rsid w:val="00B52CA8"/>
    <w:rsid w:val="00B52F66"/>
    <w:rsid w:val="00B532FB"/>
    <w:rsid w:val="00B533B1"/>
    <w:rsid w:val="00B53881"/>
    <w:rsid w:val="00B538BA"/>
    <w:rsid w:val="00B539E3"/>
    <w:rsid w:val="00B53D5F"/>
    <w:rsid w:val="00B53E10"/>
    <w:rsid w:val="00B54012"/>
    <w:rsid w:val="00B54036"/>
    <w:rsid w:val="00B54604"/>
    <w:rsid w:val="00B54639"/>
    <w:rsid w:val="00B54951"/>
    <w:rsid w:val="00B54C6F"/>
    <w:rsid w:val="00B54EAA"/>
    <w:rsid w:val="00B54EEF"/>
    <w:rsid w:val="00B5515C"/>
    <w:rsid w:val="00B554F9"/>
    <w:rsid w:val="00B557EF"/>
    <w:rsid w:val="00B559F7"/>
    <w:rsid w:val="00B55A5C"/>
    <w:rsid w:val="00B55BE7"/>
    <w:rsid w:val="00B55C71"/>
    <w:rsid w:val="00B55D7A"/>
    <w:rsid w:val="00B55E02"/>
    <w:rsid w:val="00B55E4F"/>
    <w:rsid w:val="00B56253"/>
    <w:rsid w:val="00B5662A"/>
    <w:rsid w:val="00B5669A"/>
    <w:rsid w:val="00B5683E"/>
    <w:rsid w:val="00B56A57"/>
    <w:rsid w:val="00B56B6E"/>
    <w:rsid w:val="00B571BA"/>
    <w:rsid w:val="00B57200"/>
    <w:rsid w:val="00B5720A"/>
    <w:rsid w:val="00B57354"/>
    <w:rsid w:val="00B5743B"/>
    <w:rsid w:val="00B5760E"/>
    <w:rsid w:val="00B57EA3"/>
    <w:rsid w:val="00B57F6A"/>
    <w:rsid w:val="00B6016F"/>
    <w:rsid w:val="00B601B7"/>
    <w:rsid w:val="00B603E4"/>
    <w:rsid w:val="00B6088C"/>
    <w:rsid w:val="00B609BA"/>
    <w:rsid w:val="00B609E4"/>
    <w:rsid w:val="00B60BE8"/>
    <w:rsid w:val="00B60F8C"/>
    <w:rsid w:val="00B61065"/>
    <w:rsid w:val="00B61286"/>
    <w:rsid w:val="00B6145C"/>
    <w:rsid w:val="00B614DE"/>
    <w:rsid w:val="00B6184A"/>
    <w:rsid w:val="00B6192A"/>
    <w:rsid w:val="00B61977"/>
    <w:rsid w:val="00B61AE1"/>
    <w:rsid w:val="00B61CE0"/>
    <w:rsid w:val="00B6211E"/>
    <w:rsid w:val="00B621F0"/>
    <w:rsid w:val="00B627FB"/>
    <w:rsid w:val="00B62A8F"/>
    <w:rsid w:val="00B62BEC"/>
    <w:rsid w:val="00B62DA3"/>
    <w:rsid w:val="00B63562"/>
    <w:rsid w:val="00B635F5"/>
    <w:rsid w:val="00B63618"/>
    <w:rsid w:val="00B63BA8"/>
    <w:rsid w:val="00B640CA"/>
    <w:rsid w:val="00B645C4"/>
    <w:rsid w:val="00B645F1"/>
    <w:rsid w:val="00B64633"/>
    <w:rsid w:val="00B64ADC"/>
    <w:rsid w:val="00B64C75"/>
    <w:rsid w:val="00B64CE0"/>
    <w:rsid w:val="00B6503C"/>
    <w:rsid w:val="00B653FA"/>
    <w:rsid w:val="00B6596B"/>
    <w:rsid w:val="00B65B7F"/>
    <w:rsid w:val="00B65ECE"/>
    <w:rsid w:val="00B66261"/>
    <w:rsid w:val="00B6641B"/>
    <w:rsid w:val="00B66521"/>
    <w:rsid w:val="00B66556"/>
    <w:rsid w:val="00B66B0B"/>
    <w:rsid w:val="00B66C92"/>
    <w:rsid w:val="00B66CDA"/>
    <w:rsid w:val="00B670E4"/>
    <w:rsid w:val="00B67159"/>
    <w:rsid w:val="00B672D0"/>
    <w:rsid w:val="00B678E9"/>
    <w:rsid w:val="00B67BDA"/>
    <w:rsid w:val="00B67BE7"/>
    <w:rsid w:val="00B67C4F"/>
    <w:rsid w:val="00B67F5A"/>
    <w:rsid w:val="00B70010"/>
    <w:rsid w:val="00B70824"/>
    <w:rsid w:val="00B709B1"/>
    <w:rsid w:val="00B70B07"/>
    <w:rsid w:val="00B70C78"/>
    <w:rsid w:val="00B70FBD"/>
    <w:rsid w:val="00B71306"/>
    <w:rsid w:val="00B7142E"/>
    <w:rsid w:val="00B7168E"/>
    <w:rsid w:val="00B716D6"/>
    <w:rsid w:val="00B717B2"/>
    <w:rsid w:val="00B717F4"/>
    <w:rsid w:val="00B71933"/>
    <w:rsid w:val="00B71A4C"/>
    <w:rsid w:val="00B71A75"/>
    <w:rsid w:val="00B71A97"/>
    <w:rsid w:val="00B71B4B"/>
    <w:rsid w:val="00B71BA2"/>
    <w:rsid w:val="00B71C6F"/>
    <w:rsid w:val="00B71DBA"/>
    <w:rsid w:val="00B7222D"/>
    <w:rsid w:val="00B7230D"/>
    <w:rsid w:val="00B7254B"/>
    <w:rsid w:val="00B727E5"/>
    <w:rsid w:val="00B72A33"/>
    <w:rsid w:val="00B72AC3"/>
    <w:rsid w:val="00B72C68"/>
    <w:rsid w:val="00B72F59"/>
    <w:rsid w:val="00B733E6"/>
    <w:rsid w:val="00B7374C"/>
    <w:rsid w:val="00B738C5"/>
    <w:rsid w:val="00B73A7A"/>
    <w:rsid w:val="00B73C12"/>
    <w:rsid w:val="00B73E22"/>
    <w:rsid w:val="00B73E58"/>
    <w:rsid w:val="00B73E90"/>
    <w:rsid w:val="00B7405A"/>
    <w:rsid w:val="00B7409B"/>
    <w:rsid w:val="00B741DD"/>
    <w:rsid w:val="00B74764"/>
    <w:rsid w:val="00B74ADC"/>
    <w:rsid w:val="00B75199"/>
    <w:rsid w:val="00B75203"/>
    <w:rsid w:val="00B754A2"/>
    <w:rsid w:val="00B755DB"/>
    <w:rsid w:val="00B75783"/>
    <w:rsid w:val="00B757A1"/>
    <w:rsid w:val="00B759BF"/>
    <w:rsid w:val="00B75C40"/>
    <w:rsid w:val="00B75CE5"/>
    <w:rsid w:val="00B75E52"/>
    <w:rsid w:val="00B75FC4"/>
    <w:rsid w:val="00B75FFD"/>
    <w:rsid w:val="00B7645F"/>
    <w:rsid w:val="00B7654F"/>
    <w:rsid w:val="00B7695F"/>
    <w:rsid w:val="00B76AA1"/>
    <w:rsid w:val="00B76B5C"/>
    <w:rsid w:val="00B76C07"/>
    <w:rsid w:val="00B76C44"/>
    <w:rsid w:val="00B76E5E"/>
    <w:rsid w:val="00B76FE8"/>
    <w:rsid w:val="00B7717F"/>
    <w:rsid w:val="00B7759F"/>
    <w:rsid w:val="00B77844"/>
    <w:rsid w:val="00B801AE"/>
    <w:rsid w:val="00B80522"/>
    <w:rsid w:val="00B8072A"/>
    <w:rsid w:val="00B808FA"/>
    <w:rsid w:val="00B80DB0"/>
    <w:rsid w:val="00B810D4"/>
    <w:rsid w:val="00B8114A"/>
    <w:rsid w:val="00B813B6"/>
    <w:rsid w:val="00B81494"/>
    <w:rsid w:val="00B81667"/>
    <w:rsid w:val="00B81AAC"/>
    <w:rsid w:val="00B81B49"/>
    <w:rsid w:val="00B81C94"/>
    <w:rsid w:val="00B81D30"/>
    <w:rsid w:val="00B821C4"/>
    <w:rsid w:val="00B822BD"/>
    <w:rsid w:val="00B82449"/>
    <w:rsid w:val="00B826AA"/>
    <w:rsid w:val="00B82BA3"/>
    <w:rsid w:val="00B82EDD"/>
    <w:rsid w:val="00B82EE3"/>
    <w:rsid w:val="00B830D0"/>
    <w:rsid w:val="00B83218"/>
    <w:rsid w:val="00B834D3"/>
    <w:rsid w:val="00B83587"/>
    <w:rsid w:val="00B836D3"/>
    <w:rsid w:val="00B83796"/>
    <w:rsid w:val="00B838A4"/>
    <w:rsid w:val="00B83930"/>
    <w:rsid w:val="00B83B14"/>
    <w:rsid w:val="00B83DCA"/>
    <w:rsid w:val="00B83E29"/>
    <w:rsid w:val="00B83F57"/>
    <w:rsid w:val="00B840A6"/>
    <w:rsid w:val="00B8444B"/>
    <w:rsid w:val="00B84599"/>
    <w:rsid w:val="00B845A1"/>
    <w:rsid w:val="00B845A8"/>
    <w:rsid w:val="00B847A7"/>
    <w:rsid w:val="00B84880"/>
    <w:rsid w:val="00B84A6A"/>
    <w:rsid w:val="00B85090"/>
    <w:rsid w:val="00B853FF"/>
    <w:rsid w:val="00B85604"/>
    <w:rsid w:val="00B8578D"/>
    <w:rsid w:val="00B85934"/>
    <w:rsid w:val="00B85C7A"/>
    <w:rsid w:val="00B85D13"/>
    <w:rsid w:val="00B85F01"/>
    <w:rsid w:val="00B85F3E"/>
    <w:rsid w:val="00B85FBB"/>
    <w:rsid w:val="00B8606E"/>
    <w:rsid w:val="00B86199"/>
    <w:rsid w:val="00B86285"/>
    <w:rsid w:val="00B86304"/>
    <w:rsid w:val="00B8635E"/>
    <w:rsid w:val="00B863AE"/>
    <w:rsid w:val="00B86427"/>
    <w:rsid w:val="00B86557"/>
    <w:rsid w:val="00B86780"/>
    <w:rsid w:val="00B86A54"/>
    <w:rsid w:val="00B86B21"/>
    <w:rsid w:val="00B86C0F"/>
    <w:rsid w:val="00B86FBA"/>
    <w:rsid w:val="00B87296"/>
    <w:rsid w:val="00B872CC"/>
    <w:rsid w:val="00B873FB"/>
    <w:rsid w:val="00B874B7"/>
    <w:rsid w:val="00B8752D"/>
    <w:rsid w:val="00B8776C"/>
    <w:rsid w:val="00B87A11"/>
    <w:rsid w:val="00B87CE3"/>
    <w:rsid w:val="00B87DB0"/>
    <w:rsid w:val="00B87F7A"/>
    <w:rsid w:val="00B90092"/>
    <w:rsid w:val="00B90242"/>
    <w:rsid w:val="00B9057F"/>
    <w:rsid w:val="00B906B4"/>
    <w:rsid w:val="00B906B9"/>
    <w:rsid w:val="00B90725"/>
    <w:rsid w:val="00B907F9"/>
    <w:rsid w:val="00B90822"/>
    <w:rsid w:val="00B90C91"/>
    <w:rsid w:val="00B90D36"/>
    <w:rsid w:val="00B90E0F"/>
    <w:rsid w:val="00B91145"/>
    <w:rsid w:val="00B913A4"/>
    <w:rsid w:val="00B91880"/>
    <w:rsid w:val="00B9199A"/>
    <w:rsid w:val="00B91A06"/>
    <w:rsid w:val="00B91B54"/>
    <w:rsid w:val="00B91B65"/>
    <w:rsid w:val="00B91E91"/>
    <w:rsid w:val="00B9219C"/>
    <w:rsid w:val="00B9220E"/>
    <w:rsid w:val="00B924FD"/>
    <w:rsid w:val="00B92615"/>
    <w:rsid w:val="00B927C1"/>
    <w:rsid w:val="00B928ED"/>
    <w:rsid w:val="00B92ECC"/>
    <w:rsid w:val="00B92F33"/>
    <w:rsid w:val="00B93173"/>
    <w:rsid w:val="00B93211"/>
    <w:rsid w:val="00B93212"/>
    <w:rsid w:val="00B935E8"/>
    <w:rsid w:val="00B93890"/>
    <w:rsid w:val="00B93AC8"/>
    <w:rsid w:val="00B9417B"/>
    <w:rsid w:val="00B9431C"/>
    <w:rsid w:val="00B9457E"/>
    <w:rsid w:val="00B94651"/>
    <w:rsid w:val="00B9471C"/>
    <w:rsid w:val="00B9479A"/>
    <w:rsid w:val="00B947F5"/>
    <w:rsid w:val="00B9491C"/>
    <w:rsid w:val="00B94BB8"/>
    <w:rsid w:val="00B94C2B"/>
    <w:rsid w:val="00B94C8D"/>
    <w:rsid w:val="00B94D51"/>
    <w:rsid w:val="00B94DA8"/>
    <w:rsid w:val="00B950C2"/>
    <w:rsid w:val="00B950F4"/>
    <w:rsid w:val="00B951C3"/>
    <w:rsid w:val="00B952F5"/>
    <w:rsid w:val="00B95688"/>
    <w:rsid w:val="00B95755"/>
    <w:rsid w:val="00B95B40"/>
    <w:rsid w:val="00B962D8"/>
    <w:rsid w:val="00B96393"/>
    <w:rsid w:val="00B96681"/>
    <w:rsid w:val="00B966CF"/>
    <w:rsid w:val="00B96955"/>
    <w:rsid w:val="00B96AB4"/>
    <w:rsid w:val="00B96F2E"/>
    <w:rsid w:val="00B97227"/>
    <w:rsid w:val="00B97441"/>
    <w:rsid w:val="00B9787D"/>
    <w:rsid w:val="00B9793F"/>
    <w:rsid w:val="00B97CE8"/>
    <w:rsid w:val="00B97D1B"/>
    <w:rsid w:val="00B97D4D"/>
    <w:rsid w:val="00B97E99"/>
    <w:rsid w:val="00B97F28"/>
    <w:rsid w:val="00BA0249"/>
    <w:rsid w:val="00BA0616"/>
    <w:rsid w:val="00BA070D"/>
    <w:rsid w:val="00BA07DC"/>
    <w:rsid w:val="00BA0886"/>
    <w:rsid w:val="00BA0A9E"/>
    <w:rsid w:val="00BA0BEB"/>
    <w:rsid w:val="00BA0DCD"/>
    <w:rsid w:val="00BA0F23"/>
    <w:rsid w:val="00BA0F27"/>
    <w:rsid w:val="00BA0F3A"/>
    <w:rsid w:val="00BA1286"/>
    <w:rsid w:val="00BA14D5"/>
    <w:rsid w:val="00BA1558"/>
    <w:rsid w:val="00BA1848"/>
    <w:rsid w:val="00BA184D"/>
    <w:rsid w:val="00BA1D60"/>
    <w:rsid w:val="00BA1E78"/>
    <w:rsid w:val="00BA212A"/>
    <w:rsid w:val="00BA2308"/>
    <w:rsid w:val="00BA25D8"/>
    <w:rsid w:val="00BA2716"/>
    <w:rsid w:val="00BA277C"/>
    <w:rsid w:val="00BA3047"/>
    <w:rsid w:val="00BA3306"/>
    <w:rsid w:val="00BA3E3F"/>
    <w:rsid w:val="00BA40A0"/>
    <w:rsid w:val="00BA4101"/>
    <w:rsid w:val="00BA461F"/>
    <w:rsid w:val="00BA464C"/>
    <w:rsid w:val="00BA4812"/>
    <w:rsid w:val="00BA4965"/>
    <w:rsid w:val="00BA4A61"/>
    <w:rsid w:val="00BA4C5F"/>
    <w:rsid w:val="00BA4D5C"/>
    <w:rsid w:val="00BA4DCD"/>
    <w:rsid w:val="00BA5117"/>
    <w:rsid w:val="00BA5305"/>
    <w:rsid w:val="00BA5D48"/>
    <w:rsid w:val="00BA5E43"/>
    <w:rsid w:val="00BA600E"/>
    <w:rsid w:val="00BA6058"/>
    <w:rsid w:val="00BA60EB"/>
    <w:rsid w:val="00BA66BE"/>
    <w:rsid w:val="00BA6738"/>
    <w:rsid w:val="00BA69A8"/>
    <w:rsid w:val="00BA6A05"/>
    <w:rsid w:val="00BA6B02"/>
    <w:rsid w:val="00BA7137"/>
    <w:rsid w:val="00BA7169"/>
    <w:rsid w:val="00BA75F3"/>
    <w:rsid w:val="00BA7714"/>
    <w:rsid w:val="00BA7738"/>
    <w:rsid w:val="00BA7762"/>
    <w:rsid w:val="00BA7EB2"/>
    <w:rsid w:val="00BB01A1"/>
    <w:rsid w:val="00BB04FA"/>
    <w:rsid w:val="00BB07E2"/>
    <w:rsid w:val="00BB07F5"/>
    <w:rsid w:val="00BB0907"/>
    <w:rsid w:val="00BB0C0E"/>
    <w:rsid w:val="00BB0DFE"/>
    <w:rsid w:val="00BB0EE3"/>
    <w:rsid w:val="00BB1309"/>
    <w:rsid w:val="00BB133C"/>
    <w:rsid w:val="00BB13CA"/>
    <w:rsid w:val="00BB1525"/>
    <w:rsid w:val="00BB17AF"/>
    <w:rsid w:val="00BB21FF"/>
    <w:rsid w:val="00BB2345"/>
    <w:rsid w:val="00BB23C2"/>
    <w:rsid w:val="00BB263B"/>
    <w:rsid w:val="00BB2742"/>
    <w:rsid w:val="00BB2879"/>
    <w:rsid w:val="00BB2986"/>
    <w:rsid w:val="00BB2E29"/>
    <w:rsid w:val="00BB2EE4"/>
    <w:rsid w:val="00BB30D7"/>
    <w:rsid w:val="00BB30E6"/>
    <w:rsid w:val="00BB3296"/>
    <w:rsid w:val="00BB369B"/>
    <w:rsid w:val="00BB3727"/>
    <w:rsid w:val="00BB389D"/>
    <w:rsid w:val="00BB3ACD"/>
    <w:rsid w:val="00BB3EA7"/>
    <w:rsid w:val="00BB3F04"/>
    <w:rsid w:val="00BB4282"/>
    <w:rsid w:val="00BB4412"/>
    <w:rsid w:val="00BB4419"/>
    <w:rsid w:val="00BB44E2"/>
    <w:rsid w:val="00BB4599"/>
    <w:rsid w:val="00BB45FF"/>
    <w:rsid w:val="00BB4610"/>
    <w:rsid w:val="00BB473C"/>
    <w:rsid w:val="00BB4A8B"/>
    <w:rsid w:val="00BB4E82"/>
    <w:rsid w:val="00BB5028"/>
    <w:rsid w:val="00BB5232"/>
    <w:rsid w:val="00BB535C"/>
    <w:rsid w:val="00BB5382"/>
    <w:rsid w:val="00BB5749"/>
    <w:rsid w:val="00BB5B1E"/>
    <w:rsid w:val="00BB5D31"/>
    <w:rsid w:val="00BB5DF8"/>
    <w:rsid w:val="00BB606D"/>
    <w:rsid w:val="00BB62F5"/>
    <w:rsid w:val="00BB63B3"/>
    <w:rsid w:val="00BB656F"/>
    <w:rsid w:val="00BB66D2"/>
    <w:rsid w:val="00BB66D9"/>
    <w:rsid w:val="00BB6C6F"/>
    <w:rsid w:val="00BB6F67"/>
    <w:rsid w:val="00BB6FC8"/>
    <w:rsid w:val="00BB713E"/>
    <w:rsid w:val="00BB7594"/>
    <w:rsid w:val="00BB7723"/>
    <w:rsid w:val="00BB7734"/>
    <w:rsid w:val="00BB779D"/>
    <w:rsid w:val="00BB77C0"/>
    <w:rsid w:val="00BB78A6"/>
    <w:rsid w:val="00BB78A9"/>
    <w:rsid w:val="00BB7C67"/>
    <w:rsid w:val="00BB7D49"/>
    <w:rsid w:val="00BC048F"/>
    <w:rsid w:val="00BC071D"/>
    <w:rsid w:val="00BC072B"/>
    <w:rsid w:val="00BC0955"/>
    <w:rsid w:val="00BC0C79"/>
    <w:rsid w:val="00BC0F87"/>
    <w:rsid w:val="00BC1087"/>
    <w:rsid w:val="00BC19AB"/>
    <w:rsid w:val="00BC1B2B"/>
    <w:rsid w:val="00BC1C2C"/>
    <w:rsid w:val="00BC1CD0"/>
    <w:rsid w:val="00BC1FE7"/>
    <w:rsid w:val="00BC2488"/>
    <w:rsid w:val="00BC2743"/>
    <w:rsid w:val="00BC292E"/>
    <w:rsid w:val="00BC2E3D"/>
    <w:rsid w:val="00BC305E"/>
    <w:rsid w:val="00BC3097"/>
    <w:rsid w:val="00BC30FE"/>
    <w:rsid w:val="00BC3579"/>
    <w:rsid w:val="00BC357C"/>
    <w:rsid w:val="00BC3943"/>
    <w:rsid w:val="00BC3AB1"/>
    <w:rsid w:val="00BC3D66"/>
    <w:rsid w:val="00BC3E83"/>
    <w:rsid w:val="00BC3F2B"/>
    <w:rsid w:val="00BC45C4"/>
    <w:rsid w:val="00BC4FA1"/>
    <w:rsid w:val="00BC50F8"/>
    <w:rsid w:val="00BC50FE"/>
    <w:rsid w:val="00BC5164"/>
    <w:rsid w:val="00BC51BA"/>
    <w:rsid w:val="00BC51E0"/>
    <w:rsid w:val="00BC572A"/>
    <w:rsid w:val="00BC57C6"/>
    <w:rsid w:val="00BC5B35"/>
    <w:rsid w:val="00BC5F91"/>
    <w:rsid w:val="00BC5FCE"/>
    <w:rsid w:val="00BC6394"/>
    <w:rsid w:val="00BC6A5D"/>
    <w:rsid w:val="00BC6B29"/>
    <w:rsid w:val="00BC6CE3"/>
    <w:rsid w:val="00BC73D2"/>
    <w:rsid w:val="00BC7645"/>
    <w:rsid w:val="00BC7826"/>
    <w:rsid w:val="00BC7A21"/>
    <w:rsid w:val="00BC7BCD"/>
    <w:rsid w:val="00BC7C06"/>
    <w:rsid w:val="00BC7C1E"/>
    <w:rsid w:val="00BC7F50"/>
    <w:rsid w:val="00BC7FA1"/>
    <w:rsid w:val="00BD0031"/>
    <w:rsid w:val="00BD085F"/>
    <w:rsid w:val="00BD0B5A"/>
    <w:rsid w:val="00BD1345"/>
    <w:rsid w:val="00BD14A2"/>
    <w:rsid w:val="00BD16F5"/>
    <w:rsid w:val="00BD1E8A"/>
    <w:rsid w:val="00BD216D"/>
    <w:rsid w:val="00BD224B"/>
    <w:rsid w:val="00BD227D"/>
    <w:rsid w:val="00BD241D"/>
    <w:rsid w:val="00BD2429"/>
    <w:rsid w:val="00BD2499"/>
    <w:rsid w:val="00BD2713"/>
    <w:rsid w:val="00BD2922"/>
    <w:rsid w:val="00BD2B03"/>
    <w:rsid w:val="00BD2B26"/>
    <w:rsid w:val="00BD2C01"/>
    <w:rsid w:val="00BD2C63"/>
    <w:rsid w:val="00BD2CA6"/>
    <w:rsid w:val="00BD2D98"/>
    <w:rsid w:val="00BD2FA0"/>
    <w:rsid w:val="00BD3026"/>
    <w:rsid w:val="00BD305B"/>
    <w:rsid w:val="00BD32E7"/>
    <w:rsid w:val="00BD355B"/>
    <w:rsid w:val="00BD3689"/>
    <w:rsid w:val="00BD39ED"/>
    <w:rsid w:val="00BD3BAD"/>
    <w:rsid w:val="00BD3F9A"/>
    <w:rsid w:val="00BD3FFE"/>
    <w:rsid w:val="00BD41E3"/>
    <w:rsid w:val="00BD440A"/>
    <w:rsid w:val="00BD444D"/>
    <w:rsid w:val="00BD448A"/>
    <w:rsid w:val="00BD464D"/>
    <w:rsid w:val="00BD482E"/>
    <w:rsid w:val="00BD48A7"/>
    <w:rsid w:val="00BD4AB9"/>
    <w:rsid w:val="00BD5324"/>
    <w:rsid w:val="00BD53B9"/>
    <w:rsid w:val="00BD5430"/>
    <w:rsid w:val="00BD57E6"/>
    <w:rsid w:val="00BD590C"/>
    <w:rsid w:val="00BD59FA"/>
    <w:rsid w:val="00BD5A3F"/>
    <w:rsid w:val="00BD5AD8"/>
    <w:rsid w:val="00BD5CE3"/>
    <w:rsid w:val="00BD61B0"/>
    <w:rsid w:val="00BD64C4"/>
    <w:rsid w:val="00BD65E0"/>
    <w:rsid w:val="00BD67D4"/>
    <w:rsid w:val="00BD6BF6"/>
    <w:rsid w:val="00BD6E23"/>
    <w:rsid w:val="00BD6EE0"/>
    <w:rsid w:val="00BD700D"/>
    <w:rsid w:val="00BD70BF"/>
    <w:rsid w:val="00BD72EF"/>
    <w:rsid w:val="00BD7402"/>
    <w:rsid w:val="00BD7580"/>
    <w:rsid w:val="00BD7637"/>
    <w:rsid w:val="00BD7646"/>
    <w:rsid w:val="00BD77FA"/>
    <w:rsid w:val="00BD7B61"/>
    <w:rsid w:val="00BD7B85"/>
    <w:rsid w:val="00BD7D9D"/>
    <w:rsid w:val="00BD7DA7"/>
    <w:rsid w:val="00BD7FDC"/>
    <w:rsid w:val="00BE027F"/>
    <w:rsid w:val="00BE03FA"/>
    <w:rsid w:val="00BE0536"/>
    <w:rsid w:val="00BE074D"/>
    <w:rsid w:val="00BE0953"/>
    <w:rsid w:val="00BE0998"/>
    <w:rsid w:val="00BE0C3A"/>
    <w:rsid w:val="00BE0D27"/>
    <w:rsid w:val="00BE133A"/>
    <w:rsid w:val="00BE1585"/>
    <w:rsid w:val="00BE197A"/>
    <w:rsid w:val="00BE1BAD"/>
    <w:rsid w:val="00BE1BB9"/>
    <w:rsid w:val="00BE1C2D"/>
    <w:rsid w:val="00BE1EE0"/>
    <w:rsid w:val="00BE1F1B"/>
    <w:rsid w:val="00BE2046"/>
    <w:rsid w:val="00BE211B"/>
    <w:rsid w:val="00BE21A4"/>
    <w:rsid w:val="00BE223A"/>
    <w:rsid w:val="00BE2300"/>
    <w:rsid w:val="00BE244B"/>
    <w:rsid w:val="00BE2759"/>
    <w:rsid w:val="00BE28F7"/>
    <w:rsid w:val="00BE29B1"/>
    <w:rsid w:val="00BE2ACE"/>
    <w:rsid w:val="00BE2ADE"/>
    <w:rsid w:val="00BE2C90"/>
    <w:rsid w:val="00BE3266"/>
    <w:rsid w:val="00BE33BF"/>
    <w:rsid w:val="00BE33D4"/>
    <w:rsid w:val="00BE3B09"/>
    <w:rsid w:val="00BE3EF5"/>
    <w:rsid w:val="00BE40E1"/>
    <w:rsid w:val="00BE4583"/>
    <w:rsid w:val="00BE485A"/>
    <w:rsid w:val="00BE4CFC"/>
    <w:rsid w:val="00BE51D2"/>
    <w:rsid w:val="00BE5835"/>
    <w:rsid w:val="00BE5B75"/>
    <w:rsid w:val="00BE5C5F"/>
    <w:rsid w:val="00BE5D80"/>
    <w:rsid w:val="00BE5FDB"/>
    <w:rsid w:val="00BE6012"/>
    <w:rsid w:val="00BE6151"/>
    <w:rsid w:val="00BE6183"/>
    <w:rsid w:val="00BE63C8"/>
    <w:rsid w:val="00BE63D8"/>
    <w:rsid w:val="00BE651F"/>
    <w:rsid w:val="00BE660E"/>
    <w:rsid w:val="00BE691E"/>
    <w:rsid w:val="00BE6ADA"/>
    <w:rsid w:val="00BE6B61"/>
    <w:rsid w:val="00BE6C03"/>
    <w:rsid w:val="00BE6F3B"/>
    <w:rsid w:val="00BE6FAA"/>
    <w:rsid w:val="00BE6FB8"/>
    <w:rsid w:val="00BE702D"/>
    <w:rsid w:val="00BE7116"/>
    <w:rsid w:val="00BE71C4"/>
    <w:rsid w:val="00BE775A"/>
    <w:rsid w:val="00BE7C28"/>
    <w:rsid w:val="00BE7C9E"/>
    <w:rsid w:val="00BE7DB0"/>
    <w:rsid w:val="00BF0149"/>
    <w:rsid w:val="00BF0193"/>
    <w:rsid w:val="00BF0301"/>
    <w:rsid w:val="00BF0324"/>
    <w:rsid w:val="00BF0397"/>
    <w:rsid w:val="00BF071A"/>
    <w:rsid w:val="00BF0991"/>
    <w:rsid w:val="00BF099D"/>
    <w:rsid w:val="00BF0B7E"/>
    <w:rsid w:val="00BF0D17"/>
    <w:rsid w:val="00BF0DE6"/>
    <w:rsid w:val="00BF0EC5"/>
    <w:rsid w:val="00BF0ED0"/>
    <w:rsid w:val="00BF11FA"/>
    <w:rsid w:val="00BF1314"/>
    <w:rsid w:val="00BF14E7"/>
    <w:rsid w:val="00BF169A"/>
    <w:rsid w:val="00BF16F2"/>
    <w:rsid w:val="00BF1BA2"/>
    <w:rsid w:val="00BF1C43"/>
    <w:rsid w:val="00BF1CEC"/>
    <w:rsid w:val="00BF2671"/>
    <w:rsid w:val="00BF2AE4"/>
    <w:rsid w:val="00BF3291"/>
    <w:rsid w:val="00BF3329"/>
    <w:rsid w:val="00BF375F"/>
    <w:rsid w:val="00BF3932"/>
    <w:rsid w:val="00BF3A96"/>
    <w:rsid w:val="00BF3BED"/>
    <w:rsid w:val="00BF4297"/>
    <w:rsid w:val="00BF4600"/>
    <w:rsid w:val="00BF46FA"/>
    <w:rsid w:val="00BF4722"/>
    <w:rsid w:val="00BF476D"/>
    <w:rsid w:val="00BF4888"/>
    <w:rsid w:val="00BF491F"/>
    <w:rsid w:val="00BF4A36"/>
    <w:rsid w:val="00BF4C96"/>
    <w:rsid w:val="00BF4EFE"/>
    <w:rsid w:val="00BF4F27"/>
    <w:rsid w:val="00BF5223"/>
    <w:rsid w:val="00BF5247"/>
    <w:rsid w:val="00BF561A"/>
    <w:rsid w:val="00BF5985"/>
    <w:rsid w:val="00BF59C8"/>
    <w:rsid w:val="00BF5B40"/>
    <w:rsid w:val="00BF5B92"/>
    <w:rsid w:val="00BF5C42"/>
    <w:rsid w:val="00BF5C8B"/>
    <w:rsid w:val="00BF5E8C"/>
    <w:rsid w:val="00BF5F6E"/>
    <w:rsid w:val="00BF60FF"/>
    <w:rsid w:val="00BF62BB"/>
    <w:rsid w:val="00BF6443"/>
    <w:rsid w:val="00BF678B"/>
    <w:rsid w:val="00BF6859"/>
    <w:rsid w:val="00BF691B"/>
    <w:rsid w:val="00BF6C31"/>
    <w:rsid w:val="00BF6D9D"/>
    <w:rsid w:val="00BF6DC1"/>
    <w:rsid w:val="00BF7010"/>
    <w:rsid w:val="00BF7034"/>
    <w:rsid w:val="00BF7267"/>
    <w:rsid w:val="00BF7377"/>
    <w:rsid w:val="00BF7452"/>
    <w:rsid w:val="00BF74CE"/>
    <w:rsid w:val="00BF7783"/>
    <w:rsid w:val="00BF7AD3"/>
    <w:rsid w:val="00BF7B56"/>
    <w:rsid w:val="00BF7BC9"/>
    <w:rsid w:val="00BF7E54"/>
    <w:rsid w:val="00C00000"/>
    <w:rsid w:val="00C00097"/>
    <w:rsid w:val="00C001BD"/>
    <w:rsid w:val="00C001C5"/>
    <w:rsid w:val="00C0020E"/>
    <w:rsid w:val="00C004A1"/>
    <w:rsid w:val="00C005E8"/>
    <w:rsid w:val="00C0086F"/>
    <w:rsid w:val="00C00920"/>
    <w:rsid w:val="00C00931"/>
    <w:rsid w:val="00C009B5"/>
    <w:rsid w:val="00C00CAD"/>
    <w:rsid w:val="00C00FAF"/>
    <w:rsid w:val="00C014AE"/>
    <w:rsid w:val="00C01514"/>
    <w:rsid w:val="00C015FE"/>
    <w:rsid w:val="00C01D92"/>
    <w:rsid w:val="00C02179"/>
    <w:rsid w:val="00C02322"/>
    <w:rsid w:val="00C02373"/>
    <w:rsid w:val="00C02435"/>
    <w:rsid w:val="00C0275A"/>
    <w:rsid w:val="00C02B33"/>
    <w:rsid w:val="00C02E0C"/>
    <w:rsid w:val="00C02FCB"/>
    <w:rsid w:val="00C0396D"/>
    <w:rsid w:val="00C03B43"/>
    <w:rsid w:val="00C03C10"/>
    <w:rsid w:val="00C03C51"/>
    <w:rsid w:val="00C03D05"/>
    <w:rsid w:val="00C03E1E"/>
    <w:rsid w:val="00C03EFD"/>
    <w:rsid w:val="00C04109"/>
    <w:rsid w:val="00C04258"/>
    <w:rsid w:val="00C04418"/>
    <w:rsid w:val="00C04455"/>
    <w:rsid w:val="00C0459E"/>
    <w:rsid w:val="00C04AD3"/>
    <w:rsid w:val="00C04B43"/>
    <w:rsid w:val="00C04CE9"/>
    <w:rsid w:val="00C04EA2"/>
    <w:rsid w:val="00C050A3"/>
    <w:rsid w:val="00C050EE"/>
    <w:rsid w:val="00C050F9"/>
    <w:rsid w:val="00C05164"/>
    <w:rsid w:val="00C052FA"/>
    <w:rsid w:val="00C05323"/>
    <w:rsid w:val="00C054CE"/>
    <w:rsid w:val="00C05929"/>
    <w:rsid w:val="00C0599C"/>
    <w:rsid w:val="00C066EA"/>
    <w:rsid w:val="00C06875"/>
    <w:rsid w:val="00C069C1"/>
    <w:rsid w:val="00C06A32"/>
    <w:rsid w:val="00C06ACB"/>
    <w:rsid w:val="00C06B88"/>
    <w:rsid w:val="00C06DD3"/>
    <w:rsid w:val="00C06F54"/>
    <w:rsid w:val="00C078B7"/>
    <w:rsid w:val="00C07B70"/>
    <w:rsid w:val="00C07BBD"/>
    <w:rsid w:val="00C07C10"/>
    <w:rsid w:val="00C10075"/>
    <w:rsid w:val="00C1013D"/>
    <w:rsid w:val="00C101A9"/>
    <w:rsid w:val="00C102BC"/>
    <w:rsid w:val="00C1032A"/>
    <w:rsid w:val="00C103E3"/>
    <w:rsid w:val="00C1052B"/>
    <w:rsid w:val="00C1075F"/>
    <w:rsid w:val="00C10A06"/>
    <w:rsid w:val="00C10DBF"/>
    <w:rsid w:val="00C1102E"/>
    <w:rsid w:val="00C113AE"/>
    <w:rsid w:val="00C113B6"/>
    <w:rsid w:val="00C11460"/>
    <w:rsid w:val="00C11C8C"/>
    <w:rsid w:val="00C11D58"/>
    <w:rsid w:val="00C1211A"/>
    <w:rsid w:val="00C122FA"/>
    <w:rsid w:val="00C126A7"/>
    <w:rsid w:val="00C12985"/>
    <w:rsid w:val="00C12D94"/>
    <w:rsid w:val="00C12DE5"/>
    <w:rsid w:val="00C12E07"/>
    <w:rsid w:val="00C12E14"/>
    <w:rsid w:val="00C12F07"/>
    <w:rsid w:val="00C130ED"/>
    <w:rsid w:val="00C13107"/>
    <w:rsid w:val="00C131BB"/>
    <w:rsid w:val="00C13258"/>
    <w:rsid w:val="00C13335"/>
    <w:rsid w:val="00C1355A"/>
    <w:rsid w:val="00C135B4"/>
    <w:rsid w:val="00C13752"/>
    <w:rsid w:val="00C13AE0"/>
    <w:rsid w:val="00C13D7C"/>
    <w:rsid w:val="00C1422E"/>
    <w:rsid w:val="00C14233"/>
    <w:rsid w:val="00C1428D"/>
    <w:rsid w:val="00C14372"/>
    <w:rsid w:val="00C14532"/>
    <w:rsid w:val="00C1453D"/>
    <w:rsid w:val="00C14799"/>
    <w:rsid w:val="00C1494D"/>
    <w:rsid w:val="00C14951"/>
    <w:rsid w:val="00C14AD6"/>
    <w:rsid w:val="00C14B95"/>
    <w:rsid w:val="00C14E49"/>
    <w:rsid w:val="00C151A3"/>
    <w:rsid w:val="00C15268"/>
    <w:rsid w:val="00C15A49"/>
    <w:rsid w:val="00C15B00"/>
    <w:rsid w:val="00C15BA4"/>
    <w:rsid w:val="00C15D0D"/>
    <w:rsid w:val="00C15D6B"/>
    <w:rsid w:val="00C15DE1"/>
    <w:rsid w:val="00C15F75"/>
    <w:rsid w:val="00C163AA"/>
    <w:rsid w:val="00C1650B"/>
    <w:rsid w:val="00C1677C"/>
    <w:rsid w:val="00C16863"/>
    <w:rsid w:val="00C169FA"/>
    <w:rsid w:val="00C16DF5"/>
    <w:rsid w:val="00C16ECC"/>
    <w:rsid w:val="00C16FA3"/>
    <w:rsid w:val="00C17051"/>
    <w:rsid w:val="00C1727B"/>
    <w:rsid w:val="00C17322"/>
    <w:rsid w:val="00C17340"/>
    <w:rsid w:val="00C1756A"/>
    <w:rsid w:val="00C17698"/>
    <w:rsid w:val="00C17788"/>
    <w:rsid w:val="00C17E4E"/>
    <w:rsid w:val="00C17FE9"/>
    <w:rsid w:val="00C20170"/>
    <w:rsid w:val="00C202CD"/>
    <w:rsid w:val="00C2044A"/>
    <w:rsid w:val="00C208E1"/>
    <w:rsid w:val="00C20D4D"/>
    <w:rsid w:val="00C20E28"/>
    <w:rsid w:val="00C20EC3"/>
    <w:rsid w:val="00C20F43"/>
    <w:rsid w:val="00C214D1"/>
    <w:rsid w:val="00C21565"/>
    <w:rsid w:val="00C215A3"/>
    <w:rsid w:val="00C2174A"/>
    <w:rsid w:val="00C219D4"/>
    <w:rsid w:val="00C21A01"/>
    <w:rsid w:val="00C21B2E"/>
    <w:rsid w:val="00C21CA4"/>
    <w:rsid w:val="00C21D60"/>
    <w:rsid w:val="00C22100"/>
    <w:rsid w:val="00C22159"/>
    <w:rsid w:val="00C22363"/>
    <w:rsid w:val="00C22586"/>
    <w:rsid w:val="00C2266C"/>
    <w:rsid w:val="00C22BB7"/>
    <w:rsid w:val="00C22BE1"/>
    <w:rsid w:val="00C22D42"/>
    <w:rsid w:val="00C22E2B"/>
    <w:rsid w:val="00C22E3E"/>
    <w:rsid w:val="00C22EC9"/>
    <w:rsid w:val="00C22F96"/>
    <w:rsid w:val="00C23063"/>
    <w:rsid w:val="00C23116"/>
    <w:rsid w:val="00C236A7"/>
    <w:rsid w:val="00C2394E"/>
    <w:rsid w:val="00C23A10"/>
    <w:rsid w:val="00C23C5F"/>
    <w:rsid w:val="00C24097"/>
    <w:rsid w:val="00C24183"/>
    <w:rsid w:val="00C2431B"/>
    <w:rsid w:val="00C24403"/>
    <w:rsid w:val="00C24495"/>
    <w:rsid w:val="00C245D2"/>
    <w:rsid w:val="00C24865"/>
    <w:rsid w:val="00C24898"/>
    <w:rsid w:val="00C24B42"/>
    <w:rsid w:val="00C24BA5"/>
    <w:rsid w:val="00C24E9D"/>
    <w:rsid w:val="00C24F28"/>
    <w:rsid w:val="00C25046"/>
    <w:rsid w:val="00C250B3"/>
    <w:rsid w:val="00C25100"/>
    <w:rsid w:val="00C25346"/>
    <w:rsid w:val="00C2543D"/>
    <w:rsid w:val="00C2547E"/>
    <w:rsid w:val="00C254D9"/>
    <w:rsid w:val="00C25768"/>
    <w:rsid w:val="00C258C4"/>
    <w:rsid w:val="00C25991"/>
    <w:rsid w:val="00C25C5C"/>
    <w:rsid w:val="00C25E37"/>
    <w:rsid w:val="00C261AC"/>
    <w:rsid w:val="00C261FC"/>
    <w:rsid w:val="00C2625A"/>
    <w:rsid w:val="00C2625C"/>
    <w:rsid w:val="00C269EE"/>
    <w:rsid w:val="00C26A7D"/>
    <w:rsid w:val="00C26BA6"/>
    <w:rsid w:val="00C26BC9"/>
    <w:rsid w:val="00C26BE4"/>
    <w:rsid w:val="00C26E0B"/>
    <w:rsid w:val="00C271FE"/>
    <w:rsid w:val="00C27A61"/>
    <w:rsid w:val="00C27AA3"/>
    <w:rsid w:val="00C27CD5"/>
    <w:rsid w:val="00C27E8E"/>
    <w:rsid w:val="00C27FDF"/>
    <w:rsid w:val="00C30132"/>
    <w:rsid w:val="00C305E3"/>
    <w:rsid w:val="00C305F0"/>
    <w:rsid w:val="00C30635"/>
    <w:rsid w:val="00C30659"/>
    <w:rsid w:val="00C30682"/>
    <w:rsid w:val="00C30769"/>
    <w:rsid w:val="00C30987"/>
    <w:rsid w:val="00C30D76"/>
    <w:rsid w:val="00C30EB7"/>
    <w:rsid w:val="00C31059"/>
    <w:rsid w:val="00C315EB"/>
    <w:rsid w:val="00C318D1"/>
    <w:rsid w:val="00C31CDF"/>
    <w:rsid w:val="00C31DDA"/>
    <w:rsid w:val="00C31EC9"/>
    <w:rsid w:val="00C320EC"/>
    <w:rsid w:val="00C32128"/>
    <w:rsid w:val="00C3247C"/>
    <w:rsid w:val="00C32534"/>
    <w:rsid w:val="00C329CD"/>
    <w:rsid w:val="00C32B53"/>
    <w:rsid w:val="00C32C37"/>
    <w:rsid w:val="00C32DED"/>
    <w:rsid w:val="00C32E1F"/>
    <w:rsid w:val="00C32E83"/>
    <w:rsid w:val="00C32F4D"/>
    <w:rsid w:val="00C33217"/>
    <w:rsid w:val="00C332EC"/>
    <w:rsid w:val="00C33545"/>
    <w:rsid w:val="00C3370D"/>
    <w:rsid w:val="00C339E6"/>
    <w:rsid w:val="00C33C6F"/>
    <w:rsid w:val="00C33F97"/>
    <w:rsid w:val="00C3413F"/>
    <w:rsid w:val="00C341BC"/>
    <w:rsid w:val="00C343FC"/>
    <w:rsid w:val="00C347ED"/>
    <w:rsid w:val="00C3486E"/>
    <w:rsid w:val="00C34AC1"/>
    <w:rsid w:val="00C34B45"/>
    <w:rsid w:val="00C34E25"/>
    <w:rsid w:val="00C34E77"/>
    <w:rsid w:val="00C34F35"/>
    <w:rsid w:val="00C34F3D"/>
    <w:rsid w:val="00C350D1"/>
    <w:rsid w:val="00C35293"/>
    <w:rsid w:val="00C3543F"/>
    <w:rsid w:val="00C354DE"/>
    <w:rsid w:val="00C35525"/>
    <w:rsid w:val="00C357CD"/>
    <w:rsid w:val="00C35CC9"/>
    <w:rsid w:val="00C362F7"/>
    <w:rsid w:val="00C36477"/>
    <w:rsid w:val="00C36510"/>
    <w:rsid w:val="00C36873"/>
    <w:rsid w:val="00C368F5"/>
    <w:rsid w:val="00C36A24"/>
    <w:rsid w:val="00C36A42"/>
    <w:rsid w:val="00C36A5B"/>
    <w:rsid w:val="00C36B25"/>
    <w:rsid w:val="00C37129"/>
    <w:rsid w:val="00C373B6"/>
    <w:rsid w:val="00C375E6"/>
    <w:rsid w:val="00C3772C"/>
    <w:rsid w:val="00C3784F"/>
    <w:rsid w:val="00C37F71"/>
    <w:rsid w:val="00C4042D"/>
    <w:rsid w:val="00C40581"/>
    <w:rsid w:val="00C405CB"/>
    <w:rsid w:val="00C4092C"/>
    <w:rsid w:val="00C40A98"/>
    <w:rsid w:val="00C40C62"/>
    <w:rsid w:val="00C41242"/>
    <w:rsid w:val="00C4146C"/>
    <w:rsid w:val="00C41725"/>
    <w:rsid w:val="00C41899"/>
    <w:rsid w:val="00C41916"/>
    <w:rsid w:val="00C41A73"/>
    <w:rsid w:val="00C41CC1"/>
    <w:rsid w:val="00C42027"/>
    <w:rsid w:val="00C4206C"/>
    <w:rsid w:val="00C42071"/>
    <w:rsid w:val="00C425E8"/>
    <w:rsid w:val="00C4287B"/>
    <w:rsid w:val="00C42890"/>
    <w:rsid w:val="00C42CD8"/>
    <w:rsid w:val="00C431CE"/>
    <w:rsid w:val="00C434BA"/>
    <w:rsid w:val="00C4387B"/>
    <w:rsid w:val="00C4394A"/>
    <w:rsid w:val="00C43E8E"/>
    <w:rsid w:val="00C442C0"/>
    <w:rsid w:val="00C44303"/>
    <w:rsid w:val="00C4470A"/>
    <w:rsid w:val="00C44CC9"/>
    <w:rsid w:val="00C44EE2"/>
    <w:rsid w:val="00C451E7"/>
    <w:rsid w:val="00C45499"/>
    <w:rsid w:val="00C45D98"/>
    <w:rsid w:val="00C45DAF"/>
    <w:rsid w:val="00C45EC4"/>
    <w:rsid w:val="00C4647B"/>
    <w:rsid w:val="00C46ACD"/>
    <w:rsid w:val="00C47178"/>
    <w:rsid w:val="00C4736C"/>
    <w:rsid w:val="00C47AE7"/>
    <w:rsid w:val="00C47B10"/>
    <w:rsid w:val="00C47F37"/>
    <w:rsid w:val="00C50003"/>
    <w:rsid w:val="00C501D2"/>
    <w:rsid w:val="00C503AE"/>
    <w:rsid w:val="00C504AF"/>
    <w:rsid w:val="00C504FC"/>
    <w:rsid w:val="00C505C7"/>
    <w:rsid w:val="00C50ABF"/>
    <w:rsid w:val="00C50CCF"/>
    <w:rsid w:val="00C50D1E"/>
    <w:rsid w:val="00C50F2B"/>
    <w:rsid w:val="00C50F68"/>
    <w:rsid w:val="00C51120"/>
    <w:rsid w:val="00C51391"/>
    <w:rsid w:val="00C514BB"/>
    <w:rsid w:val="00C51816"/>
    <w:rsid w:val="00C51948"/>
    <w:rsid w:val="00C51A76"/>
    <w:rsid w:val="00C51AF8"/>
    <w:rsid w:val="00C51C0F"/>
    <w:rsid w:val="00C52004"/>
    <w:rsid w:val="00C520EF"/>
    <w:rsid w:val="00C5217A"/>
    <w:rsid w:val="00C52488"/>
    <w:rsid w:val="00C527B3"/>
    <w:rsid w:val="00C527F8"/>
    <w:rsid w:val="00C52AF7"/>
    <w:rsid w:val="00C5301E"/>
    <w:rsid w:val="00C5305A"/>
    <w:rsid w:val="00C533AF"/>
    <w:rsid w:val="00C53441"/>
    <w:rsid w:val="00C53666"/>
    <w:rsid w:val="00C53780"/>
    <w:rsid w:val="00C537F1"/>
    <w:rsid w:val="00C5392F"/>
    <w:rsid w:val="00C539DB"/>
    <w:rsid w:val="00C53C67"/>
    <w:rsid w:val="00C53F23"/>
    <w:rsid w:val="00C5447C"/>
    <w:rsid w:val="00C54553"/>
    <w:rsid w:val="00C546AD"/>
    <w:rsid w:val="00C5474C"/>
    <w:rsid w:val="00C54A18"/>
    <w:rsid w:val="00C54C8A"/>
    <w:rsid w:val="00C54F5D"/>
    <w:rsid w:val="00C5507C"/>
    <w:rsid w:val="00C554CB"/>
    <w:rsid w:val="00C55764"/>
    <w:rsid w:val="00C55CD0"/>
    <w:rsid w:val="00C55E3E"/>
    <w:rsid w:val="00C55F20"/>
    <w:rsid w:val="00C560C3"/>
    <w:rsid w:val="00C560C6"/>
    <w:rsid w:val="00C568F6"/>
    <w:rsid w:val="00C569C7"/>
    <w:rsid w:val="00C56C0F"/>
    <w:rsid w:val="00C56DA2"/>
    <w:rsid w:val="00C56E78"/>
    <w:rsid w:val="00C56EF5"/>
    <w:rsid w:val="00C57024"/>
    <w:rsid w:val="00C57068"/>
    <w:rsid w:val="00C570ED"/>
    <w:rsid w:val="00C572BB"/>
    <w:rsid w:val="00C5738B"/>
    <w:rsid w:val="00C574D7"/>
    <w:rsid w:val="00C57516"/>
    <w:rsid w:val="00C57A1B"/>
    <w:rsid w:val="00C57BB6"/>
    <w:rsid w:val="00C57E5E"/>
    <w:rsid w:val="00C57EA9"/>
    <w:rsid w:val="00C60190"/>
    <w:rsid w:val="00C60498"/>
    <w:rsid w:val="00C6056D"/>
    <w:rsid w:val="00C60637"/>
    <w:rsid w:val="00C60867"/>
    <w:rsid w:val="00C608DD"/>
    <w:rsid w:val="00C60A04"/>
    <w:rsid w:val="00C60A7C"/>
    <w:rsid w:val="00C60BD1"/>
    <w:rsid w:val="00C60E64"/>
    <w:rsid w:val="00C611A0"/>
    <w:rsid w:val="00C61355"/>
    <w:rsid w:val="00C61505"/>
    <w:rsid w:val="00C61A85"/>
    <w:rsid w:val="00C61E02"/>
    <w:rsid w:val="00C621F9"/>
    <w:rsid w:val="00C62316"/>
    <w:rsid w:val="00C6268B"/>
    <w:rsid w:val="00C62883"/>
    <w:rsid w:val="00C628FE"/>
    <w:rsid w:val="00C62A18"/>
    <w:rsid w:val="00C62AAA"/>
    <w:rsid w:val="00C62C47"/>
    <w:rsid w:val="00C62E29"/>
    <w:rsid w:val="00C62ED2"/>
    <w:rsid w:val="00C63603"/>
    <w:rsid w:val="00C63957"/>
    <w:rsid w:val="00C63A50"/>
    <w:rsid w:val="00C63EC5"/>
    <w:rsid w:val="00C63F2C"/>
    <w:rsid w:val="00C6416C"/>
    <w:rsid w:val="00C6423E"/>
    <w:rsid w:val="00C64332"/>
    <w:rsid w:val="00C643CC"/>
    <w:rsid w:val="00C644B5"/>
    <w:rsid w:val="00C6453F"/>
    <w:rsid w:val="00C6480C"/>
    <w:rsid w:val="00C64958"/>
    <w:rsid w:val="00C64CF2"/>
    <w:rsid w:val="00C64DDA"/>
    <w:rsid w:val="00C65185"/>
    <w:rsid w:val="00C65310"/>
    <w:rsid w:val="00C65337"/>
    <w:rsid w:val="00C65624"/>
    <w:rsid w:val="00C656A2"/>
    <w:rsid w:val="00C658A3"/>
    <w:rsid w:val="00C658E8"/>
    <w:rsid w:val="00C6595F"/>
    <w:rsid w:val="00C65A08"/>
    <w:rsid w:val="00C65A1C"/>
    <w:rsid w:val="00C65CD9"/>
    <w:rsid w:val="00C65D20"/>
    <w:rsid w:val="00C65D43"/>
    <w:rsid w:val="00C65F24"/>
    <w:rsid w:val="00C65FE6"/>
    <w:rsid w:val="00C6607C"/>
    <w:rsid w:val="00C66119"/>
    <w:rsid w:val="00C66465"/>
    <w:rsid w:val="00C665D6"/>
    <w:rsid w:val="00C66603"/>
    <w:rsid w:val="00C667A1"/>
    <w:rsid w:val="00C6686B"/>
    <w:rsid w:val="00C669BA"/>
    <w:rsid w:val="00C66B3F"/>
    <w:rsid w:val="00C66CB1"/>
    <w:rsid w:val="00C66DEB"/>
    <w:rsid w:val="00C6714D"/>
    <w:rsid w:val="00C67181"/>
    <w:rsid w:val="00C672E0"/>
    <w:rsid w:val="00C673B8"/>
    <w:rsid w:val="00C67624"/>
    <w:rsid w:val="00C67CA7"/>
    <w:rsid w:val="00C67D00"/>
    <w:rsid w:val="00C67E87"/>
    <w:rsid w:val="00C67EFB"/>
    <w:rsid w:val="00C700A0"/>
    <w:rsid w:val="00C700B8"/>
    <w:rsid w:val="00C7024F"/>
    <w:rsid w:val="00C70270"/>
    <w:rsid w:val="00C70607"/>
    <w:rsid w:val="00C70A5F"/>
    <w:rsid w:val="00C70E39"/>
    <w:rsid w:val="00C70F73"/>
    <w:rsid w:val="00C7114F"/>
    <w:rsid w:val="00C71374"/>
    <w:rsid w:val="00C7141C"/>
    <w:rsid w:val="00C7144C"/>
    <w:rsid w:val="00C71679"/>
    <w:rsid w:val="00C716A8"/>
    <w:rsid w:val="00C71702"/>
    <w:rsid w:val="00C71770"/>
    <w:rsid w:val="00C71E03"/>
    <w:rsid w:val="00C721A5"/>
    <w:rsid w:val="00C7228A"/>
    <w:rsid w:val="00C7239C"/>
    <w:rsid w:val="00C7245E"/>
    <w:rsid w:val="00C72813"/>
    <w:rsid w:val="00C72C65"/>
    <w:rsid w:val="00C731F0"/>
    <w:rsid w:val="00C732B8"/>
    <w:rsid w:val="00C733FB"/>
    <w:rsid w:val="00C7368B"/>
    <w:rsid w:val="00C737CF"/>
    <w:rsid w:val="00C738CC"/>
    <w:rsid w:val="00C73C2E"/>
    <w:rsid w:val="00C73E83"/>
    <w:rsid w:val="00C73EBC"/>
    <w:rsid w:val="00C74422"/>
    <w:rsid w:val="00C7464E"/>
    <w:rsid w:val="00C74697"/>
    <w:rsid w:val="00C7469F"/>
    <w:rsid w:val="00C74CD7"/>
    <w:rsid w:val="00C74E7E"/>
    <w:rsid w:val="00C750F5"/>
    <w:rsid w:val="00C752EB"/>
    <w:rsid w:val="00C753BF"/>
    <w:rsid w:val="00C75900"/>
    <w:rsid w:val="00C75CA2"/>
    <w:rsid w:val="00C75CD7"/>
    <w:rsid w:val="00C75E09"/>
    <w:rsid w:val="00C75E37"/>
    <w:rsid w:val="00C75F44"/>
    <w:rsid w:val="00C75FF1"/>
    <w:rsid w:val="00C760D2"/>
    <w:rsid w:val="00C7636E"/>
    <w:rsid w:val="00C76751"/>
    <w:rsid w:val="00C7693A"/>
    <w:rsid w:val="00C76BA1"/>
    <w:rsid w:val="00C76C70"/>
    <w:rsid w:val="00C76D98"/>
    <w:rsid w:val="00C77010"/>
    <w:rsid w:val="00C77381"/>
    <w:rsid w:val="00C7777B"/>
    <w:rsid w:val="00C777BE"/>
    <w:rsid w:val="00C77863"/>
    <w:rsid w:val="00C778A9"/>
    <w:rsid w:val="00C77CAC"/>
    <w:rsid w:val="00C77E92"/>
    <w:rsid w:val="00C77EC7"/>
    <w:rsid w:val="00C8002F"/>
    <w:rsid w:val="00C8058A"/>
    <w:rsid w:val="00C80707"/>
    <w:rsid w:val="00C808DC"/>
    <w:rsid w:val="00C80A77"/>
    <w:rsid w:val="00C80A78"/>
    <w:rsid w:val="00C80F43"/>
    <w:rsid w:val="00C812D8"/>
    <w:rsid w:val="00C814C0"/>
    <w:rsid w:val="00C81639"/>
    <w:rsid w:val="00C818AB"/>
    <w:rsid w:val="00C81B54"/>
    <w:rsid w:val="00C81C8F"/>
    <w:rsid w:val="00C81F0D"/>
    <w:rsid w:val="00C825D3"/>
    <w:rsid w:val="00C8271E"/>
    <w:rsid w:val="00C8293F"/>
    <w:rsid w:val="00C82EDE"/>
    <w:rsid w:val="00C82F96"/>
    <w:rsid w:val="00C82FD0"/>
    <w:rsid w:val="00C832A5"/>
    <w:rsid w:val="00C83670"/>
    <w:rsid w:val="00C83875"/>
    <w:rsid w:val="00C83A23"/>
    <w:rsid w:val="00C83A37"/>
    <w:rsid w:val="00C83C1D"/>
    <w:rsid w:val="00C83DAE"/>
    <w:rsid w:val="00C83E03"/>
    <w:rsid w:val="00C83E85"/>
    <w:rsid w:val="00C8422F"/>
    <w:rsid w:val="00C8434E"/>
    <w:rsid w:val="00C84459"/>
    <w:rsid w:val="00C84528"/>
    <w:rsid w:val="00C846A4"/>
    <w:rsid w:val="00C848B2"/>
    <w:rsid w:val="00C849A8"/>
    <w:rsid w:val="00C84C35"/>
    <w:rsid w:val="00C84D5D"/>
    <w:rsid w:val="00C853BD"/>
    <w:rsid w:val="00C85896"/>
    <w:rsid w:val="00C85C07"/>
    <w:rsid w:val="00C85DE0"/>
    <w:rsid w:val="00C86156"/>
    <w:rsid w:val="00C86358"/>
    <w:rsid w:val="00C863DF"/>
    <w:rsid w:val="00C86471"/>
    <w:rsid w:val="00C8651E"/>
    <w:rsid w:val="00C867B3"/>
    <w:rsid w:val="00C86937"/>
    <w:rsid w:val="00C86ABB"/>
    <w:rsid w:val="00C86B8D"/>
    <w:rsid w:val="00C87133"/>
    <w:rsid w:val="00C8720E"/>
    <w:rsid w:val="00C872AB"/>
    <w:rsid w:val="00C87375"/>
    <w:rsid w:val="00C874D6"/>
    <w:rsid w:val="00C876F5"/>
    <w:rsid w:val="00C877BF"/>
    <w:rsid w:val="00C87DF3"/>
    <w:rsid w:val="00C90156"/>
    <w:rsid w:val="00C9023A"/>
    <w:rsid w:val="00C90C11"/>
    <w:rsid w:val="00C90DBF"/>
    <w:rsid w:val="00C911F3"/>
    <w:rsid w:val="00C9134B"/>
    <w:rsid w:val="00C91554"/>
    <w:rsid w:val="00C91557"/>
    <w:rsid w:val="00C916D4"/>
    <w:rsid w:val="00C916FA"/>
    <w:rsid w:val="00C91A13"/>
    <w:rsid w:val="00C91A3D"/>
    <w:rsid w:val="00C91CCA"/>
    <w:rsid w:val="00C91E57"/>
    <w:rsid w:val="00C91ECC"/>
    <w:rsid w:val="00C9240F"/>
    <w:rsid w:val="00C92419"/>
    <w:rsid w:val="00C92765"/>
    <w:rsid w:val="00C9280F"/>
    <w:rsid w:val="00C9282C"/>
    <w:rsid w:val="00C92AF4"/>
    <w:rsid w:val="00C92AFD"/>
    <w:rsid w:val="00C92B17"/>
    <w:rsid w:val="00C92CA3"/>
    <w:rsid w:val="00C9326E"/>
    <w:rsid w:val="00C93520"/>
    <w:rsid w:val="00C935AB"/>
    <w:rsid w:val="00C93A08"/>
    <w:rsid w:val="00C93BD2"/>
    <w:rsid w:val="00C93CAC"/>
    <w:rsid w:val="00C93D74"/>
    <w:rsid w:val="00C93E10"/>
    <w:rsid w:val="00C940AF"/>
    <w:rsid w:val="00C940CD"/>
    <w:rsid w:val="00C94151"/>
    <w:rsid w:val="00C941B8"/>
    <w:rsid w:val="00C943D2"/>
    <w:rsid w:val="00C9448C"/>
    <w:rsid w:val="00C944ED"/>
    <w:rsid w:val="00C94682"/>
    <w:rsid w:val="00C94756"/>
    <w:rsid w:val="00C947FF"/>
    <w:rsid w:val="00C9483B"/>
    <w:rsid w:val="00C94CC0"/>
    <w:rsid w:val="00C9508A"/>
    <w:rsid w:val="00C951CA"/>
    <w:rsid w:val="00C95605"/>
    <w:rsid w:val="00C95634"/>
    <w:rsid w:val="00C95810"/>
    <w:rsid w:val="00C95920"/>
    <w:rsid w:val="00C95C62"/>
    <w:rsid w:val="00C96068"/>
    <w:rsid w:val="00C9627E"/>
    <w:rsid w:val="00C9668B"/>
    <w:rsid w:val="00C966C2"/>
    <w:rsid w:val="00C96A9B"/>
    <w:rsid w:val="00C96C2A"/>
    <w:rsid w:val="00C96C95"/>
    <w:rsid w:val="00C96FCB"/>
    <w:rsid w:val="00C96FFD"/>
    <w:rsid w:val="00C971B7"/>
    <w:rsid w:val="00C9734E"/>
    <w:rsid w:val="00C97392"/>
    <w:rsid w:val="00C974EB"/>
    <w:rsid w:val="00C97663"/>
    <w:rsid w:val="00C9771B"/>
    <w:rsid w:val="00C978BE"/>
    <w:rsid w:val="00C97B8B"/>
    <w:rsid w:val="00C97CAD"/>
    <w:rsid w:val="00C97F21"/>
    <w:rsid w:val="00C97F28"/>
    <w:rsid w:val="00CA0382"/>
    <w:rsid w:val="00CA0431"/>
    <w:rsid w:val="00CA0609"/>
    <w:rsid w:val="00CA0611"/>
    <w:rsid w:val="00CA0638"/>
    <w:rsid w:val="00CA0D2D"/>
    <w:rsid w:val="00CA0EC7"/>
    <w:rsid w:val="00CA118B"/>
    <w:rsid w:val="00CA1415"/>
    <w:rsid w:val="00CA143F"/>
    <w:rsid w:val="00CA1624"/>
    <w:rsid w:val="00CA16B8"/>
    <w:rsid w:val="00CA1788"/>
    <w:rsid w:val="00CA1844"/>
    <w:rsid w:val="00CA2186"/>
    <w:rsid w:val="00CA22DC"/>
    <w:rsid w:val="00CA232A"/>
    <w:rsid w:val="00CA25DE"/>
    <w:rsid w:val="00CA2849"/>
    <w:rsid w:val="00CA2AA4"/>
    <w:rsid w:val="00CA2ED1"/>
    <w:rsid w:val="00CA3313"/>
    <w:rsid w:val="00CA33FC"/>
    <w:rsid w:val="00CA3A87"/>
    <w:rsid w:val="00CA3B14"/>
    <w:rsid w:val="00CA3CAE"/>
    <w:rsid w:val="00CA3D99"/>
    <w:rsid w:val="00CA404E"/>
    <w:rsid w:val="00CA4191"/>
    <w:rsid w:val="00CA425F"/>
    <w:rsid w:val="00CA4B11"/>
    <w:rsid w:val="00CA4B65"/>
    <w:rsid w:val="00CA4B76"/>
    <w:rsid w:val="00CA4CA9"/>
    <w:rsid w:val="00CA4ED5"/>
    <w:rsid w:val="00CA4FC4"/>
    <w:rsid w:val="00CA4FCD"/>
    <w:rsid w:val="00CA50AA"/>
    <w:rsid w:val="00CA525E"/>
    <w:rsid w:val="00CA52B5"/>
    <w:rsid w:val="00CA555D"/>
    <w:rsid w:val="00CA55E7"/>
    <w:rsid w:val="00CA5600"/>
    <w:rsid w:val="00CA5BAD"/>
    <w:rsid w:val="00CA5C5B"/>
    <w:rsid w:val="00CA5D2B"/>
    <w:rsid w:val="00CA5D4C"/>
    <w:rsid w:val="00CA5E56"/>
    <w:rsid w:val="00CA5FA7"/>
    <w:rsid w:val="00CA62BA"/>
    <w:rsid w:val="00CA63A6"/>
    <w:rsid w:val="00CA643B"/>
    <w:rsid w:val="00CA645A"/>
    <w:rsid w:val="00CA65A4"/>
    <w:rsid w:val="00CA660B"/>
    <w:rsid w:val="00CA6774"/>
    <w:rsid w:val="00CA69F5"/>
    <w:rsid w:val="00CA723C"/>
    <w:rsid w:val="00CA7536"/>
    <w:rsid w:val="00CA7550"/>
    <w:rsid w:val="00CA77EC"/>
    <w:rsid w:val="00CA791E"/>
    <w:rsid w:val="00CA7922"/>
    <w:rsid w:val="00CA7AD9"/>
    <w:rsid w:val="00CA7BBE"/>
    <w:rsid w:val="00CB0022"/>
    <w:rsid w:val="00CB0050"/>
    <w:rsid w:val="00CB01FC"/>
    <w:rsid w:val="00CB0416"/>
    <w:rsid w:val="00CB059F"/>
    <w:rsid w:val="00CB069D"/>
    <w:rsid w:val="00CB0B0E"/>
    <w:rsid w:val="00CB0CF9"/>
    <w:rsid w:val="00CB1617"/>
    <w:rsid w:val="00CB1686"/>
    <w:rsid w:val="00CB194C"/>
    <w:rsid w:val="00CB1AFD"/>
    <w:rsid w:val="00CB1F74"/>
    <w:rsid w:val="00CB2268"/>
    <w:rsid w:val="00CB232B"/>
    <w:rsid w:val="00CB24C0"/>
    <w:rsid w:val="00CB261B"/>
    <w:rsid w:val="00CB2816"/>
    <w:rsid w:val="00CB2853"/>
    <w:rsid w:val="00CB2970"/>
    <w:rsid w:val="00CB2D9F"/>
    <w:rsid w:val="00CB355A"/>
    <w:rsid w:val="00CB3661"/>
    <w:rsid w:val="00CB385A"/>
    <w:rsid w:val="00CB387B"/>
    <w:rsid w:val="00CB3978"/>
    <w:rsid w:val="00CB3C5D"/>
    <w:rsid w:val="00CB3E36"/>
    <w:rsid w:val="00CB4163"/>
    <w:rsid w:val="00CB445A"/>
    <w:rsid w:val="00CB4609"/>
    <w:rsid w:val="00CB4613"/>
    <w:rsid w:val="00CB463B"/>
    <w:rsid w:val="00CB469D"/>
    <w:rsid w:val="00CB4BBE"/>
    <w:rsid w:val="00CB4E79"/>
    <w:rsid w:val="00CB5013"/>
    <w:rsid w:val="00CB56AD"/>
    <w:rsid w:val="00CB5B3B"/>
    <w:rsid w:val="00CB5D08"/>
    <w:rsid w:val="00CB5E1E"/>
    <w:rsid w:val="00CB5E41"/>
    <w:rsid w:val="00CB5F0C"/>
    <w:rsid w:val="00CB6137"/>
    <w:rsid w:val="00CB622D"/>
    <w:rsid w:val="00CB6247"/>
    <w:rsid w:val="00CB649B"/>
    <w:rsid w:val="00CB656E"/>
    <w:rsid w:val="00CB6797"/>
    <w:rsid w:val="00CB6902"/>
    <w:rsid w:val="00CB6C2C"/>
    <w:rsid w:val="00CB7614"/>
    <w:rsid w:val="00CB7894"/>
    <w:rsid w:val="00CB7A54"/>
    <w:rsid w:val="00CB7B01"/>
    <w:rsid w:val="00CB7BBE"/>
    <w:rsid w:val="00CB7D70"/>
    <w:rsid w:val="00CC0274"/>
    <w:rsid w:val="00CC053D"/>
    <w:rsid w:val="00CC05A5"/>
    <w:rsid w:val="00CC0C6B"/>
    <w:rsid w:val="00CC1008"/>
    <w:rsid w:val="00CC10C8"/>
    <w:rsid w:val="00CC1440"/>
    <w:rsid w:val="00CC1554"/>
    <w:rsid w:val="00CC164A"/>
    <w:rsid w:val="00CC1706"/>
    <w:rsid w:val="00CC17EC"/>
    <w:rsid w:val="00CC1912"/>
    <w:rsid w:val="00CC1A21"/>
    <w:rsid w:val="00CC1A43"/>
    <w:rsid w:val="00CC1B81"/>
    <w:rsid w:val="00CC1D09"/>
    <w:rsid w:val="00CC1F18"/>
    <w:rsid w:val="00CC2333"/>
    <w:rsid w:val="00CC2402"/>
    <w:rsid w:val="00CC24E1"/>
    <w:rsid w:val="00CC26A5"/>
    <w:rsid w:val="00CC2A3D"/>
    <w:rsid w:val="00CC2C5A"/>
    <w:rsid w:val="00CC2FC1"/>
    <w:rsid w:val="00CC33B6"/>
    <w:rsid w:val="00CC3735"/>
    <w:rsid w:val="00CC382A"/>
    <w:rsid w:val="00CC3A1F"/>
    <w:rsid w:val="00CC3A4B"/>
    <w:rsid w:val="00CC3AB5"/>
    <w:rsid w:val="00CC3C3C"/>
    <w:rsid w:val="00CC3E12"/>
    <w:rsid w:val="00CC3EE2"/>
    <w:rsid w:val="00CC3F43"/>
    <w:rsid w:val="00CC4065"/>
    <w:rsid w:val="00CC4348"/>
    <w:rsid w:val="00CC436F"/>
    <w:rsid w:val="00CC4431"/>
    <w:rsid w:val="00CC4697"/>
    <w:rsid w:val="00CC47D3"/>
    <w:rsid w:val="00CC489B"/>
    <w:rsid w:val="00CC4E76"/>
    <w:rsid w:val="00CC4FC7"/>
    <w:rsid w:val="00CC51C0"/>
    <w:rsid w:val="00CC51CC"/>
    <w:rsid w:val="00CC54E3"/>
    <w:rsid w:val="00CC551E"/>
    <w:rsid w:val="00CC5BA3"/>
    <w:rsid w:val="00CC5C24"/>
    <w:rsid w:val="00CC5E5B"/>
    <w:rsid w:val="00CC5E9C"/>
    <w:rsid w:val="00CC6213"/>
    <w:rsid w:val="00CC638E"/>
    <w:rsid w:val="00CC63CC"/>
    <w:rsid w:val="00CC63D0"/>
    <w:rsid w:val="00CC656A"/>
    <w:rsid w:val="00CC6A78"/>
    <w:rsid w:val="00CC6BAE"/>
    <w:rsid w:val="00CC6C1C"/>
    <w:rsid w:val="00CC6CA7"/>
    <w:rsid w:val="00CC6D0B"/>
    <w:rsid w:val="00CC7017"/>
    <w:rsid w:val="00CC70C1"/>
    <w:rsid w:val="00CC718C"/>
    <w:rsid w:val="00CC7564"/>
    <w:rsid w:val="00CC7918"/>
    <w:rsid w:val="00CC7B94"/>
    <w:rsid w:val="00CC7BFA"/>
    <w:rsid w:val="00CC7D13"/>
    <w:rsid w:val="00CC7F40"/>
    <w:rsid w:val="00CD02C1"/>
    <w:rsid w:val="00CD0537"/>
    <w:rsid w:val="00CD05EF"/>
    <w:rsid w:val="00CD0652"/>
    <w:rsid w:val="00CD087B"/>
    <w:rsid w:val="00CD0D17"/>
    <w:rsid w:val="00CD0E5E"/>
    <w:rsid w:val="00CD0F6E"/>
    <w:rsid w:val="00CD11D5"/>
    <w:rsid w:val="00CD1366"/>
    <w:rsid w:val="00CD13C7"/>
    <w:rsid w:val="00CD1A0D"/>
    <w:rsid w:val="00CD1C9A"/>
    <w:rsid w:val="00CD1CBA"/>
    <w:rsid w:val="00CD1F91"/>
    <w:rsid w:val="00CD223A"/>
    <w:rsid w:val="00CD228E"/>
    <w:rsid w:val="00CD23AF"/>
    <w:rsid w:val="00CD253C"/>
    <w:rsid w:val="00CD2B70"/>
    <w:rsid w:val="00CD2C12"/>
    <w:rsid w:val="00CD2DA5"/>
    <w:rsid w:val="00CD2E6A"/>
    <w:rsid w:val="00CD2E75"/>
    <w:rsid w:val="00CD3452"/>
    <w:rsid w:val="00CD391C"/>
    <w:rsid w:val="00CD3CB5"/>
    <w:rsid w:val="00CD3F74"/>
    <w:rsid w:val="00CD3F79"/>
    <w:rsid w:val="00CD3F97"/>
    <w:rsid w:val="00CD41E4"/>
    <w:rsid w:val="00CD42E8"/>
    <w:rsid w:val="00CD44B0"/>
    <w:rsid w:val="00CD451A"/>
    <w:rsid w:val="00CD4997"/>
    <w:rsid w:val="00CD4A2F"/>
    <w:rsid w:val="00CD4B0C"/>
    <w:rsid w:val="00CD4B11"/>
    <w:rsid w:val="00CD4B56"/>
    <w:rsid w:val="00CD5066"/>
    <w:rsid w:val="00CD5145"/>
    <w:rsid w:val="00CD5287"/>
    <w:rsid w:val="00CD531D"/>
    <w:rsid w:val="00CD5396"/>
    <w:rsid w:val="00CD54B5"/>
    <w:rsid w:val="00CD55E7"/>
    <w:rsid w:val="00CD5626"/>
    <w:rsid w:val="00CD6366"/>
    <w:rsid w:val="00CD663B"/>
    <w:rsid w:val="00CD6894"/>
    <w:rsid w:val="00CD6A12"/>
    <w:rsid w:val="00CD7082"/>
    <w:rsid w:val="00CD70FC"/>
    <w:rsid w:val="00CD73F1"/>
    <w:rsid w:val="00CD79D5"/>
    <w:rsid w:val="00CD7BFF"/>
    <w:rsid w:val="00CD7F21"/>
    <w:rsid w:val="00CE0005"/>
    <w:rsid w:val="00CE0045"/>
    <w:rsid w:val="00CE067C"/>
    <w:rsid w:val="00CE09B0"/>
    <w:rsid w:val="00CE0AA0"/>
    <w:rsid w:val="00CE0B58"/>
    <w:rsid w:val="00CE0C6B"/>
    <w:rsid w:val="00CE0E93"/>
    <w:rsid w:val="00CE0ED8"/>
    <w:rsid w:val="00CE1162"/>
    <w:rsid w:val="00CE1219"/>
    <w:rsid w:val="00CE12C0"/>
    <w:rsid w:val="00CE12D8"/>
    <w:rsid w:val="00CE134F"/>
    <w:rsid w:val="00CE135A"/>
    <w:rsid w:val="00CE13CC"/>
    <w:rsid w:val="00CE166B"/>
    <w:rsid w:val="00CE1CF7"/>
    <w:rsid w:val="00CE1EBD"/>
    <w:rsid w:val="00CE21C5"/>
    <w:rsid w:val="00CE230F"/>
    <w:rsid w:val="00CE2386"/>
    <w:rsid w:val="00CE23BE"/>
    <w:rsid w:val="00CE2901"/>
    <w:rsid w:val="00CE2905"/>
    <w:rsid w:val="00CE2AF7"/>
    <w:rsid w:val="00CE2DDE"/>
    <w:rsid w:val="00CE2F4C"/>
    <w:rsid w:val="00CE3158"/>
    <w:rsid w:val="00CE3C4C"/>
    <w:rsid w:val="00CE3DE1"/>
    <w:rsid w:val="00CE4063"/>
    <w:rsid w:val="00CE425C"/>
    <w:rsid w:val="00CE43C0"/>
    <w:rsid w:val="00CE45CF"/>
    <w:rsid w:val="00CE482E"/>
    <w:rsid w:val="00CE4CDB"/>
    <w:rsid w:val="00CE4DAF"/>
    <w:rsid w:val="00CE501C"/>
    <w:rsid w:val="00CE5066"/>
    <w:rsid w:val="00CE509B"/>
    <w:rsid w:val="00CE50C0"/>
    <w:rsid w:val="00CE56D2"/>
    <w:rsid w:val="00CE572B"/>
    <w:rsid w:val="00CE5B31"/>
    <w:rsid w:val="00CE5DEF"/>
    <w:rsid w:val="00CE5E47"/>
    <w:rsid w:val="00CE5FA3"/>
    <w:rsid w:val="00CE5FD4"/>
    <w:rsid w:val="00CE60EA"/>
    <w:rsid w:val="00CE61BE"/>
    <w:rsid w:val="00CE68F6"/>
    <w:rsid w:val="00CE6AB8"/>
    <w:rsid w:val="00CE6BF5"/>
    <w:rsid w:val="00CE6C4D"/>
    <w:rsid w:val="00CE6C6B"/>
    <w:rsid w:val="00CE6D91"/>
    <w:rsid w:val="00CE715E"/>
    <w:rsid w:val="00CE75D3"/>
    <w:rsid w:val="00CE7BBC"/>
    <w:rsid w:val="00CF02F4"/>
    <w:rsid w:val="00CF0357"/>
    <w:rsid w:val="00CF04C6"/>
    <w:rsid w:val="00CF0BD0"/>
    <w:rsid w:val="00CF137C"/>
    <w:rsid w:val="00CF15E2"/>
    <w:rsid w:val="00CF1670"/>
    <w:rsid w:val="00CF17C5"/>
    <w:rsid w:val="00CF1B14"/>
    <w:rsid w:val="00CF1FC4"/>
    <w:rsid w:val="00CF20F2"/>
    <w:rsid w:val="00CF229D"/>
    <w:rsid w:val="00CF2308"/>
    <w:rsid w:val="00CF2373"/>
    <w:rsid w:val="00CF23F1"/>
    <w:rsid w:val="00CF242E"/>
    <w:rsid w:val="00CF27F3"/>
    <w:rsid w:val="00CF2895"/>
    <w:rsid w:val="00CF290A"/>
    <w:rsid w:val="00CF2D5C"/>
    <w:rsid w:val="00CF2E03"/>
    <w:rsid w:val="00CF2EBC"/>
    <w:rsid w:val="00CF3A03"/>
    <w:rsid w:val="00CF3AD2"/>
    <w:rsid w:val="00CF3F24"/>
    <w:rsid w:val="00CF3F7F"/>
    <w:rsid w:val="00CF4065"/>
    <w:rsid w:val="00CF417A"/>
    <w:rsid w:val="00CF4192"/>
    <w:rsid w:val="00CF43EE"/>
    <w:rsid w:val="00CF4766"/>
    <w:rsid w:val="00CF47A9"/>
    <w:rsid w:val="00CF47BF"/>
    <w:rsid w:val="00CF4B51"/>
    <w:rsid w:val="00CF4C5B"/>
    <w:rsid w:val="00CF4E06"/>
    <w:rsid w:val="00CF4FC5"/>
    <w:rsid w:val="00CF5070"/>
    <w:rsid w:val="00CF51CD"/>
    <w:rsid w:val="00CF54C4"/>
    <w:rsid w:val="00CF6165"/>
    <w:rsid w:val="00CF6580"/>
    <w:rsid w:val="00CF6883"/>
    <w:rsid w:val="00CF6D60"/>
    <w:rsid w:val="00CF6EBB"/>
    <w:rsid w:val="00CF6F2D"/>
    <w:rsid w:val="00CF6FC2"/>
    <w:rsid w:val="00CF7055"/>
    <w:rsid w:val="00CF7214"/>
    <w:rsid w:val="00CF75F2"/>
    <w:rsid w:val="00CF766F"/>
    <w:rsid w:val="00CF76F0"/>
    <w:rsid w:val="00CF7724"/>
    <w:rsid w:val="00CF78BF"/>
    <w:rsid w:val="00CF7CB1"/>
    <w:rsid w:val="00CF7D4C"/>
    <w:rsid w:val="00D00000"/>
    <w:rsid w:val="00D00087"/>
    <w:rsid w:val="00D00089"/>
    <w:rsid w:val="00D000C3"/>
    <w:rsid w:val="00D00249"/>
    <w:rsid w:val="00D004A9"/>
    <w:rsid w:val="00D00506"/>
    <w:rsid w:val="00D00A5E"/>
    <w:rsid w:val="00D00D7B"/>
    <w:rsid w:val="00D00F16"/>
    <w:rsid w:val="00D00F90"/>
    <w:rsid w:val="00D01279"/>
    <w:rsid w:val="00D012AA"/>
    <w:rsid w:val="00D01512"/>
    <w:rsid w:val="00D01802"/>
    <w:rsid w:val="00D019C4"/>
    <w:rsid w:val="00D01A65"/>
    <w:rsid w:val="00D01C1D"/>
    <w:rsid w:val="00D01C3B"/>
    <w:rsid w:val="00D01DF5"/>
    <w:rsid w:val="00D01E4E"/>
    <w:rsid w:val="00D02086"/>
    <w:rsid w:val="00D02167"/>
    <w:rsid w:val="00D023A8"/>
    <w:rsid w:val="00D024BF"/>
    <w:rsid w:val="00D0252E"/>
    <w:rsid w:val="00D0256B"/>
    <w:rsid w:val="00D02869"/>
    <w:rsid w:val="00D0292C"/>
    <w:rsid w:val="00D02ACB"/>
    <w:rsid w:val="00D02DD0"/>
    <w:rsid w:val="00D0311C"/>
    <w:rsid w:val="00D033E1"/>
    <w:rsid w:val="00D033EE"/>
    <w:rsid w:val="00D037EB"/>
    <w:rsid w:val="00D03CD4"/>
    <w:rsid w:val="00D03D14"/>
    <w:rsid w:val="00D03F1A"/>
    <w:rsid w:val="00D03F78"/>
    <w:rsid w:val="00D041FD"/>
    <w:rsid w:val="00D0454E"/>
    <w:rsid w:val="00D04962"/>
    <w:rsid w:val="00D049B0"/>
    <w:rsid w:val="00D04A09"/>
    <w:rsid w:val="00D04ABE"/>
    <w:rsid w:val="00D04AD0"/>
    <w:rsid w:val="00D04E5C"/>
    <w:rsid w:val="00D050BB"/>
    <w:rsid w:val="00D0530E"/>
    <w:rsid w:val="00D05447"/>
    <w:rsid w:val="00D05554"/>
    <w:rsid w:val="00D055A9"/>
    <w:rsid w:val="00D055C4"/>
    <w:rsid w:val="00D056D6"/>
    <w:rsid w:val="00D057B7"/>
    <w:rsid w:val="00D05D86"/>
    <w:rsid w:val="00D05F15"/>
    <w:rsid w:val="00D05F3B"/>
    <w:rsid w:val="00D0604E"/>
    <w:rsid w:val="00D060F4"/>
    <w:rsid w:val="00D06250"/>
    <w:rsid w:val="00D064A1"/>
    <w:rsid w:val="00D06750"/>
    <w:rsid w:val="00D06F57"/>
    <w:rsid w:val="00D07357"/>
    <w:rsid w:val="00D079A2"/>
    <w:rsid w:val="00D07A6C"/>
    <w:rsid w:val="00D07DC2"/>
    <w:rsid w:val="00D104FB"/>
    <w:rsid w:val="00D1067F"/>
    <w:rsid w:val="00D1089A"/>
    <w:rsid w:val="00D109BF"/>
    <w:rsid w:val="00D10BB9"/>
    <w:rsid w:val="00D10E6C"/>
    <w:rsid w:val="00D10FB0"/>
    <w:rsid w:val="00D111E0"/>
    <w:rsid w:val="00D111F3"/>
    <w:rsid w:val="00D11771"/>
    <w:rsid w:val="00D118AB"/>
    <w:rsid w:val="00D119AD"/>
    <w:rsid w:val="00D11D15"/>
    <w:rsid w:val="00D11DCE"/>
    <w:rsid w:val="00D12009"/>
    <w:rsid w:val="00D120D1"/>
    <w:rsid w:val="00D121F6"/>
    <w:rsid w:val="00D12397"/>
    <w:rsid w:val="00D12444"/>
    <w:rsid w:val="00D126AA"/>
    <w:rsid w:val="00D12DED"/>
    <w:rsid w:val="00D130D0"/>
    <w:rsid w:val="00D135F0"/>
    <w:rsid w:val="00D13AA4"/>
    <w:rsid w:val="00D13E03"/>
    <w:rsid w:val="00D13E88"/>
    <w:rsid w:val="00D14247"/>
    <w:rsid w:val="00D142A6"/>
    <w:rsid w:val="00D1469F"/>
    <w:rsid w:val="00D146CD"/>
    <w:rsid w:val="00D146D5"/>
    <w:rsid w:val="00D14929"/>
    <w:rsid w:val="00D14BDC"/>
    <w:rsid w:val="00D14C0C"/>
    <w:rsid w:val="00D14CA9"/>
    <w:rsid w:val="00D14E0C"/>
    <w:rsid w:val="00D14FCE"/>
    <w:rsid w:val="00D150E5"/>
    <w:rsid w:val="00D15171"/>
    <w:rsid w:val="00D152EC"/>
    <w:rsid w:val="00D153B5"/>
    <w:rsid w:val="00D15493"/>
    <w:rsid w:val="00D154DD"/>
    <w:rsid w:val="00D156C8"/>
    <w:rsid w:val="00D15891"/>
    <w:rsid w:val="00D158C7"/>
    <w:rsid w:val="00D15A8E"/>
    <w:rsid w:val="00D15B49"/>
    <w:rsid w:val="00D16045"/>
    <w:rsid w:val="00D1605B"/>
    <w:rsid w:val="00D1605D"/>
    <w:rsid w:val="00D164F5"/>
    <w:rsid w:val="00D165A1"/>
    <w:rsid w:val="00D1668C"/>
    <w:rsid w:val="00D1687E"/>
    <w:rsid w:val="00D16C35"/>
    <w:rsid w:val="00D1715E"/>
    <w:rsid w:val="00D173BF"/>
    <w:rsid w:val="00D17429"/>
    <w:rsid w:val="00D1788C"/>
    <w:rsid w:val="00D17908"/>
    <w:rsid w:val="00D17ACB"/>
    <w:rsid w:val="00D17CE3"/>
    <w:rsid w:val="00D17D04"/>
    <w:rsid w:val="00D17DF7"/>
    <w:rsid w:val="00D201C1"/>
    <w:rsid w:val="00D206D7"/>
    <w:rsid w:val="00D2095B"/>
    <w:rsid w:val="00D20B69"/>
    <w:rsid w:val="00D20FA5"/>
    <w:rsid w:val="00D210EC"/>
    <w:rsid w:val="00D21150"/>
    <w:rsid w:val="00D21401"/>
    <w:rsid w:val="00D21788"/>
    <w:rsid w:val="00D217BB"/>
    <w:rsid w:val="00D219D2"/>
    <w:rsid w:val="00D21A1F"/>
    <w:rsid w:val="00D21A9D"/>
    <w:rsid w:val="00D21B9D"/>
    <w:rsid w:val="00D21BB6"/>
    <w:rsid w:val="00D21F8D"/>
    <w:rsid w:val="00D223C2"/>
    <w:rsid w:val="00D2276D"/>
    <w:rsid w:val="00D2283F"/>
    <w:rsid w:val="00D22A36"/>
    <w:rsid w:val="00D22CFC"/>
    <w:rsid w:val="00D22D2C"/>
    <w:rsid w:val="00D22D8E"/>
    <w:rsid w:val="00D22E92"/>
    <w:rsid w:val="00D22F70"/>
    <w:rsid w:val="00D231B6"/>
    <w:rsid w:val="00D234AA"/>
    <w:rsid w:val="00D23BF8"/>
    <w:rsid w:val="00D23C23"/>
    <w:rsid w:val="00D24547"/>
    <w:rsid w:val="00D245D2"/>
    <w:rsid w:val="00D246C4"/>
    <w:rsid w:val="00D246D1"/>
    <w:rsid w:val="00D24A96"/>
    <w:rsid w:val="00D24AF8"/>
    <w:rsid w:val="00D24B60"/>
    <w:rsid w:val="00D24FC9"/>
    <w:rsid w:val="00D25450"/>
    <w:rsid w:val="00D255F0"/>
    <w:rsid w:val="00D255FD"/>
    <w:rsid w:val="00D25611"/>
    <w:rsid w:val="00D25632"/>
    <w:rsid w:val="00D257CC"/>
    <w:rsid w:val="00D25B14"/>
    <w:rsid w:val="00D25C32"/>
    <w:rsid w:val="00D25FB4"/>
    <w:rsid w:val="00D26050"/>
    <w:rsid w:val="00D264A7"/>
    <w:rsid w:val="00D264E1"/>
    <w:rsid w:val="00D2696B"/>
    <w:rsid w:val="00D269C7"/>
    <w:rsid w:val="00D269DC"/>
    <w:rsid w:val="00D26B25"/>
    <w:rsid w:val="00D26B5E"/>
    <w:rsid w:val="00D26F00"/>
    <w:rsid w:val="00D26F99"/>
    <w:rsid w:val="00D2707A"/>
    <w:rsid w:val="00D271E1"/>
    <w:rsid w:val="00D2734C"/>
    <w:rsid w:val="00D2756E"/>
    <w:rsid w:val="00D2761D"/>
    <w:rsid w:val="00D27641"/>
    <w:rsid w:val="00D27685"/>
    <w:rsid w:val="00D27692"/>
    <w:rsid w:val="00D27778"/>
    <w:rsid w:val="00D2799C"/>
    <w:rsid w:val="00D27B16"/>
    <w:rsid w:val="00D27BC8"/>
    <w:rsid w:val="00D27C95"/>
    <w:rsid w:val="00D27CA9"/>
    <w:rsid w:val="00D27E03"/>
    <w:rsid w:val="00D27F39"/>
    <w:rsid w:val="00D303C4"/>
    <w:rsid w:val="00D3084D"/>
    <w:rsid w:val="00D30C47"/>
    <w:rsid w:val="00D30CE0"/>
    <w:rsid w:val="00D30F0E"/>
    <w:rsid w:val="00D30F0F"/>
    <w:rsid w:val="00D3134F"/>
    <w:rsid w:val="00D31834"/>
    <w:rsid w:val="00D3187A"/>
    <w:rsid w:val="00D31953"/>
    <w:rsid w:val="00D31977"/>
    <w:rsid w:val="00D31CFD"/>
    <w:rsid w:val="00D31F67"/>
    <w:rsid w:val="00D320EF"/>
    <w:rsid w:val="00D323D4"/>
    <w:rsid w:val="00D32808"/>
    <w:rsid w:val="00D328B0"/>
    <w:rsid w:val="00D329A7"/>
    <w:rsid w:val="00D32AB4"/>
    <w:rsid w:val="00D32D6B"/>
    <w:rsid w:val="00D3315E"/>
    <w:rsid w:val="00D332A8"/>
    <w:rsid w:val="00D333CA"/>
    <w:rsid w:val="00D3359C"/>
    <w:rsid w:val="00D33AA2"/>
    <w:rsid w:val="00D33F9E"/>
    <w:rsid w:val="00D34294"/>
    <w:rsid w:val="00D34321"/>
    <w:rsid w:val="00D34407"/>
    <w:rsid w:val="00D34522"/>
    <w:rsid w:val="00D346EF"/>
    <w:rsid w:val="00D34F22"/>
    <w:rsid w:val="00D34F32"/>
    <w:rsid w:val="00D350AA"/>
    <w:rsid w:val="00D353B9"/>
    <w:rsid w:val="00D3544C"/>
    <w:rsid w:val="00D3586B"/>
    <w:rsid w:val="00D35A1B"/>
    <w:rsid w:val="00D35A89"/>
    <w:rsid w:val="00D35B5D"/>
    <w:rsid w:val="00D35EF9"/>
    <w:rsid w:val="00D35FE3"/>
    <w:rsid w:val="00D35FF1"/>
    <w:rsid w:val="00D36051"/>
    <w:rsid w:val="00D36201"/>
    <w:rsid w:val="00D36300"/>
    <w:rsid w:val="00D3637F"/>
    <w:rsid w:val="00D3673C"/>
    <w:rsid w:val="00D3679A"/>
    <w:rsid w:val="00D36A92"/>
    <w:rsid w:val="00D36A96"/>
    <w:rsid w:val="00D3701E"/>
    <w:rsid w:val="00D37194"/>
    <w:rsid w:val="00D3720F"/>
    <w:rsid w:val="00D3736D"/>
    <w:rsid w:val="00D378AB"/>
    <w:rsid w:val="00D37FD3"/>
    <w:rsid w:val="00D40192"/>
    <w:rsid w:val="00D40523"/>
    <w:rsid w:val="00D40787"/>
    <w:rsid w:val="00D408E5"/>
    <w:rsid w:val="00D40C6E"/>
    <w:rsid w:val="00D40D56"/>
    <w:rsid w:val="00D40D91"/>
    <w:rsid w:val="00D41027"/>
    <w:rsid w:val="00D4119E"/>
    <w:rsid w:val="00D413AD"/>
    <w:rsid w:val="00D4143D"/>
    <w:rsid w:val="00D41441"/>
    <w:rsid w:val="00D4166D"/>
    <w:rsid w:val="00D41744"/>
    <w:rsid w:val="00D41897"/>
    <w:rsid w:val="00D41996"/>
    <w:rsid w:val="00D41B69"/>
    <w:rsid w:val="00D41BBE"/>
    <w:rsid w:val="00D41D5F"/>
    <w:rsid w:val="00D41DB6"/>
    <w:rsid w:val="00D41F1E"/>
    <w:rsid w:val="00D41FDD"/>
    <w:rsid w:val="00D420FE"/>
    <w:rsid w:val="00D42523"/>
    <w:rsid w:val="00D426F2"/>
    <w:rsid w:val="00D42935"/>
    <w:rsid w:val="00D42B66"/>
    <w:rsid w:val="00D42F3A"/>
    <w:rsid w:val="00D431D7"/>
    <w:rsid w:val="00D433D5"/>
    <w:rsid w:val="00D433FD"/>
    <w:rsid w:val="00D43550"/>
    <w:rsid w:val="00D4381F"/>
    <w:rsid w:val="00D43882"/>
    <w:rsid w:val="00D43AB9"/>
    <w:rsid w:val="00D43B23"/>
    <w:rsid w:val="00D43D28"/>
    <w:rsid w:val="00D43E4E"/>
    <w:rsid w:val="00D43E5B"/>
    <w:rsid w:val="00D4435D"/>
    <w:rsid w:val="00D44432"/>
    <w:rsid w:val="00D4469D"/>
    <w:rsid w:val="00D446AE"/>
    <w:rsid w:val="00D44A7A"/>
    <w:rsid w:val="00D44E89"/>
    <w:rsid w:val="00D44F33"/>
    <w:rsid w:val="00D450D3"/>
    <w:rsid w:val="00D454AE"/>
    <w:rsid w:val="00D454DD"/>
    <w:rsid w:val="00D455F3"/>
    <w:rsid w:val="00D45768"/>
    <w:rsid w:val="00D45A56"/>
    <w:rsid w:val="00D45CF1"/>
    <w:rsid w:val="00D45E59"/>
    <w:rsid w:val="00D462FC"/>
    <w:rsid w:val="00D46BCA"/>
    <w:rsid w:val="00D46C24"/>
    <w:rsid w:val="00D46FA3"/>
    <w:rsid w:val="00D470D9"/>
    <w:rsid w:val="00D47219"/>
    <w:rsid w:val="00D472C4"/>
    <w:rsid w:val="00D47399"/>
    <w:rsid w:val="00D473BC"/>
    <w:rsid w:val="00D47480"/>
    <w:rsid w:val="00D4781C"/>
    <w:rsid w:val="00D47BE4"/>
    <w:rsid w:val="00D47FC5"/>
    <w:rsid w:val="00D5006A"/>
    <w:rsid w:val="00D5022D"/>
    <w:rsid w:val="00D502AD"/>
    <w:rsid w:val="00D5032E"/>
    <w:rsid w:val="00D503AF"/>
    <w:rsid w:val="00D50507"/>
    <w:rsid w:val="00D505F8"/>
    <w:rsid w:val="00D5079E"/>
    <w:rsid w:val="00D509F5"/>
    <w:rsid w:val="00D51297"/>
    <w:rsid w:val="00D5171C"/>
    <w:rsid w:val="00D519CE"/>
    <w:rsid w:val="00D51A56"/>
    <w:rsid w:val="00D51DD1"/>
    <w:rsid w:val="00D51E49"/>
    <w:rsid w:val="00D51F93"/>
    <w:rsid w:val="00D51FFC"/>
    <w:rsid w:val="00D52624"/>
    <w:rsid w:val="00D5281B"/>
    <w:rsid w:val="00D52823"/>
    <w:rsid w:val="00D5287B"/>
    <w:rsid w:val="00D5289C"/>
    <w:rsid w:val="00D52E8B"/>
    <w:rsid w:val="00D52F14"/>
    <w:rsid w:val="00D53250"/>
    <w:rsid w:val="00D53279"/>
    <w:rsid w:val="00D532A2"/>
    <w:rsid w:val="00D533F0"/>
    <w:rsid w:val="00D539BE"/>
    <w:rsid w:val="00D54066"/>
    <w:rsid w:val="00D54212"/>
    <w:rsid w:val="00D5458B"/>
    <w:rsid w:val="00D545E0"/>
    <w:rsid w:val="00D54B96"/>
    <w:rsid w:val="00D54E87"/>
    <w:rsid w:val="00D55006"/>
    <w:rsid w:val="00D55257"/>
    <w:rsid w:val="00D55804"/>
    <w:rsid w:val="00D55886"/>
    <w:rsid w:val="00D559CC"/>
    <w:rsid w:val="00D55A89"/>
    <w:rsid w:val="00D55C2B"/>
    <w:rsid w:val="00D55C55"/>
    <w:rsid w:val="00D55C96"/>
    <w:rsid w:val="00D55CEB"/>
    <w:rsid w:val="00D55D77"/>
    <w:rsid w:val="00D55F35"/>
    <w:rsid w:val="00D5611D"/>
    <w:rsid w:val="00D56199"/>
    <w:rsid w:val="00D56356"/>
    <w:rsid w:val="00D56557"/>
    <w:rsid w:val="00D5690C"/>
    <w:rsid w:val="00D56A3D"/>
    <w:rsid w:val="00D56CD0"/>
    <w:rsid w:val="00D57106"/>
    <w:rsid w:val="00D5719E"/>
    <w:rsid w:val="00D57385"/>
    <w:rsid w:val="00D573D0"/>
    <w:rsid w:val="00D575C8"/>
    <w:rsid w:val="00D57973"/>
    <w:rsid w:val="00D57B1D"/>
    <w:rsid w:val="00D57D94"/>
    <w:rsid w:val="00D57DF0"/>
    <w:rsid w:val="00D57EA1"/>
    <w:rsid w:val="00D57EAB"/>
    <w:rsid w:val="00D57EF3"/>
    <w:rsid w:val="00D60010"/>
    <w:rsid w:val="00D60328"/>
    <w:rsid w:val="00D605CD"/>
    <w:rsid w:val="00D605E9"/>
    <w:rsid w:val="00D60A4B"/>
    <w:rsid w:val="00D60AB9"/>
    <w:rsid w:val="00D60B20"/>
    <w:rsid w:val="00D60D7D"/>
    <w:rsid w:val="00D60E94"/>
    <w:rsid w:val="00D613B1"/>
    <w:rsid w:val="00D614CC"/>
    <w:rsid w:val="00D61510"/>
    <w:rsid w:val="00D61549"/>
    <w:rsid w:val="00D615B1"/>
    <w:rsid w:val="00D61876"/>
    <w:rsid w:val="00D61A97"/>
    <w:rsid w:val="00D61C24"/>
    <w:rsid w:val="00D61E84"/>
    <w:rsid w:val="00D62181"/>
    <w:rsid w:val="00D624B6"/>
    <w:rsid w:val="00D625F9"/>
    <w:rsid w:val="00D626A9"/>
    <w:rsid w:val="00D62730"/>
    <w:rsid w:val="00D629C2"/>
    <w:rsid w:val="00D62A06"/>
    <w:rsid w:val="00D62A7B"/>
    <w:rsid w:val="00D62CB3"/>
    <w:rsid w:val="00D63158"/>
    <w:rsid w:val="00D63443"/>
    <w:rsid w:val="00D63546"/>
    <w:rsid w:val="00D635BF"/>
    <w:rsid w:val="00D635CA"/>
    <w:rsid w:val="00D639B7"/>
    <w:rsid w:val="00D63F87"/>
    <w:rsid w:val="00D640C1"/>
    <w:rsid w:val="00D64178"/>
    <w:rsid w:val="00D64299"/>
    <w:rsid w:val="00D64933"/>
    <w:rsid w:val="00D649F9"/>
    <w:rsid w:val="00D64A9E"/>
    <w:rsid w:val="00D64ABF"/>
    <w:rsid w:val="00D64CB8"/>
    <w:rsid w:val="00D64E1D"/>
    <w:rsid w:val="00D65235"/>
    <w:rsid w:val="00D65330"/>
    <w:rsid w:val="00D65B4F"/>
    <w:rsid w:val="00D65C16"/>
    <w:rsid w:val="00D65C65"/>
    <w:rsid w:val="00D66498"/>
    <w:rsid w:val="00D66704"/>
    <w:rsid w:val="00D669D4"/>
    <w:rsid w:val="00D66AE7"/>
    <w:rsid w:val="00D66D5B"/>
    <w:rsid w:val="00D66F54"/>
    <w:rsid w:val="00D67659"/>
    <w:rsid w:val="00D67740"/>
    <w:rsid w:val="00D679D6"/>
    <w:rsid w:val="00D67ABD"/>
    <w:rsid w:val="00D67ACC"/>
    <w:rsid w:val="00D67BB8"/>
    <w:rsid w:val="00D67C06"/>
    <w:rsid w:val="00D67C30"/>
    <w:rsid w:val="00D700C8"/>
    <w:rsid w:val="00D7022B"/>
    <w:rsid w:val="00D703D1"/>
    <w:rsid w:val="00D707C8"/>
    <w:rsid w:val="00D707F7"/>
    <w:rsid w:val="00D70A3B"/>
    <w:rsid w:val="00D70C51"/>
    <w:rsid w:val="00D70D31"/>
    <w:rsid w:val="00D71534"/>
    <w:rsid w:val="00D71D62"/>
    <w:rsid w:val="00D71DAF"/>
    <w:rsid w:val="00D71F21"/>
    <w:rsid w:val="00D7205D"/>
    <w:rsid w:val="00D72211"/>
    <w:rsid w:val="00D722C3"/>
    <w:rsid w:val="00D72407"/>
    <w:rsid w:val="00D726F9"/>
    <w:rsid w:val="00D72796"/>
    <w:rsid w:val="00D728AC"/>
    <w:rsid w:val="00D72A4C"/>
    <w:rsid w:val="00D72DC4"/>
    <w:rsid w:val="00D73133"/>
    <w:rsid w:val="00D737FF"/>
    <w:rsid w:val="00D738D8"/>
    <w:rsid w:val="00D73939"/>
    <w:rsid w:val="00D73ABD"/>
    <w:rsid w:val="00D73CE4"/>
    <w:rsid w:val="00D73D4F"/>
    <w:rsid w:val="00D73DB1"/>
    <w:rsid w:val="00D73EFD"/>
    <w:rsid w:val="00D73EFE"/>
    <w:rsid w:val="00D7426C"/>
    <w:rsid w:val="00D74346"/>
    <w:rsid w:val="00D743CC"/>
    <w:rsid w:val="00D74672"/>
    <w:rsid w:val="00D748D9"/>
    <w:rsid w:val="00D748F4"/>
    <w:rsid w:val="00D75095"/>
    <w:rsid w:val="00D753CF"/>
    <w:rsid w:val="00D753E6"/>
    <w:rsid w:val="00D754B4"/>
    <w:rsid w:val="00D755C6"/>
    <w:rsid w:val="00D7560C"/>
    <w:rsid w:val="00D756F6"/>
    <w:rsid w:val="00D757D4"/>
    <w:rsid w:val="00D7593B"/>
    <w:rsid w:val="00D75C71"/>
    <w:rsid w:val="00D761B2"/>
    <w:rsid w:val="00D761E7"/>
    <w:rsid w:val="00D7629D"/>
    <w:rsid w:val="00D762C7"/>
    <w:rsid w:val="00D7637D"/>
    <w:rsid w:val="00D76842"/>
    <w:rsid w:val="00D7684D"/>
    <w:rsid w:val="00D76913"/>
    <w:rsid w:val="00D76B0F"/>
    <w:rsid w:val="00D76B66"/>
    <w:rsid w:val="00D76CFE"/>
    <w:rsid w:val="00D7717D"/>
    <w:rsid w:val="00D775D9"/>
    <w:rsid w:val="00D77961"/>
    <w:rsid w:val="00D77BE4"/>
    <w:rsid w:val="00D77D7C"/>
    <w:rsid w:val="00D77F02"/>
    <w:rsid w:val="00D80020"/>
    <w:rsid w:val="00D8013F"/>
    <w:rsid w:val="00D8040C"/>
    <w:rsid w:val="00D807FE"/>
    <w:rsid w:val="00D809E2"/>
    <w:rsid w:val="00D80A64"/>
    <w:rsid w:val="00D80AA9"/>
    <w:rsid w:val="00D80CDE"/>
    <w:rsid w:val="00D80D02"/>
    <w:rsid w:val="00D80F67"/>
    <w:rsid w:val="00D810D6"/>
    <w:rsid w:val="00D811AC"/>
    <w:rsid w:val="00D81362"/>
    <w:rsid w:val="00D8138D"/>
    <w:rsid w:val="00D8150A"/>
    <w:rsid w:val="00D81657"/>
    <w:rsid w:val="00D81766"/>
    <w:rsid w:val="00D817CF"/>
    <w:rsid w:val="00D819B9"/>
    <w:rsid w:val="00D81DFD"/>
    <w:rsid w:val="00D81ED0"/>
    <w:rsid w:val="00D81F1A"/>
    <w:rsid w:val="00D81F54"/>
    <w:rsid w:val="00D82258"/>
    <w:rsid w:val="00D822CC"/>
    <w:rsid w:val="00D829E4"/>
    <w:rsid w:val="00D82C96"/>
    <w:rsid w:val="00D82D48"/>
    <w:rsid w:val="00D831D8"/>
    <w:rsid w:val="00D837A3"/>
    <w:rsid w:val="00D83AF4"/>
    <w:rsid w:val="00D83C7C"/>
    <w:rsid w:val="00D83DB7"/>
    <w:rsid w:val="00D84254"/>
    <w:rsid w:val="00D843C9"/>
    <w:rsid w:val="00D843E5"/>
    <w:rsid w:val="00D844D1"/>
    <w:rsid w:val="00D844E0"/>
    <w:rsid w:val="00D846B3"/>
    <w:rsid w:val="00D84A6C"/>
    <w:rsid w:val="00D84F3E"/>
    <w:rsid w:val="00D852D8"/>
    <w:rsid w:val="00D8533D"/>
    <w:rsid w:val="00D854D7"/>
    <w:rsid w:val="00D85819"/>
    <w:rsid w:val="00D8589E"/>
    <w:rsid w:val="00D858A4"/>
    <w:rsid w:val="00D85922"/>
    <w:rsid w:val="00D859F6"/>
    <w:rsid w:val="00D85B39"/>
    <w:rsid w:val="00D85D89"/>
    <w:rsid w:val="00D85DA7"/>
    <w:rsid w:val="00D85EF6"/>
    <w:rsid w:val="00D8611B"/>
    <w:rsid w:val="00D8618D"/>
    <w:rsid w:val="00D861B3"/>
    <w:rsid w:val="00D862FB"/>
    <w:rsid w:val="00D8657F"/>
    <w:rsid w:val="00D866AC"/>
    <w:rsid w:val="00D8684B"/>
    <w:rsid w:val="00D86903"/>
    <w:rsid w:val="00D869D9"/>
    <w:rsid w:val="00D86A5C"/>
    <w:rsid w:val="00D86A8A"/>
    <w:rsid w:val="00D86BB6"/>
    <w:rsid w:val="00D86C42"/>
    <w:rsid w:val="00D86DD7"/>
    <w:rsid w:val="00D87401"/>
    <w:rsid w:val="00D87644"/>
    <w:rsid w:val="00D87823"/>
    <w:rsid w:val="00D87AF0"/>
    <w:rsid w:val="00D87BD9"/>
    <w:rsid w:val="00D87C3F"/>
    <w:rsid w:val="00D87D7E"/>
    <w:rsid w:val="00D87F8E"/>
    <w:rsid w:val="00D9037F"/>
    <w:rsid w:val="00D903BD"/>
    <w:rsid w:val="00D906C0"/>
    <w:rsid w:val="00D907AF"/>
    <w:rsid w:val="00D90A91"/>
    <w:rsid w:val="00D90AAE"/>
    <w:rsid w:val="00D910F9"/>
    <w:rsid w:val="00D91169"/>
    <w:rsid w:val="00D916BD"/>
    <w:rsid w:val="00D916FA"/>
    <w:rsid w:val="00D917E5"/>
    <w:rsid w:val="00D91D29"/>
    <w:rsid w:val="00D91DB9"/>
    <w:rsid w:val="00D921DA"/>
    <w:rsid w:val="00D9256E"/>
    <w:rsid w:val="00D92854"/>
    <w:rsid w:val="00D9299F"/>
    <w:rsid w:val="00D930BD"/>
    <w:rsid w:val="00D9319F"/>
    <w:rsid w:val="00D9338B"/>
    <w:rsid w:val="00D93A7F"/>
    <w:rsid w:val="00D93F0F"/>
    <w:rsid w:val="00D942B0"/>
    <w:rsid w:val="00D94513"/>
    <w:rsid w:val="00D947E4"/>
    <w:rsid w:val="00D94812"/>
    <w:rsid w:val="00D94C7A"/>
    <w:rsid w:val="00D9501D"/>
    <w:rsid w:val="00D95114"/>
    <w:rsid w:val="00D951E5"/>
    <w:rsid w:val="00D9537E"/>
    <w:rsid w:val="00D9586E"/>
    <w:rsid w:val="00D95B95"/>
    <w:rsid w:val="00D95C49"/>
    <w:rsid w:val="00D95D86"/>
    <w:rsid w:val="00D95E28"/>
    <w:rsid w:val="00D95F85"/>
    <w:rsid w:val="00D96286"/>
    <w:rsid w:val="00D962C6"/>
    <w:rsid w:val="00D964AB"/>
    <w:rsid w:val="00D9652F"/>
    <w:rsid w:val="00D9673B"/>
    <w:rsid w:val="00D96763"/>
    <w:rsid w:val="00D968F2"/>
    <w:rsid w:val="00D968F8"/>
    <w:rsid w:val="00D96A17"/>
    <w:rsid w:val="00D96A5A"/>
    <w:rsid w:val="00D96AAE"/>
    <w:rsid w:val="00D96C2D"/>
    <w:rsid w:val="00D96CA3"/>
    <w:rsid w:val="00D96CF8"/>
    <w:rsid w:val="00D96D74"/>
    <w:rsid w:val="00D96F97"/>
    <w:rsid w:val="00D97545"/>
    <w:rsid w:val="00D9790E"/>
    <w:rsid w:val="00D97A3F"/>
    <w:rsid w:val="00D97A5C"/>
    <w:rsid w:val="00D97E45"/>
    <w:rsid w:val="00D97EF4"/>
    <w:rsid w:val="00DA00FA"/>
    <w:rsid w:val="00DA0234"/>
    <w:rsid w:val="00DA024B"/>
    <w:rsid w:val="00DA030C"/>
    <w:rsid w:val="00DA05DD"/>
    <w:rsid w:val="00DA0876"/>
    <w:rsid w:val="00DA0A8D"/>
    <w:rsid w:val="00DA0BF0"/>
    <w:rsid w:val="00DA0C1B"/>
    <w:rsid w:val="00DA0CDE"/>
    <w:rsid w:val="00DA0D80"/>
    <w:rsid w:val="00DA1010"/>
    <w:rsid w:val="00DA15BE"/>
    <w:rsid w:val="00DA1622"/>
    <w:rsid w:val="00DA168C"/>
    <w:rsid w:val="00DA1A2B"/>
    <w:rsid w:val="00DA241E"/>
    <w:rsid w:val="00DA2463"/>
    <w:rsid w:val="00DA24EA"/>
    <w:rsid w:val="00DA2675"/>
    <w:rsid w:val="00DA26D3"/>
    <w:rsid w:val="00DA2B83"/>
    <w:rsid w:val="00DA2CA9"/>
    <w:rsid w:val="00DA32E3"/>
    <w:rsid w:val="00DA3315"/>
    <w:rsid w:val="00DA3837"/>
    <w:rsid w:val="00DA3908"/>
    <w:rsid w:val="00DA3AE8"/>
    <w:rsid w:val="00DA3D23"/>
    <w:rsid w:val="00DA4314"/>
    <w:rsid w:val="00DA4987"/>
    <w:rsid w:val="00DA49B4"/>
    <w:rsid w:val="00DA49C0"/>
    <w:rsid w:val="00DA4A0C"/>
    <w:rsid w:val="00DA4D07"/>
    <w:rsid w:val="00DA51D6"/>
    <w:rsid w:val="00DA52B0"/>
    <w:rsid w:val="00DA5351"/>
    <w:rsid w:val="00DA5504"/>
    <w:rsid w:val="00DA58CE"/>
    <w:rsid w:val="00DA597C"/>
    <w:rsid w:val="00DA5CA1"/>
    <w:rsid w:val="00DA5DAA"/>
    <w:rsid w:val="00DA5F4D"/>
    <w:rsid w:val="00DA613D"/>
    <w:rsid w:val="00DA65F9"/>
    <w:rsid w:val="00DA67DB"/>
    <w:rsid w:val="00DA6B98"/>
    <w:rsid w:val="00DA6C08"/>
    <w:rsid w:val="00DA6C7B"/>
    <w:rsid w:val="00DA7019"/>
    <w:rsid w:val="00DA70AC"/>
    <w:rsid w:val="00DA76C1"/>
    <w:rsid w:val="00DA7C3A"/>
    <w:rsid w:val="00DA7DEC"/>
    <w:rsid w:val="00DA7FA7"/>
    <w:rsid w:val="00DB022B"/>
    <w:rsid w:val="00DB040D"/>
    <w:rsid w:val="00DB0546"/>
    <w:rsid w:val="00DB05D8"/>
    <w:rsid w:val="00DB06CB"/>
    <w:rsid w:val="00DB084F"/>
    <w:rsid w:val="00DB09E0"/>
    <w:rsid w:val="00DB0CBF"/>
    <w:rsid w:val="00DB0D96"/>
    <w:rsid w:val="00DB0E36"/>
    <w:rsid w:val="00DB0E8D"/>
    <w:rsid w:val="00DB112F"/>
    <w:rsid w:val="00DB1598"/>
    <w:rsid w:val="00DB1714"/>
    <w:rsid w:val="00DB1A8C"/>
    <w:rsid w:val="00DB1BDE"/>
    <w:rsid w:val="00DB2022"/>
    <w:rsid w:val="00DB222A"/>
    <w:rsid w:val="00DB22C6"/>
    <w:rsid w:val="00DB2373"/>
    <w:rsid w:val="00DB2798"/>
    <w:rsid w:val="00DB27C3"/>
    <w:rsid w:val="00DB28EA"/>
    <w:rsid w:val="00DB296F"/>
    <w:rsid w:val="00DB2A67"/>
    <w:rsid w:val="00DB2A6D"/>
    <w:rsid w:val="00DB30F0"/>
    <w:rsid w:val="00DB3251"/>
    <w:rsid w:val="00DB363E"/>
    <w:rsid w:val="00DB3704"/>
    <w:rsid w:val="00DB3707"/>
    <w:rsid w:val="00DB385C"/>
    <w:rsid w:val="00DB394B"/>
    <w:rsid w:val="00DB3C67"/>
    <w:rsid w:val="00DB3F5B"/>
    <w:rsid w:val="00DB3F73"/>
    <w:rsid w:val="00DB452C"/>
    <w:rsid w:val="00DB453A"/>
    <w:rsid w:val="00DB468F"/>
    <w:rsid w:val="00DB46B9"/>
    <w:rsid w:val="00DB494F"/>
    <w:rsid w:val="00DB501E"/>
    <w:rsid w:val="00DB5118"/>
    <w:rsid w:val="00DB51AF"/>
    <w:rsid w:val="00DB5511"/>
    <w:rsid w:val="00DB5661"/>
    <w:rsid w:val="00DB566A"/>
    <w:rsid w:val="00DB5B55"/>
    <w:rsid w:val="00DB5CF1"/>
    <w:rsid w:val="00DB5DD7"/>
    <w:rsid w:val="00DB5F42"/>
    <w:rsid w:val="00DB5FDB"/>
    <w:rsid w:val="00DB5FE2"/>
    <w:rsid w:val="00DB6309"/>
    <w:rsid w:val="00DB63B8"/>
    <w:rsid w:val="00DB6793"/>
    <w:rsid w:val="00DB6921"/>
    <w:rsid w:val="00DB6B2D"/>
    <w:rsid w:val="00DB6BAD"/>
    <w:rsid w:val="00DB6C1A"/>
    <w:rsid w:val="00DB6D0D"/>
    <w:rsid w:val="00DB6E3D"/>
    <w:rsid w:val="00DB7078"/>
    <w:rsid w:val="00DB7100"/>
    <w:rsid w:val="00DB7117"/>
    <w:rsid w:val="00DB7220"/>
    <w:rsid w:val="00DB7226"/>
    <w:rsid w:val="00DB74B1"/>
    <w:rsid w:val="00DB76DC"/>
    <w:rsid w:val="00DB76F4"/>
    <w:rsid w:val="00DB77B6"/>
    <w:rsid w:val="00DB78AC"/>
    <w:rsid w:val="00DB7F89"/>
    <w:rsid w:val="00DC000C"/>
    <w:rsid w:val="00DC00F0"/>
    <w:rsid w:val="00DC0114"/>
    <w:rsid w:val="00DC0317"/>
    <w:rsid w:val="00DC03FC"/>
    <w:rsid w:val="00DC0697"/>
    <w:rsid w:val="00DC0972"/>
    <w:rsid w:val="00DC0C1D"/>
    <w:rsid w:val="00DC0C3C"/>
    <w:rsid w:val="00DC0C58"/>
    <w:rsid w:val="00DC0D38"/>
    <w:rsid w:val="00DC0E25"/>
    <w:rsid w:val="00DC11AA"/>
    <w:rsid w:val="00DC130E"/>
    <w:rsid w:val="00DC13A0"/>
    <w:rsid w:val="00DC14C2"/>
    <w:rsid w:val="00DC1522"/>
    <w:rsid w:val="00DC1572"/>
    <w:rsid w:val="00DC1576"/>
    <w:rsid w:val="00DC16CD"/>
    <w:rsid w:val="00DC18F7"/>
    <w:rsid w:val="00DC19A1"/>
    <w:rsid w:val="00DC1AE1"/>
    <w:rsid w:val="00DC1CC6"/>
    <w:rsid w:val="00DC1CFC"/>
    <w:rsid w:val="00DC1F44"/>
    <w:rsid w:val="00DC2476"/>
    <w:rsid w:val="00DC2622"/>
    <w:rsid w:val="00DC2E1A"/>
    <w:rsid w:val="00DC2E9E"/>
    <w:rsid w:val="00DC3014"/>
    <w:rsid w:val="00DC3020"/>
    <w:rsid w:val="00DC30E6"/>
    <w:rsid w:val="00DC325E"/>
    <w:rsid w:val="00DC341B"/>
    <w:rsid w:val="00DC36A0"/>
    <w:rsid w:val="00DC37A7"/>
    <w:rsid w:val="00DC3826"/>
    <w:rsid w:val="00DC3A08"/>
    <w:rsid w:val="00DC3A19"/>
    <w:rsid w:val="00DC3ABE"/>
    <w:rsid w:val="00DC3BD5"/>
    <w:rsid w:val="00DC4083"/>
    <w:rsid w:val="00DC42D5"/>
    <w:rsid w:val="00DC444D"/>
    <w:rsid w:val="00DC484A"/>
    <w:rsid w:val="00DC4DE7"/>
    <w:rsid w:val="00DC4E0B"/>
    <w:rsid w:val="00DC4E37"/>
    <w:rsid w:val="00DC50BC"/>
    <w:rsid w:val="00DC57D7"/>
    <w:rsid w:val="00DC57DA"/>
    <w:rsid w:val="00DC5B6A"/>
    <w:rsid w:val="00DC5C7C"/>
    <w:rsid w:val="00DC5CFA"/>
    <w:rsid w:val="00DC5DA2"/>
    <w:rsid w:val="00DC5FD0"/>
    <w:rsid w:val="00DC60CB"/>
    <w:rsid w:val="00DC6247"/>
    <w:rsid w:val="00DC63B7"/>
    <w:rsid w:val="00DC64BC"/>
    <w:rsid w:val="00DC67D3"/>
    <w:rsid w:val="00DC7070"/>
    <w:rsid w:val="00DC7270"/>
    <w:rsid w:val="00DC739D"/>
    <w:rsid w:val="00DC73A1"/>
    <w:rsid w:val="00DC73F3"/>
    <w:rsid w:val="00DC74CE"/>
    <w:rsid w:val="00DC773A"/>
    <w:rsid w:val="00DC79A6"/>
    <w:rsid w:val="00DC7B21"/>
    <w:rsid w:val="00DD017C"/>
    <w:rsid w:val="00DD01BD"/>
    <w:rsid w:val="00DD03D7"/>
    <w:rsid w:val="00DD07E2"/>
    <w:rsid w:val="00DD081C"/>
    <w:rsid w:val="00DD0A35"/>
    <w:rsid w:val="00DD0BB4"/>
    <w:rsid w:val="00DD0C81"/>
    <w:rsid w:val="00DD0E3D"/>
    <w:rsid w:val="00DD0F1B"/>
    <w:rsid w:val="00DD1075"/>
    <w:rsid w:val="00DD10A7"/>
    <w:rsid w:val="00DD1658"/>
    <w:rsid w:val="00DD16A4"/>
    <w:rsid w:val="00DD176E"/>
    <w:rsid w:val="00DD19BF"/>
    <w:rsid w:val="00DD1AD4"/>
    <w:rsid w:val="00DD1B50"/>
    <w:rsid w:val="00DD1EE5"/>
    <w:rsid w:val="00DD2082"/>
    <w:rsid w:val="00DD224F"/>
    <w:rsid w:val="00DD2884"/>
    <w:rsid w:val="00DD2D6E"/>
    <w:rsid w:val="00DD2FD3"/>
    <w:rsid w:val="00DD3075"/>
    <w:rsid w:val="00DD3376"/>
    <w:rsid w:val="00DD349E"/>
    <w:rsid w:val="00DD34BE"/>
    <w:rsid w:val="00DD351B"/>
    <w:rsid w:val="00DD3B89"/>
    <w:rsid w:val="00DD3EB0"/>
    <w:rsid w:val="00DD3EEA"/>
    <w:rsid w:val="00DD41ED"/>
    <w:rsid w:val="00DD44E4"/>
    <w:rsid w:val="00DD4666"/>
    <w:rsid w:val="00DD474C"/>
    <w:rsid w:val="00DD4885"/>
    <w:rsid w:val="00DD4CDA"/>
    <w:rsid w:val="00DD4E43"/>
    <w:rsid w:val="00DD4EE0"/>
    <w:rsid w:val="00DD50FF"/>
    <w:rsid w:val="00DD548F"/>
    <w:rsid w:val="00DD55F9"/>
    <w:rsid w:val="00DD5A89"/>
    <w:rsid w:val="00DD5AD7"/>
    <w:rsid w:val="00DD6072"/>
    <w:rsid w:val="00DD61D3"/>
    <w:rsid w:val="00DD61F1"/>
    <w:rsid w:val="00DD6270"/>
    <w:rsid w:val="00DD674E"/>
    <w:rsid w:val="00DD68E6"/>
    <w:rsid w:val="00DD6A76"/>
    <w:rsid w:val="00DD6AD2"/>
    <w:rsid w:val="00DD75A7"/>
    <w:rsid w:val="00DD796B"/>
    <w:rsid w:val="00DD7AA3"/>
    <w:rsid w:val="00DD7B13"/>
    <w:rsid w:val="00DD7C0C"/>
    <w:rsid w:val="00DD7DB3"/>
    <w:rsid w:val="00DD7E50"/>
    <w:rsid w:val="00DE0397"/>
    <w:rsid w:val="00DE0985"/>
    <w:rsid w:val="00DE0A7F"/>
    <w:rsid w:val="00DE0B49"/>
    <w:rsid w:val="00DE0C72"/>
    <w:rsid w:val="00DE0F38"/>
    <w:rsid w:val="00DE130B"/>
    <w:rsid w:val="00DE1342"/>
    <w:rsid w:val="00DE1530"/>
    <w:rsid w:val="00DE1A63"/>
    <w:rsid w:val="00DE1E30"/>
    <w:rsid w:val="00DE1E41"/>
    <w:rsid w:val="00DE2079"/>
    <w:rsid w:val="00DE2094"/>
    <w:rsid w:val="00DE2284"/>
    <w:rsid w:val="00DE27A0"/>
    <w:rsid w:val="00DE28BC"/>
    <w:rsid w:val="00DE2A2B"/>
    <w:rsid w:val="00DE2B45"/>
    <w:rsid w:val="00DE2CB9"/>
    <w:rsid w:val="00DE2DC1"/>
    <w:rsid w:val="00DE3025"/>
    <w:rsid w:val="00DE3129"/>
    <w:rsid w:val="00DE31FC"/>
    <w:rsid w:val="00DE33AC"/>
    <w:rsid w:val="00DE3727"/>
    <w:rsid w:val="00DE3736"/>
    <w:rsid w:val="00DE3775"/>
    <w:rsid w:val="00DE3D8C"/>
    <w:rsid w:val="00DE419D"/>
    <w:rsid w:val="00DE4396"/>
    <w:rsid w:val="00DE4408"/>
    <w:rsid w:val="00DE4459"/>
    <w:rsid w:val="00DE45EC"/>
    <w:rsid w:val="00DE4B59"/>
    <w:rsid w:val="00DE4D75"/>
    <w:rsid w:val="00DE4E01"/>
    <w:rsid w:val="00DE4F8E"/>
    <w:rsid w:val="00DE5132"/>
    <w:rsid w:val="00DE5376"/>
    <w:rsid w:val="00DE5794"/>
    <w:rsid w:val="00DE5A73"/>
    <w:rsid w:val="00DE5A92"/>
    <w:rsid w:val="00DE635F"/>
    <w:rsid w:val="00DE64F3"/>
    <w:rsid w:val="00DE65BD"/>
    <w:rsid w:val="00DE65F5"/>
    <w:rsid w:val="00DE675A"/>
    <w:rsid w:val="00DE6761"/>
    <w:rsid w:val="00DE6C23"/>
    <w:rsid w:val="00DE6D80"/>
    <w:rsid w:val="00DE6E28"/>
    <w:rsid w:val="00DE711D"/>
    <w:rsid w:val="00DE7287"/>
    <w:rsid w:val="00DE745B"/>
    <w:rsid w:val="00DE75A7"/>
    <w:rsid w:val="00DE793A"/>
    <w:rsid w:val="00DE7EAC"/>
    <w:rsid w:val="00DF0621"/>
    <w:rsid w:val="00DF07A5"/>
    <w:rsid w:val="00DF086C"/>
    <w:rsid w:val="00DF08AB"/>
    <w:rsid w:val="00DF08B5"/>
    <w:rsid w:val="00DF0BB0"/>
    <w:rsid w:val="00DF0F00"/>
    <w:rsid w:val="00DF0F30"/>
    <w:rsid w:val="00DF10F4"/>
    <w:rsid w:val="00DF1254"/>
    <w:rsid w:val="00DF1624"/>
    <w:rsid w:val="00DF17B1"/>
    <w:rsid w:val="00DF1A25"/>
    <w:rsid w:val="00DF1B6A"/>
    <w:rsid w:val="00DF1BF1"/>
    <w:rsid w:val="00DF1E10"/>
    <w:rsid w:val="00DF20D6"/>
    <w:rsid w:val="00DF227C"/>
    <w:rsid w:val="00DF2721"/>
    <w:rsid w:val="00DF290F"/>
    <w:rsid w:val="00DF2ED3"/>
    <w:rsid w:val="00DF2FE1"/>
    <w:rsid w:val="00DF310E"/>
    <w:rsid w:val="00DF3238"/>
    <w:rsid w:val="00DF331E"/>
    <w:rsid w:val="00DF333C"/>
    <w:rsid w:val="00DF3550"/>
    <w:rsid w:val="00DF3770"/>
    <w:rsid w:val="00DF37A0"/>
    <w:rsid w:val="00DF39F8"/>
    <w:rsid w:val="00DF3DFC"/>
    <w:rsid w:val="00DF3F96"/>
    <w:rsid w:val="00DF3FB4"/>
    <w:rsid w:val="00DF4197"/>
    <w:rsid w:val="00DF424E"/>
    <w:rsid w:val="00DF4624"/>
    <w:rsid w:val="00DF46EE"/>
    <w:rsid w:val="00DF4727"/>
    <w:rsid w:val="00DF4914"/>
    <w:rsid w:val="00DF4B12"/>
    <w:rsid w:val="00DF4E8E"/>
    <w:rsid w:val="00DF4E9C"/>
    <w:rsid w:val="00DF4F29"/>
    <w:rsid w:val="00DF4FB8"/>
    <w:rsid w:val="00DF5328"/>
    <w:rsid w:val="00DF568A"/>
    <w:rsid w:val="00DF56BA"/>
    <w:rsid w:val="00DF56F0"/>
    <w:rsid w:val="00DF5824"/>
    <w:rsid w:val="00DF5878"/>
    <w:rsid w:val="00DF5B09"/>
    <w:rsid w:val="00DF5D34"/>
    <w:rsid w:val="00DF6221"/>
    <w:rsid w:val="00DF6480"/>
    <w:rsid w:val="00DF6540"/>
    <w:rsid w:val="00DF6586"/>
    <w:rsid w:val="00DF65E8"/>
    <w:rsid w:val="00DF672A"/>
    <w:rsid w:val="00DF6821"/>
    <w:rsid w:val="00DF69FE"/>
    <w:rsid w:val="00DF6BF6"/>
    <w:rsid w:val="00DF6C2F"/>
    <w:rsid w:val="00DF6F87"/>
    <w:rsid w:val="00DF6FEF"/>
    <w:rsid w:val="00DF73DD"/>
    <w:rsid w:val="00DF7429"/>
    <w:rsid w:val="00DF75B0"/>
    <w:rsid w:val="00DF75C2"/>
    <w:rsid w:val="00DF771F"/>
    <w:rsid w:val="00DF781B"/>
    <w:rsid w:val="00DF786D"/>
    <w:rsid w:val="00DF7A01"/>
    <w:rsid w:val="00DF7B4C"/>
    <w:rsid w:val="00DF7D00"/>
    <w:rsid w:val="00DF7EA7"/>
    <w:rsid w:val="00E000C4"/>
    <w:rsid w:val="00E00177"/>
    <w:rsid w:val="00E001CA"/>
    <w:rsid w:val="00E00211"/>
    <w:rsid w:val="00E00279"/>
    <w:rsid w:val="00E004AE"/>
    <w:rsid w:val="00E0056A"/>
    <w:rsid w:val="00E007F8"/>
    <w:rsid w:val="00E00973"/>
    <w:rsid w:val="00E00A60"/>
    <w:rsid w:val="00E00A7C"/>
    <w:rsid w:val="00E00A8E"/>
    <w:rsid w:val="00E00BD1"/>
    <w:rsid w:val="00E00D94"/>
    <w:rsid w:val="00E00DE6"/>
    <w:rsid w:val="00E00F3D"/>
    <w:rsid w:val="00E010B8"/>
    <w:rsid w:val="00E010EE"/>
    <w:rsid w:val="00E0111E"/>
    <w:rsid w:val="00E011D3"/>
    <w:rsid w:val="00E0123B"/>
    <w:rsid w:val="00E01284"/>
    <w:rsid w:val="00E01A7D"/>
    <w:rsid w:val="00E01CCA"/>
    <w:rsid w:val="00E01DEC"/>
    <w:rsid w:val="00E02045"/>
    <w:rsid w:val="00E020DE"/>
    <w:rsid w:val="00E02864"/>
    <w:rsid w:val="00E02A7B"/>
    <w:rsid w:val="00E02F7E"/>
    <w:rsid w:val="00E02F82"/>
    <w:rsid w:val="00E033CB"/>
    <w:rsid w:val="00E03FE1"/>
    <w:rsid w:val="00E0400D"/>
    <w:rsid w:val="00E0413E"/>
    <w:rsid w:val="00E04191"/>
    <w:rsid w:val="00E041B5"/>
    <w:rsid w:val="00E0433E"/>
    <w:rsid w:val="00E043F5"/>
    <w:rsid w:val="00E04537"/>
    <w:rsid w:val="00E04BFF"/>
    <w:rsid w:val="00E04DA3"/>
    <w:rsid w:val="00E04DB4"/>
    <w:rsid w:val="00E050A4"/>
    <w:rsid w:val="00E05162"/>
    <w:rsid w:val="00E051E8"/>
    <w:rsid w:val="00E05257"/>
    <w:rsid w:val="00E055AF"/>
    <w:rsid w:val="00E055E2"/>
    <w:rsid w:val="00E056AE"/>
    <w:rsid w:val="00E05750"/>
    <w:rsid w:val="00E05820"/>
    <w:rsid w:val="00E05871"/>
    <w:rsid w:val="00E05B7C"/>
    <w:rsid w:val="00E05C91"/>
    <w:rsid w:val="00E05CD1"/>
    <w:rsid w:val="00E0605B"/>
    <w:rsid w:val="00E063FD"/>
    <w:rsid w:val="00E06509"/>
    <w:rsid w:val="00E0658C"/>
    <w:rsid w:val="00E067AE"/>
    <w:rsid w:val="00E06800"/>
    <w:rsid w:val="00E0690A"/>
    <w:rsid w:val="00E06965"/>
    <w:rsid w:val="00E06B6A"/>
    <w:rsid w:val="00E06CB0"/>
    <w:rsid w:val="00E06CED"/>
    <w:rsid w:val="00E06CF9"/>
    <w:rsid w:val="00E06E18"/>
    <w:rsid w:val="00E06E50"/>
    <w:rsid w:val="00E071A4"/>
    <w:rsid w:val="00E0798D"/>
    <w:rsid w:val="00E07B8F"/>
    <w:rsid w:val="00E07DA1"/>
    <w:rsid w:val="00E07EFA"/>
    <w:rsid w:val="00E07F68"/>
    <w:rsid w:val="00E1015E"/>
    <w:rsid w:val="00E10258"/>
    <w:rsid w:val="00E1092D"/>
    <w:rsid w:val="00E10B1A"/>
    <w:rsid w:val="00E10F8F"/>
    <w:rsid w:val="00E11243"/>
    <w:rsid w:val="00E1134F"/>
    <w:rsid w:val="00E115AD"/>
    <w:rsid w:val="00E12443"/>
    <w:rsid w:val="00E12BC2"/>
    <w:rsid w:val="00E12E29"/>
    <w:rsid w:val="00E12F0D"/>
    <w:rsid w:val="00E13113"/>
    <w:rsid w:val="00E132F8"/>
    <w:rsid w:val="00E13362"/>
    <w:rsid w:val="00E133E3"/>
    <w:rsid w:val="00E13411"/>
    <w:rsid w:val="00E13447"/>
    <w:rsid w:val="00E134C7"/>
    <w:rsid w:val="00E13576"/>
    <w:rsid w:val="00E13707"/>
    <w:rsid w:val="00E13827"/>
    <w:rsid w:val="00E1388D"/>
    <w:rsid w:val="00E13A8B"/>
    <w:rsid w:val="00E13B6F"/>
    <w:rsid w:val="00E13CBB"/>
    <w:rsid w:val="00E13D64"/>
    <w:rsid w:val="00E13F8C"/>
    <w:rsid w:val="00E142A3"/>
    <w:rsid w:val="00E1498F"/>
    <w:rsid w:val="00E14C63"/>
    <w:rsid w:val="00E14F97"/>
    <w:rsid w:val="00E1528B"/>
    <w:rsid w:val="00E15379"/>
    <w:rsid w:val="00E153D7"/>
    <w:rsid w:val="00E15779"/>
    <w:rsid w:val="00E157FF"/>
    <w:rsid w:val="00E159D5"/>
    <w:rsid w:val="00E15A77"/>
    <w:rsid w:val="00E15AF4"/>
    <w:rsid w:val="00E15F86"/>
    <w:rsid w:val="00E1612C"/>
    <w:rsid w:val="00E162F5"/>
    <w:rsid w:val="00E16598"/>
    <w:rsid w:val="00E16665"/>
    <w:rsid w:val="00E1669C"/>
    <w:rsid w:val="00E16838"/>
    <w:rsid w:val="00E16F49"/>
    <w:rsid w:val="00E1703F"/>
    <w:rsid w:val="00E17168"/>
    <w:rsid w:val="00E1716B"/>
    <w:rsid w:val="00E172E6"/>
    <w:rsid w:val="00E174E6"/>
    <w:rsid w:val="00E17510"/>
    <w:rsid w:val="00E17806"/>
    <w:rsid w:val="00E179DD"/>
    <w:rsid w:val="00E17A52"/>
    <w:rsid w:val="00E17D74"/>
    <w:rsid w:val="00E17E25"/>
    <w:rsid w:val="00E17E9A"/>
    <w:rsid w:val="00E17ED1"/>
    <w:rsid w:val="00E17FDB"/>
    <w:rsid w:val="00E204A0"/>
    <w:rsid w:val="00E20547"/>
    <w:rsid w:val="00E2057B"/>
    <w:rsid w:val="00E20812"/>
    <w:rsid w:val="00E20A20"/>
    <w:rsid w:val="00E20C04"/>
    <w:rsid w:val="00E20C28"/>
    <w:rsid w:val="00E20CB9"/>
    <w:rsid w:val="00E20E85"/>
    <w:rsid w:val="00E211FB"/>
    <w:rsid w:val="00E212EB"/>
    <w:rsid w:val="00E2190F"/>
    <w:rsid w:val="00E2195F"/>
    <w:rsid w:val="00E21B9C"/>
    <w:rsid w:val="00E21FD9"/>
    <w:rsid w:val="00E22173"/>
    <w:rsid w:val="00E221BC"/>
    <w:rsid w:val="00E2279E"/>
    <w:rsid w:val="00E22E14"/>
    <w:rsid w:val="00E23069"/>
    <w:rsid w:val="00E236D3"/>
    <w:rsid w:val="00E23CE6"/>
    <w:rsid w:val="00E241E2"/>
    <w:rsid w:val="00E242AA"/>
    <w:rsid w:val="00E2452B"/>
    <w:rsid w:val="00E2459E"/>
    <w:rsid w:val="00E2471C"/>
    <w:rsid w:val="00E24A39"/>
    <w:rsid w:val="00E24D13"/>
    <w:rsid w:val="00E24D5B"/>
    <w:rsid w:val="00E24E7C"/>
    <w:rsid w:val="00E25038"/>
    <w:rsid w:val="00E2533B"/>
    <w:rsid w:val="00E25558"/>
    <w:rsid w:val="00E25AE0"/>
    <w:rsid w:val="00E25D20"/>
    <w:rsid w:val="00E25D77"/>
    <w:rsid w:val="00E262F6"/>
    <w:rsid w:val="00E26403"/>
    <w:rsid w:val="00E264E8"/>
    <w:rsid w:val="00E2666F"/>
    <w:rsid w:val="00E2684F"/>
    <w:rsid w:val="00E268B2"/>
    <w:rsid w:val="00E269A9"/>
    <w:rsid w:val="00E26D85"/>
    <w:rsid w:val="00E26FDE"/>
    <w:rsid w:val="00E27306"/>
    <w:rsid w:val="00E278C6"/>
    <w:rsid w:val="00E278ED"/>
    <w:rsid w:val="00E279D6"/>
    <w:rsid w:val="00E27B7B"/>
    <w:rsid w:val="00E27B90"/>
    <w:rsid w:val="00E27C68"/>
    <w:rsid w:val="00E27F1A"/>
    <w:rsid w:val="00E30061"/>
    <w:rsid w:val="00E30199"/>
    <w:rsid w:val="00E30493"/>
    <w:rsid w:val="00E3091F"/>
    <w:rsid w:val="00E30A25"/>
    <w:rsid w:val="00E30AF8"/>
    <w:rsid w:val="00E30B98"/>
    <w:rsid w:val="00E30F20"/>
    <w:rsid w:val="00E3127B"/>
    <w:rsid w:val="00E314A0"/>
    <w:rsid w:val="00E31AA3"/>
    <w:rsid w:val="00E31C44"/>
    <w:rsid w:val="00E31EC6"/>
    <w:rsid w:val="00E32013"/>
    <w:rsid w:val="00E321F0"/>
    <w:rsid w:val="00E32459"/>
    <w:rsid w:val="00E32AB9"/>
    <w:rsid w:val="00E32C44"/>
    <w:rsid w:val="00E32E88"/>
    <w:rsid w:val="00E32EF6"/>
    <w:rsid w:val="00E3306A"/>
    <w:rsid w:val="00E331D6"/>
    <w:rsid w:val="00E3331E"/>
    <w:rsid w:val="00E33364"/>
    <w:rsid w:val="00E334B2"/>
    <w:rsid w:val="00E336B6"/>
    <w:rsid w:val="00E336C2"/>
    <w:rsid w:val="00E33B2B"/>
    <w:rsid w:val="00E33C95"/>
    <w:rsid w:val="00E33D5C"/>
    <w:rsid w:val="00E34449"/>
    <w:rsid w:val="00E346E3"/>
    <w:rsid w:val="00E3490E"/>
    <w:rsid w:val="00E34C79"/>
    <w:rsid w:val="00E34D7F"/>
    <w:rsid w:val="00E35042"/>
    <w:rsid w:val="00E351E7"/>
    <w:rsid w:val="00E35387"/>
    <w:rsid w:val="00E354BF"/>
    <w:rsid w:val="00E355D0"/>
    <w:rsid w:val="00E358EA"/>
    <w:rsid w:val="00E358F2"/>
    <w:rsid w:val="00E358F4"/>
    <w:rsid w:val="00E35B85"/>
    <w:rsid w:val="00E35B92"/>
    <w:rsid w:val="00E35D9F"/>
    <w:rsid w:val="00E35DB8"/>
    <w:rsid w:val="00E35EF3"/>
    <w:rsid w:val="00E35EF9"/>
    <w:rsid w:val="00E35F3A"/>
    <w:rsid w:val="00E3627A"/>
    <w:rsid w:val="00E363B7"/>
    <w:rsid w:val="00E363FE"/>
    <w:rsid w:val="00E365F9"/>
    <w:rsid w:val="00E36987"/>
    <w:rsid w:val="00E36F54"/>
    <w:rsid w:val="00E36FA0"/>
    <w:rsid w:val="00E37269"/>
    <w:rsid w:val="00E372DF"/>
    <w:rsid w:val="00E37429"/>
    <w:rsid w:val="00E3758A"/>
    <w:rsid w:val="00E37714"/>
    <w:rsid w:val="00E40017"/>
    <w:rsid w:val="00E400C2"/>
    <w:rsid w:val="00E404DC"/>
    <w:rsid w:val="00E40510"/>
    <w:rsid w:val="00E406DC"/>
    <w:rsid w:val="00E407EF"/>
    <w:rsid w:val="00E40ED8"/>
    <w:rsid w:val="00E410BD"/>
    <w:rsid w:val="00E412E0"/>
    <w:rsid w:val="00E41387"/>
    <w:rsid w:val="00E41422"/>
    <w:rsid w:val="00E41436"/>
    <w:rsid w:val="00E416D8"/>
    <w:rsid w:val="00E4174E"/>
    <w:rsid w:val="00E41A70"/>
    <w:rsid w:val="00E41F37"/>
    <w:rsid w:val="00E42204"/>
    <w:rsid w:val="00E422FE"/>
    <w:rsid w:val="00E42397"/>
    <w:rsid w:val="00E4240A"/>
    <w:rsid w:val="00E4277C"/>
    <w:rsid w:val="00E4290F"/>
    <w:rsid w:val="00E430E9"/>
    <w:rsid w:val="00E432FF"/>
    <w:rsid w:val="00E43371"/>
    <w:rsid w:val="00E43838"/>
    <w:rsid w:val="00E43A83"/>
    <w:rsid w:val="00E44328"/>
    <w:rsid w:val="00E447AF"/>
    <w:rsid w:val="00E447EF"/>
    <w:rsid w:val="00E44AA4"/>
    <w:rsid w:val="00E44CB7"/>
    <w:rsid w:val="00E44D91"/>
    <w:rsid w:val="00E44E30"/>
    <w:rsid w:val="00E44E34"/>
    <w:rsid w:val="00E44F45"/>
    <w:rsid w:val="00E45050"/>
    <w:rsid w:val="00E4506E"/>
    <w:rsid w:val="00E450BE"/>
    <w:rsid w:val="00E450D0"/>
    <w:rsid w:val="00E45179"/>
    <w:rsid w:val="00E452EC"/>
    <w:rsid w:val="00E455E7"/>
    <w:rsid w:val="00E4567D"/>
    <w:rsid w:val="00E45683"/>
    <w:rsid w:val="00E4586B"/>
    <w:rsid w:val="00E45962"/>
    <w:rsid w:val="00E459BD"/>
    <w:rsid w:val="00E45AB7"/>
    <w:rsid w:val="00E45D40"/>
    <w:rsid w:val="00E45D7E"/>
    <w:rsid w:val="00E46054"/>
    <w:rsid w:val="00E4634E"/>
    <w:rsid w:val="00E46364"/>
    <w:rsid w:val="00E4647B"/>
    <w:rsid w:val="00E4684B"/>
    <w:rsid w:val="00E46A48"/>
    <w:rsid w:val="00E46CEE"/>
    <w:rsid w:val="00E46E17"/>
    <w:rsid w:val="00E46E58"/>
    <w:rsid w:val="00E46EE7"/>
    <w:rsid w:val="00E47185"/>
    <w:rsid w:val="00E4744C"/>
    <w:rsid w:val="00E47571"/>
    <w:rsid w:val="00E475DF"/>
    <w:rsid w:val="00E4761D"/>
    <w:rsid w:val="00E4777F"/>
    <w:rsid w:val="00E47AEC"/>
    <w:rsid w:val="00E47D09"/>
    <w:rsid w:val="00E5016E"/>
    <w:rsid w:val="00E501D7"/>
    <w:rsid w:val="00E5023B"/>
    <w:rsid w:val="00E5027B"/>
    <w:rsid w:val="00E50427"/>
    <w:rsid w:val="00E50465"/>
    <w:rsid w:val="00E50557"/>
    <w:rsid w:val="00E506C7"/>
    <w:rsid w:val="00E5074D"/>
    <w:rsid w:val="00E507D3"/>
    <w:rsid w:val="00E50D3D"/>
    <w:rsid w:val="00E50FE4"/>
    <w:rsid w:val="00E5122E"/>
    <w:rsid w:val="00E51239"/>
    <w:rsid w:val="00E513EC"/>
    <w:rsid w:val="00E51483"/>
    <w:rsid w:val="00E515F6"/>
    <w:rsid w:val="00E51E89"/>
    <w:rsid w:val="00E52371"/>
    <w:rsid w:val="00E527DB"/>
    <w:rsid w:val="00E52801"/>
    <w:rsid w:val="00E52924"/>
    <w:rsid w:val="00E52BAC"/>
    <w:rsid w:val="00E52DC5"/>
    <w:rsid w:val="00E531D6"/>
    <w:rsid w:val="00E532F4"/>
    <w:rsid w:val="00E53500"/>
    <w:rsid w:val="00E537E4"/>
    <w:rsid w:val="00E53995"/>
    <w:rsid w:val="00E53AFB"/>
    <w:rsid w:val="00E543BB"/>
    <w:rsid w:val="00E5457B"/>
    <w:rsid w:val="00E5466A"/>
    <w:rsid w:val="00E54779"/>
    <w:rsid w:val="00E54E3E"/>
    <w:rsid w:val="00E54ED0"/>
    <w:rsid w:val="00E54FD5"/>
    <w:rsid w:val="00E5547B"/>
    <w:rsid w:val="00E558D5"/>
    <w:rsid w:val="00E55E2F"/>
    <w:rsid w:val="00E5617E"/>
    <w:rsid w:val="00E56184"/>
    <w:rsid w:val="00E565B4"/>
    <w:rsid w:val="00E56A8A"/>
    <w:rsid w:val="00E56ACD"/>
    <w:rsid w:val="00E56AE2"/>
    <w:rsid w:val="00E56B49"/>
    <w:rsid w:val="00E56BC9"/>
    <w:rsid w:val="00E56BDA"/>
    <w:rsid w:val="00E56C8F"/>
    <w:rsid w:val="00E56CE9"/>
    <w:rsid w:val="00E56D78"/>
    <w:rsid w:val="00E56E0E"/>
    <w:rsid w:val="00E56F10"/>
    <w:rsid w:val="00E5732A"/>
    <w:rsid w:val="00E57717"/>
    <w:rsid w:val="00E57782"/>
    <w:rsid w:val="00E578ED"/>
    <w:rsid w:val="00E579CE"/>
    <w:rsid w:val="00E57A5C"/>
    <w:rsid w:val="00E57ADE"/>
    <w:rsid w:val="00E57F77"/>
    <w:rsid w:val="00E6000F"/>
    <w:rsid w:val="00E601EA"/>
    <w:rsid w:val="00E607EB"/>
    <w:rsid w:val="00E60999"/>
    <w:rsid w:val="00E609E7"/>
    <w:rsid w:val="00E60A17"/>
    <w:rsid w:val="00E60EC6"/>
    <w:rsid w:val="00E6102A"/>
    <w:rsid w:val="00E6132F"/>
    <w:rsid w:val="00E614AB"/>
    <w:rsid w:val="00E616A3"/>
    <w:rsid w:val="00E616DD"/>
    <w:rsid w:val="00E61994"/>
    <w:rsid w:val="00E61AC7"/>
    <w:rsid w:val="00E61BC0"/>
    <w:rsid w:val="00E61E04"/>
    <w:rsid w:val="00E622D8"/>
    <w:rsid w:val="00E62A9D"/>
    <w:rsid w:val="00E62C42"/>
    <w:rsid w:val="00E62D55"/>
    <w:rsid w:val="00E62E51"/>
    <w:rsid w:val="00E62ED2"/>
    <w:rsid w:val="00E62F80"/>
    <w:rsid w:val="00E63052"/>
    <w:rsid w:val="00E6306C"/>
    <w:rsid w:val="00E632F6"/>
    <w:rsid w:val="00E634E2"/>
    <w:rsid w:val="00E63552"/>
    <w:rsid w:val="00E635F6"/>
    <w:rsid w:val="00E638E3"/>
    <w:rsid w:val="00E63F78"/>
    <w:rsid w:val="00E64060"/>
    <w:rsid w:val="00E64133"/>
    <w:rsid w:val="00E645CD"/>
    <w:rsid w:val="00E64680"/>
    <w:rsid w:val="00E649C5"/>
    <w:rsid w:val="00E649DE"/>
    <w:rsid w:val="00E64AA2"/>
    <w:rsid w:val="00E64BA1"/>
    <w:rsid w:val="00E64BEF"/>
    <w:rsid w:val="00E64F17"/>
    <w:rsid w:val="00E64F3A"/>
    <w:rsid w:val="00E650D0"/>
    <w:rsid w:val="00E651B8"/>
    <w:rsid w:val="00E6568D"/>
    <w:rsid w:val="00E65759"/>
    <w:rsid w:val="00E657FD"/>
    <w:rsid w:val="00E65835"/>
    <w:rsid w:val="00E65887"/>
    <w:rsid w:val="00E65905"/>
    <w:rsid w:val="00E659E7"/>
    <w:rsid w:val="00E65D27"/>
    <w:rsid w:val="00E662FA"/>
    <w:rsid w:val="00E668FA"/>
    <w:rsid w:val="00E66915"/>
    <w:rsid w:val="00E66A4A"/>
    <w:rsid w:val="00E66E98"/>
    <w:rsid w:val="00E673D0"/>
    <w:rsid w:val="00E67A2F"/>
    <w:rsid w:val="00E67B07"/>
    <w:rsid w:val="00E67F85"/>
    <w:rsid w:val="00E7031C"/>
    <w:rsid w:val="00E705B3"/>
    <w:rsid w:val="00E70682"/>
    <w:rsid w:val="00E706A2"/>
    <w:rsid w:val="00E7078B"/>
    <w:rsid w:val="00E70883"/>
    <w:rsid w:val="00E7099A"/>
    <w:rsid w:val="00E70C96"/>
    <w:rsid w:val="00E70EE0"/>
    <w:rsid w:val="00E70F54"/>
    <w:rsid w:val="00E710CA"/>
    <w:rsid w:val="00E712C3"/>
    <w:rsid w:val="00E712F6"/>
    <w:rsid w:val="00E7135D"/>
    <w:rsid w:val="00E713EC"/>
    <w:rsid w:val="00E71941"/>
    <w:rsid w:val="00E71BD2"/>
    <w:rsid w:val="00E71EDB"/>
    <w:rsid w:val="00E72038"/>
    <w:rsid w:val="00E72052"/>
    <w:rsid w:val="00E7226F"/>
    <w:rsid w:val="00E723C6"/>
    <w:rsid w:val="00E723D8"/>
    <w:rsid w:val="00E72865"/>
    <w:rsid w:val="00E728CE"/>
    <w:rsid w:val="00E72A5E"/>
    <w:rsid w:val="00E72C0A"/>
    <w:rsid w:val="00E72C42"/>
    <w:rsid w:val="00E72DDA"/>
    <w:rsid w:val="00E7327A"/>
    <w:rsid w:val="00E7329B"/>
    <w:rsid w:val="00E732D6"/>
    <w:rsid w:val="00E733DC"/>
    <w:rsid w:val="00E734DF"/>
    <w:rsid w:val="00E7351D"/>
    <w:rsid w:val="00E735A7"/>
    <w:rsid w:val="00E738EB"/>
    <w:rsid w:val="00E739DE"/>
    <w:rsid w:val="00E73F11"/>
    <w:rsid w:val="00E74126"/>
    <w:rsid w:val="00E7417A"/>
    <w:rsid w:val="00E741AF"/>
    <w:rsid w:val="00E7423A"/>
    <w:rsid w:val="00E7447D"/>
    <w:rsid w:val="00E746F2"/>
    <w:rsid w:val="00E74947"/>
    <w:rsid w:val="00E74951"/>
    <w:rsid w:val="00E74ABC"/>
    <w:rsid w:val="00E74BEF"/>
    <w:rsid w:val="00E74D56"/>
    <w:rsid w:val="00E74D8D"/>
    <w:rsid w:val="00E74DA8"/>
    <w:rsid w:val="00E75043"/>
    <w:rsid w:val="00E75176"/>
    <w:rsid w:val="00E752DC"/>
    <w:rsid w:val="00E754DF"/>
    <w:rsid w:val="00E755CF"/>
    <w:rsid w:val="00E75743"/>
    <w:rsid w:val="00E7589D"/>
    <w:rsid w:val="00E7590D"/>
    <w:rsid w:val="00E75933"/>
    <w:rsid w:val="00E765D2"/>
    <w:rsid w:val="00E767A8"/>
    <w:rsid w:val="00E76B10"/>
    <w:rsid w:val="00E76DB0"/>
    <w:rsid w:val="00E76E34"/>
    <w:rsid w:val="00E770AE"/>
    <w:rsid w:val="00E77161"/>
    <w:rsid w:val="00E7736A"/>
    <w:rsid w:val="00E77727"/>
    <w:rsid w:val="00E7798B"/>
    <w:rsid w:val="00E77C66"/>
    <w:rsid w:val="00E77D11"/>
    <w:rsid w:val="00E77E07"/>
    <w:rsid w:val="00E77FF0"/>
    <w:rsid w:val="00E80238"/>
    <w:rsid w:val="00E804D6"/>
    <w:rsid w:val="00E804F2"/>
    <w:rsid w:val="00E805DE"/>
    <w:rsid w:val="00E806E2"/>
    <w:rsid w:val="00E80746"/>
    <w:rsid w:val="00E809DE"/>
    <w:rsid w:val="00E80C48"/>
    <w:rsid w:val="00E80DE6"/>
    <w:rsid w:val="00E80F40"/>
    <w:rsid w:val="00E8100B"/>
    <w:rsid w:val="00E8114B"/>
    <w:rsid w:val="00E812CC"/>
    <w:rsid w:val="00E815A2"/>
    <w:rsid w:val="00E8183D"/>
    <w:rsid w:val="00E81855"/>
    <w:rsid w:val="00E81A32"/>
    <w:rsid w:val="00E81AFE"/>
    <w:rsid w:val="00E81B45"/>
    <w:rsid w:val="00E81C98"/>
    <w:rsid w:val="00E81F40"/>
    <w:rsid w:val="00E8221F"/>
    <w:rsid w:val="00E822F0"/>
    <w:rsid w:val="00E824FD"/>
    <w:rsid w:val="00E825AA"/>
    <w:rsid w:val="00E82841"/>
    <w:rsid w:val="00E8285B"/>
    <w:rsid w:val="00E828C2"/>
    <w:rsid w:val="00E82A7D"/>
    <w:rsid w:val="00E82A8E"/>
    <w:rsid w:val="00E82CB8"/>
    <w:rsid w:val="00E82DEC"/>
    <w:rsid w:val="00E82F96"/>
    <w:rsid w:val="00E83025"/>
    <w:rsid w:val="00E831FF"/>
    <w:rsid w:val="00E83214"/>
    <w:rsid w:val="00E833EE"/>
    <w:rsid w:val="00E834BC"/>
    <w:rsid w:val="00E8391F"/>
    <w:rsid w:val="00E83A03"/>
    <w:rsid w:val="00E83A58"/>
    <w:rsid w:val="00E83A73"/>
    <w:rsid w:val="00E8400F"/>
    <w:rsid w:val="00E84114"/>
    <w:rsid w:val="00E842FB"/>
    <w:rsid w:val="00E84443"/>
    <w:rsid w:val="00E845C1"/>
    <w:rsid w:val="00E8468A"/>
    <w:rsid w:val="00E848F5"/>
    <w:rsid w:val="00E84A43"/>
    <w:rsid w:val="00E84C33"/>
    <w:rsid w:val="00E84D15"/>
    <w:rsid w:val="00E85048"/>
    <w:rsid w:val="00E8536D"/>
    <w:rsid w:val="00E8539A"/>
    <w:rsid w:val="00E8555A"/>
    <w:rsid w:val="00E85781"/>
    <w:rsid w:val="00E85811"/>
    <w:rsid w:val="00E8586B"/>
    <w:rsid w:val="00E859F7"/>
    <w:rsid w:val="00E85AF3"/>
    <w:rsid w:val="00E85AFD"/>
    <w:rsid w:val="00E85B4E"/>
    <w:rsid w:val="00E85C42"/>
    <w:rsid w:val="00E85F8A"/>
    <w:rsid w:val="00E860FC"/>
    <w:rsid w:val="00E8617D"/>
    <w:rsid w:val="00E865F8"/>
    <w:rsid w:val="00E867E0"/>
    <w:rsid w:val="00E86920"/>
    <w:rsid w:val="00E86CA5"/>
    <w:rsid w:val="00E86E9D"/>
    <w:rsid w:val="00E86EEC"/>
    <w:rsid w:val="00E86F73"/>
    <w:rsid w:val="00E8707D"/>
    <w:rsid w:val="00E87083"/>
    <w:rsid w:val="00E871AE"/>
    <w:rsid w:val="00E872CF"/>
    <w:rsid w:val="00E874E3"/>
    <w:rsid w:val="00E87A2D"/>
    <w:rsid w:val="00E87B47"/>
    <w:rsid w:val="00E87EF7"/>
    <w:rsid w:val="00E90007"/>
    <w:rsid w:val="00E90083"/>
    <w:rsid w:val="00E90309"/>
    <w:rsid w:val="00E9042E"/>
    <w:rsid w:val="00E9062F"/>
    <w:rsid w:val="00E908B2"/>
    <w:rsid w:val="00E908D0"/>
    <w:rsid w:val="00E9093C"/>
    <w:rsid w:val="00E909AE"/>
    <w:rsid w:val="00E90DC2"/>
    <w:rsid w:val="00E910F3"/>
    <w:rsid w:val="00E911B7"/>
    <w:rsid w:val="00E91292"/>
    <w:rsid w:val="00E912C9"/>
    <w:rsid w:val="00E916DE"/>
    <w:rsid w:val="00E9197C"/>
    <w:rsid w:val="00E91A76"/>
    <w:rsid w:val="00E91C14"/>
    <w:rsid w:val="00E91D95"/>
    <w:rsid w:val="00E91E76"/>
    <w:rsid w:val="00E92049"/>
    <w:rsid w:val="00E927BF"/>
    <w:rsid w:val="00E92829"/>
    <w:rsid w:val="00E928A3"/>
    <w:rsid w:val="00E928E1"/>
    <w:rsid w:val="00E92C28"/>
    <w:rsid w:val="00E92D92"/>
    <w:rsid w:val="00E92F05"/>
    <w:rsid w:val="00E9309B"/>
    <w:rsid w:val="00E931F2"/>
    <w:rsid w:val="00E932B8"/>
    <w:rsid w:val="00E932DD"/>
    <w:rsid w:val="00E934F1"/>
    <w:rsid w:val="00E935C9"/>
    <w:rsid w:val="00E94004"/>
    <w:rsid w:val="00E9429F"/>
    <w:rsid w:val="00E943D0"/>
    <w:rsid w:val="00E944A0"/>
    <w:rsid w:val="00E944B3"/>
    <w:rsid w:val="00E94549"/>
    <w:rsid w:val="00E94682"/>
    <w:rsid w:val="00E94890"/>
    <w:rsid w:val="00E94C7C"/>
    <w:rsid w:val="00E94E63"/>
    <w:rsid w:val="00E94E7A"/>
    <w:rsid w:val="00E94FF0"/>
    <w:rsid w:val="00E95352"/>
    <w:rsid w:val="00E954E8"/>
    <w:rsid w:val="00E95839"/>
    <w:rsid w:val="00E95987"/>
    <w:rsid w:val="00E95FFE"/>
    <w:rsid w:val="00E96303"/>
    <w:rsid w:val="00E96381"/>
    <w:rsid w:val="00E96428"/>
    <w:rsid w:val="00E966C0"/>
    <w:rsid w:val="00E96891"/>
    <w:rsid w:val="00E96954"/>
    <w:rsid w:val="00E969BC"/>
    <w:rsid w:val="00E96C47"/>
    <w:rsid w:val="00E96F90"/>
    <w:rsid w:val="00E9701E"/>
    <w:rsid w:val="00E97107"/>
    <w:rsid w:val="00E97413"/>
    <w:rsid w:val="00E97725"/>
    <w:rsid w:val="00E979D4"/>
    <w:rsid w:val="00E979FC"/>
    <w:rsid w:val="00E97C36"/>
    <w:rsid w:val="00E97C93"/>
    <w:rsid w:val="00E97DD9"/>
    <w:rsid w:val="00E97E15"/>
    <w:rsid w:val="00E97F00"/>
    <w:rsid w:val="00E97F79"/>
    <w:rsid w:val="00EA0189"/>
    <w:rsid w:val="00EA01DE"/>
    <w:rsid w:val="00EA01EF"/>
    <w:rsid w:val="00EA0B26"/>
    <w:rsid w:val="00EA0BBA"/>
    <w:rsid w:val="00EA0C08"/>
    <w:rsid w:val="00EA0C14"/>
    <w:rsid w:val="00EA0C52"/>
    <w:rsid w:val="00EA0C5C"/>
    <w:rsid w:val="00EA0C97"/>
    <w:rsid w:val="00EA0ED6"/>
    <w:rsid w:val="00EA1033"/>
    <w:rsid w:val="00EA103B"/>
    <w:rsid w:val="00EA11E7"/>
    <w:rsid w:val="00EA1228"/>
    <w:rsid w:val="00EA12E4"/>
    <w:rsid w:val="00EA17D2"/>
    <w:rsid w:val="00EA17FF"/>
    <w:rsid w:val="00EA1892"/>
    <w:rsid w:val="00EA1BF6"/>
    <w:rsid w:val="00EA211B"/>
    <w:rsid w:val="00EA2767"/>
    <w:rsid w:val="00EA29AE"/>
    <w:rsid w:val="00EA2A77"/>
    <w:rsid w:val="00EA2C3B"/>
    <w:rsid w:val="00EA3572"/>
    <w:rsid w:val="00EA38D7"/>
    <w:rsid w:val="00EA3A2A"/>
    <w:rsid w:val="00EA3CBD"/>
    <w:rsid w:val="00EA3D9B"/>
    <w:rsid w:val="00EA3F26"/>
    <w:rsid w:val="00EA4246"/>
    <w:rsid w:val="00EA4BDB"/>
    <w:rsid w:val="00EA52EC"/>
    <w:rsid w:val="00EA5431"/>
    <w:rsid w:val="00EA54F4"/>
    <w:rsid w:val="00EA5596"/>
    <w:rsid w:val="00EA5906"/>
    <w:rsid w:val="00EA590F"/>
    <w:rsid w:val="00EA5C56"/>
    <w:rsid w:val="00EA6166"/>
    <w:rsid w:val="00EA640D"/>
    <w:rsid w:val="00EA64D2"/>
    <w:rsid w:val="00EA6941"/>
    <w:rsid w:val="00EA6BDD"/>
    <w:rsid w:val="00EA70DC"/>
    <w:rsid w:val="00EA7187"/>
    <w:rsid w:val="00EA7459"/>
    <w:rsid w:val="00EA79C9"/>
    <w:rsid w:val="00EA7A90"/>
    <w:rsid w:val="00EA7AD6"/>
    <w:rsid w:val="00EA7B26"/>
    <w:rsid w:val="00EA7D9B"/>
    <w:rsid w:val="00EA7DF7"/>
    <w:rsid w:val="00EA7E38"/>
    <w:rsid w:val="00EA7E6B"/>
    <w:rsid w:val="00EB04CF"/>
    <w:rsid w:val="00EB07F8"/>
    <w:rsid w:val="00EB0859"/>
    <w:rsid w:val="00EB08DE"/>
    <w:rsid w:val="00EB09B7"/>
    <w:rsid w:val="00EB09E9"/>
    <w:rsid w:val="00EB0D50"/>
    <w:rsid w:val="00EB10CE"/>
    <w:rsid w:val="00EB1242"/>
    <w:rsid w:val="00EB184D"/>
    <w:rsid w:val="00EB1BA8"/>
    <w:rsid w:val="00EB2582"/>
    <w:rsid w:val="00EB26CD"/>
    <w:rsid w:val="00EB27B2"/>
    <w:rsid w:val="00EB28D6"/>
    <w:rsid w:val="00EB2F8C"/>
    <w:rsid w:val="00EB33D9"/>
    <w:rsid w:val="00EB3727"/>
    <w:rsid w:val="00EB39FF"/>
    <w:rsid w:val="00EB40AF"/>
    <w:rsid w:val="00EB4234"/>
    <w:rsid w:val="00EB429D"/>
    <w:rsid w:val="00EB434F"/>
    <w:rsid w:val="00EB45CF"/>
    <w:rsid w:val="00EB4E7A"/>
    <w:rsid w:val="00EB5056"/>
    <w:rsid w:val="00EB50FF"/>
    <w:rsid w:val="00EB55B9"/>
    <w:rsid w:val="00EB59EA"/>
    <w:rsid w:val="00EB5A57"/>
    <w:rsid w:val="00EB5C67"/>
    <w:rsid w:val="00EB5E9C"/>
    <w:rsid w:val="00EB606B"/>
    <w:rsid w:val="00EB6095"/>
    <w:rsid w:val="00EB60C4"/>
    <w:rsid w:val="00EB6472"/>
    <w:rsid w:val="00EB649B"/>
    <w:rsid w:val="00EB65B6"/>
    <w:rsid w:val="00EB69A1"/>
    <w:rsid w:val="00EB6A5F"/>
    <w:rsid w:val="00EB6A83"/>
    <w:rsid w:val="00EB6CB6"/>
    <w:rsid w:val="00EB6FAC"/>
    <w:rsid w:val="00EB710A"/>
    <w:rsid w:val="00EB726A"/>
    <w:rsid w:val="00EB74B1"/>
    <w:rsid w:val="00EB7609"/>
    <w:rsid w:val="00EC001C"/>
    <w:rsid w:val="00EC0DD0"/>
    <w:rsid w:val="00EC0F42"/>
    <w:rsid w:val="00EC1089"/>
    <w:rsid w:val="00EC14AF"/>
    <w:rsid w:val="00EC152D"/>
    <w:rsid w:val="00EC16BC"/>
    <w:rsid w:val="00EC1810"/>
    <w:rsid w:val="00EC1B72"/>
    <w:rsid w:val="00EC1B85"/>
    <w:rsid w:val="00EC222D"/>
    <w:rsid w:val="00EC247D"/>
    <w:rsid w:val="00EC2554"/>
    <w:rsid w:val="00EC2C6E"/>
    <w:rsid w:val="00EC2D72"/>
    <w:rsid w:val="00EC2D9B"/>
    <w:rsid w:val="00EC34DE"/>
    <w:rsid w:val="00EC3560"/>
    <w:rsid w:val="00EC3B85"/>
    <w:rsid w:val="00EC3F69"/>
    <w:rsid w:val="00EC3FAF"/>
    <w:rsid w:val="00EC40B4"/>
    <w:rsid w:val="00EC4177"/>
    <w:rsid w:val="00EC418E"/>
    <w:rsid w:val="00EC45FB"/>
    <w:rsid w:val="00EC4933"/>
    <w:rsid w:val="00EC4A3B"/>
    <w:rsid w:val="00EC4A96"/>
    <w:rsid w:val="00EC4B2D"/>
    <w:rsid w:val="00EC4EF2"/>
    <w:rsid w:val="00EC512D"/>
    <w:rsid w:val="00EC51BF"/>
    <w:rsid w:val="00EC520C"/>
    <w:rsid w:val="00EC58EC"/>
    <w:rsid w:val="00EC594E"/>
    <w:rsid w:val="00EC5E76"/>
    <w:rsid w:val="00EC610C"/>
    <w:rsid w:val="00EC6234"/>
    <w:rsid w:val="00EC64A7"/>
    <w:rsid w:val="00EC6A74"/>
    <w:rsid w:val="00EC6BC4"/>
    <w:rsid w:val="00EC6DB9"/>
    <w:rsid w:val="00EC712A"/>
    <w:rsid w:val="00EC735B"/>
    <w:rsid w:val="00EC73BA"/>
    <w:rsid w:val="00EC7449"/>
    <w:rsid w:val="00EC7489"/>
    <w:rsid w:val="00EC75AC"/>
    <w:rsid w:val="00EC76A3"/>
    <w:rsid w:val="00EC77A9"/>
    <w:rsid w:val="00EC783B"/>
    <w:rsid w:val="00EC7CB6"/>
    <w:rsid w:val="00EC7CD6"/>
    <w:rsid w:val="00ED00AB"/>
    <w:rsid w:val="00ED0313"/>
    <w:rsid w:val="00ED0344"/>
    <w:rsid w:val="00ED0616"/>
    <w:rsid w:val="00ED07FA"/>
    <w:rsid w:val="00ED0B69"/>
    <w:rsid w:val="00ED0BDD"/>
    <w:rsid w:val="00ED0C9B"/>
    <w:rsid w:val="00ED0FB3"/>
    <w:rsid w:val="00ED1133"/>
    <w:rsid w:val="00ED1192"/>
    <w:rsid w:val="00ED14B1"/>
    <w:rsid w:val="00ED1569"/>
    <w:rsid w:val="00ED1765"/>
    <w:rsid w:val="00ED1B0A"/>
    <w:rsid w:val="00ED1D4D"/>
    <w:rsid w:val="00ED1E42"/>
    <w:rsid w:val="00ED1F02"/>
    <w:rsid w:val="00ED1F4C"/>
    <w:rsid w:val="00ED2162"/>
    <w:rsid w:val="00ED23FC"/>
    <w:rsid w:val="00ED2428"/>
    <w:rsid w:val="00ED25C6"/>
    <w:rsid w:val="00ED2A8C"/>
    <w:rsid w:val="00ED2AAB"/>
    <w:rsid w:val="00ED2C83"/>
    <w:rsid w:val="00ED2E3D"/>
    <w:rsid w:val="00ED2FB0"/>
    <w:rsid w:val="00ED32F4"/>
    <w:rsid w:val="00ED3312"/>
    <w:rsid w:val="00ED3758"/>
    <w:rsid w:val="00ED3A7D"/>
    <w:rsid w:val="00ED3ACA"/>
    <w:rsid w:val="00ED3CBA"/>
    <w:rsid w:val="00ED3DE6"/>
    <w:rsid w:val="00ED3EA2"/>
    <w:rsid w:val="00ED3EBB"/>
    <w:rsid w:val="00ED46DF"/>
    <w:rsid w:val="00ED483B"/>
    <w:rsid w:val="00ED4903"/>
    <w:rsid w:val="00ED4994"/>
    <w:rsid w:val="00ED49A2"/>
    <w:rsid w:val="00ED4A0F"/>
    <w:rsid w:val="00ED4F11"/>
    <w:rsid w:val="00ED4F7B"/>
    <w:rsid w:val="00ED541A"/>
    <w:rsid w:val="00ED5782"/>
    <w:rsid w:val="00ED5CBF"/>
    <w:rsid w:val="00ED5E8C"/>
    <w:rsid w:val="00ED65DE"/>
    <w:rsid w:val="00ED687E"/>
    <w:rsid w:val="00ED6C43"/>
    <w:rsid w:val="00ED6CC5"/>
    <w:rsid w:val="00ED6E35"/>
    <w:rsid w:val="00ED72C8"/>
    <w:rsid w:val="00ED7385"/>
    <w:rsid w:val="00ED7404"/>
    <w:rsid w:val="00ED7A56"/>
    <w:rsid w:val="00EE0045"/>
    <w:rsid w:val="00EE0120"/>
    <w:rsid w:val="00EE0561"/>
    <w:rsid w:val="00EE05E1"/>
    <w:rsid w:val="00EE0B76"/>
    <w:rsid w:val="00EE0CD8"/>
    <w:rsid w:val="00EE0D1B"/>
    <w:rsid w:val="00EE0D4C"/>
    <w:rsid w:val="00EE0E7F"/>
    <w:rsid w:val="00EE0F1B"/>
    <w:rsid w:val="00EE1047"/>
    <w:rsid w:val="00EE10DB"/>
    <w:rsid w:val="00EE116F"/>
    <w:rsid w:val="00EE185B"/>
    <w:rsid w:val="00EE1D68"/>
    <w:rsid w:val="00EE1E26"/>
    <w:rsid w:val="00EE1E42"/>
    <w:rsid w:val="00EE1F11"/>
    <w:rsid w:val="00EE1F65"/>
    <w:rsid w:val="00EE21F4"/>
    <w:rsid w:val="00EE24E8"/>
    <w:rsid w:val="00EE24F4"/>
    <w:rsid w:val="00EE280E"/>
    <w:rsid w:val="00EE28E9"/>
    <w:rsid w:val="00EE2BAC"/>
    <w:rsid w:val="00EE2C4A"/>
    <w:rsid w:val="00EE2EAE"/>
    <w:rsid w:val="00EE301A"/>
    <w:rsid w:val="00EE334E"/>
    <w:rsid w:val="00EE36A5"/>
    <w:rsid w:val="00EE36E8"/>
    <w:rsid w:val="00EE3AA4"/>
    <w:rsid w:val="00EE3B01"/>
    <w:rsid w:val="00EE423A"/>
    <w:rsid w:val="00EE46D7"/>
    <w:rsid w:val="00EE53AD"/>
    <w:rsid w:val="00EE5557"/>
    <w:rsid w:val="00EE55B5"/>
    <w:rsid w:val="00EE57D2"/>
    <w:rsid w:val="00EE58AB"/>
    <w:rsid w:val="00EE5D8A"/>
    <w:rsid w:val="00EE6194"/>
    <w:rsid w:val="00EE638A"/>
    <w:rsid w:val="00EE6623"/>
    <w:rsid w:val="00EE6914"/>
    <w:rsid w:val="00EE6BBA"/>
    <w:rsid w:val="00EE6F8C"/>
    <w:rsid w:val="00EE712C"/>
    <w:rsid w:val="00EE740E"/>
    <w:rsid w:val="00EE752A"/>
    <w:rsid w:val="00EE76F3"/>
    <w:rsid w:val="00EE79CC"/>
    <w:rsid w:val="00EE7B39"/>
    <w:rsid w:val="00EE7DA8"/>
    <w:rsid w:val="00EE7DE0"/>
    <w:rsid w:val="00EF0049"/>
    <w:rsid w:val="00EF08A2"/>
    <w:rsid w:val="00EF0933"/>
    <w:rsid w:val="00EF0A0C"/>
    <w:rsid w:val="00EF0E32"/>
    <w:rsid w:val="00EF1074"/>
    <w:rsid w:val="00EF1174"/>
    <w:rsid w:val="00EF123F"/>
    <w:rsid w:val="00EF13D0"/>
    <w:rsid w:val="00EF1465"/>
    <w:rsid w:val="00EF196D"/>
    <w:rsid w:val="00EF1C59"/>
    <w:rsid w:val="00EF1F20"/>
    <w:rsid w:val="00EF1F4E"/>
    <w:rsid w:val="00EF2144"/>
    <w:rsid w:val="00EF2275"/>
    <w:rsid w:val="00EF26B5"/>
    <w:rsid w:val="00EF26D1"/>
    <w:rsid w:val="00EF276C"/>
    <w:rsid w:val="00EF2D8B"/>
    <w:rsid w:val="00EF3034"/>
    <w:rsid w:val="00EF30E7"/>
    <w:rsid w:val="00EF3240"/>
    <w:rsid w:val="00EF3841"/>
    <w:rsid w:val="00EF3A21"/>
    <w:rsid w:val="00EF3CB3"/>
    <w:rsid w:val="00EF3F82"/>
    <w:rsid w:val="00EF40B7"/>
    <w:rsid w:val="00EF4133"/>
    <w:rsid w:val="00EF436A"/>
    <w:rsid w:val="00EF46CE"/>
    <w:rsid w:val="00EF4A22"/>
    <w:rsid w:val="00EF4CFC"/>
    <w:rsid w:val="00EF4E65"/>
    <w:rsid w:val="00EF5136"/>
    <w:rsid w:val="00EF535A"/>
    <w:rsid w:val="00EF5424"/>
    <w:rsid w:val="00EF586D"/>
    <w:rsid w:val="00EF5955"/>
    <w:rsid w:val="00EF5A57"/>
    <w:rsid w:val="00EF5B74"/>
    <w:rsid w:val="00EF5CA9"/>
    <w:rsid w:val="00EF5E32"/>
    <w:rsid w:val="00EF603A"/>
    <w:rsid w:val="00EF64D1"/>
    <w:rsid w:val="00EF6553"/>
    <w:rsid w:val="00EF67D8"/>
    <w:rsid w:val="00EF6A37"/>
    <w:rsid w:val="00EF6A42"/>
    <w:rsid w:val="00EF6AA7"/>
    <w:rsid w:val="00EF744D"/>
    <w:rsid w:val="00EF74B2"/>
    <w:rsid w:val="00EF77EC"/>
    <w:rsid w:val="00EF7922"/>
    <w:rsid w:val="00EF7BF7"/>
    <w:rsid w:val="00EF7C83"/>
    <w:rsid w:val="00EF7E40"/>
    <w:rsid w:val="00F000B3"/>
    <w:rsid w:val="00F00237"/>
    <w:rsid w:val="00F00871"/>
    <w:rsid w:val="00F00B24"/>
    <w:rsid w:val="00F00E7A"/>
    <w:rsid w:val="00F00F65"/>
    <w:rsid w:val="00F01125"/>
    <w:rsid w:val="00F012EE"/>
    <w:rsid w:val="00F0151D"/>
    <w:rsid w:val="00F0159C"/>
    <w:rsid w:val="00F015B0"/>
    <w:rsid w:val="00F01A61"/>
    <w:rsid w:val="00F01BFD"/>
    <w:rsid w:val="00F01DBA"/>
    <w:rsid w:val="00F02324"/>
    <w:rsid w:val="00F02363"/>
    <w:rsid w:val="00F02788"/>
    <w:rsid w:val="00F02C58"/>
    <w:rsid w:val="00F02F02"/>
    <w:rsid w:val="00F02F1F"/>
    <w:rsid w:val="00F0326E"/>
    <w:rsid w:val="00F03534"/>
    <w:rsid w:val="00F0393F"/>
    <w:rsid w:val="00F03A49"/>
    <w:rsid w:val="00F045B5"/>
    <w:rsid w:val="00F0461F"/>
    <w:rsid w:val="00F0477E"/>
    <w:rsid w:val="00F04B3B"/>
    <w:rsid w:val="00F05196"/>
    <w:rsid w:val="00F051AC"/>
    <w:rsid w:val="00F05345"/>
    <w:rsid w:val="00F0565D"/>
    <w:rsid w:val="00F056EF"/>
    <w:rsid w:val="00F05D63"/>
    <w:rsid w:val="00F05E97"/>
    <w:rsid w:val="00F05FA7"/>
    <w:rsid w:val="00F06052"/>
    <w:rsid w:val="00F0643C"/>
    <w:rsid w:val="00F064A3"/>
    <w:rsid w:val="00F06692"/>
    <w:rsid w:val="00F06A60"/>
    <w:rsid w:val="00F06B6E"/>
    <w:rsid w:val="00F06D32"/>
    <w:rsid w:val="00F06DC2"/>
    <w:rsid w:val="00F06EEB"/>
    <w:rsid w:val="00F07284"/>
    <w:rsid w:val="00F0753A"/>
    <w:rsid w:val="00F076D0"/>
    <w:rsid w:val="00F07751"/>
    <w:rsid w:val="00F0785B"/>
    <w:rsid w:val="00F078A8"/>
    <w:rsid w:val="00F07979"/>
    <w:rsid w:val="00F07A4D"/>
    <w:rsid w:val="00F07E4B"/>
    <w:rsid w:val="00F07EC1"/>
    <w:rsid w:val="00F07EFA"/>
    <w:rsid w:val="00F10108"/>
    <w:rsid w:val="00F10204"/>
    <w:rsid w:val="00F1040C"/>
    <w:rsid w:val="00F10838"/>
    <w:rsid w:val="00F108AF"/>
    <w:rsid w:val="00F10E93"/>
    <w:rsid w:val="00F11100"/>
    <w:rsid w:val="00F11109"/>
    <w:rsid w:val="00F11509"/>
    <w:rsid w:val="00F11914"/>
    <w:rsid w:val="00F11CA3"/>
    <w:rsid w:val="00F11DA8"/>
    <w:rsid w:val="00F12138"/>
    <w:rsid w:val="00F122D6"/>
    <w:rsid w:val="00F1268E"/>
    <w:rsid w:val="00F126B1"/>
    <w:rsid w:val="00F12ABF"/>
    <w:rsid w:val="00F12B39"/>
    <w:rsid w:val="00F12C99"/>
    <w:rsid w:val="00F131C7"/>
    <w:rsid w:val="00F13464"/>
    <w:rsid w:val="00F136B7"/>
    <w:rsid w:val="00F13766"/>
    <w:rsid w:val="00F13848"/>
    <w:rsid w:val="00F139ED"/>
    <w:rsid w:val="00F13D3C"/>
    <w:rsid w:val="00F1429E"/>
    <w:rsid w:val="00F142A3"/>
    <w:rsid w:val="00F14759"/>
    <w:rsid w:val="00F1481E"/>
    <w:rsid w:val="00F148EF"/>
    <w:rsid w:val="00F1492F"/>
    <w:rsid w:val="00F14A18"/>
    <w:rsid w:val="00F14D74"/>
    <w:rsid w:val="00F14F2E"/>
    <w:rsid w:val="00F1511D"/>
    <w:rsid w:val="00F1518F"/>
    <w:rsid w:val="00F1528C"/>
    <w:rsid w:val="00F153D6"/>
    <w:rsid w:val="00F158DD"/>
    <w:rsid w:val="00F159B2"/>
    <w:rsid w:val="00F15CD3"/>
    <w:rsid w:val="00F16134"/>
    <w:rsid w:val="00F165FA"/>
    <w:rsid w:val="00F16924"/>
    <w:rsid w:val="00F17113"/>
    <w:rsid w:val="00F1741E"/>
    <w:rsid w:val="00F174AA"/>
    <w:rsid w:val="00F176A9"/>
    <w:rsid w:val="00F177F4"/>
    <w:rsid w:val="00F17B1B"/>
    <w:rsid w:val="00F2018A"/>
    <w:rsid w:val="00F203F8"/>
    <w:rsid w:val="00F20537"/>
    <w:rsid w:val="00F205A4"/>
    <w:rsid w:val="00F205C3"/>
    <w:rsid w:val="00F205F7"/>
    <w:rsid w:val="00F2074F"/>
    <w:rsid w:val="00F207A0"/>
    <w:rsid w:val="00F209A3"/>
    <w:rsid w:val="00F209B2"/>
    <w:rsid w:val="00F209FF"/>
    <w:rsid w:val="00F20AED"/>
    <w:rsid w:val="00F20B5B"/>
    <w:rsid w:val="00F20D15"/>
    <w:rsid w:val="00F20D56"/>
    <w:rsid w:val="00F20DBB"/>
    <w:rsid w:val="00F20E18"/>
    <w:rsid w:val="00F211F7"/>
    <w:rsid w:val="00F21324"/>
    <w:rsid w:val="00F21556"/>
    <w:rsid w:val="00F216FE"/>
    <w:rsid w:val="00F217A7"/>
    <w:rsid w:val="00F2198A"/>
    <w:rsid w:val="00F21AC6"/>
    <w:rsid w:val="00F21B09"/>
    <w:rsid w:val="00F21BD5"/>
    <w:rsid w:val="00F21E1A"/>
    <w:rsid w:val="00F21E3F"/>
    <w:rsid w:val="00F21E88"/>
    <w:rsid w:val="00F226AB"/>
    <w:rsid w:val="00F22876"/>
    <w:rsid w:val="00F228E8"/>
    <w:rsid w:val="00F22A79"/>
    <w:rsid w:val="00F22ABB"/>
    <w:rsid w:val="00F22CE8"/>
    <w:rsid w:val="00F23048"/>
    <w:rsid w:val="00F23057"/>
    <w:rsid w:val="00F2323F"/>
    <w:rsid w:val="00F23505"/>
    <w:rsid w:val="00F23529"/>
    <w:rsid w:val="00F236C3"/>
    <w:rsid w:val="00F23933"/>
    <w:rsid w:val="00F239C2"/>
    <w:rsid w:val="00F23A37"/>
    <w:rsid w:val="00F245B3"/>
    <w:rsid w:val="00F2478D"/>
    <w:rsid w:val="00F24C4D"/>
    <w:rsid w:val="00F24CF7"/>
    <w:rsid w:val="00F24DC0"/>
    <w:rsid w:val="00F24E27"/>
    <w:rsid w:val="00F24EE6"/>
    <w:rsid w:val="00F25393"/>
    <w:rsid w:val="00F25460"/>
    <w:rsid w:val="00F25673"/>
    <w:rsid w:val="00F25A78"/>
    <w:rsid w:val="00F25D6E"/>
    <w:rsid w:val="00F26059"/>
    <w:rsid w:val="00F262CB"/>
    <w:rsid w:val="00F265C3"/>
    <w:rsid w:val="00F26926"/>
    <w:rsid w:val="00F26B5A"/>
    <w:rsid w:val="00F26D69"/>
    <w:rsid w:val="00F26E2C"/>
    <w:rsid w:val="00F26F03"/>
    <w:rsid w:val="00F2704A"/>
    <w:rsid w:val="00F27410"/>
    <w:rsid w:val="00F27887"/>
    <w:rsid w:val="00F278C3"/>
    <w:rsid w:val="00F27962"/>
    <w:rsid w:val="00F27D0E"/>
    <w:rsid w:val="00F27D17"/>
    <w:rsid w:val="00F30037"/>
    <w:rsid w:val="00F30131"/>
    <w:rsid w:val="00F30369"/>
    <w:rsid w:val="00F30489"/>
    <w:rsid w:val="00F3053C"/>
    <w:rsid w:val="00F30D1B"/>
    <w:rsid w:val="00F30EED"/>
    <w:rsid w:val="00F31291"/>
    <w:rsid w:val="00F31479"/>
    <w:rsid w:val="00F314EF"/>
    <w:rsid w:val="00F31753"/>
    <w:rsid w:val="00F31769"/>
    <w:rsid w:val="00F31824"/>
    <w:rsid w:val="00F3227E"/>
    <w:rsid w:val="00F3227F"/>
    <w:rsid w:val="00F325E7"/>
    <w:rsid w:val="00F32789"/>
    <w:rsid w:val="00F327D7"/>
    <w:rsid w:val="00F32B06"/>
    <w:rsid w:val="00F330A5"/>
    <w:rsid w:val="00F331F3"/>
    <w:rsid w:val="00F332AB"/>
    <w:rsid w:val="00F338D6"/>
    <w:rsid w:val="00F33D04"/>
    <w:rsid w:val="00F33E27"/>
    <w:rsid w:val="00F33EAA"/>
    <w:rsid w:val="00F33F38"/>
    <w:rsid w:val="00F342A3"/>
    <w:rsid w:val="00F345A6"/>
    <w:rsid w:val="00F347F1"/>
    <w:rsid w:val="00F34B25"/>
    <w:rsid w:val="00F34B76"/>
    <w:rsid w:val="00F34CE3"/>
    <w:rsid w:val="00F34DDB"/>
    <w:rsid w:val="00F34E3B"/>
    <w:rsid w:val="00F34E87"/>
    <w:rsid w:val="00F34EC5"/>
    <w:rsid w:val="00F35014"/>
    <w:rsid w:val="00F352FC"/>
    <w:rsid w:val="00F3565A"/>
    <w:rsid w:val="00F357DC"/>
    <w:rsid w:val="00F358D9"/>
    <w:rsid w:val="00F3591B"/>
    <w:rsid w:val="00F35943"/>
    <w:rsid w:val="00F35A81"/>
    <w:rsid w:val="00F35CC7"/>
    <w:rsid w:val="00F35E13"/>
    <w:rsid w:val="00F363F6"/>
    <w:rsid w:val="00F366B9"/>
    <w:rsid w:val="00F3673B"/>
    <w:rsid w:val="00F36A3F"/>
    <w:rsid w:val="00F36BC2"/>
    <w:rsid w:val="00F36D34"/>
    <w:rsid w:val="00F36F89"/>
    <w:rsid w:val="00F36FDF"/>
    <w:rsid w:val="00F374B4"/>
    <w:rsid w:val="00F375E1"/>
    <w:rsid w:val="00F377A1"/>
    <w:rsid w:val="00F4000B"/>
    <w:rsid w:val="00F40128"/>
    <w:rsid w:val="00F406AA"/>
    <w:rsid w:val="00F4081D"/>
    <w:rsid w:val="00F40F88"/>
    <w:rsid w:val="00F4103A"/>
    <w:rsid w:val="00F411AF"/>
    <w:rsid w:val="00F41213"/>
    <w:rsid w:val="00F412D4"/>
    <w:rsid w:val="00F41399"/>
    <w:rsid w:val="00F413AE"/>
    <w:rsid w:val="00F413FD"/>
    <w:rsid w:val="00F4146E"/>
    <w:rsid w:val="00F414E1"/>
    <w:rsid w:val="00F416FE"/>
    <w:rsid w:val="00F418F2"/>
    <w:rsid w:val="00F4198E"/>
    <w:rsid w:val="00F41B85"/>
    <w:rsid w:val="00F41BB4"/>
    <w:rsid w:val="00F41CE0"/>
    <w:rsid w:val="00F41E36"/>
    <w:rsid w:val="00F42103"/>
    <w:rsid w:val="00F426B7"/>
    <w:rsid w:val="00F429B0"/>
    <w:rsid w:val="00F429F5"/>
    <w:rsid w:val="00F42A1A"/>
    <w:rsid w:val="00F42AD7"/>
    <w:rsid w:val="00F42C50"/>
    <w:rsid w:val="00F42DFE"/>
    <w:rsid w:val="00F4300A"/>
    <w:rsid w:val="00F433E9"/>
    <w:rsid w:val="00F43435"/>
    <w:rsid w:val="00F434F1"/>
    <w:rsid w:val="00F43516"/>
    <w:rsid w:val="00F438EC"/>
    <w:rsid w:val="00F43BC8"/>
    <w:rsid w:val="00F43D97"/>
    <w:rsid w:val="00F43DAF"/>
    <w:rsid w:val="00F442C0"/>
    <w:rsid w:val="00F44430"/>
    <w:rsid w:val="00F44501"/>
    <w:rsid w:val="00F44574"/>
    <w:rsid w:val="00F44595"/>
    <w:rsid w:val="00F44E2A"/>
    <w:rsid w:val="00F44F4C"/>
    <w:rsid w:val="00F4531B"/>
    <w:rsid w:val="00F454AE"/>
    <w:rsid w:val="00F4558F"/>
    <w:rsid w:val="00F457A2"/>
    <w:rsid w:val="00F459FE"/>
    <w:rsid w:val="00F45A02"/>
    <w:rsid w:val="00F45C79"/>
    <w:rsid w:val="00F45C8D"/>
    <w:rsid w:val="00F45E5F"/>
    <w:rsid w:val="00F467D7"/>
    <w:rsid w:val="00F4695A"/>
    <w:rsid w:val="00F471AE"/>
    <w:rsid w:val="00F4771E"/>
    <w:rsid w:val="00F4782B"/>
    <w:rsid w:val="00F47887"/>
    <w:rsid w:val="00F4797A"/>
    <w:rsid w:val="00F47D42"/>
    <w:rsid w:val="00F47F4F"/>
    <w:rsid w:val="00F504C5"/>
    <w:rsid w:val="00F50566"/>
    <w:rsid w:val="00F5067B"/>
    <w:rsid w:val="00F50A03"/>
    <w:rsid w:val="00F50AB0"/>
    <w:rsid w:val="00F50B6D"/>
    <w:rsid w:val="00F50CB8"/>
    <w:rsid w:val="00F50DC1"/>
    <w:rsid w:val="00F50E1F"/>
    <w:rsid w:val="00F50E3C"/>
    <w:rsid w:val="00F51429"/>
    <w:rsid w:val="00F51659"/>
    <w:rsid w:val="00F51E6F"/>
    <w:rsid w:val="00F51FDC"/>
    <w:rsid w:val="00F527BE"/>
    <w:rsid w:val="00F52C78"/>
    <w:rsid w:val="00F52F17"/>
    <w:rsid w:val="00F53106"/>
    <w:rsid w:val="00F53162"/>
    <w:rsid w:val="00F53255"/>
    <w:rsid w:val="00F53335"/>
    <w:rsid w:val="00F533A1"/>
    <w:rsid w:val="00F53437"/>
    <w:rsid w:val="00F53469"/>
    <w:rsid w:val="00F53C38"/>
    <w:rsid w:val="00F54007"/>
    <w:rsid w:val="00F541FC"/>
    <w:rsid w:val="00F54257"/>
    <w:rsid w:val="00F54485"/>
    <w:rsid w:val="00F54514"/>
    <w:rsid w:val="00F5486C"/>
    <w:rsid w:val="00F54A33"/>
    <w:rsid w:val="00F54C3B"/>
    <w:rsid w:val="00F54DB4"/>
    <w:rsid w:val="00F54EBF"/>
    <w:rsid w:val="00F54F67"/>
    <w:rsid w:val="00F54F77"/>
    <w:rsid w:val="00F55219"/>
    <w:rsid w:val="00F555AF"/>
    <w:rsid w:val="00F55E6B"/>
    <w:rsid w:val="00F56190"/>
    <w:rsid w:val="00F564BA"/>
    <w:rsid w:val="00F56555"/>
    <w:rsid w:val="00F56DFB"/>
    <w:rsid w:val="00F56F74"/>
    <w:rsid w:val="00F57068"/>
    <w:rsid w:val="00F570A8"/>
    <w:rsid w:val="00F57353"/>
    <w:rsid w:val="00F5740C"/>
    <w:rsid w:val="00F57707"/>
    <w:rsid w:val="00F5780F"/>
    <w:rsid w:val="00F579C6"/>
    <w:rsid w:val="00F57EB1"/>
    <w:rsid w:val="00F57EBB"/>
    <w:rsid w:val="00F60145"/>
    <w:rsid w:val="00F601B1"/>
    <w:rsid w:val="00F60219"/>
    <w:rsid w:val="00F60247"/>
    <w:rsid w:val="00F60853"/>
    <w:rsid w:val="00F6094B"/>
    <w:rsid w:val="00F613F9"/>
    <w:rsid w:val="00F6170E"/>
    <w:rsid w:val="00F61A23"/>
    <w:rsid w:val="00F61AE6"/>
    <w:rsid w:val="00F61BC9"/>
    <w:rsid w:val="00F61C78"/>
    <w:rsid w:val="00F61CCB"/>
    <w:rsid w:val="00F61D05"/>
    <w:rsid w:val="00F61DE8"/>
    <w:rsid w:val="00F61E19"/>
    <w:rsid w:val="00F61F1A"/>
    <w:rsid w:val="00F61FA5"/>
    <w:rsid w:val="00F6209F"/>
    <w:rsid w:val="00F623FA"/>
    <w:rsid w:val="00F62446"/>
    <w:rsid w:val="00F628AE"/>
    <w:rsid w:val="00F628E6"/>
    <w:rsid w:val="00F62AAF"/>
    <w:rsid w:val="00F62AB6"/>
    <w:rsid w:val="00F62AC2"/>
    <w:rsid w:val="00F62AEA"/>
    <w:rsid w:val="00F63162"/>
    <w:rsid w:val="00F6387C"/>
    <w:rsid w:val="00F63DBF"/>
    <w:rsid w:val="00F63FEB"/>
    <w:rsid w:val="00F64277"/>
    <w:rsid w:val="00F644DA"/>
    <w:rsid w:val="00F645EB"/>
    <w:rsid w:val="00F64783"/>
    <w:rsid w:val="00F64B53"/>
    <w:rsid w:val="00F64B58"/>
    <w:rsid w:val="00F64C39"/>
    <w:rsid w:val="00F65311"/>
    <w:rsid w:val="00F65499"/>
    <w:rsid w:val="00F6568B"/>
    <w:rsid w:val="00F65A83"/>
    <w:rsid w:val="00F65AAF"/>
    <w:rsid w:val="00F65C6C"/>
    <w:rsid w:val="00F65DA7"/>
    <w:rsid w:val="00F663C5"/>
    <w:rsid w:val="00F6651C"/>
    <w:rsid w:val="00F67146"/>
    <w:rsid w:val="00F67158"/>
    <w:rsid w:val="00F671BF"/>
    <w:rsid w:val="00F67316"/>
    <w:rsid w:val="00F675B6"/>
    <w:rsid w:val="00F675D3"/>
    <w:rsid w:val="00F6785F"/>
    <w:rsid w:val="00F6787F"/>
    <w:rsid w:val="00F678FE"/>
    <w:rsid w:val="00F67C31"/>
    <w:rsid w:val="00F67E61"/>
    <w:rsid w:val="00F7012D"/>
    <w:rsid w:val="00F701F9"/>
    <w:rsid w:val="00F7080A"/>
    <w:rsid w:val="00F70CDA"/>
    <w:rsid w:val="00F7149B"/>
    <w:rsid w:val="00F7149F"/>
    <w:rsid w:val="00F71554"/>
    <w:rsid w:val="00F717EB"/>
    <w:rsid w:val="00F71897"/>
    <w:rsid w:val="00F71B8F"/>
    <w:rsid w:val="00F71DAF"/>
    <w:rsid w:val="00F71E53"/>
    <w:rsid w:val="00F71EC3"/>
    <w:rsid w:val="00F71F80"/>
    <w:rsid w:val="00F720A4"/>
    <w:rsid w:val="00F7222E"/>
    <w:rsid w:val="00F723E2"/>
    <w:rsid w:val="00F72445"/>
    <w:rsid w:val="00F725F7"/>
    <w:rsid w:val="00F727D7"/>
    <w:rsid w:val="00F72840"/>
    <w:rsid w:val="00F72B25"/>
    <w:rsid w:val="00F72C41"/>
    <w:rsid w:val="00F72E78"/>
    <w:rsid w:val="00F72EF2"/>
    <w:rsid w:val="00F7307F"/>
    <w:rsid w:val="00F73389"/>
    <w:rsid w:val="00F736DE"/>
    <w:rsid w:val="00F737A6"/>
    <w:rsid w:val="00F73C56"/>
    <w:rsid w:val="00F73CC1"/>
    <w:rsid w:val="00F73F2E"/>
    <w:rsid w:val="00F73FE0"/>
    <w:rsid w:val="00F746A3"/>
    <w:rsid w:val="00F748B0"/>
    <w:rsid w:val="00F7515D"/>
    <w:rsid w:val="00F7531E"/>
    <w:rsid w:val="00F753E0"/>
    <w:rsid w:val="00F75425"/>
    <w:rsid w:val="00F754C7"/>
    <w:rsid w:val="00F75D20"/>
    <w:rsid w:val="00F7632E"/>
    <w:rsid w:val="00F767A5"/>
    <w:rsid w:val="00F76A35"/>
    <w:rsid w:val="00F76A71"/>
    <w:rsid w:val="00F76C58"/>
    <w:rsid w:val="00F76F20"/>
    <w:rsid w:val="00F7703C"/>
    <w:rsid w:val="00F774A4"/>
    <w:rsid w:val="00F7751A"/>
    <w:rsid w:val="00F77597"/>
    <w:rsid w:val="00F775DD"/>
    <w:rsid w:val="00F77675"/>
    <w:rsid w:val="00F776C5"/>
    <w:rsid w:val="00F77726"/>
    <w:rsid w:val="00F777EA"/>
    <w:rsid w:val="00F77969"/>
    <w:rsid w:val="00F779E0"/>
    <w:rsid w:val="00F77E26"/>
    <w:rsid w:val="00F77EAB"/>
    <w:rsid w:val="00F803F7"/>
    <w:rsid w:val="00F80489"/>
    <w:rsid w:val="00F80735"/>
    <w:rsid w:val="00F80841"/>
    <w:rsid w:val="00F8086D"/>
    <w:rsid w:val="00F80A6E"/>
    <w:rsid w:val="00F80BD1"/>
    <w:rsid w:val="00F80DC4"/>
    <w:rsid w:val="00F80FBF"/>
    <w:rsid w:val="00F80FC0"/>
    <w:rsid w:val="00F81020"/>
    <w:rsid w:val="00F812E2"/>
    <w:rsid w:val="00F8135B"/>
    <w:rsid w:val="00F813B2"/>
    <w:rsid w:val="00F81572"/>
    <w:rsid w:val="00F81A16"/>
    <w:rsid w:val="00F81AB8"/>
    <w:rsid w:val="00F81BB6"/>
    <w:rsid w:val="00F81C47"/>
    <w:rsid w:val="00F81DCC"/>
    <w:rsid w:val="00F81E56"/>
    <w:rsid w:val="00F81EB4"/>
    <w:rsid w:val="00F8233D"/>
    <w:rsid w:val="00F82866"/>
    <w:rsid w:val="00F82B27"/>
    <w:rsid w:val="00F82E50"/>
    <w:rsid w:val="00F82F13"/>
    <w:rsid w:val="00F830C8"/>
    <w:rsid w:val="00F831B0"/>
    <w:rsid w:val="00F8326E"/>
    <w:rsid w:val="00F83588"/>
    <w:rsid w:val="00F835A2"/>
    <w:rsid w:val="00F8384F"/>
    <w:rsid w:val="00F83974"/>
    <w:rsid w:val="00F83E0C"/>
    <w:rsid w:val="00F84671"/>
    <w:rsid w:val="00F849F3"/>
    <w:rsid w:val="00F84B3C"/>
    <w:rsid w:val="00F84B7F"/>
    <w:rsid w:val="00F84D38"/>
    <w:rsid w:val="00F84DE6"/>
    <w:rsid w:val="00F850D0"/>
    <w:rsid w:val="00F85232"/>
    <w:rsid w:val="00F85313"/>
    <w:rsid w:val="00F85766"/>
    <w:rsid w:val="00F85768"/>
    <w:rsid w:val="00F85812"/>
    <w:rsid w:val="00F85831"/>
    <w:rsid w:val="00F8597B"/>
    <w:rsid w:val="00F85D0F"/>
    <w:rsid w:val="00F85DCA"/>
    <w:rsid w:val="00F85F00"/>
    <w:rsid w:val="00F85F3D"/>
    <w:rsid w:val="00F863D9"/>
    <w:rsid w:val="00F8656F"/>
    <w:rsid w:val="00F866CE"/>
    <w:rsid w:val="00F869E6"/>
    <w:rsid w:val="00F86A03"/>
    <w:rsid w:val="00F86CA9"/>
    <w:rsid w:val="00F86E86"/>
    <w:rsid w:val="00F86F4A"/>
    <w:rsid w:val="00F87429"/>
    <w:rsid w:val="00F8760A"/>
    <w:rsid w:val="00F876B4"/>
    <w:rsid w:val="00F878BF"/>
    <w:rsid w:val="00F87B25"/>
    <w:rsid w:val="00F87BB6"/>
    <w:rsid w:val="00F87E0E"/>
    <w:rsid w:val="00F9034D"/>
    <w:rsid w:val="00F903E0"/>
    <w:rsid w:val="00F9040B"/>
    <w:rsid w:val="00F905D3"/>
    <w:rsid w:val="00F90766"/>
    <w:rsid w:val="00F9076B"/>
    <w:rsid w:val="00F90E80"/>
    <w:rsid w:val="00F91011"/>
    <w:rsid w:val="00F911B9"/>
    <w:rsid w:val="00F9128F"/>
    <w:rsid w:val="00F914AA"/>
    <w:rsid w:val="00F917F5"/>
    <w:rsid w:val="00F91C31"/>
    <w:rsid w:val="00F91DBB"/>
    <w:rsid w:val="00F91FC5"/>
    <w:rsid w:val="00F9245B"/>
    <w:rsid w:val="00F92692"/>
    <w:rsid w:val="00F9283B"/>
    <w:rsid w:val="00F92F07"/>
    <w:rsid w:val="00F93567"/>
    <w:rsid w:val="00F935AF"/>
    <w:rsid w:val="00F9366E"/>
    <w:rsid w:val="00F939DD"/>
    <w:rsid w:val="00F93FA0"/>
    <w:rsid w:val="00F93FE6"/>
    <w:rsid w:val="00F94A08"/>
    <w:rsid w:val="00F94B76"/>
    <w:rsid w:val="00F94DD5"/>
    <w:rsid w:val="00F951C9"/>
    <w:rsid w:val="00F9535E"/>
    <w:rsid w:val="00F953FA"/>
    <w:rsid w:val="00F9567A"/>
    <w:rsid w:val="00F956D3"/>
    <w:rsid w:val="00F9596A"/>
    <w:rsid w:val="00F95BF8"/>
    <w:rsid w:val="00F963E9"/>
    <w:rsid w:val="00F965BD"/>
    <w:rsid w:val="00F9663A"/>
    <w:rsid w:val="00F9665F"/>
    <w:rsid w:val="00F96692"/>
    <w:rsid w:val="00F96D6D"/>
    <w:rsid w:val="00F96DDD"/>
    <w:rsid w:val="00F96ED4"/>
    <w:rsid w:val="00F970F3"/>
    <w:rsid w:val="00F974D4"/>
    <w:rsid w:val="00F97536"/>
    <w:rsid w:val="00F97537"/>
    <w:rsid w:val="00F975C9"/>
    <w:rsid w:val="00F975D0"/>
    <w:rsid w:val="00F97602"/>
    <w:rsid w:val="00F976D3"/>
    <w:rsid w:val="00F9781E"/>
    <w:rsid w:val="00F9788A"/>
    <w:rsid w:val="00F97BEB"/>
    <w:rsid w:val="00F97DE5"/>
    <w:rsid w:val="00F97DFC"/>
    <w:rsid w:val="00F97FFE"/>
    <w:rsid w:val="00FA01FF"/>
    <w:rsid w:val="00FA03CA"/>
    <w:rsid w:val="00FA080A"/>
    <w:rsid w:val="00FA0949"/>
    <w:rsid w:val="00FA0AB2"/>
    <w:rsid w:val="00FA1062"/>
    <w:rsid w:val="00FA108A"/>
    <w:rsid w:val="00FA11CA"/>
    <w:rsid w:val="00FA1282"/>
    <w:rsid w:val="00FA1511"/>
    <w:rsid w:val="00FA16A2"/>
    <w:rsid w:val="00FA1888"/>
    <w:rsid w:val="00FA19FB"/>
    <w:rsid w:val="00FA1B92"/>
    <w:rsid w:val="00FA2262"/>
    <w:rsid w:val="00FA262B"/>
    <w:rsid w:val="00FA28B8"/>
    <w:rsid w:val="00FA290F"/>
    <w:rsid w:val="00FA2A91"/>
    <w:rsid w:val="00FA2ABF"/>
    <w:rsid w:val="00FA2B00"/>
    <w:rsid w:val="00FA2BDE"/>
    <w:rsid w:val="00FA2CD2"/>
    <w:rsid w:val="00FA2E65"/>
    <w:rsid w:val="00FA31AC"/>
    <w:rsid w:val="00FA347E"/>
    <w:rsid w:val="00FA354B"/>
    <w:rsid w:val="00FA37D1"/>
    <w:rsid w:val="00FA39D6"/>
    <w:rsid w:val="00FA3A93"/>
    <w:rsid w:val="00FA3C96"/>
    <w:rsid w:val="00FA412A"/>
    <w:rsid w:val="00FA44CC"/>
    <w:rsid w:val="00FA4857"/>
    <w:rsid w:val="00FA4877"/>
    <w:rsid w:val="00FA4C62"/>
    <w:rsid w:val="00FA5113"/>
    <w:rsid w:val="00FA589D"/>
    <w:rsid w:val="00FA5EA7"/>
    <w:rsid w:val="00FA62CC"/>
    <w:rsid w:val="00FA6357"/>
    <w:rsid w:val="00FA6430"/>
    <w:rsid w:val="00FA646B"/>
    <w:rsid w:val="00FA6863"/>
    <w:rsid w:val="00FA6A74"/>
    <w:rsid w:val="00FA74AE"/>
    <w:rsid w:val="00FA74B6"/>
    <w:rsid w:val="00FA7A60"/>
    <w:rsid w:val="00FA7F8A"/>
    <w:rsid w:val="00FB0212"/>
    <w:rsid w:val="00FB03B8"/>
    <w:rsid w:val="00FB03F1"/>
    <w:rsid w:val="00FB0446"/>
    <w:rsid w:val="00FB059B"/>
    <w:rsid w:val="00FB05A2"/>
    <w:rsid w:val="00FB07E6"/>
    <w:rsid w:val="00FB083A"/>
    <w:rsid w:val="00FB0B5B"/>
    <w:rsid w:val="00FB0C80"/>
    <w:rsid w:val="00FB1026"/>
    <w:rsid w:val="00FB16AF"/>
    <w:rsid w:val="00FB19B8"/>
    <w:rsid w:val="00FB1A3F"/>
    <w:rsid w:val="00FB1B29"/>
    <w:rsid w:val="00FB1C4B"/>
    <w:rsid w:val="00FB1E22"/>
    <w:rsid w:val="00FB1E5E"/>
    <w:rsid w:val="00FB2021"/>
    <w:rsid w:val="00FB2041"/>
    <w:rsid w:val="00FB2056"/>
    <w:rsid w:val="00FB240D"/>
    <w:rsid w:val="00FB2512"/>
    <w:rsid w:val="00FB2738"/>
    <w:rsid w:val="00FB2C04"/>
    <w:rsid w:val="00FB2D9E"/>
    <w:rsid w:val="00FB33ED"/>
    <w:rsid w:val="00FB37BD"/>
    <w:rsid w:val="00FB3985"/>
    <w:rsid w:val="00FB3D49"/>
    <w:rsid w:val="00FB3E05"/>
    <w:rsid w:val="00FB3E17"/>
    <w:rsid w:val="00FB3E23"/>
    <w:rsid w:val="00FB3EAC"/>
    <w:rsid w:val="00FB4141"/>
    <w:rsid w:val="00FB42F5"/>
    <w:rsid w:val="00FB4551"/>
    <w:rsid w:val="00FB46A4"/>
    <w:rsid w:val="00FB472B"/>
    <w:rsid w:val="00FB4DD9"/>
    <w:rsid w:val="00FB5746"/>
    <w:rsid w:val="00FB5880"/>
    <w:rsid w:val="00FB5B58"/>
    <w:rsid w:val="00FB5C2E"/>
    <w:rsid w:val="00FB5D6C"/>
    <w:rsid w:val="00FB5FE4"/>
    <w:rsid w:val="00FB6421"/>
    <w:rsid w:val="00FB6551"/>
    <w:rsid w:val="00FB659F"/>
    <w:rsid w:val="00FB6B68"/>
    <w:rsid w:val="00FB73D3"/>
    <w:rsid w:val="00FB76AE"/>
    <w:rsid w:val="00FB7714"/>
    <w:rsid w:val="00FB7A17"/>
    <w:rsid w:val="00FB7B78"/>
    <w:rsid w:val="00FB7E44"/>
    <w:rsid w:val="00FB7ED6"/>
    <w:rsid w:val="00FC01A8"/>
    <w:rsid w:val="00FC03CF"/>
    <w:rsid w:val="00FC083B"/>
    <w:rsid w:val="00FC0DB0"/>
    <w:rsid w:val="00FC1103"/>
    <w:rsid w:val="00FC1187"/>
    <w:rsid w:val="00FC11BA"/>
    <w:rsid w:val="00FC133D"/>
    <w:rsid w:val="00FC16FB"/>
    <w:rsid w:val="00FC186E"/>
    <w:rsid w:val="00FC1DE1"/>
    <w:rsid w:val="00FC1FCC"/>
    <w:rsid w:val="00FC2064"/>
    <w:rsid w:val="00FC21CB"/>
    <w:rsid w:val="00FC22C2"/>
    <w:rsid w:val="00FC2382"/>
    <w:rsid w:val="00FC33C9"/>
    <w:rsid w:val="00FC393A"/>
    <w:rsid w:val="00FC3D51"/>
    <w:rsid w:val="00FC3E26"/>
    <w:rsid w:val="00FC3E7C"/>
    <w:rsid w:val="00FC4312"/>
    <w:rsid w:val="00FC4443"/>
    <w:rsid w:val="00FC452E"/>
    <w:rsid w:val="00FC496B"/>
    <w:rsid w:val="00FC4B58"/>
    <w:rsid w:val="00FC4CFD"/>
    <w:rsid w:val="00FC4FE8"/>
    <w:rsid w:val="00FC506C"/>
    <w:rsid w:val="00FC5070"/>
    <w:rsid w:val="00FC5090"/>
    <w:rsid w:val="00FC524D"/>
    <w:rsid w:val="00FC52C2"/>
    <w:rsid w:val="00FC52DF"/>
    <w:rsid w:val="00FC58D7"/>
    <w:rsid w:val="00FC5C3D"/>
    <w:rsid w:val="00FC5C7A"/>
    <w:rsid w:val="00FC5CA1"/>
    <w:rsid w:val="00FC5CC2"/>
    <w:rsid w:val="00FC5CCF"/>
    <w:rsid w:val="00FC5E9F"/>
    <w:rsid w:val="00FC621D"/>
    <w:rsid w:val="00FC681C"/>
    <w:rsid w:val="00FC69FD"/>
    <w:rsid w:val="00FC6A8A"/>
    <w:rsid w:val="00FC6E01"/>
    <w:rsid w:val="00FC7224"/>
    <w:rsid w:val="00FC73D5"/>
    <w:rsid w:val="00FC79A9"/>
    <w:rsid w:val="00FD00FD"/>
    <w:rsid w:val="00FD015E"/>
    <w:rsid w:val="00FD0C48"/>
    <w:rsid w:val="00FD0CA9"/>
    <w:rsid w:val="00FD0D46"/>
    <w:rsid w:val="00FD0E62"/>
    <w:rsid w:val="00FD0EE1"/>
    <w:rsid w:val="00FD1321"/>
    <w:rsid w:val="00FD13BF"/>
    <w:rsid w:val="00FD162E"/>
    <w:rsid w:val="00FD16AD"/>
    <w:rsid w:val="00FD1B28"/>
    <w:rsid w:val="00FD2161"/>
    <w:rsid w:val="00FD218A"/>
    <w:rsid w:val="00FD21BA"/>
    <w:rsid w:val="00FD2223"/>
    <w:rsid w:val="00FD23C6"/>
    <w:rsid w:val="00FD29D7"/>
    <w:rsid w:val="00FD2D8D"/>
    <w:rsid w:val="00FD3149"/>
    <w:rsid w:val="00FD32E5"/>
    <w:rsid w:val="00FD3927"/>
    <w:rsid w:val="00FD3AA1"/>
    <w:rsid w:val="00FD3ABF"/>
    <w:rsid w:val="00FD3B86"/>
    <w:rsid w:val="00FD427F"/>
    <w:rsid w:val="00FD440F"/>
    <w:rsid w:val="00FD4753"/>
    <w:rsid w:val="00FD4756"/>
    <w:rsid w:val="00FD4775"/>
    <w:rsid w:val="00FD47A3"/>
    <w:rsid w:val="00FD47B1"/>
    <w:rsid w:val="00FD4849"/>
    <w:rsid w:val="00FD4899"/>
    <w:rsid w:val="00FD489D"/>
    <w:rsid w:val="00FD4D44"/>
    <w:rsid w:val="00FD4DFC"/>
    <w:rsid w:val="00FD4E90"/>
    <w:rsid w:val="00FD5249"/>
    <w:rsid w:val="00FD528E"/>
    <w:rsid w:val="00FD5767"/>
    <w:rsid w:val="00FD5789"/>
    <w:rsid w:val="00FD57BD"/>
    <w:rsid w:val="00FD5866"/>
    <w:rsid w:val="00FD5B4B"/>
    <w:rsid w:val="00FD5E45"/>
    <w:rsid w:val="00FD66F3"/>
    <w:rsid w:val="00FD690D"/>
    <w:rsid w:val="00FD6A79"/>
    <w:rsid w:val="00FD6DE6"/>
    <w:rsid w:val="00FD6DF0"/>
    <w:rsid w:val="00FD6E8E"/>
    <w:rsid w:val="00FD6F9D"/>
    <w:rsid w:val="00FD7D0E"/>
    <w:rsid w:val="00FE034C"/>
    <w:rsid w:val="00FE0739"/>
    <w:rsid w:val="00FE07C9"/>
    <w:rsid w:val="00FE0A9D"/>
    <w:rsid w:val="00FE0B84"/>
    <w:rsid w:val="00FE0E0B"/>
    <w:rsid w:val="00FE1114"/>
    <w:rsid w:val="00FE1164"/>
    <w:rsid w:val="00FE1271"/>
    <w:rsid w:val="00FE12CC"/>
    <w:rsid w:val="00FE16A6"/>
    <w:rsid w:val="00FE188E"/>
    <w:rsid w:val="00FE1A01"/>
    <w:rsid w:val="00FE1E8C"/>
    <w:rsid w:val="00FE222A"/>
    <w:rsid w:val="00FE238F"/>
    <w:rsid w:val="00FE25F0"/>
    <w:rsid w:val="00FE284B"/>
    <w:rsid w:val="00FE28B0"/>
    <w:rsid w:val="00FE2B85"/>
    <w:rsid w:val="00FE2FA6"/>
    <w:rsid w:val="00FE308A"/>
    <w:rsid w:val="00FE36DD"/>
    <w:rsid w:val="00FE384B"/>
    <w:rsid w:val="00FE397E"/>
    <w:rsid w:val="00FE3EF9"/>
    <w:rsid w:val="00FE4142"/>
    <w:rsid w:val="00FE4386"/>
    <w:rsid w:val="00FE457F"/>
    <w:rsid w:val="00FE4CDF"/>
    <w:rsid w:val="00FE4D66"/>
    <w:rsid w:val="00FE4EB9"/>
    <w:rsid w:val="00FE514E"/>
    <w:rsid w:val="00FE526F"/>
    <w:rsid w:val="00FE533B"/>
    <w:rsid w:val="00FE565A"/>
    <w:rsid w:val="00FE579A"/>
    <w:rsid w:val="00FE5841"/>
    <w:rsid w:val="00FE5877"/>
    <w:rsid w:val="00FE59E1"/>
    <w:rsid w:val="00FE5C19"/>
    <w:rsid w:val="00FE6047"/>
    <w:rsid w:val="00FE6051"/>
    <w:rsid w:val="00FE60CD"/>
    <w:rsid w:val="00FE6121"/>
    <w:rsid w:val="00FE65EE"/>
    <w:rsid w:val="00FE670D"/>
    <w:rsid w:val="00FE6C9E"/>
    <w:rsid w:val="00FE7046"/>
    <w:rsid w:val="00FE705B"/>
    <w:rsid w:val="00FE7321"/>
    <w:rsid w:val="00FE7383"/>
    <w:rsid w:val="00FE7524"/>
    <w:rsid w:val="00FE75D6"/>
    <w:rsid w:val="00FE79BC"/>
    <w:rsid w:val="00FE7EE1"/>
    <w:rsid w:val="00FF00B9"/>
    <w:rsid w:val="00FF046A"/>
    <w:rsid w:val="00FF0475"/>
    <w:rsid w:val="00FF066D"/>
    <w:rsid w:val="00FF085E"/>
    <w:rsid w:val="00FF0BD4"/>
    <w:rsid w:val="00FF0DC7"/>
    <w:rsid w:val="00FF0F0E"/>
    <w:rsid w:val="00FF1148"/>
    <w:rsid w:val="00FF17C9"/>
    <w:rsid w:val="00FF18A1"/>
    <w:rsid w:val="00FF1A6B"/>
    <w:rsid w:val="00FF1BBA"/>
    <w:rsid w:val="00FF1C2F"/>
    <w:rsid w:val="00FF1D0B"/>
    <w:rsid w:val="00FF1DAA"/>
    <w:rsid w:val="00FF1E52"/>
    <w:rsid w:val="00FF1E6C"/>
    <w:rsid w:val="00FF1F27"/>
    <w:rsid w:val="00FF24DE"/>
    <w:rsid w:val="00FF256D"/>
    <w:rsid w:val="00FF25BC"/>
    <w:rsid w:val="00FF2638"/>
    <w:rsid w:val="00FF27AE"/>
    <w:rsid w:val="00FF2965"/>
    <w:rsid w:val="00FF2A1A"/>
    <w:rsid w:val="00FF2AA1"/>
    <w:rsid w:val="00FF2EA8"/>
    <w:rsid w:val="00FF2F69"/>
    <w:rsid w:val="00FF30F5"/>
    <w:rsid w:val="00FF31A7"/>
    <w:rsid w:val="00FF3464"/>
    <w:rsid w:val="00FF3575"/>
    <w:rsid w:val="00FF3650"/>
    <w:rsid w:val="00FF3906"/>
    <w:rsid w:val="00FF3962"/>
    <w:rsid w:val="00FF3BBF"/>
    <w:rsid w:val="00FF3C91"/>
    <w:rsid w:val="00FF3CDB"/>
    <w:rsid w:val="00FF3DA3"/>
    <w:rsid w:val="00FF4057"/>
    <w:rsid w:val="00FF41A5"/>
    <w:rsid w:val="00FF4760"/>
    <w:rsid w:val="00FF4FFB"/>
    <w:rsid w:val="00FF5046"/>
    <w:rsid w:val="00FF558C"/>
    <w:rsid w:val="00FF58E5"/>
    <w:rsid w:val="00FF591D"/>
    <w:rsid w:val="00FF5BAC"/>
    <w:rsid w:val="00FF5FB9"/>
    <w:rsid w:val="00FF62F0"/>
    <w:rsid w:val="00FF6670"/>
    <w:rsid w:val="00FF66C9"/>
    <w:rsid w:val="00FF6705"/>
    <w:rsid w:val="00FF6738"/>
    <w:rsid w:val="00FF6B93"/>
    <w:rsid w:val="00FF6C4A"/>
    <w:rsid w:val="00FF6CBD"/>
    <w:rsid w:val="00FF6F3C"/>
    <w:rsid w:val="00FF7041"/>
    <w:rsid w:val="00FF7149"/>
    <w:rsid w:val="00FF71A6"/>
    <w:rsid w:val="00FF7205"/>
    <w:rsid w:val="00FF722D"/>
    <w:rsid w:val="00FF7875"/>
    <w:rsid w:val="00FF791A"/>
    <w:rsid w:val="00FF7CC6"/>
    <w:rsid w:val="68EE0079"/>
    <w:rsid w:val="75AA5140"/>
    <w:rsid w:val="7F3E705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B68BDB0"/>
  <w15:docId w15:val="{D8C276EE-6121-4099-A05F-C4684F858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1" w:count="376">
    <w:lsdException w:name="Normal" w:uiPriority="1"/>
    <w:lsdException w:name="heading 1" w:uiPriority="9"/>
    <w:lsdException w:name="heading 2" w:uiPriority="9" w:unhideWhenUsed="1"/>
    <w:lsdException w:name="heading 3" w:uiPriority="9" w:unhideWhenUsed="1"/>
    <w:lsdException w:name="heading 4" w:uiPriority="9" w:unhideWhenUsed="1"/>
    <w:lsdException w:name="heading 5" w:uiPriority="9" w:unhideWhenUsed="1"/>
    <w:lsdException w:name="heading 6" w:uiPriority="9" w:unhideWhenUsed="1"/>
    <w:lsdException w:name="heading 7" w:uiPriority="9" w:unhideWhenUsed="1"/>
    <w:lsdException w:name="heading 8" w:uiPriority="9" w:unhideWhenUsed="1"/>
    <w:lsdException w:name="heading 9"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qFormat="0"/>
    <w:lsdException w:name="Normal Indent" w:semiHidden="1" w:unhideWhenUsed="1"/>
    <w:lsdException w:name="footnote text" w:unhideWhenUsed="1"/>
    <w:lsdException w:name="annotation text" w:unhideWhenUsed="1"/>
    <w:lsdException w:name="header" w:unhideWhenUsed="1" w:qFormat="0"/>
    <w:lsdException w:name="footer" w:unhideWhenUsed="1" w:qFormat="0"/>
    <w:lsdException w:name="index heading" w:semiHidden="1" w:unhideWhenUsed="1"/>
    <w:lsdException w:name="caption" w:uiPriority="35" w:unhideWhenUsed="1"/>
    <w:lsdException w:name="table of figures"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unhideWhenUsed="1" w:qFormat="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qFormat="0"/>
    <w:lsdException w:name="HTML Bottom of Form" w:semiHidden="1" w:unhideWhenUsed="1" w:qFormat="0"/>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qFormat="0"/>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qFormat="0"/>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qFormat="0"/>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qFormat="0"/>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qFormat="0"/>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qFormat="0"/>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0"/>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nhideWhenUsed="1" w:qFormat="0"/>
    <w:lsdException w:name="Smart Hyperlink" w:semiHidden="1" w:unhideWhenUsed="1" w:qFormat="0"/>
    <w:lsdException w:name="Hashtag" w:semiHidden="1" w:unhideWhenUsed="1" w:qFormat="0"/>
    <w:lsdException w:name="Unresolved Mention" w:semiHidden="1" w:unhideWhenUsed="1" w:qFormat="0"/>
    <w:lsdException w:name="Smart Link" w:semiHidden="1" w:unhideWhenUsed="1" w:qFormat="0"/>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en-US" w:eastAsia="en-US"/>
    </w:rPr>
  </w:style>
  <w:style w:type="paragraph" w:styleId="Heading1">
    <w:name w:val="heading 1"/>
    <w:basedOn w:val="Normal"/>
    <w:link w:val="Heading1Char"/>
    <w:uiPriority w:val="9"/>
    <w:qFormat/>
    <w:pPr>
      <w:ind w:left="720" w:hanging="360"/>
      <w:jc w:val="both"/>
      <w:outlineLvl w:val="0"/>
    </w:pPr>
    <w:rPr>
      <w:b/>
      <w:bCs/>
    </w:rPr>
  </w:style>
  <w:style w:type="paragraph" w:styleId="Heading2">
    <w:name w:val="heading 2"/>
    <w:basedOn w:val="Normal"/>
    <w:next w:val="Normal"/>
    <w:link w:val="Heading2Char"/>
    <w:uiPriority w:val="9"/>
    <w:unhideWhenUsed/>
    <w:qFormat/>
    <w:pPr>
      <w:keepNext/>
      <w:keepLines/>
      <w:spacing w:before="200"/>
      <w:ind w:left="1440" w:hanging="3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ind w:left="2160" w:hanging="36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widowControl/>
      <w:autoSpaceDE/>
      <w:autoSpaceDN/>
      <w:spacing w:before="40"/>
      <w:ind w:left="864" w:hanging="144"/>
      <w:outlineLvl w:val="3"/>
    </w:pPr>
    <w:rPr>
      <w:rFonts w:asciiTheme="majorHAnsi" w:eastAsiaTheme="majorEastAsia" w:hAnsiTheme="majorHAnsi" w:cstheme="majorBidi"/>
      <w:i/>
      <w:iCs/>
      <w:color w:val="365F91" w:themeColor="accent1" w:themeShade="BF"/>
      <w:sz w:val="24"/>
      <w:szCs w:val="24"/>
      <w:lang w:eastAsia="pt-BR"/>
    </w:rPr>
  </w:style>
  <w:style w:type="paragraph" w:styleId="Heading5">
    <w:name w:val="heading 5"/>
    <w:basedOn w:val="Normal"/>
    <w:next w:val="Normal"/>
    <w:link w:val="Heading5Char"/>
    <w:uiPriority w:val="9"/>
    <w:unhideWhenUsed/>
    <w:qFormat/>
    <w:pPr>
      <w:keepNext/>
      <w:keepLines/>
      <w:widowControl/>
      <w:autoSpaceDE/>
      <w:autoSpaceDN/>
      <w:spacing w:before="40"/>
      <w:ind w:left="1008" w:hanging="432"/>
      <w:outlineLvl w:val="4"/>
    </w:pPr>
    <w:rPr>
      <w:rFonts w:asciiTheme="majorHAnsi" w:eastAsiaTheme="majorEastAsia" w:hAnsiTheme="majorHAnsi" w:cstheme="majorBidi"/>
      <w:color w:val="365F91" w:themeColor="accent1" w:themeShade="BF"/>
      <w:sz w:val="24"/>
      <w:szCs w:val="24"/>
      <w:lang w:eastAsia="pt-BR"/>
    </w:rPr>
  </w:style>
  <w:style w:type="paragraph" w:styleId="Heading6">
    <w:name w:val="heading 6"/>
    <w:basedOn w:val="Normal"/>
    <w:next w:val="Normal"/>
    <w:link w:val="Heading6Char"/>
    <w:uiPriority w:val="9"/>
    <w:unhideWhenUsed/>
    <w:qFormat/>
    <w:pPr>
      <w:keepNext/>
      <w:keepLines/>
      <w:widowControl/>
      <w:autoSpaceDE/>
      <w:autoSpaceDN/>
      <w:spacing w:before="40"/>
      <w:ind w:left="1152" w:hanging="432"/>
      <w:outlineLvl w:val="5"/>
    </w:pPr>
    <w:rPr>
      <w:rFonts w:asciiTheme="majorHAnsi" w:eastAsiaTheme="majorEastAsia" w:hAnsiTheme="majorHAnsi" w:cstheme="majorBidi"/>
      <w:color w:val="244061" w:themeColor="accent1" w:themeShade="80"/>
      <w:sz w:val="24"/>
      <w:szCs w:val="24"/>
      <w:lang w:eastAsia="pt-BR"/>
    </w:rPr>
  </w:style>
  <w:style w:type="paragraph" w:styleId="Heading7">
    <w:name w:val="heading 7"/>
    <w:basedOn w:val="Normal"/>
    <w:next w:val="Normal"/>
    <w:link w:val="Heading7Char"/>
    <w:uiPriority w:val="9"/>
    <w:unhideWhenUsed/>
    <w:qFormat/>
    <w:pPr>
      <w:keepNext/>
      <w:keepLines/>
      <w:widowControl/>
      <w:autoSpaceDE/>
      <w:autoSpaceDN/>
      <w:spacing w:before="40"/>
      <w:ind w:left="1296" w:hanging="288"/>
      <w:outlineLvl w:val="6"/>
    </w:pPr>
    <w:rPr>
      <w:rFonts w:asciiTheme="majorHAnsi" w:eastAsiaTheme="majorEastAsia" w:hAnsiTheme="majorHAnsi" w:cstheme="majorBidi"/>
      <w:i/>
      <w:iCs/>
      <w:color w:val="244061" w:themeColor="accent1" w:themeShade="80"/>
      <w:sz w:val="24"/>
      <w:szCs w:val="24"/>
      <w:lang w:eastAsia="pt-BR"/>
    </w:rPr>
  </w:style>
  <w:style w:type="paragraph" w:styleId="Heading8">
    <w:name w:val="heading 8"/>
    <w:basedOn w:val="Normal"/>
    <w:next w:val="Normal"/>
    <w:link w:val="Heading8Char"/>
    <w:uiPriority w:val="9"/>
    <w:unhideWhenUsed/>
    <w:qFormat/>
    <w:pPr>
      <w:keepNext/>
      <w:keepLines/>
      <w:widowControl/>
      <w:autoSpaceDE/>
      <w:autoSpaceDN/>
      <w:spacing w:before="40"/>
      <w:ind w:left="1440" w:hanging="432"/>
      <w:outlineLvl w:val="7"/>
    </w:pPr>
    <w:rPr>
      <w:rFonts w:asciiTheme="majorHAnsi" w:eastAsiaTheme="majorEastAsia" w:hAnsiTheme="majorHAnsi" w:cstheme="majorBidi"/>
      <w:color w:val="262626" w:themeColor="text1" w:themeTint="D9"/>
      <w:sz w:val="21"/>
      <w:szCs w:val="21"/>
      <w:lang w:eastAsia="pt-BR"/>
    </w:rPr>
  </w:style>
  <w:style w:type="paragraph" w:styleId="Heading9">
    <w:name w:val="heading 9"/>
    <w:basedOn w:val="Normal"/>
    <w:next w:val="Normal"/>
    <w:link w:val="Heading9Char"/>
    <w:uiPriority w:val="9"/>
    <w:unhideWhenUsed/>
    <w:qFormat/>
    <w:pPr>
      <w:keepNext/>
      <w:keepLines/>
      <w:widowControl/>
      <w:autoSpaceDE/>
      <w:autoSpaceDN/>
      <w:spacing w:before="40"/>
      <w:ind w:left="1584" w:hanging="144"/>
      <w:outlineLvl w:val="8"/>
    </w:pPr>
    <w:rPr>
      <w:rFonts w:asciiTheme="majorHAnsi" w:eastAsiaTheme="majorEastAsia" w:hAnsiTheme="majorHAnsi" w:cstheme="majorBidi"/>
      <w:i/>
      <w:iCs/>
      <w:color w:val="262626" w:themeColor="text1" w:themeTint="D9"/>
      <w:sz w:val="21"/>
      <w:szCs w:val="21"/>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Definition">
    <w:name w:val="HTML Definition"/>
    <w:basedOn w:val="DefaultParagraphFont"/>
    <w:uiPriority w:val="99"/>
    <w:semiHidden/>
    <w:unhideWhenUsed/>
    <w:qFormat/>
    <w:rPr>
      <w:i/>
      <w:iCs/>
    </w:rPr>
  </w:style>
  <w:style w:type="character" w:styleId="LineNumber">
    <w:name w:val="line number"/>
    <w:basedOn w:val="DefaultParagraphFont"/>
    <w:uiPriority w:val="99"/>
    <w:semiHidden/>
    <w:unhideWhenUsed/>
    <w:qFormat/>
  </w:style>
  <w:style w:type="character" w:styleId="HTMLKeyboard">
    <w:name w:val="HTML Keyboard"/>
    <w:basedOn w:val="DefaultParagraphFont"/>
    <w:uiPriority w:val="99"/>
    <w:semiHidden/>
    <w:unhideWhenUsed/>
    <w:qFormat/>
    <w:rPr>
      <w:rFonts w:ascii="Consolas" w:hAnsi="Consolas"/>
      <w:sz w:val="20"/>
      <w:szCs w:val="20"/>
    </w:rPr>
  </w:style>
  <w:style w:type="character" w:styleId="HTMLAcronym">
    <w:name w:val="HTML Acronym"/>
    <w:basedOn w:val="DefaultParagraphFont"/>
    <w:uiPriority w:val="99"/>
    <w:semiHidden/>
    <w:unhideWhenUsed/>
    <w:qFormat/>
  </w:style>
  <w:style w:type="character" w:styleId="Hyperlink">
    <w:name w:val="Hyperlink"/>
    <w:basedOn w:val="DefaultParagraphFont"/>
    <w:uiPriority w:val="99"/>
    <w:unhideWhenUsed/>
    <w:qFormat/>
    <w:rPr>
      <w:color w:val="0000FF"/>
      <w:u w:val="single"/>
    </w:rPr>
  </w:style>
  <w:style w:type="character" w:styleId="HTMLCode">
    <w:name w:val="HTML Code"/>
    <w:basedOn w:val="DefaultParagraphFont"/>
    <w:uiPriority w:val="99"/>
    <w:semiHidden/>
    <w:unhideWhenUsed/>
    <w:qFormat/>
    <w:rPr>
      <w:rFonts w:ascii="Consolas" w:hAnsi="Consolas"/>
      <w:sz w:val="20"/>
      <w:szCs w:val="20"/>
    </w:rPr>
  </w:style>
  <w:style w:type="character" w:styleId="HTMLCite">
    <w:name w:val="HTML Cite"/>
    <w:basedOn w:val="DefaultParagraphFont"/>
    <w:uiPriority w:val="99"/>
    <w:semiHidden/>
    <w:unhideWhenUsed/>
    <w:qFormat/>
    <w:rPr>
      <w:i/>
      <w:iCs/>
    </w:rPr>
  </w:style>
  <w:style w:type="character" w:styleId="FootnoteReference">
    <w:name w:val="footnote reference"/>
    <w:basedOn w:val="DefaultParagraphFont"/>
    <w:uiPriority w:val="99"/>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 w:type="character" w:styleId="Strong">
    <w:name w:val="Strong"/>
    <w:basedOn w:val="DefaultParagraphFont"/>
    <w:uiPriority w:val="22"/>
    <w:qFormat/>
    <w:rPr>
      <w:b/>
      <w:bCs/>
    </w:rPr>
  </w:style>
  <w:style w:type="character" w:styleId="HTMLVariable">
    <w:name w:val="HTML Variable"/>
    <w:basedOn w:val="DefaultParagraphFont"/>
    <w:uiPriority w:val="99"/>
    <w:semiHidden/>
    <w:unhideWhenUsed/>
    <w:qFormat/>
    <w:rPr>
      <w:i/>
      <w:iCs/>
    </w:rPr>
  </w:style>
  <w:style w:type="character" w:styleId="CommentReference">
    <w:name w:val="annotation reference"/>
    <w:basedOn w:val="DefaultParagraphFont"/>
    <w:uiPriority w:val="99"/>
    <w:semiHidden/>
    <w:unhideWhenUsed/>
    <w:qFormat/>
    <w:rPr>
      <w:sz w:val="16"/>
      <w:szCs w:val="16"/>
    </w:rPr>
  </w:style>
  <w:style w:type="character" w:styleId="HTMLTypewriter">
    <w:name w:val="HTML Typewriter"/>
    <w:basedOn w:val="DefaultParagraphFont"/>
    <w:uiPriority w:val="99"/>
    <w:semiHidden/>
    <w:unhideWhenUsed/>
    <w:qFormat/>
    <w:rPr>
      <w:rFonts w:ascii="Consolas" w:hAnsi="Consolas"/>
      <w:sz w:val="20"/>
      <w:szCs w:val="20"/>
    </w:rPr>
  </w:style>
  <w:style w:type="character" w:styleId="PageNumber">
    <w:name w:val="page number"/>
    <w:basedOn w:val="DefaultParagraphFont"/>
    <w:uiPriority w:val="99"/>
    <w:unhideWhenUsed/>
    <w:qFormat/>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HTMLSample">
    <w:name w:val="HTML Sample"/>
    <w:basedOn w:val="DefaultParagraphFont"/>
    <w:uiPriority w:val="99"/>
    <w:semiHidden/>
    <w:unhideWhenUsed/>
    <w:qFormat/>
    <w:rPr>
      <w:rFonts w:ascii="Consolas" w:hAnsi="Consolas"/>
      <w:sz w:val="24"/>
      <w:szCs w:val="24"/>
    </w:rPr>
  </w:style>
  <w:style w:type="paragraph" w:styleId="TOC9">
    <w:name w:val="toc 9"/>
    <w:basedOn w:val="Normal"/>
    <w:next w:val="Normal"/>
    <w:uiPriority w:val="39"/>
    <w:unhideWhenUsed/>
    <w:pPr>
      <w:widowControl/>
      <w:autoSpaceDE/>
      <w:autoSpaceDN/>
      <w:spacing w:after="100"/>
      <w:ind w:left="1920"/>
    </w:pPr>
    <w:rPr>
      <w:sz w:val="24"/>
      <w:szCs w:val="24"/>
      <w:lang w:eastAsia="pt-BR"/>
    </w:rPr>
  </w:style>
  <w:style w:type="paragraph" w:styleId="ListNumber4">
    <w:name w:val="List Number 4"/>
    <w:basedOn w:val="Normal"/>
    <w:uiPriority w:val="99"/>
    <w:semiHidden/>
    <w:unhideWhenUsed/>
    <w:qFormat/>
    <w:pPr>
      <w:widowControl/>
      <w:numPr>
        <w:numId w:val="1"/>
      </w:numPr>
      <w:autoSpaceDE/>
      <w:autoSpaceDN/>
      <w:contextualSpacing/>
    </w:pPr>
    <w:rPr>
      <w:sz w:val="24"/>
      <w:szCs w:val="24"/>
      <w:lang w:eastAsia="pt-BR"/>
    </w:rPr>
  </w:style>
  <w:style w:type="paragraph" w:styleId="TOC5">
    <w:name w:val="toc 5"/>
    <w:basedOn w:val="Normal"/>
    <w:next w:val="Normal"/>
    <w:uiPriority w:val="39"/>
    <w:unhideWhenUsed/>
    <w:qFormat/>
    <w:pPr>
      <w:widowControl/>
      <w:autoSpaceDE/>
      <w:autoSpaceDN/>
      <w:spacing w:after="100"/>
      <w:ind w:left="960"/>
    </w:pPr>
    <w:rPr>
      <w:sz w:val="24"/>
      <w:szCs w:val="24"/>
      <w:lang w:eastAsia="pt-BR"/>
    </w:rPr>
  </w:style>
  <w:style w:type="paragraph" w:styleId="List4">
    <w:name w:val="List 4"/>
    <w:basedOn w:val="Normal"/>
    <w:uiPriority w:val="99"/>
    <w:semiHidden/>
    <w:unhideWhenUsed/>
    <w:qFormat/>
    <w:pPr>
      <w:widowControl/>
      <w:autoSpaceDE/>
      <w:autoSpaceDN/>
      <w:ind w:left="1440" w:hanging="360"/>
      <w:contextualSpacing/>
    </w:pPr>
    <w:rPr>
      <w:sz w:val="24"/>
      <w:szCs w:val="24"/>
      <w:lang w:eastAsia="pt-BR"/>
    </w:rPr>
  </w:style>
  <w:style w:type="paragraph" w:styleId="DocumentMap">
    <w:name w:val="Document Map"/>
    <w:basedOn w:val="Normal"/>
    <w:link w:val="DocumentMapChar"/>
    <w:uiPriority w:val="99"/>
    <w:semiHidden/>
    <w:unhideWhenUsed/>
    <w:qFormat/>
    <w:pPr>
      <w:widowControl/>
      <w:autoSpaceDE/>
      <w:autoSpaceDN/>
    </w:pPr>
    <w:rPr>
      <w:rFonts w:ascii="Segoe UI" w:hAnsi="Segoe UI" w:cs="Segoe UI"/>
      <w:sz w:val="16"/>
      <w:szCs w:val="16"/>
      <w:lang w:eastAsia="pt-BR"/>
    </w:rPr>
  </w:style>
  <w:style w:type="paragraph" w:styleId="Subtitle">
    <w:name w:val="Subtitle"/>
    <w:basedOn w:val="Normal"/>
    <w:next w:val="Normal"/>
    <w:link w:val="SubtitleChar"/>
    <w:uiPriority w:val="11"/>
    <w:qFormat/>
    <w:pPr>
      <w:widowControl/>
      <w:autoSpaceDE/>
      <w:autoSpaceDN/>
      <w:spacing w:after="160"/>
    </w:pPr>
    <w:rPr>
      <w:rFonts w:asciiTheme="minorHAnsi" w:eastAsiaTheme="minorEastAsia" w:hAnsiTheme="minorHAnsi" w:cstheme="minorBidi"/>
      <w:color w:val="595959" w:themeColor="text1" w:themeTint="A6"/>
      <w:spacing w:val="15"/>
      <w:lang w:eastAsia="pt-BR"/>
    </w:rPr>
  </w:style>
  <w:style w:type="paragraph" w:styleId="HTMLPreformatted">
    <w:name w:val="HTML Preformatted"/>
    <w:basedOn w:val="Normal"/>
    <w:link w:val="HTMLPreformattedChar"/>
    <w:unhideWhenUsed/>
    <w:qFormat/>
    <w:pPr>
      <w:widowControl/>
      <w:autoSpaceDE/>
      <w:autoSpaceDN/>
    </w:pPr>
    <w:rPr>
      <w:rFonts w:ascii="Consolas" w:hAnsi="Consolas"/>
      <w:sz w:val="20"/>
      <w:szCs w:val="20"/>
      <w:lang w:eastAsia="pt-BR"/>
    </w:rPr>
  </w:style>
  <w:style w:type="paragraph" w:styleId="ListBullet5">
    <w:name w:val="List Bullet 5"/>
    <w:basedOn w:val="Normal"/>
    <w:uiPriority w:val="99"/>
    <w:semiHidden/>
    <w:unhideWhenUsed/>
    <w:qFormat/>
    <w:pPr>
      <w:widowControl/>
      <w:numPr>
        <w:numId w:val="2"/>
      </w:numPr>
      <w:autoSpaceDE/>
      <w:autoSpaceDN/>
      <w:contextualSpacing/>
    </w:pPr>
    <w:rPr>
      <w:sz w:val="24"/>
      <w:szCs w:val="24"/>
      <w:lang w:eastAsia="pt-BR"/>
    </w:rPr>
  </w:style>
  <w:style w:type="paragraph" w:styleId="EndnoteText">
    <w:name w:val="endnote text"/>
    <w:basedOn w:val="Normal"/>
    <w:link w:val="EndnoteTextChar"/>
    <w:uiPriority w:val="99"/>
    <w:semiHidden/>
    <w:unhideWhenUsed/>
    <w:qFormat/>
    <w:pPr>
      <w:widowControl/>
      <w:autoSpaceDE/>
      <w:autoSpaceDN/>
    </w:pPr>
    <w:rPr>
      <w:sz w:val="20"/>
      <w:szCs w:val="20"/>
      <w:lang w:eastAsia="pt-BR"/>
    </w:rPr>
  </w:style>
  <w:style w:type="paragraph" w:styleId="ListBullet2">
    <w:name w:val="List Bullet 2"/>
    <w:basedOn w:val="Normal"/>
    <w:uiPriority w:val="99"/>
    <w:semiHidden/>
    <w:unhideWhenUsed/>
    <w:qFormat/>
    <w:pPr>
      <w:widowControl/>
      <w:numPr>
        <w:numId w:val="3"/>
      </w:numPr>
      <w:autoSpaceDE/>
      <w:autoSpaceDN/>
      <w:contextualSpacing/>
    </w:pPr>
    <w:rPr>
      <w:sz w:val="24"/>
      <w:szCs w:val="24"/>
      <w:lang w:eastAsia="pt-BR"/>
    </w:rPr>
  </w:style>
  <w:style w:type="paragraph" w:styleId="Index4">
    <w:name w:val="index 4"/>
    <w:basedOn w:val="Normal"/>
    <w:next w:val="Normal"/>
    <w:uiPriority w:val="99"/>
    <w:semiHidden/>
    <w:unhideWhenUsed/>
    <w:qFormat/>
    <w:pPr>
      <w:widowControl/>
      <w:autoSpaceDE/>
      <w:autoSpaceDN/>
      <w:ind w:left="960" w:hanging="240"/>
    </w:pPr>
    <w:rPr>
      <w:sz w:val="24"/>
      <w:szCs w:val="24"/>
      <w:lang w:eastAsia="pt-BR"/>
    </w:rPr>
  </w:style>
  <w:style w:type="paragraph" w:styleId="ListContinue4">
    <w:name w:val="List Continue 4"/>
    <w:basedOn w:val="Normal"/>
    <w:uiPriority w:val="99"/>
    <w:semiHidden/>
    <w:unhideWhenUsed/>
    <w:qFormat/>
    <w:pPr>
      <w:widowControl/>
      <w:autoSpaceDE/>
      <w:autoSpaceDN/>
      <w:spacing w:after="120"/>
      <w:ind w:left="1440"/>
      <w:contextualSpacing/>
    </w:pPr>
    <w:rPr>
      <w:sz w:val="24"/>
      <w:szCs w:val="24"/>
      <w:lang w:eastAsia="pt-BR"/>
    </w:rPr>
  </w:style>
  <w:style w:type="paragraph" w:styleId="Index9">
    <w:name w:val="index 9"/>
    <w:basedOn w:val="Normal"/>
    <w:next w:val="Normal"/>
    <w:uiPriority w:val="99"/>
    <w:semiHidden/>
    <w:unhideWhenUsed/>
    <w:qFormat/>
    <w:pPr>
      <w:widowControl/>
      <w:autoSpaceDE/>
      <w:autoSpaceDN/>
      <w:ind w:left="2160" w:hanging="240"/>
    </w:pPr>
    <w:rPr>
      <w:sz w:val="24"/>
      <w:szCs w:val="24"/>
      <w:lang w:eastAsia="pt-BR"/>
    </w:rPr>
  </w:style>
  <w:style w:type="paragraph" w:styleId="FootnoteText">
    <w:name w:val="footnote text"/>
    <w:basedOn w:val="Normal"/>
    <w:link w:val="FootnoteTextChar"/>
    <w:uiPriority w:val="99"/>
    <w:unhideWhenUsed/>
    <w:qFormat/>
    <w:pPr>
      <w:widowControl/>
      <w:autoSpaceDE/>
      <w:autoSpaceDN/>
    </w:pPr>
    <w:rPr>
      <w:rFonts w:eastAsiaTheme="minorHAnsi"/>
      <w:sz w:val="20"/>
      <w:szCs w:val="20"/>
    </w:rPr>
  </w:style>
  <w:style w:type="paragraph" w:styleId="CommentSubject">
    <w:name w:val="annotation subject"/>
    <w:basedOn w:val="CommentText"/>
    <w:next w:val="CommentText"/>
    <w:link w:val="CommentSubjectChar"/>
    <w:uiPriority w:val="99"/>
    <w:semiHidden/>
    <w:unhideWhenUsed/>
    <w:qFormat/>
    <w:rPr>
      <w:rFonts w:eastAsia="Times New Roman"/>
      <w:b/>
      <w:bCs/>
    </w:rPr>
  </w:style>
  <w:style w:type="paragraph" w:styleId="CommentText">
    <w:name w:val="annotation text"/>
    <w:basedOn w:val="Normal"/>
    <w:link w:val="CommentTextChar"/>
    <w:uiPriority w:val="99"/>
    <w:unhideWhenUsed/>
    <w:qFormat/>
    <w:pPr>
      <w:widowControl/>
      <w:autoSpaceDE/>
      <w:autoSpaceDN/>
    </w:pPr>
    <w:rPr>
      <w:rFonts w:ascii="Tahoma" w:eastAsia="Calibri" w:hAnsi="Tahoma" w:cs="Tahoma"/>
      <w:sz w:val="16"/>
      <w:szCs w:val="20"/>
      <w:lang w:eastAsia="pt-BR"/>
    </w:rPr>
  </w:style>
  <w:style w:type="paragraph" w:styleId="Index3">
    <w:name w:val="index 3"/>
    <w:basedOn w:val="Normal"/>
    <w:next w:val="Normal"/>
    <w:uiPriority w:val="99"/>
    <w:semiHidden/>
    <w:unhideWhenUsed/>
    <w:qFormat/>
    <w:pPr>
      <w:widowControl/>
      <w:autoSpaceDE/>
      <w:autoSpaceDN/>
      <w:ind w:left="720" w:hanging="240"/>
    </w:pPr>
    <w:rPr>
      <w:sz w:val="24"/>
      <w:szCs w:val="24"/>
      <w:lang w:eastAsia="pt-BR"/>
    </w:rPr>
  </w:style>
  <w:style w:type="paragraph" w:styleId="ListContinue2">
    <w:name w:val="List Continue 2"/>
    <w:basedOn w:val="Normal"/>
    <w:uiPriority w:val="99"/>
    <w:semiHidden/>
    <w:unhideWhenUsed/>
    <w:qFormat/>
    <w:pPr>
      <w:widowControl/>
      <w:autoSpaceDE/>
      <w:autoSpaceDN/>
      <w:spacing w:after="120"/>
      <w:ind w:left="720"/>
      <w:contextualSpacing/>
    </w:pPr>
    <w:rPr>
      <w:sz w:val="24"/>
      <w:szCs w:val="24"/>
      <w:lang w:eastAsia="pt-BR"/>
    </w:rPr>
  </w:style>
  <w:style w:type="paragraph" w:styleId="BodyTextIndent">
    <w:name w:val="Body Text Indent"/>
    <w:basedOn w:val="Normal"/>
    <w:link w:val="BodyTextIndentChar"/>
    <w:semiHidden/>
    <w:unhideWhenUsed/>
    <w:qFormat/>
    <w:pPr>
      <w:widowControl/>
      <w:autoSpaceDE/>
      <w:autoSpaceDN/>
      <w:spacing w:after="120"/>
      <w:ind w:left="360"/>
    </w:pPr>
    <w:rPr>
      <w:sz w:val="24"/>
      <w:szCs w:val="24"/>
      <w:lang w:eastAsia="pt-BR"/>
    </w:rPr>
  </w:style>
  <w:style w:type="paragraph" w:styleId="MessageHeader">
    <w:name w:val="Message Header"/>
    <w:basedOn w:val="Normal"/>
    <w:link w:val="MessageHeaderChar"/>
    <w:uiPriority w:val="99"/>
    <w:semiHidden/>
    <w:unhideWhenUsed/>
    <w:qFormat/>
    <w:pPr>
      <w:widowControl/>
      <w:pBdr>
        <w:top w:val="single" w:sz="6" w:space="1" w:color="auto"/>
        <w:left w:val="single" w:sz="6" w:space="1" w:color="auto"/>
        <w:bottom w:val="single" w:sz="6" w:space="1" w:color="auto"/>
        <w:right w:val="single" w:sz="6" w:space="1" w:color="auto"/>
      </w:pBdr>
      <w:shd w:val="pct20" w:color="auto" w:fill="auto"/>
      <w:autoSpaceDE/>
      <w:autoSpaceDN/>
      <w:ind w:left="1080" w:hanging="1080"/>
    </w:pPr>
    <w:rPr>
      <w:rFonts w:asciiTheme="majorHAnsi" w:eastAsiaTheme="majorEastAsia" w:hAnsiTheme="majorHAnsi" w:cstheme="majorBidi"/>
      <w:sz w:val="24"/>
      <w:szCs w:val="24"/>
      <w:lang w:eastAsia="pt-BR"/>
    </w:rPr>
  </w:style>
  <w:style w:type="paragraph" w:styleId="ListNumber3">
    <w:name w:val="List Number 3"/>
    <w:basedOn w:val="Normal"/>
    <w:uiPriority w:val="99"/>
    <w:semiHidden/>
    <w:unhideWhenUsed/>
    <w:qFormat/>
    <w:pPr>
      <w:widowControl/>
      <w:numPr>
        <w:numId w:val="4"/>
      </w:numPr>
      <w:autoSpaceDE/>
      <w:autoSpaceDN/>
      <w:contextualSpacing/>
    </w:pPr>
    <w:rPr>
      <w:sz w:val="24"/>
      <w:szCs w:val="24"/>
      <w:lang w:eastAsia="pt-BR"/>
    </w:rPr>
  </w:style>
  <w:style w:type="paragraph" w:styleId="Closing">
    <w:name w:val="Closing"/>
    <w:basedOn w:val="Normal"/>
    <w:link w:val="ClosingChar"/>
    <w:uiPriority w:val="99"/>
    <w:semiHidden/>
    <w:unhideWhenUsed/>
    <w:qFormat/>
    <w:pPr>
      <w:widowControl/>
      <w:autoSpaceDE/>
      <w:autoSpaceDN/>
      <w:ind w:left="4320"/>
    </w:pPr>
    <w:rPr>
      <w:sz w:val="24"/>
      <w:szCs w:val="24"/>
      <w:lang w:eastAsia="pt-BR"/>
    </w:rPr>
  </w:style>
  <w:style w:type="paragraph" w:styleId="BlockText">
    <w:name w:val="Block Text"/>
    <w:basedOn w:val="Normal"/>
    <w:uiPriority w:val="99"/>
    <w:semiHidden/>
    <w:unhideWhenUsed/>
    <w:qFormat/>
    <w:pPr>
      <w:widowControl/>
      <w:pBdr>
        <w:top w:val="single" w:sz="2" w:space="10" w:color="4F81BD" w:themeColor="accent1"/>
        <w:left w:val="single" w:sz="2" w:space="10" w:color="4F81BD" w:themeColor="accent1"/>
        <w:bottom w:val="single" w:sz="2" w:space="10" w:color="4F81BD" w:themeColor="accent1"/>
        <w:right w:val="single" w:sz="2" w:space="10" w:color="4F81BD" w:themeColor="accent1"/>
      </w:pBdr>
      <w:autoSpaceDE/>
      <w:autoSpaceDN/>
      <w:ind w:left="1152" w:right="1152"/>
    </w:pPr>
    <w:rPr>
      <w:rFonts w:asciiTheme="minorHAnsi" w:eastAsiaTheme="minorEastAsia" w:hAnsiTheme="minorHAnsi" w:cstheme="minorBidi"/>
      <w:i/>
      <w:iCs/>
      <w:color w:val="4F81BD" w:themeColor="accent1"/>
      <w:sz w:val="24"/>
      <w:szCs w:val="24"/>
      <w:lang w:eastAsia="pt-BR"/>
    </w:rPr>
  </w:style>
  <w:style w:type="paragraph" w:styleId="EnvelopeReturn">
    <w:name w:val="envelope return"/>
    <w:basedOn w:val="Normal"/>
    <w:uiPriority w:val="99"/>
    <w:semiHidden/>
    <w:unhideWhenUsed/>
    <w:qFormat/>
    <w:pPr>
      <w:widowControl/>
      <w:autoSpaceDE/>
      <w:autoSpaceDN/>
    </w:pPr>
    <w:rPr>
      <w:rFonts w:asciiTheme="majorHAnsi" w:eastAsiaTheme="majorEastAsia" w:hAnsiTheme="majorHAnsi" w:cstheme="majorBidi"/>
      <w:sz w:val="20"/>
      <w:szCs w:val="20"/>
      <w:lang w:eastAsia="pt-BR"/>
    </w:rPr>
  </w:style>
  <w:style w:type="paragraph" w:styleId="TableofAuthorities">
    <w:name w:val="table of authorities"/>
    <w:basedOn w:val="Normal"/>
    <w:next w:val="Normal"/>
    <w:uiPriority w:val="99"/>
    <w:semiHidden/>
    <w:unhideWhenUsed/>
    <w:qFormat/>
    <w:pPr>
      <w:widowControl/>
      <w:autoSpaceDE/>
      <w:autoSpaceDN/>
      <w:ind w:left="240" w:hanging="240"/>
    </w:pPr>
    <w:rPr>
      <w:sz w:val="24"/>
      <w:szCs w:val="24"/>
      <w:lang w:eastAsia="pt-BR"/>
    </w:rPr>
  </w:style>
  <w:style w:type="paragraph" w:styleId="BodyText3">
    <w:name w:val="Body Text 3"/>
    <w:basedOn w:val="Normal"/>
    <w:link w:val="BodyText3Char"/>
    <w:uiPriority w:val="99"/>
    <w:semiHidden/>
    <w:unhideWhenUsed/>
    <w:qFormat/>
    <w:pPr>
      <w:widowControl/>
      <w:autoSpaceDE/>
      <w:autoSpaceDN/>
      <w:spacing w:after="120"/>
    </w:pPr>
    <w:rPr>
      <w:sz w:val="16"/>
      <w:szCs w:val="16"/>
      <w:lang w:eastAsia="pt-BR"/>
    </w:rPr>
  </w:style>
  <w:style w:type="paragraph" w:styleId="NoteHeading">
    <w:name w:val="Note Heading"/>
    <w:basedOn w:val="Normal"/>
    <w:next w:val="Normal"/>
    <w:link w:val="NoteHeadingChar"/>
    <w:uiPriority w:val="99"/>
    <w:semiHidden/>
    <w:unhideWhenUsed/>
    <w:qFormat/>
    <w:pPr>
      <w:widowControl/>
      <w:autoSpaceDE/>
      <w:autoSpaceDN/>
    </w:pPr>
    <w:rPr>
      <w:sz w:val="24"/>
      <w:szCs w:val="24"/>
      <w:lang w:eastAsia="pt-BR"/>
    </w:rPr>
  </w:style>
  <w:style w:type="paragraph" w:styleId="Caption">
    <w:name w:val="caption"/>
    <w:basedOn w:val="Normal"/>
    <w:next w:val="Normal"/>
    <w:uiPriority w:val="35"/>
    <w:unhideWhenUsed/>
    <w:qFormat/>
    <w:pPr>
      <w:widowControl/>
      <w:autoSpaceDE/>
      <w:autoSpaceDN/>
      <w:spacing w:after="200"/>
    </w:pPr>
    <w:rPr>
      <w:i/>
      <w:iCs/>
      <w:color w:val="1F497D" w:themeColor="text2"/>
      <w:sz w:val="18"/>
      <w:szCs w:val="18"/>
      <w:lang w:eastAsia="pt-BR"/>
    </w:rPr>
  </w:style>
  <w:style w:type="paragraph" w:styleId="Index1">
    <w:name w:val="index 1"/>
    <w:basedOn w:val="Normal"/>
    <w:next w:val="Normal"/>
    <w:uiPriority w:val="99"/>
    <w:semiHidden/>
    <w:unhideWhenUsed/>
    <w:qFormat/>
    <w:pPr>
      <w:widowControl/>
      <w:autoSpaceDE/>
      <w:autoSpaceDN/>
      <w:ind w:left="240" w:hanging="240"/>
    </w:pPr>
    <w:rPr>
      <w:sz w:val="24"/>
      <w:szCs w:val="24"/>
      <w:lang w:eastAsia="pt-BR"/>
    </w:rPr>
  </w:style>
  <w:style w:type="paragraph" w:styleId="ListNumber">
    <w:name w:val="List Number"/>
    <w:basedOn w:val="Normal"/>
    <w:uiPriority w:val="99"/>
    <w:semiHidden/>
    <w:unhideWhenUsed/>
    <w:qFormat/>
    <w:pPr>
      <w:widowControl/>
      <w:numPr>
        <w:numId w:val="5"/>
      </w:numPr>
      <w:autoSpaceDE/>
      <w:autoSpaceDN/>
      <w:contextualSpacing/>
    </w:pPr>
    <w:rPr>
      <w:sz w:val="24"/>
      <w:szCs w:val="24"/>
      <w:lang w:eastAsia="pt-BR"/>
    </w:rPr>
  </w:style>
  <w:style w:type="paragraph" w:styleId="E-mailSignature">
    <w:name w:val="E-mail Signature"/>
    <w:basedOn w:val="Normal"/>
    <w:link w:val="E-mailSignatureChar"/>
    <w:uiPriority w:val="99"/>
    <w:semiHidden/>
    <w:unhideWhenUsed/>
    <w:qFormat/>
    <w:pPr>
      <w:widowControl/>
      <w:autoSpaceDE/>
      <w:autoSpaceDN/>
    </w:pPr>
    <w:rPr>
      <w:sz w:val="24"/>
      <w:szCs w:val="24"/>
      <w:lang w:eastAsia="pt-BR"/>
    </w:rPr>
  </w:style>
  <w:style w:type="paragraph" w:styleId="ListNumber5">
    <w:name w:val="List Number 5"/>
    <w:basedOn w:val="Normal"/>
    <w:uiPriority w:val="99"/>
    <w:semiHidden/>
    <w:unhideWhenUsed/>
    <w:qFormat/>
    <w:pPr>
      <w:widowControl/>
      <w:numPr>
        <w:numId w:val="6"/>
      </w:numPr>
      <w:autoSpaceDE/>
      <w:autoSpaceDN/>
      <w:contextualSpacing/>
    </w:pPr>
    <w:rPr>
      <w:sz w:val="24"/>
      <w:szCs w:val="24"/>
      <w:lang w:eastAsia="pt-BR"/>
    </w:rPr>
  </w:style>
  <w:style w:type="paragraph" w:styleId="BodyTextIndent3">
    <w:name w:val="Body Text Indent 3"/>
    <w:basedOn w:val="Normal"/>
    <w:link w:val="BodyTextIndent3Char"/>
    <w:uiPriority w:val="99"/>
    <w:semiHidden/>
    <w:unhideWhenUsed/>
    <w:qFormat/>
    <w:pPr>
      <w:widowControl/>
      <w:autoSpaceDE/>
      <w:autoSpaceDN/>
      <w:spacing w:after="120"/>
      <w:ind w:left="360"/>
    </w:pPr>
    <w:rPr>
      <w:sz w:val="16"/>
      <w:szCs w:val="16"/>
      <w:lang w:eastAsia="pt-BR"/>
    </w:rPr>
  </w:style>
  <w:style w:type="paragraph" w:styleId="BodyText">
    <w:name w:val="Body Text"/>
    <w:basedOn w:val="Normal"/>
    <w:link w:val="BodyTextChar"/>
    <w:uiPriority w:val="99"/>
    <w:qFormat/>
    <w:rPr>
      <w:sz w:val="20"/>
      <w:szCs w:val="20"/>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FirstIndent2">
    <w:name w:val="Body Text First Indent 2"/>
    <w:basedOn w:val="BodyTextIndent"/>
    <w:link w:val="BodyTextFirstIndent2Char"/>
    <w:uiPriority w:val="99"/>
    <w:semiHidden/>
    <w:unhideWhenUsed/>
    <w:qFormat/>
    <w:pPr>
      <w:spacing w:after="0"/>
      <w:ind w:firstLine="360"/>
    </w:pPr>
  </w:style>
  <w:style w:type="paragraph" w:styleId="List3">
    <w:name w:val="List 3"/>
    <w:basedOn w:val="Normal"/>
    <w:uiPriority w:val="99"/>
    <w:semiHidden/>
    <w:unhideWhenUsed/>
    <w:qFormat/>
    <w:pPr>
      <w:widowControl/>
      <w:autoSpaceDE/>
      <w:autoSpaceDN/>
      <w:ind w:left="1080" w:hanging="360"/>
      <w:contextualSpacing/>
    </w:pPr>
    <w:rPr>
      <w:sz w:val="24"/>
      <w:szCs w:val="24"/>
      <w:lang w:eastAsia="pt-BR"/>
    </w:rPr>
  </w:style>
  <w:style w:type="paragraph" w:styleId="Index5">
    <w:name w:val="index 5"/>
    <w:basedOn w:val="Normal"/>
    <w:next w:val="Normal"/>
    <w:uiPriority w:val="99"/>
    <w:semiHidden/>
    <w:unhideWhenUsed/>
    <w:qFormat/>
    <w:pPr>
      <w:widowControl/>
      <w:autoSpaceDE/>
      <w:autoSpaceDN/>
      <w:ind w:left="1200" w:hanging="240"/>
    </w:pPr>
    <w:rPr>
      <w:sz w:val="24"/>
      <w:szCs w:val="24"/>
      <w:lang w:eastAsia="pt-BR"/>
    </w:rPr>
  </w:style>
  <w:style w:type="paragraph" w:styleId="Date">
    <w:name w:val="Date"/>
    <w:basedOn w:val="Normal"/>
    <w:next w:val="Normal"/>
    <w:link w:val="DateChar"/>
    <w:uiPriority w:val="99"/>
    <w:semiHidden/>
    <w:unhideWhenUsed/>
    <w:qFormat/>
    <w:pPr>
      <w:widowControl/>
      <w:autoSpaceDE/>
      <w:autoSpaceDN/>
    </w:pPr>
    <w:rPr>
      <w:sz w:val="24"/>
      <w:szCs w:val="24"/>
      <w:lang w:eastAsia="pt-BR"/>
    </w:rPr>
  </w:style>
  <w:style w:type="paragraph" w:styleId="BodyTextFirstIndent">
    <w:name w:val="Body Text First Indent"/>
    <w:basedOn w:val="BodyText"/>
    <w:link w:val="BodyTextFirstIndentChar"/>
    <w:uiPriority w:val="99"/>
    <w:semiHidden/>
    <w:unhideWhenUsed/>
    <w:qFormat/>
    <w:pPr>
      <w:widowControl/>
      <w:autoSpaceDE/>
      <w:autoSpaceDN/>
      <w:ind w:firstLine="360"/>
    </w:pPr>
    <w:rPr>
      <w:sz w:val="24"/>
      <w:szCs w:val="24"/>
      <w:lang w:eastAsia="pt-BR"/>
    </w:rPr>
  </w:style>
  <w:style w:type="paragraph" w:styleId="BodyTextIndent2">
    <w:name w:val="Body Text Indent 2"/>
    <w:basedOn w:val="Normal"/>
    <w:link w:val="BodyTextIndent2Char"/>
    <w:uiPriority w:val="99"/>
    <w:semiHidden/>
    <w:unhideWhenUsed/>
    <w:qFormat/>
    <w:pPr>
      <w:widowControl/>
      <w:autoSpaceDE/>
      <w:autoSpaceDN/>
      <w:spacing w:after="120" w:line="480" w:lineRule="auto"/>
      <w:ind w:left="360"/>
    </w:pPr>
    <w:rPr>
      <w:sz w:val="24"/>
      <w:szCs w:val="24"/>
      <w:lang w:eastAsia="pt-BR"/>
    </w:rPr>
  </w:style>
  <w:style w:type="paragraph" w:styleId="HTMLAddress">
    <w:name w:val="HTML Address"/>
    <w:basedOn w:val="Normal"/>
    <w:link w:val="HTMLAddressChar"/>
    <w:uiPriority w:val="99"/>
    <w:semiHidden/>
    <w:unhideWhenUsed/>
    <w:qFormat/>
    <w:pPr>
      <w:widowControl/>
      <w:autoSpaceDE/>
      <w:autoSpaceDN/>
    </w:pPr>
    <w:rPr>
      <w:i/>
      <w:iCs/>
      <w:sz w:val="24"/>
      <w:szCs w:val="24"/>
      <w:lang w:eastAsia="pt-BR"/>
    </w:rPr>
  </w:style>
  <w:style w:type="paragraph" w:styleId="List5">
    <w:name w:val="List 5"/>
    <w:basedOn w:val="Normal"/>
    <w:uiPriority w:val="99"/>
    <w:semiHidden/>
    <w:unhideWhenUsed/>
    <w:qFormat/>
    <w:pPr>
      <w:widowControl/>
      <w:autoSpaceDE/>
      <w:autoSpaceDN/>
      <w:ind w:left="1800" w:hanging="360"/>
      <w:contextualSpacing/>
    </w:pPr>
    <w:rPr>
      <w:sz w:val="24"/>
      <w:szCs w:val="24"/>
      <w:lang w:eastAsia="pt-BR"/>
    </w:rPr>
  </w:style>
  <w:style w:type="paragraph" w:styleId="ListContinue5">
    <w:name w:val="List Continue 5"/>
    <w:basedOn w:val="Normal"/>
    <w:uiPriority w:val="99"/>
    <w:semiHidden/>
    <w:unhideWhenUsed/>
    <w:qFormat/>
    <w:pPr>
      <w:widowControl/>
      <w:autoSpaceDE/>
      <w:autoSpaceDN/>
      <w:spacing w:after="120"/>
      <w:ind w:left="1800"/>
      <w:contextualSpacing/>
    </w:pPr>
    <w:rPr>
      <w:sz w:val="24"/>
      <w:szCs w:val="24"/>
      <w:lang w:eastAsia="pt-BR"/>
    </w:rPr>
  </w:style>
  <w:style w:type="paragraph" w:styleId="TOC8">
    <w:name w:val="toc 8"/>
    <w:basedOn w:val="Normal"/>
    <w:next w:val="Normal"/>
    <w:uiPriority w:val="39"/>
    <w:unhideWhenUsed/>
    <w:qFormat/>
    <w:pPr>
      <w:widowControl/>
      <w:autoSpaceDE/>
      <w:autoSpaceDN/>
      <w:spacing w:after="100"/>
      <w:ind w:left="1680"/>
    </w:pPr>
    <w:rPr>
      <w:sz w:val="24"/>
      <w:szCs w:val="24"/>
      <w:lang w:eastAsia="pt-BR"/>
    </w:rPr>
  </w:style>
  <w:style w:type="paragraph" w:styleId="Index7">
    <w:name w:val="index 7"/>
    <w:basedOn w:val="Normal"/>
    <w:next w:val="Normal"/>
    <w:uiPriority w:val="99"/>
    <w:semiHidden/>
    <w:unhideWhenUsed/>
    <w:qFormat/>
    <w:pPr>
      <w:widowControl/>
      <w:autoSpaceDE/>
      <w:autoSpaceDN/>
      <w:ind w:left="1680" w:hanging="240"/>
    </w:pPr>
    <w:rPr>
      <w:sz w:val="24"/>
      <w:szCs w:val="24"/>
      <w:lang w:eastAsia="pt-BR"/>
    </w:rPr>
  </w:style>
  <w:style w:type="paragraph" w:styleId="TOAHeading">
    <w:name w:val="toa heading"/>
    <w:basedOn w:val="Normal"/>
    <w:next w:val="Normal"/>
    <w:uiPriority w:val="99"/>
    <w:semiHidden/>
    <w:unhideWhenUsed/>
    <w:qFormat/>
    <w:pPr>
      <w:widowControl/>
      <w:autoSpaceDE/>
      <w:autoSpaceDN/>
      <w:spacing w:before="120"/>
    </w:pPr>
    <w:rPr>
      <w:rFonts w:asciiTheme="majorHAnsi" w:eastAsiaTheme="majorEastAsia" w:hAnsiTheme="majorHAnsi" w:cstheme="majorBidi"/>
      <w:b/>
      <w:bCs/>
      <w:sz w:val="24"/>
      <w:szCs w:val="24"/>
      <w:lang w:eastAsia="pt-BR"/>
    </w:rPr>
  </w:style>
  <w:style w:type="paragraph" w:styleId="PlainText">
    <w:name w:val="Plain Text"/>
    <w:basedOn w:val="Normal"/>
    <w:link w:val="PlainTextChar"/>
    <w:uiPriority w:val="99"/>
    <w:semiHidden/>
    <w:unhideWhenUsed/>
    <w:qFormat/>
    <w:pPr>
      <w:widowControl/>
      <w:autoSpaceDE/>
      <w:autoSpaceDN/>
    </w:pPr>
    <w:rPr>
      <w:rFonts w:ascii="Consolas" w:hAnsi="Consolas"/>
      <w:sz w:val="21"/>
      <w:szCs w:val="21"/>
      <w:lang w:eastAsia="pt-BR"/>
    </w:rPr>
  </w:style>
  <w:style w:type="paragraph" w:styleId="TOC4">
    <w:name w:val="toc 4"/>
    <w:basedOn w:val="Normal"/>
    <w:next w:val="Normal"/>
    <w:uiPriority w:val="39"/>
    <w:unhideWhenUsed/>
    <w:qFormat/>
    <w:pPr>
      <w:widowControl/>
      <w:autoSpaceDE/>
      <w:autoSpaceDN/>
      <w:spacing w:after="100"/>
      <w:ind w:left="720"/>
    </w:pPr>
    <w:rPr>
      <w:sz w:val="24"/>
      <w:szCs w:val="24"/>
      <w:lang w:eastAsia="pt-BR"/>
    </w:rPr>
  </w:style>
  <w:style w:type="paragraph" w:styleId="BodyText2">
    <w:name w:val="Body Text 2"/>
    <w:basedOn w:val="Normal"/>
    <w:link w:val="BodyText2Char"/>
    <w:uiPriority w:val="99"/>
    <w:semiHidden/>
    <w:unhideWhenUsed/>
    <w:qFormat/>
    <w:pPr>
      <w:widowControl/>
      <w:autoSpaceDE/>
      <w:autoSpaceDN/>
      <w:spacing w:after="120" w:line="480" w:lineRule="auto"/>
    </w:pPr>
    <w:rPr>
      <w:sz w:val="24"/>
      <w:szCs w:val="24"/>
      <w:lang w:eastAsia="pt-BR"/>
    </w:rPr>
  </w:style>
  <w:style w:type="paragraph" w:styleId="TOC7">
    <w:name w:val="toc 7"/>
    <w:basedOn w:val="Normal"/>
    <w:next w:val="Normal"/>
    <w:uiPriority w:val="39"/>
    <w:unhideWhenUsed/>
    <w:qFormat/>
    <w:pPr>
      <w:widowControl/>
      <w:autoSpaceDE/>
      <w:autoSpaceDN/>
      <w:spacing w:after="100"/>
      <w:ind w:left="1440"/>
    </w:pPr>
    <w:rPr>
      <w:sz w:val="24"/>
      <w:szCs w:val="24"/>
      <w:lang w:eastAsia="pt-BR"/>
    </w:rPr>
  </w:style>
  <w:style w:type="paragraph" w:styleId="Index6">
    <w:name w:val="index 6"/>
    <w:basedOn w:val="Normal"/>
    <w:next w:val="Normal"/>
    <w:uiPriority w:val="99"/>
    <w:semiHidden/>
    <w:unhideWhenUsed/>
    <w:qFormat/>
    <w:pPr>
      <w:widowControl/>
      <w:autoSpaceDE/>
      <w:autoSpaceDN/>
      <w:ind w:left="1440" w:hanging="240"/>
    </w:pPr>
    <w:rPr>
      <w:sz w:val="24"/>
      <w:szCs w:val="24"/>
      <w:lang w:eastAsia="pt-BR"/>
    </w:rPr>
  </w:style>
  <w:style w:type="paragraph" w:styleId="TOC3">
    <w:name w:val="toc 3"/>
    <w:basedOn w:val="Normal"/>
    <w:next w:val="Normal"/>
    <w:uiPriority w:val="39"/>
    <w:unhideWhenUsed/>
    <w:qFormat/>
    <w:pPr>
      <w:widowControl/>
      <w:autoSpaceDE/>
      <w:autoSpaceDN/>
      <w:spacing w:after="100"/>
      <w:ind w:left="480"/>
    </w:pPr>
    <w:rPr>
      <w:sz w:val="24"/>
      <w:szCs w:val="24"/>
      <w:lang w:eastAsia="pt-BR"/>
    </w:rPr>
  </w:style>
  <w:style w:type="paragraph" w:styleId="NormalWeb">
    <w:name w:val="Normal (Web)"/>
    <w:basedOn w:val="Normal"/>
    <w:link w:val="NormalWebChar"/>
    <w:unhideWhenUsed/>
    <w:qFormat/>
    <w:pPr>
      <w:widowControl/>
      <w:autoSpaceDE/>
      <w:autoSpaceDN/>
      <w:spacing w:before="100" w:beforeAutospacing="1" w:after="100" w:afterAutospacing="1"/>
    </w:pPr>
    <w:rPr>
      <w:rFonts w:eastAsiaTheme="minorEastAsia"/>
      <w:sz w:val="24"/>
      <w:szCs w:val="24"/>
    </w:rPr>
  </w:style>
  <w:style w:type="paragraph" w:styleId="Footer">
    <w:name w:val="footer"/>
    <w:basedOn w:val="Normal"/>
    <w:link w:val="FooterChar"/>
    <w:uiPriority w:val="99"/>
    <w:unhideWhenUsed/>
    <w:pPr>
      <w:tabs>
        <w:tab w:val="center" w:pos="4513"/>
        <w:tab w:val="right" w:pos="9026"/>
      </w:tabs>
    </w:pPr>
  </w:style>
  <w:style w:type="paragraph" w:styleId="List">
    <w:name w:val="List"/>
    <w:basedOn w:val="Normal"/>
    <w:uiPriority w:val="99"/>
    <w:semiHidden/>
    <w:unhideWhenUsed/>
    <w:qFormat/>
    <w:pPr>
      <w:widowControl/>
      <w:autoSpaceDE/>
      <w:autoSpaceDN/>
      <w:ind w:left="360" w:hanging="360"/>
      <w:contextualSpacing/>
    </w:pPr>
    <w:rPr>
      <w:sz w:val="24"/>
      <w:szCs w:val="24"/>
      <w:lang w:eastAsia="pt-BR"/>
    </w:rPr>
  </w:style>
  <w:style w:type="paragraph" w:styleId="EnvelopeAddress">
    <w:name w:val="envelope address"/>
    <w:basedOn w:val="Normal"/>
    <w:uiPriority w:val="99"/>
    <w:semiHidden/>
    <w:unhideWhenUsed/>
    <w:qFormat/>
    <w:pPr>
      <w:framePr w:w="7920" w:h="1980" w:hRule="exact" w:hSpace="180" w:wrap="auto" w:hAnchor="page" w:xAlign="center" w:yAlign="bottom"/>
      <w:widowControl/>
      <w:autoSpaceDE/>
      <w:autoSpaceDN/>
      <w:ind w:left="2880"/>
    </w:pPr>
    <w:rPr>
      <w:rFonts w:asciiTheme="majorHAnsi" w:eastAsiaTheme="majorEastAsia" w:hAnsiTheme="majorHAnsi" w:cstheme="majorBidi"/>
      <w:sz w:val="24"/>
      <w:szCs w:val="24"/>
      <w:lang w:eastAsia="pt-BR"/>
    </w:rPr>
  </w:style>
  <w:style w:type="paragraph" w:styleId="Index8">
    <w:name w:val="index 8"/>
    <w:basedOn w:val="Normal"/>
    <w:next w:val="Normal"/>
    <w:uiPriority w:val="99"/>
    <w:semiHidden/>
    <w:unhideWhenUsed/>
    <w:qFormat/>
    <w:pPr>
      <w:widowControl/>
      <w:autoSpaceDE/>
      <w:autoSpaceDN/>
      <w:ind w:left="1920" w:hanging="240"/>
    </w:pPr>
    <w:rPr>
      <w:sz w:val="24"/>
      <w:szCs w:val="24"/>
      <w:lang w:eastAsia="pt-BR"/>
    </w:rPr>
  </w:style>
  <w:style w:type="paragraph" w:styleId="Header">
    <w:name w:val="header"/>
    <w:basedOn w:val="Normal"/>
    <w:link w:val="HeaderChar"/>
    <w:uiPriority w:val="99"/>
    <w:unhideWhenUsed/>
    <w:pPr>
      <w:tabs>
        <w:tab w:val="center" w:pos="4513"/>
        <w:tab w:val="right" w:pos="9026"/>
      </w:tabs>
    </w:pPr>
  </w:style>
  <w:style w:type="paragraph" w:styleId="MacroText">
    <w:name w:val="macro"/>
    <w:link w:val="MacroTextChar"/>
    <w:uiPriority w:val="99"/>
    <w:semiHidden/>
    <w:unhideWhenUsed/>
    <w:qFormat/>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lang w:val="en-US" w:eastAsia="pt-BR"/>
    </w:rPr>
  </w:style>
  <w:style w:type="paragraph" w:styleId="ListContinue3">
    <w:name w:val="List Continue 3"/>
    <w:basedOn w:val="Normal"/>
    <w:uiPriority w:val="99"/>
    <w:semiHidden/>
    <w:unhideWhenUsed/>
    <w:qFormat/>
    <w:pPr>
      <w:widowControl/>
      <w:autoSpaceDE/>
      <w:autoSpaceDN/>
      <w:spacing w:after="120"/>
      <w:ind w:left="1080"/>
      <w:contextualSpacing/>
    </w:pPr>
    <w:rPr>
      <w:sz w:val="24"/>
      <w:szCs w:val="24"/>
      <w:lang w:eastAsia="pt-BR"/>
    </w:rPr>
  </w:style>
  <w:style w:type="paragraph" w:styleId="ListNumber2">
    <w:name w:val="List Number 2"/>
    <w:basedOn w:val="Normal"/>
    <w:uiPriority w:val="99"/>
    <w:semiHidden/>
    <w:unhideWhenUsed/>
    <w:qFormat/>
    <w:pPr>
      <w:widowControl/>
      <w:numPr>
        <w:numId w:val="7"/>
      </w:numPr>
      <w:autoSpaceDE/>
      <w:autoSpaceDN/>
      <w:contextualSpacing/>
    </w:pPr>
    <w:rPr>
      <w:sz w:val="24"/>
      <w:szCs w:val="24"/>
      <w:lang w:eastAsia="pt-BR"/>
    </w:rPr>
  </w:style>
  <w:style w:type="paragraph" w:styleId="TOC6">
    <w:name w:val="toc 6"/>
    <w:basedOn w:val="Normal"/>
    <w:next w:val="Normal"/>
    <w:uiPriority w:val="39"/>
    <w:unhideWhenUsed/>
    <w:qFormat/>
    <w:pPr>
      <w:widowControl/>
      <w:autoSpaceDE/>
      <w:autoSpaceDN/>
      <w:spacing w:after="100"/>
      <w:ind w:left="1200"/>
    </w:pPr>
    <w:rPr>
      <w:sz w:val="24"/>
      <w:szCs w:val="24"/>
      <w:lang w:eastAsia="pt-BR"/>
    </w:rPr>
  </w:style>
  <w:style w:type="paragraph" w:styleId="IndexHeading">
    <w:name w:val="index heading"/>
    <w:basedOn w:val="Normal"/>
    <w:next w:val="Index1"/>
    <w:uiPriority w:val="99"/>
    <w:semiHidden/>
    <w:unhideWhenUsed/>
    <w:qFormat/>
    <w:pPr>
      <w:widowControl/>
      <w:autoSpaceDE/>
      <w:autoSpaceDN/>
    </w:pPr>
    <w:rPr>
      <w:rFonts w:asciiTheme="majorHAnsi" w:eastAsiaTheme="majorEastAsia" w:hAnsiTheme="majorHAnsi" w:cstheme="majorBidi"/>
      <w:b/>
      <w:bCs/>
      <w:sz w:val="24"/>
      <w:szCs w:val="24"/>
      <w:lang w:eastAsia="pt-BR"/>
    </w:rPr>
  </w:style>
  <w:style w:type="paragraph" w:styleId="TOC2">
    <w:name w:val="toc 2"/>
    <w:basedOn w:val="Normal"/>
    <w:next w:val="Normal"/>
    <w:uiPriority w:val="39"/>
    <w:unhideWhenUsed/>
    <w:qFormat/>
    <w:pPr>
      <w:widowControl/>
      <w:autoSpaceDE/>
      <w:autoSpaceDN/>
      <w:spacing w:after="100"/>
      <w:ind w:left="240"/>
    </w:pPr>
    <w:rPr>
      <w:sz w:val="24"/>
      <w:szCs w:val="24"/>
      <w:lang w:eastAsia="pt-BR"/>
    </w:rPr>
  </w:style>
  <w:style w:type="paragraph" w:styleId="ListBullet3">
    <w:name w:val="List Bullet 3"/>
    <w:basedOn w:val="Normal"/>
    <w:uiPriority w:val="99"/>
    <w:semiHidden/>
    <w:unhideWhenUsed/>
    <w:qFormat/>
    <w:pPr>
      <w:widowControl/>
      <w:numPr>
        <w:numId w:val="8"/>
      </w:numPr>
      <w:autoSpaceDE/>
      <w:autoSpaceDN/>
      <w:contextualSpacing/>
    </w:pPr>
    <w:rPr>
      <w:sz w:val="24"/>
      <w:szCs w:val="24"/>
      <w:lang w:eastAsia="pt-BR"/>
    </w:rPr>
  </w:style>
  <w:style w:type="paragraph" w:styleId="List2">
    <w:name w:val="List 2"/>
    <w:basedOn w:val="Normal"/>
    <w:uiPriority w:val="99"/>
    <w:semiHidden/>
    <w:unhideWhenUsed/>
    <w:qFormat/>
    <w:pPr>
      <w:widowControl/>
      <w:autoSpaceDE/>
      <w:autoSpaceDN/>
      <w:ind w:left="720" w:hanging="360"/>
      <w:contextualSpacing/>
    </w:pPr>
    <w:rPr>
      <w:sz w:val="24"/>
      <w:szCs w:val="24"/>
      <w:lang w:eastAsia="pt-BR"/>
    </w:rPr>
  </w:style>
  <w:style w:type="paragraph" w:styleId="Index2">
    <w:name w:val="index 2"/>
    <w:basedOn w:val="Normal"/>
    <w:next w:val="Normal"/>
    <w:uiPriority w:val="99"/>
    <w:semiHidden/>
    <w:unhideWhenUsed/>
    <w:qFormat/>
    <w:pPr>
      <w:widowControl/>
      <w:autoSpaceDE/>
      <w:autoSpaceDN/>
      <w:ind w:left="480" w:hanging="240"/>
    </w:pPr>
    <w:rPr>
      <w:sz w:val="24"/>
      <w:szCs w:val="24"/>
      <w:lang w:eastAsia="pt-BR"/>
    </w:rPr>
  </w:style>
  <w:style w:type="paragraph" w:styleId="ListContinue">
    <w:name w:val="List Continue"/>
    <w:basedOn w:val="Normal"/>
    <w:uiPriority w:val="99"/>
    <w:semiHidden/>
    <w:unhideWhenUsed/>
    <w:qFormat/>
    <w:pPr>
      <w:widowControl/>
      <w:autoSpaceDE/>
      <w:autoSpaceDN/>
      <w:spacing w:after="120"/>
      <w:ind w:left="360"/>
      <w:contextualSpacing/>
    </w:pPr>
    <w:rPr>
      <w:sz w:val="24"/>
      <w:szCs w:val="24"/>
      <w:lang w:eastAsia="pt-BR"/>
    </w:rPr>
  </w:style>
  <w:style w:type="paragraph" w:styleId="Signature">
    <w:name w:val="Signature"/>
    <w:basedOn w:val="Normal"/>
    <w:link w:val="SignatureChar"/>
    <w:uiPriority w:val="99"/>
    <w:semiHidden/>
    <w:unhideWhenUsed/>
    <w:qFormat/>
    <w:pPr>
      <w:widowControl/>
      <w:autoSpaceDE/>
      <w:autoSpaceDN/>
      <w:ind w:left="4320"/>
    </w:pPr>
    <w:rPr>
      <w:sz w:val="24"/>
      <w:szCs w:val="24"/>
      <w:lang w:eastAsia="pt-BR"/>
    </w:rPr>
  </w:style>
  <w:style w:type="paragraph" w:styleId="ListBullet4">
    <w:name w:val="List Bullet 4"/>
    <w:basedOn w:val="Normal"/>
    <w:uiPriority w:val="99"/>
    <w:semiHidden/>
    <w:unhideWhenUsed/>
    <w:qFormat/>
    <w:pPr>
      <w:widowControl/>
      <w:numPr>
        <w:numId w:val="9"/>
      </w:numPr>
      <w:autoSpaceDE/>
      <w:autoSpaceDN/>
      <w:contextualSpacing/>
    </w:pPr>
    <w:rPr>
      <w:sz w:val="24"/>
      <w:szCs w:val="24"/>
      <w:lang w:eastAsia="pt-BR"/>
    </w:rPr>
  </w:style>
  <w:style w:type="paragraph" w:styleId="NormalIndent">
    <w:name w:val="Normal Indent"/>
    <w:basedOn w:val="Normal"/>
    <w:uiPriority w:val="99"/>
    <w:semiHidden/>
    <w:unhideWhenUsed/>
    <w:qFormat/>
    <w:pPr>
      <w:widowControl/>
      <w:autoSpaceDE/>
      <w:autoSpaceDN/>
      <w:ind w:left="720"/>
    </w:pPr>
    <w:rPr>
      <w:sz w:val="24"/>
      <w:szCs w:val="24"/>
      <w:lang w:eastAsia="pt-BR"/>
    </w:rPr>
  </w:style>
  <w:style w:type="paragraph" w:styleId="ListBullet">
    <w:name w:val="List Bullet"/>
    <w:basedOn w:val="Normal"/>
    <w:uiPriority w:val="99"/>
    <w:semiHidden/>
    <w:unhideWhenUsed/>
    <w:qFormat/>
    <w:pPr>
      <w:widowControl/>
      <w:numPr>
        <w:numId w:val="10"/>
      </w:numPr>
      <w:autoSpaceDE/>
      <w:autoSpaceDN/>
      <w:contextualSpacing/>
    </w:pPr>
    <w:rPr>
      <w:sz w:val="24"/>
      <w:szCs w:val="24"/>
      <w:lang w:eastAsia="pt-BR"/>
    </w:rPr>
  </w:style>
  <w:style w:type="paragraph" w:styleId="Salutation">
    <w:name w:val="Salutation"/>
    <w:basedOn w:val="Normal"/>
    <w:next w:val="Normal"/>
    <w:link w:val="SalutationChar"/>
    <w:uiPriority w:val="99"/>
    <w:semiHidden/>
    <w:unhideWhenUsed/>
    <w:qFormat/>
    <w:pPr>
      <w:widowControl/>
      <w:autoSpaceDE/>
      <w:autoSpaceDN/>
    </w:pPr>
    <w:rPr>
      <w:sz w:val="24"/>
      <w:szCs w:val="24"/>
      <w:lang w:eastAsia="pt-BR"/>
    </w:rPr>
  </w:style>
  <w:style w:type="paragraph" w:styleId="TableofFigures">
    <w:name w:val="table of figures"/>
    <w:basedOn w:val="Normal"/>
    <w:next w:val="Normal"/>
    <w:uiPriority w:val="99"/>
    <w:unhideWhenUsed/>
    <w:qFormat/>
    <w:pPr>
      <w:widowControl/>
      <w:autoSpaceDE/>
      <w:autoSpaceDN/>
    </w:pPr>
    <w:rPr>
      <w:sz w:val="24"/>
      <w:szCs w:val="24"/>
      <w:lang w:eastAsia="pt-BR"/>
    </w:rPr>
  </w:style>
  <w:style w:type="paragraph" w:styleId="Title">
    <w:name w:val="Title"/>
    <w:basedOn w:val="Normal"/>
    <w:link w:val="TitleChar"/>
    <w:uiPriority w:val="10"/>
    <w:qFormat/>
    <w:pPr>
      <w:ind w:left="835" w:right="820"/>
      <w:jc w:val="center"/>
    </w:pPr>
    <w:rPr>
      <w:b/>
      <w:bCs/>
      <w:sz w:val="32"/>
      <w:szCs w:val="32"/>
    </w:rPr>
  </w:style>
  <w:style w:type="paragraph" w:styleId="TOC1">
    <w:name w:val="toc 1"/>
    <w:basedOn w:val="Normal"/>
    <w:next w:val="Normal"/>
    <w:uiPriority w:val="39"/>
    <w:unhideWhenUsed/>
    <w:qFormat/>
    <w:pPr>
      <w:widowControl/>
      <w:autoSpaceDE/>
      <w:autoSpaceDN/>
      <w:spacing w:after="100"/>
    </w:pPr>
    <w:rPr>
      <w:sz w:val="24"/>
      <w:szCs w:val="24"/>
      <w:lang w:eastAsia="pt-BR"/>
    </w:rPr>
  </w:style>
  <w:style w:type="paragraph" w:styleId="ListParagraph">
    <w:name w:val="List Paragraph"/>
    <w:basedOn w:val="Normal"/>
    <w:link w:val="ListParagraphChar"/>
    <w:uiPriority w:val="34"/>
    <w:qFormat/>
    <w:pPr>
      <w:ind w:left="960" w:hanging="360"/>
      <w:jc w:val="both"/>
    </w:pPr>
  </w:style>
  <w:style w:type="paragraph" w:customStyle="1" w:styleId="TableParagraph">
    <w:name w:val="Table Paragraph"/>
    <w:basedOn w:val="Normal"/>
    <w:uiPriority w:val="1"/>
    <w:qFormat/>
    <w:pPr>
      <w:ind w:left="108"/>
    </w:pPr>
  </w:style>
  <w:style w:type="character" w:customStyle="1" w:styleId="HeaderChar">
    <w:name w:val="Header Char"/>
    <w:basedOn w:val="DefaultParagraphFont"/>
    <w:link w:val="Header"/>
    <w:uiPriority w:val="99"/>
    <w:qFormat/>
    <w:rPr>
      <w:rFonts w:ascii="Times New Roman" w:eastAsia="Times New Roman" w:hAnsi="Times New Roman" w:cs="Times New Roman"/>
    </w:rPr>
  </w:style>
  <w:style w:type="character" w:customStyle="1" w:styleId="FooterChar">
    <w:name w:val="Footer Char"/>
    <w:basedOn w:val="DefaultParagraphFont"/>
    <w:link w:val="Footer"/>
    <w:uiPriority w:val="99"/>
    <w:qFormat/>
    <w:rPr>
      <w:rFonts w:ascii="Times New Roman" w:eastAsia="Times New Roman" w:hAnsi="Times New Roman" w:cs="Times New Roman"/>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customStyle="1" w:styleId="EndNoteBibliography">
    <w:name w:val="EndNote Bibliography"/>
    <w:basedOn w:val="Normal"/>
    <w:link w:val="EndNoteBibliographyZchn"/>
    <w:qFormat/>
    <w:pPr>
      <w:widowControl/>
      <w:autoSpaceDE/>
      <w:autoSpaceDN/>
      <w:spacing w:after="160"/>
    </w:pPr>
    <w:rPr>
      <w:rFonts w:ascii="Calibri" w:eastAsiaTheme="minorHAnsi" w:hAnsi="Calibri" w:cs="Calibri"/>
    </w:rPr>
  </w:style>
  <w:style w:type="character" w:customStyle="1" w:styleId="EndNoteBibliographyZchn">
    <w:name w:val="EndNote Bibliography Zchn"/>
    <w:basedOn w:val="DefaultParagraphFont"/>
    <w:link w:val="EndNoteBibliography"/>
    <w:qFormat/>
    <w:rPr>
      <w:rFonts w:ascii="Calibri" w:hAnsi="Calibri" w:cs="Calibri"/>
    </w:rPr>
  </w:style>
  <w:style w:type="character" w:customStyle="1" w:styleId="docsum-authors">
    <w:name w:val="docsum-authors"/>
    <w:basedOn w:val="DefaultParagraphFont"/>
    <w:qFormat/>
  </w:style>
  <w:style w:type="character" w:customStyle="1" w:styleId="docsum-journal-citation">
    <w:name w:val="docsum-journal-citation"/>
    <w:basedOn w:val="DefaultParagraphFont"/>
    <w:qFormat/>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leEmphasis1">
    <w:name w:val="Subtle Emphasis1"/>
    <w:basedOn w:val="DefaultParagraphFont"/>
    <w:uiPriority w:val="19"/>
    <w:qFormat/>
    <w:rPr>
      <w:i/>
      <w:iCs/>
    </w:rPr>
  </w:style>
  <w:style w:type="paragraph" w:styleId="NoSpacing">
    <w:name w:val="No Spacing"/>
    <w:link w:val="NoSpacingChar"/>
    <w:uiPriority w:val="1"/>
    <w:qFormat/>
    <w:rPr>
      <w:rFonts w:ascii="Times New Roman" w:eastAsia="Times New Roman" w:hAnsi="Times New Roman" w:cs="Times New Roman"/>
      <w:sz w:val="22"/>
      <w:szCs w:val="22"/>
      <w:lang w:val="en-US" w:eastAsia="en-US"/>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uiPriority w:val="99"/>
    <w:qFormat/>
    <w:rPr>
      <w:rFonts w:ascii="Times New Roman" w:eastAsia="Times New Roman" w:hAnsi="Times New Roman" w:cs="Times New Roman"/>
      <w:sz w:val="20"/>
      <w:szCs w:val="20"/>
    </w:rPr>
  </w:style>
  <w:style w:type="paragraph" w:customStyle="1" w:styleId="p">
    <w:name w:val="p"/>
    <w:basedOn w:val="Normal"/>
    <w:qFormat/>
    <w:pPr>
      <w:widowControl/>
      <w:autoSpaceDE/>
      <w:autoSpaceDN/>
      <w:spacing w:before="100" w:beforeAutospacing="1" w:after="100" w:afterAutospacing="1"/>
    </w:pPr>
    <w:rPr>
      <w:sz w:val="24"/>
      <w:szCs w:val="24"/>
    </w:rPr>
  </w:style>
  <w:style w:type="character" w:customStyle="1" w:styleId="EndNoteBibliographyChar">
    <w:name w:val="EndNote Bibliography Char"/>
    <w:basedOn w:val="DefaultParagraphFont"/>
    <w:qFormat/>
    <w:rPr>
      <w:rFonts w:ascii="Calibri" w:hAnsi="Calibri" w:cs="Calibri"/>
    </w:rPr>
  </w:style>
  <w:style w:type="paragraph" w:customStyle="1" w:styleId="paragraph">
    <w:name w:val="paragraph"/>
    <w:basedOn w:val="Normal"/>
    <w:qFormat/>
    <w:pPr>
      <w:widowControl/>
      <w:autoSpaceDE/>
      <w:autoSpaceDN/>
    </w:pPr>
    <w:rPr>
      <w:rFonts w:ascii="Calibri" w:eastAsiaTheme="minorHAnsi" w:hAnsi="Calibri" w:cs="Calibri"/>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FootnoteTextChar">
    <w:name w:val="Footnote Text Char"/>
    <w:basedOn w:val="DefaultParagraphFont"/>
    <w:link w:val="FootnoteText"/>
    <w:uiPriority w:val="99"/>
    <w:qFormat/>
    <w:rPr>
      <w:rFonts w:ascii="Times New Roman" w:hAnsi="Times New Roman" w:cs="Times New Roman"/>
      <w:sz w:val="20"/>
      <w:szCs w:val="20"/>
    </w:r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365F91" w:themeColor="accent1" w:themeShade="BF"/>
      <w:sz w:val="24"/>
      <w:szCs w:val="24"/>
      <w:lang w:eastAsia="pt-BR"/>
    </w:rPr>
  </w:style>
  <w:style w:type="character" w:customStyle="1" w:styleId="Heading5Char">
    <w:name w:val="Heading 5 Char"/>
    <w:basedOn w:val="DefaultParagraphFont"/>
    <w:link w:val="Heading5"/>
    <w:uiPriority w:val="9"/>
    <w:qFormat/>
    <w:rPr>
      <w:rFonts w:asciiTheme="majorHAnsi" w:eastAsiaTheme="majorEastAsia" w:hAnsiTheme="majorHAnsi" w:cstheme="majorBidi"/>
      <w:color w:val="365F91" w:themeColor="accent1" w:themeShade="BF"/>
      <w:sz w:val="24"/>
      <w:szCs w:val="24"/>
      <w:lang w:eastAsia="pt-BR"/>
    </w:rPr>
  </w:style>
  <w:style w:type="character" w:customStyle="1" w:styleId="Heading6Char">
    <w:name w:val="Heading 6 Char"/>
    <w:basedOn w:val="DefaultParagraphFont"/>
    <w:link w:val="Heading6"/>
    <w:uiPriority w:val="9"/>
    <w:qFormat/>
    <w:rPr>
      <w:rFonts w:asciiTheme="majorHAnsi" w:eastAsiaTheme="majorEastAsia" w:hAnsiTheme="majorHAnsi" w:cstheme="majorBidi"/>
      <w:color w:val="244061" w:themeColor="accent1" w:themeShade="80"/>
      <w:sz w:val="24"/>
      <w:szCs w:val="24"/>
      <w:lang w:eastAsia="pt-BR"/>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244061" w:themeColor="accent1" w:themeShade="80"/>
      <w:sz w:val="24"/>
      <w:szCs w:val="24"/>
      <w:lang w:eastAsia="pt-BR"/>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262626" w:themeColor="text1" w:themeTint="D9"/>
      <w:sz w:val="21"/>
      <w:szCs w:val="21"/>
      <w:lang w:eastAsia="pt-BR"/>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262626" w:themeColor="text1" w:themeTint="D9"/>
      <w:sz w:val="21"/>
      <w:szCs w:val="21"/>
      <w:lang w:eastAsia="pt-BR"/>
    </w:rPr>
  </w:style>
  <w:style w:type="character" w:customStyle="1" w:styleId="CommentTextChar">
    <w:name w:val="Comment Text Char"/>
    <w:basedOn w:val="DefaultParagraphFont"/>
    <w:link w:val="CommentText"/>
    <w:uiPriority w:val="99"/>
    <w:qFormat/>
    <w:rPr>
      <w:rFonts w:ascii="Tahoma" w:eastAsia="Calibri" w:hAnsi="Tahoma" w:cs="Tahoma"/>
      <w:sz w:val="16"/>
      <w:szCs w:val="20"/>
      <w:lang w:eastAsia="pt-BR"/>
    </w:rPr>
  </w:style>
  <w:style w:type="paragraph" w:customStyle="1" w:styleId="Corpo">
    <w:name w:val="Corpo"/>
    <w:qFormat/>
    <w:rPr>
      <w:rFonts w:ascii="Helvetica Neue" w:eastAsia="Arial Unicode MS" w:hAnsi="Helvetica Neue" w:cs="Arial Unicode MS"/>
      <w:color w:val="000000"/>
      <w:sz w:val="22"/>
      <w:szCs w:val="22"/>
      <w:lang w:val="en-US" w:eastAsia="en-US"/>
    </w:rPr>
  </w:style>
  <w:style w:type="character" w:customStyle="1" w:styleId="CommentSubjectChar">
    <w:name w:val="Comment Subject Char"/>
    <w:basedOn w:val="CommentTextChar"/>
    <w:link w:val="CommentSubject"/>
    <w:uiPriority w:val="99"/>
    <w:semiHidden/>
    <w:qFormat/>
    <w:rPr>
      <w:rFonts w:ascii="Tahoma" w:eastAsia="Times New Roman" w:hAnsi="Tahoma" w:cs="Tahoma"/>
      <w:b/>
      <w:bCs/>
      <w:sz w:val="16"/>
      <w:szCs w:val="20"/>
      <w:lang w:eastAsia="pt-BR"/>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rPr>
  </w:style>
  <w:style w:type="character" w:customStyle="1" w:styleId="apple-tab-span">
    <w:name w:val="apple-tab-span"/>
    <w:basedOn w:val="DefaultParagraphFont"/>
    <w:qFormat/>
  </w:style>
  <w:style w:type="paragraph" w:customStyle="1" w:styleId="Revision1">
    <w:name w:val="Revision1"/>
    <w:hidden/>
    <w:uiPriority w:val="99"/>
    <w:semiHidden/>
    <w:qFormat/>
    <w:rPr>
      <w:rFonts w:ascii="Times New Roman" w:eastAsia="Times New Roman" w:hAnsi="Times New Roman" w:cs="Times New Roman"/>
      <w:sz w:val="24"/>
      <w:szCs w:val="24"/>
      <w:lang w:val="en-US" w:eastAsia="pt-BR"/>
    </w:rPr>
  </w:style>
  <w:style w:type="paragraph" w:customStyle="1" w:styleId="Bibliography1">
    <w:name w:val="Bibliography1"/>
    <w:basedOn w:val="Normal"/>
    <w:next w:val="Normal"/>
    <w:uiPriority w:val="37"/>
    <w:unhideWhenUsed/>
    <w:qFormat/>
    <w:pPr>
      <w:widowControl/>
      <w:autoSpaceDE/>
      <w:autoSpaceDN/>
    </w:pPr>
    <w:rPr>
      <w:sz w:val="24"/>
      <w:szCs w:val="24"/>
      <w:lang w:eastAsia="pt-BR"/>
    </w:rPr>
  </w:style>
  <w:style w:type="character" w:customStyle="1" w:styleId="BodyText2Char">
    <w:name w:val="Body Text 2 Char"/>
    <w:basedOn w:val="DefaultParagraphFont"/>
    <w:link w:val="BodyText2"/>
    <w:uiPriority w:val="99"/>
    <w:semiHidden/>
    <w:qFormat/>
    <w:rPr>
      <w:rFonts w:ascii="Times New Roman" w:eastAsia="Times New Roman" w:hAnsi="Times New Roman" w:cs="Times New Roman"/>
      <w:sz w:val="24"/>
      <w:szCs w:val="24"/>
      <w:lang w:eastAsia="pt-BR"/>
    </w:r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eastAsia="pt-BR"/>
    </w:rPr>
  </w:style>
  <w:style w:type="character" w:customStyle="1" w:styleId="BodyTextFirstIndentChar">
    <w:name w:val="Body Text First Indent Char"/>
    <w:basedOn w:val="BodyTextChar"/>
    <w:link w:val="BodyTextFirstIndent"/>
    <w:uiPriority w:val="99"/>
    <w:semiHidden/>
    <w:qFormat/>
    <w:rPr>
      <w:rFonts w:ascii="Times New Roman" w:eastAsia="Times New Roman" w:hAnsi="Times New Roman" w:cs="Times New Roman"/>
      <w:sz w:val="24"/>
      <w:szCs w:val="24"/>
      <w:lang w:eastAsia="pt-BR"/>
    </w:rPr>
  </w:style>
  <w:style w:type="character" w:customStyle="1" w:styleId="BodyTextIndentChar">
    <w:name w:val="Body Text Indent Char"/>
    <w:basedOn w:val="DefaultParagraphFont"/>
    <w:link w:val="BodyTextIndent"/>
    <w:semiHidden/>
    <w:qFormat/>
    <w:rPr>
      <w:rFonts w:ascii="Times New Roman" w:eastAsia="Times New Roman" w:hAnsi="Times New Roman" w:cs="Times New Roman"/>
      <w:sz w:val="24"/>
      <w:szCs w:val="24"/>
      <w:lang w:eastAsia="pt-BR"/>
    </w:rPr>
  </w:style>
  <w:style w:type="character" w:customStyle="1" w:styleId="BodyTextFirstIndent2Char">
    <w:name w:val="Body Text First Indent 2 Char"/>
    <w:basedOn w:val="BodyTextIndentChar"/>
    <w:link w:val="BodyTextFirstIndent2"/>
    <w:uiPriority w:val="99"/>
    <w:semiHidden/>
    <w:qFormat/>
    <w:rPr>
      <w:rFonts w:ascii="Times New Roman" w:eastAsia="Times New Roman" w:hAnsi="Times New Roman" w:cs="Times New Roman"/>
      <w:sz w:val="24"/>
      <w:szCs w:val="24"/>
      <w:lang w:eastAsia="pt-BR"/>
    </w:rPr>
  </w:style>
  <w:style w:type="character" w:customStyle="1" w:styleId="BodyTextIndent2Char">
    <w:name w:val="Body Text Indent 2 Char"/>
    <w:basedOn w:val="DefaultParagraphFont"/>
    <w:link w:val="BodyTextIndent2"/>
    <w:uiPriority w:val="99"/>
    <w:semiHidden/>
    <w:qFormat/>
    <w:rPr>
      <w:rFonts w:ascii="Times New Roman" w:eastAsia="Times New Roman" w:hAnsi="Times New Roman" w:cs="Times New Roman"/>
      <w:sz w:val="24"/>
      <w:szCs w:val="24"/>
      <w:lang w:eastAsia="pt-BR"/>
    </w:rPr>
  </w:style>
  <w:style w:type="character" w:customStyle="1" w:styleId="BodyTextIndent3Char">
    <w:name w:val="Body Text Indent 3 Char"/>
    <w:basedOn w:val="DefaultParagraphFont"/>
    <w:link w:val="BodyTextIndent3"/>
    <w:uiPriority w:val="99"/>
    <w:semiHidden/>
    <w:qFormat/>
    <w:rPr>
      <w:rFonts w:ascii="Times New Roman" w:eastAsia="Times New Roman" w:hAnsi="Times New Roman" w:cs="Times New Roman"/>
      <w:sz w:val="16"/>
      <w:szCs w:val="16"/>
      <w:lang w:eastAsia="pt-BR"/>
    </w:rPr>
  </w:style>
  <w:style w:type="character" w:customStyle="1" w:styleId="BookTitle1">
    <w:name w:val="Book Title1"/>
    <w:basedOn w:val="DefaultParagraphFont"/>
    <w:uiPriority w:val="33"/>
    <w:qFormat/>
    <w:rPr>
      <w:b/>
      <w:bCs/>
      <w:i/>
      <w:iCs/>
      <w:spacing w:val="5"/>
    </w:rPr>
  </w:style>
  <w:style w:type="character" w:customStyle="1" w:styleId="ClosingChar">
    <w:name w:val="Closing Char"/>
    <w:basedOn w:val="DefaultParagraphFont"/>
    <w:link w:val="Closing"/>
    <w:uiPriority w:val="99"/>
    <w:semiHidden/>
    <w:qFormat/>
    <w:rPr>
      <w:rFonts w:ascii="Times New Roman" w:eastAsia="Times New Roman" w:hAnsi="Times New Roman" w:cs="Times New Roman"/>
      <w:sz w:val="24"/>
      <w:szCs w:val="24"/>
      <w:lang w:eastAsia="pt-BR"/>
    </w:rPr>
  </w:style>
  <w:style w:type="table" w:styleId="ColorfulGrid">
    <w:name w:val="Colorful Grid"/>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unhideWhenUsed/>
    <w:rPr>
      <w:rFonts w:eastAsiaTheme="minorEastAsia"/>
      <w:color w:val="000000" w:themeColor="text1"/>
      <w:sz w:val="24"/>
      <w:szCs w:val="24"/>
      <w:lang w:val="pt-BR"/>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unhideWhenUsed/>
    <w:qFormat/>
    <w:rPr>
      <w:rFonts w:eastAsiaTheme="minorEastAsia"/>
      <w:color w:val="000000" w:themeColor="text1"/>
      <w:sz w:val="24"/>
      <w:szCs w:val="24"/>
      <w:lang w:val="pt-BR"/>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qFormat/>
    <w:rPr>
      <w:rFonts w:eastAsiaTheme="minorEastAsia"/>
      <w:color w:val="000000" w:themeColor="text1"/>
      <w:sz w:val="24"/>
      <w:szCs w:val="24"/>
      <w:lang w:val="pt-BR"/>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unhideWhenUsed/>
    <w:qFormat/>
    <w:rPr>
      <w:rFonts w:eastAsiaTheme="minorEastAsia"/>
      <w:color w:val="000000" w:themeColor="text1"/>
      <w:sz w:val="24"/>
      <w:szCs w:val="24"/>
      <w:lang w:val="pt-BR"/>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unhideWhenUsed/>
    <w:qFormat/>
    <w:rPr>
      <w:rFonts w:eastAsiaTheme="minorEastAsia"/>
      <w:color w:val="000000" w:themeColor="text1"/>
      <w:sz w:val="24"/>
      <w:szCs w:val="24"/>
      <w:lang w:val="pt-BR"/>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unhideWhenUsed/>
    <w:qFormat/>
    <w:rPr>
      <w:rFonts w:eastAsiaTheme="minorEastAsia"/>
      <w:color w:val="000000" w:themeColor="text1"/>
      <w:sz w:val="24"/>
      <w:szCs w:val="24"/>
      <w:lang w:val="pt-BR"/>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unhideWhenUsed/>
    <w:qFormat/>
    <w:rPr>
      <w:rFonts w:eastAsiaTheme="minorEastAsia"/>
      <w:color w:val="000000" w:themeColor="text1"/>
      <w:sz w:val="24"/>
      <w:szCs w:val="24"/>
      <w:lang w:val="pt-BR"/>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unhideWhenUsed/>
    <w:rPr>
      <w:rFonts w:eastAsiaTheme="minorEastAsia"/>
      <w:color w:val="000000" w:themeColor="text1"/>
      <w:sz w:val="24"/>
      <w:szCs w:val="24"/>
      <w:lang w:val="pt-BR"/>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unhideWhenUsed/>
    <w:rPr>
      <w:rFonts w:eastAsiaTheme="minorEastAsia"/>
      <w:color w:val="000000" w:themeColor="text1"/>
      <w:sz w:val="24"/>
      <w:szCs w:val="24"/>
      <w:lang w:val="pt-BR"/>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qFormat/>
    <w:rPr>
      <w:rFonts w:eastAsiaTheme="minorEastAsia"/>
      <w:color w:val="000000" w:themeColor="text1"/>
      <w:sz w:val="24"/>
      <w:szCs w:val="24"/>
      <w:lang w:val="pt-BR"/>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qFormat/>
    <w:rPr>
      <w:rFonts w:eastAsiaTheme="minorEastAsia"/>
      <w:color w:val="000000" w:themeColor="text1"/>
      <w:sz w:val="24"/>
      <w:szCs w:val="24"/>
      <w:lang w:val="pt-BR"/>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Pr>
      <w:rFonts w:eastAsiaTheme="minorEastAsia"/>
      <w:color w:val="000000" w:themeColor="text1"/>
      <w:sz w:val="24"/>
      <w:szCs w:val="24"/>
      <w:lang w:val="pt-BR"/>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unhideWhenUsed/>
    <w:qFormat/>
    <w:rPr>
      <w:rFonts w:eastAsiaTheme="minorEastAsia"/>
      <w:color w:val="000000" w:themeColor="text1"/>
      <w:sz w:val="24"/>
      <w:szCs w:val="24"/>
      <w:lang w:val="pt-BR"/>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qFormat/>
    <w:rPr>
      <w:rFonts w:eastAsiaTheme="minorEastAsia"/>
      <w:color w:val="000000" w:themeColor="text1"/>
      <w:sz w:val="24"/>
      <w:szCs w:val="24"/>
      <w:lang w:val="pt-BR"/>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qFormat/>
    <w:rPr>
      <w:rFonts w:eastAsiaTheme="minorEastAsia"/>
      <w:color w:val="000000" w:themeColor="text1"/>
      <w:sz w:val="24"/>
      <w:szCs w:val="24"/>
      <w:lang w:val="pt-BR"/>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qFormat/>
    <w:rPr>
      <w:rFonts w:eastAsiaTheme="minorEastAsia"/>
      <w:color w:val="FFFFFF" w:themeColor="background1"/>
      <w:sz w:val="24"/>
      <w:szCs w:val="24"/>
      <w:lang w:val="pt-BR"/>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qFormat/>
    <w:rPr>
      <w:rFonts w:eastAsiaTheme="minorEastAsia"/>
      <w:color w:val="FFFFFF" w:themeColor="background1"/>
      <w:sz w:val="24"/>
      <w:szCs w:val="24"/>
      <w:lang w:val="pt-BR"/>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unhideWhenUsed/>
    <w:qFormat/>
    <w:rPr>
      <w:rFonts w:eastAsiaTheme="minorEastAsia"/>
      <w:color w:val="FFFFFF" w:themeColor="background1"/>
      <w:sz w:val="24"/>
      <w:szCs w:val="24"/>
      <w:lang w:val="pt-BR"/>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unhideWhenUsed/>
    <w:qFormat/>
    <w:rPr>
      <w:rFonts w:eastAsiaTheme="minorEastAsia"/>
      <w:color w:val="FFFFFF" w:themeColor="background1"/>
      <w:sz w:val="24"/>
      <w:szCs w:val="24"/>
      <w:lang w:val="pt-BR"/>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unhideWhenUsed/>
    <w:qFormat/>
    <w:rPr>
      <w:rFonts w:eastAsiaTheme="minorEastAsia"/>
      <w:color w:val="FFFFFF" w:themeColor="background1"/>
      <w:sz w:val="24"/>
      <w:szCs w:val="24"/>
      <w:lang w:val="pt-BR"/>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unhideWhenUsed/>
    <w:qFormat/>
    <w:rPr>
      <w:rFonts w:eastAsiaTheme="minorEastAsia"/>
      <w:color w:val="FFFFFF" w:themeColor="background1"/>
      <w:sz w:val="24"/>
      <w:szCs w:val="24"/>
      <w:lang w:val="pt-BR"/>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unhideWhenUsed/>
    <w:qFormat/>
    <w:rPr>
      <w:rFonts w:eastAsiaTheme="minorEastAsia"/>
      <w:color w:val="FFFFFF" w:themeColor="background1"/>
      <w:sz w:val="24"/>
      <w:szCs w:val="24"/>
      <w:lang w:val="pt-BR"/>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customStyle="1" w:styleId="DateChar">
    <w:name w:val="Date Char"/>
    <w:basedOn w:val="DefaultParagraphFont"/>
    <w:link w:val="Date"/>
    <w:uiPriority w:val="99"/>
    <w:semiHidden/>
    <w:qFormat/>
    <w:rPr>
      <w:rFonts w:ascii="Times New Roman" w:eastAsia="Times New Roman" w:hAnsi="Times New Roman" w:cs="Times New Roman"/>
      <w:sz w:val="24"/>
      <w:szCs w:val="24"/>
      <w:lang w:eastAsia="pt-BR"/>
    </w:rPr>
  </w:style>
  <w:style w:type="character" w:customStyle="1" w:styleId="DocumentMapChar">
    <w:name w:val="Document Map Char"/>
    <w:basedOn w:val="DefaultParagraphFont"/>
    <w:link w:val="DocumentMap"/>
    <w:uiPriority w:val="99"/>
    <w:semiHidden/>
    <w:qFormat/>
    <w:rPr>
      <w:rFonts w:ascii="Segoe UI" w:eastAsia="Times New Roman" w:hAnsi="Segoe UI" w:cs="Segoe UI"/>
      <w:sz w:val="16"/>
      <w:szCs w:val="16"/>
      <w:lang w:eastAsia="pt-BR"/>
    </w:rPr>
  </w:style>
  <w:style w:type="character" w:customStyle="1" w:styleId="E-mailSignatureChar">
    <w:name w:val="E-mail Signature Char"/>
    <w:basedOn w:val="DefaultParagraphFont"/>
    <w:link w:val="E-mailSignature"/>
    <w:uiPriority w:val="99"/>
    <w:semiHidden/>
    <w:qFormat/>
    <w:rPr>
      <w:rFonts w:ascii="Times New Roman" w:eastAsia="Times New Roman" w:hAnsi="Times New Roman" w:cs="Times New Roman"/>
      <w:sz w:val="24"/>
      <w:szCs w:val="24"/>
      <w:lang w:eastAsia="pt-BR"/>
    </w:rPr>
  </w:style>
  <w:style w:type="character" w:customStyle="1" w:styleId="EndnoteTextChar">
    <w:name w:val="Endnote Text Char"/>
    <w:basedOn w:val="DefaultParagraphFont"/>
    <w:link w:val="EndnoteText"/>
    <w:uiPriority w:val="99"/>
    <w:semiHidden/>
    <w:qFormat/>
    <w:rPr>
      <w:rFonts w:ascii="Times New Roman" w:eastAsia="Times New Roman" w:hAnsi="Times New Roman" w:cs="Times New Roman"/>
      <w:sz w:val="20"/>
      <w:szCs w:val="20"/>
      <w:lang w:eastAsia="pt-BR"/>
    </w:rPr>
  </w:style>
  <w:style w:type="table" w:customStyle="1" w:styleId="GridTable1Light1">
    <w:name w:val="Grid Table 1 Light1"/>
    <w:basedOn w:val="TableNormal"/>
    <w:uiPriority w:val="99"/>
    <w:semiHidden/>
    <w:unhideWhenUsed/>
    <w:qFormat/>
    <w:rPr>
      <w:rFonts w:eastAsiaTheme="minorEastAsia"/>
      <w:sz w:val="24"/>
      <w:szCs w:val="24"/>
      <w:lang w:val="pt-BR"/>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qFormat/>
    <w:rPr>
      <w:rFonts w:eastAsiaTheme="minorEastAsia"/>
      <w:sz w:val="24"/>
      <w:szCs w:val="24"/>
      <w:lang w:val="pt-BR"/>
    </w:r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qFormat/>
    <w:rPr>
      <w:rFonts w:eastAsiaTheme="minorEastAsia"/>
      <w:sz w:val="24"/>
      <w:szCs w:val="24"/>
      <w:lang w:val="pt-BR"/>
    </w:rPr>
    <w:tblPr>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qFormat/>
    <w:rPr>
      <w:rFonts w:eastAsiaTheme="minorEastAsia"/>
      <w:sz w:val="24"/>
      <w:szCs w:val="24"/>
      <w:lang w:val="pt-BR"/>
    </w:rPr>
    <w:tblPr>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qFormat/>
    <w:rPr>
      <w:rFonts w:eastAsiaTheme="minorEastAsia"/>
      <w:sz w:val="24"/>
      <w:szCs w:val="24"/>
      <w:lang w:val="pt-BR"/>
    </w:rPr>
    <w:tblPr>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qFormat/>
    <w:rPr>
      <w:rFonts w:eastAsiaTheme="minorEastAsia"/>
      <w:sz w:val="24"/>
      <w:szCs w:val="24"/>
      <w:lang w:val="pt-BR"/>
    </w:rPr>
    <w:tblPr>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qFormat/>
    <w:rPr>
      <w:rFonts w:eastAsiaTheme="minorEastAsia"/>
      <w:sz w:val="24"/>
      <w:szCs w:val="24"/>
      <w:lang w:val="pt-BR"/>
    </w:rPr>
    <w:tblPr>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99"/>
    <w:semiHidden/>
    <w:unhideWhenUsed/>
    <w:qFormat/>
    <w:rPr>
      <w:rFonts w:eastAsiaTheme="minorEastAsia"/>
      <w:sz w:val="24"/>
      <w:szCs w:val="24"/>
      <w:lang w:val="pt-BR"/>
    </w:rPr>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qFormat/>
    <w:rPr>
      <w:rFonts w:eastAsiaTheme="minorEastAsia"/>
      <w:sz w:val="24"/>
      <w:szCs w:val="24"/>
      <w:lang w:val="pt-BR"/>
    </w:rPr>
    <w:tblPr>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qFormat/>
    <w:rPr>
      <w:rFonts w:eastAsiaTheme="minorEastAsia"/>
      <w:sz w:val="24"/>
      <w:szCs w:val="24"/>
      <w:lang w:val="pt-BR"/>
    </w:rPr>
    <w:tblPr>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qFormat/>
    <w:rPr>
      <w:rFonts w:eastAsiaTheme="minorEastAsia"/>
      <w:sz w:val="24"/>
      <w:szCs w:val="24"/>
      <w:lang w:val="pt-BR"/>
    </w:rPr>
    <w:tblPr>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qFormat/>
    <w:rPr>
      <w:rFonts w:eastAsiaTheme="minorEastAsia"/>
      <w:sz w:val="24"/>
      <w:szCs w:val="24"/>
      <w:lang w:val="pt-BR"/>
    </w:rPr>
    <w:tblPr>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qFormat/>
    <w:rPr>
      <w:rFonts w:eastAsiaTheme="minorEastAsia"/>
      <w:sz w:val="24"/>
      <w:szCs w:val="24"/>
      <w:lang w:val="pt-BR"/>
    </w:rPr>
    <w:tblPr>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qFormat/>
    <w:rPr>
      <w:rFonts w:eastAsiaTheme="minorEastAsia"/>
      <w:sz w:val="24"/>
      <w:szCs w:val="24"/>
      <w:lang w:val="pt-BR"/>
    </w:rPr>
    <w:tblPr>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99"/>
    <w:semiHidden/>
    <w:unhideWhenUsed/>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qFormat/>
    <w:rPr>
      <w:rFonts w:eastAsiaTheme="minorEastAsia"/>
      <w:color w:val="000000" w:themeColor="text1"/>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qFormat/>
    <w:rPr>
      <w:rFonts w:eastAsiaTheme="minorEastAsia"/>
      <w:color w:val="365F91" w:themeColor="accent1" w:themeShade="BF"/>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qFormat/>
    <w:rPr>
      <w:rFonts w:eastAsiaTheme="minorEastAsia"/>
      <w:color w:val="943634" w:themeColor="accent2" w:themeShade="BF"/>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qFormat/>
    <w:rPr>
      <w:rFonts w:eastAsiaTheme="minorEastAsia"/>
      <w:color w:val="76923C" w:themeColor="accent3" w:themeShade="BF"/>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qFormat/>
    <w:rPr>
      <w:rFonts w:eastAsiaTheme="minorEastAsia"/>
      <w:color w:val="5F497A" w:themeColor="accent4" w:themeShade="BF"/>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qFormat/>
    <w:rPr>
      <w:rFonts w:eastAsiaTheme="minorEastAsia"/>
      <w:color w:val="31849B" w:themeColor="accent5" w:themeShade="BF"/>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qFormat/>
    <w:rPr>
      <w:rFonts w:eastAsiaTheme="minorEastAsia"/>
      <w:color w:val="E36C0A" w:themeColor="accent6" w:themeShade="BF"/>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qFormat/>
    <w:rPr>
      <w:rFonts w:eastAsiaTheme="minorEastAsia"/>
      <w:color w:val="000000" w:themeColor="text1"/>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qFormat/>
    <w:rPr>
      <w:rFonts w:eastAsiaTheme="minorEastAsia"/>
      <w:color w:val="365F91" w:themeColor="accent1" w:themeShade="BF"/>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qFormat/>
    <w:rPr>
      <w:rFonts w:eastAsiaTheme="minorEastAsia"/>
      <w:color w:val="943634" w:themeColor="accent2" w:themeShade="BF"/>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qFormat/>
    <w:rPr>
      <w:rFonts w:eastAsiaTheme="minorEastAsia"/>
      <w:color w:val="76923C" w:themeColor="accent3" w:themeShade="BF"/>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qFormat/>
    <w:rPr>
      <w:rFonts w:eastAsiaTheme="minorEastAsia"/>
      <w:color w:val="5F497A" w:themeColor="accent4" w:themeShade="BF"/>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qFormat/>
    <w:rPr>
      <w:rFonts w:eastAsiaTheme="minorEastAsia"/>
      <w:color w:val="31849B" w:themeColor="accent5" w:themeShade="BF"/>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qFormat/>
    <w:rPr>
      <w:rFonts w:eastAsiaTheme="minorEastAsia"/>
      <w:color w:val="E36C0A" w:themeColor="accent6" w:themeShade="BF"/>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qFormat/>
    <w:rPr>
      <w:color w:val="2B579A"/>
      <w:shd w:val="clear" w:color="auto" w:fill="E1DFDD"/>
    </w:rPr>
  </w:style>
  <w:style w:type="character" w:customStyle="1" w:styleId="HTMLAddressChar">
    <w:name w:val="HTML Address Char"/>
    <w:basedOn w:val="DefaultParagraphFont"/>
    <w:link w:val="HTMLAddress"/>
    <w:uiPriority w:val="99"/>
    <w:semiHidden/>
    <w:qFormat/>
    <w:rPr>
      <w:rFonts w:ascii="Times New Roman" w:eastAsia="Times New Roman" w:hAnsi="Times New Roman" w:cs="Times New Roman"/>
      <w:i/>
      <w:iCs/>
      <w:sz w:val="24"/>
      <w:szCs w:val="24"/>
      <w:lang w:eastAsia="pt-BR"/>
    </w:rPr>
  </w:style>
  <w:style w:type="character" w:customStyle="1" w:styleId="HTMLPreformattedChar">
    <w:name w:val="HTML Preformatted Char"/>
    <w:basedOn w:val="DefaultParagraphFont"/>
    <w:link w:val="HTMLPreformatted"/>
    <w:uiPriority w:val="99"/>
    <w:semiHidden/>
    <w:qFormat/>
    <w:rPr>
      <w:rFonts w:ascii="Consolas" w:eastAsia="Times New Roman" w:hAnsi="Consolas" w:cs="Times New Roman"/>
      <w:sz w:val="20"/>
      <w:szCs w:val="20"/>
      <w:lang w:eastAsia="pt-BR"/>
    </w:rPr>
  </w:style>
  <w:style w:type="character" w:customStyle="1" w:styleId="IntenseEmphasis1">
    <w:name w:val="Intense Emphasis1"/>
    <w:basedOn w:val="DefaultParagraphFont"/>
    <w:uiPriority w:val="21"/>
    <w:qFormat/>
    <w:rPr>
      <w:i/>
      <w:iCs/>
      <w:color w:val="4F81BD" w:themeColor="accent1"/>
    </w:rPr>
  </w:style>
  <w:style w:type="paragraph" w:styleId="IntenseQuote">
    <w:name w:val="Intense Quote"/>
    <w:basedOn w:val="Normal"/>
    <w:next w:val="Normal"/>
    <w:link w:val="IntenseQuoteChar"/>
    <w:uiPriority w:val="30"/>
    <w:qFormat/>
    <w:pPr>
      <w:widowControl/>
      <w:pBdr>
        <w:top w:val="single" w:sz="4" w:space="10" w:color="4F81BD" w:themeColor="accent1"/>
        <w:bottom w:val="single" w:sz="4" w:space="10" w:color="4F81BD" w:themeColor="accent1"/>
      </w:pBdr>
      <w:autoSpaceDE/>
      <w:autoSpaceDN/>
      <w:spacing w:before="360" w:after="360"/>
      <w:ind w:left="864" w:right="864"/>
      <w:jc w:val="center"/>
    </w:pPr>
    <w:rPr>
      <w:i/>
      <w:iCs/>
      <w:color w:val="4F81BD" w:themeColor="accent1"/>
      <w:sz w:val="24"/>
      <w:szCs w:val="24"/>
      <w:lang w:eastAsia="pt-BR"/>
    </w:rPr>
  </w:style>
  <w:style w:type="character" w:customStyle="1" w:styleId="IntenseQuoteChar">
    <w:name w:val="Intense Quote Char"/>
    <w:basedOn w:val="DefaultParagraphFont"/>
    <w:link w:val="IntenseQuote"/>
    <w:uiPriority w:val="30"/>
    <w:qFormat/>
    <w:rPr>
      <w:rFonts w:ascii="Times New Roman" w:eastAsia="Times New Roman" w:hAnsi="Times New Roman" w:cs="Times New Roman"/>
      <w:i/>
      <w:iCs/>
      <w:color w:val="4F81BD" w:themeColor="accent1"/>
      <w:sz w:val="24"/>
      <w:szCs w:val="24"/>
      <w:lang w:eastAsia="pt-BR"/>
    </w:rPr>
  </w:style>
  <w:style w:type="character" w:customStyle="1" w:styleId="IntenseReference1">
    <w:name w:val="Intense Reference1"/>
    <w:basedOn w:val="DefaultParagraphFont"/>
    <w:uiPriority w:val="32"/>
    <w:qFormat/>
    <w:rPr>
      <w:b/>
      <w:bCs/>
      <w:smallCaps/>
      <w:color w:val="4F81BD" w:themeColor="accent1"/>
      <w:spacing w:val="5"/>
    </w:rPr>
  </w:style>
  <w:style w:type="table" w:styleId="LightGrid">
    <w:name w:val="Light Grid"/>
    <w:basedOn w:val="TableNormal"/>
    <w:uiPriority w:val="62"/>
    <w:unhideWhenUsed/>
    <w:qFormat/>
    <w:rPr>
      <w:rFonts w:eastAsiaTheme="minorEastAsia"/>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unhideWhenUsed/>
    <w:qFormat/>
    <w:rPr>
      <w:rFonts w:eastAsiaTheme="minorEastAsia"/>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unhideWhenUsed/>
    <w:qFormat/>
    <w:rPr>
      <w:rFonts w:eastAsiaTheme="minorEastAsia"/>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unhideWhenUsed/>
    <w:qFormat/>
    <w:rPr>
      <w:rFonts w:eastAsiaTheme="minorEastAsia"/>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unhideWhenUsed/>
    <w:qFormat/>
    <w:rPr>
      <w:rFonts w:eastAsiaTheme="minorEastAsia"/>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unhideWhenUsed/>
    <w:qFormat/>
    <w:rPr>
      <w:rFonts w:eastAsiaTheme="minorEastAsia"/>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unhideWhenUsed/>
    <w:qFormat/>
    <w:rPr>
      <w:rFonts w:eastAsiaTheme="minorEastAsia"/>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LightList">
    <w:name w:val="Light List"/>
    <w:basedOn w:val="TableNormal"/>
    <w:uiPriority w:val="61"/>
    <w:unhideWhenUsed/>
    <w:qFormat/>
    <w:rPr>
      <w:rFonts w:eastAsiaTheme="minorEastAsia"/>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qFormat/>
    <w:rPr>
      <w:rFonts w:eastAsiaTheme="minorEastAsia"/>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unhideWhenUsed/>
    <w:qFormat/>
    <w:rPr>
      <w:rFonts w:eastAsiaTheme="minorEastAsia"/>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unhideWhenUsed/>
    <w:qFormat/>
    <w:rPr>
      <w:rFonts w:eastAsiaTheme="minorEastAsia"/>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unhideWhenUsed/>
    <w:qFormat/>
    <w:rPr>
      <w:rFonts w:eastAsiaTheme="minorEastAsia"/>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unhideWhenUsed/>
    <w:qFormat/>
    <w:rPr>
      <w:rFonts w:eastAsiaTheme="minorEastAsia"/>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unhideWhenUsed/>
    <w:qFormat/>
    <w:rPr>
      <w:rFonts w:eastAsiaTheme="minorEastAsia"/>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unhideWhenUsed/>
    <w:qFormat/>
    <w:rPr>
      <w:rFonts w:eastAsiaTheme="minorEastAsia"/>
      <w:color w:val="000000" w:themeColor="text1" w:themeShade="BF"/>
      <w:sz w:val="24"/>
      <w:szCs w:val="24"/>
      <w:lang w:val="pt-B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qFormat/>
    <w:rPr>
      <w:rFonts w:eastAsiaTheme="minorEastAsia"/>
      <w:color w:val="365F91" w:themeColor="accent1" w:themeShade="BF"/>
      <w:sz w:val="24"/>
      <w:szCs w:val="24"/>
      <w:lang w:val="pt-BR"/>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unhideWhenUsed/>
    <w:qFormat/>
    <w:rPr>
      <w:rFonts w:eastAsiaTheme="minorEastAsia"/>
      <w:color w:val="943634" w:themeColor="accent2" w:themeShade="BF"/>
      <w:sz w:val="24"/>
      <w:szCs w:val="24"/>
      <w:lang w:val="pt-BR"/>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unhideWhenUsed/>
    <w:qFormat/>
    <w:rPr>
      <w:rFonts w:eastAsiaTheme="minorEastAsia"/>
      <w:color w:val="76923C" w:themeColor="accent3" w:themeShade="BF"/>
      <w:sz w:val="24"/>
      <w:szCs w:val="24"/>
      <w:lang w:val="pt-BR"/>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unhideWhenUsed/>
    <w:qFormat/>
    <w:rPr>
      <w:rFonts w:eastAsiaTheme="minorEastAsia"/>
      <w:color w:val="5F497A" w:themeColor="accent4" w:themeShade="BF"/>
      <w:sz w:val="24"/>
      <w:szCs w:val="24"/>
      <w:lang w:val="pt-BR"/>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unhideWhenUsed/>
    <w:qFormat/>
    <w:rPr>
      <w:rFonts w:eastAsiaTheme="minorEastAsia"/>
      <w:color w:val="31849B" w:themeColor="accent5" w:themeShade="BF"/>
      <w:sz w:val="24"/>
      <w:szCs w:val="24"/>
      <w:lang w:val="pt-BR"/>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unhideWhenUsed/>
    <w:qFormat/>
    <w:rPr>
      <w:rFonts w:eastAsiaTheme="minorEastAsia"/>
      <w:color w:val="E36C0A" w:themeColor="accent6" w:themeShade="BF"/>
      <w:sz w:val="24"/>
      <w:szCs w:val="24"/>
      <w:lang w:val="pt-BR"/>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stTable1Light1">
    <w:name w:val="List Table 1 Light1"/>
    <w:basedOn w:val="TableNormal"/>
    <w:uiPriority w:val="46"/>
    <w:qFormat/>
    <w:rPr>
      <w:rFonts w:eastAsiaTheme="minorEastAsia"/>
      <w:sz w:val="24"/>
      <w:szCs w:val="24"/>
      <w:lang w:val="pt-BR"/>
    </w:rP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qFormat/>
    <w:rPr>
      <w:rFonts w:eastAsiaTheme="minorEastAsia"/>
      <w:sz w:val="24"/>
      <w:szCs w:val="24"/>
      <w:lang w:val="pt-BR"/>
    </w:rP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qFormat/>
    <w:rPr>
      <w:rFonts w:eastAsiaTheme="minorEastAsia"/>
      <w:sz w:val="24"/>
      <w:szCs w:val="24"/>
      <w:lang w:val="pt-BR"/>
    </w:rP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qFormat/>
    <w:rPr>
      <w:rFonts w:eastAsiaTheme="minorEastAsia"/>
      <w:sz w:val="24"/>
      <w:szCs w:val="24"/>
      <w:lang w:val="pt-BR"/>
    </w:rP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qFormat/>
    <w:rPr>
      <w:rFonts w:eastAsiaTheme="minorEastAsia"/>
      <w:sz w:val="24"/>
      <w:szCs w:val="24"/>
      <w:lang w:val="pt-BR"/>
    </w:rP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qFormat/>
    <w:rPr>
      <w:rFonts w:eastAsiaTheme="minorEastAsia"/>
      <w:sz w:val="24"/>
      <w:szCs w:val="24"/>
      <w:lang w:val="pt-BR"/>
    </w:rP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qFormat/>
    <w:rPr>
      <w:rFonts w:eastAsiaTheme="minorEastAsia"/>
      <w:sz w:val="24"/>
      <w:szCs w:val="24"/>
      <w:lang w:val="pt-BR"/>
    </w:rP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qFormat/>
    <w:rPr>
      <w:rFonts w:eastAsiaTheme="minorEastAsia"/>
      <w:sz w:val="24"/>
      <w:szCs w:val="24"/>
      <w:lang w:val="pt-BR"/>
    </w:rPr>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qFormat/>
    <w:rPr>
      <w:rFonts w:eastAsiaTheme="minorEastAsia"/>
      <w:sz w:val="24"/>
      <w:szCs w:val="24"/>
      <w:lang w:val="pt-BR"/>
    </w:rPr>
    <w:tblPr>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qFormat/>
    <w:rPr>
      <w:rFonts w:eastAsiaTheme="minorEastAsia"/>
      <w:sz w:val="24"/>
      <w:szCs w:val="24"/>
      <w:lang w:val="pt-BR"/>
    </w:rPr>
    <w:tblPr>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qFormat/>
    <w:rPr>
      <w:rFonts w:eastAsiaTheme="minorEastAsia"/>
      <w:sz w:val="24"/>
      <w:szCs w:val="24"/>
      <w:lang w:val="pt-BR"/>
    </w:rPr>
    <w:tblPr>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qFormat/>
    <w:rPr>
      <w:rFonts w:eastAsiaTheme="minorEastAsia"/>
      <w:sz w:val="24"/>
      <w:szCs w:val="24"/>
      <w:lang w:val="pt-BR"/>
    </w:rPr>
    <w:tblPr>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qFormat/>
    <w:rPr>
      <w:rFonts w:eastAsiaTheme="minorEastAsia"/>
      <w:sz w:val="24"/>
      <w:szCs w:val="24"/>
      <w:lang w:val="pt-BR"/>
    </w:rPr>
    <w:tblPr>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qFormat/>
    <w:rPr>
      <w:rFonts w:eastAsiaTheme="minorEastAsia"/>
      <w:sz w:val="24"/>
      <w:szCs w:val="24"/>
      <w:lang w:val="pt-BR"/>
    </w:rPr>
    <w:tblPr>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qFormat/>
    <w:rPr>
      <w:rFonts w:eastAsiaTheme="minorEastAsia"/>
      <w:sz w:val="24"/>
      <w:szCs w:val="24"/>
      <w:lang w:val="pt-BR"/>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qFormat/>
    <w:rPr>
      <w:rFonts w:eastAsiaTheme="minorEastAsia"/>
      <w:sz w:val="24"/>
      <w:szCs w:val="24"/>
      <w:lang w:val="pt-BR"/>
    </w:r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qFormat/>
    <w:rPr>
      <w:rFonts w:eastAsiaTheme="minorEastAsia"/>
      <w:sz w:val="24"/>
      <w:szCs w:val="24"/>
      <w:lang w:val="pt-BR"/>
    </w:rPr>
    <w:tblPr>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qFormat/>
    <w:rPr>
      <w:rFonts w:eastAsiaTheme="minorEastAsia"/>
      <w:sz w:val="24"/>
      <w:szCs w:val="24"/>
      <w:lang w:val="pt-BR"/>
    </w:rPr>
    <w:tblPr>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qFormat/>
    <w:rPr>
      <w:rFonts w:eastAsiaTheme="minorEastAsia"/>
      <w:sz w:val="24"/>
      <w:szCs w:val="24"/>
      <w:lang w:val="pt-BR"/>
    </w:rPr>
    <w:tblPr>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qFormat/>
    <w:rPr>
      <w:rFonts w:eastAsiaTheme="minorEastAsia"/>
      <w:sz w:val="24"/>
      <w:szCs w:val="24"/>
      <w:lang w:val="pt-BR"/>
    </w:rPr>
    <w:tblPr>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qFormat/>
    <w:rPr>
      <w:rFonts w:eastAsiaTheme="minorEastAsia"/>
      <w:sz w:val="24"/>
      <w:szCs w:val="24"/>
      <w:lang w:val="pt-BR"/>
    </w:rPr>
    <w:tblPr>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qFormat/>
    <w:rPr>
      <w:rFonts w:eastAsiaTheme="minorEastAsia"/>
      <w:color w:val="FFFFFF" w:themeColor="background1"/>
      <w:sz w:val="24"/>
      <w:szCs w:val="24"/>
      <w:lang w:val="pt-BR"/>
    </w:rPr>
    <w:tblPr>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qFormat/>
    <w:rPr>
      <w:rFonts w:eastAsiaTheme="minorEastAsia"/>
      <w:color w:val="FFFFFF" w:themeColor="background1"/>
      <w:sz w:val="24"/>
      <w:szCs w:val="24"/>
      <w:lang w:val="pt-BR"/>
    </w:rPr>
    <w:tblPr>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qFormat/>
    <w:rPr>
      <w:rFonts w:eastAsiaTheme="minorEastAsia"/>
      <w:color w:val="FFFFFF" w:themeColor="background1"/>
      <w:sz w:val="24"/>
      <w:szCs w:val="24"/>
      <w:lang w:val="pt-BR"/>
    </w:rPr>
    <w:tblPr>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qFormat/>
    <w:rPr>
      <w:rFonts w:eastAsiaTheme="minorEastAsia"/>
      <w:color w:val="FFFFFF" w:themeColor="background1"/>
      <w:sz w:val="24"/>
      <w:szCs w:val="24"/>
      <w:lang w:val="pt-BR"/>
    </w:rPr>
    <w:tblPr>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qFormat/>
    <w:rPr>
      <w:rFonts w:eastAsiaTheme="minorEastAsia"/>
      <w:color w:val="FFFFFF" w:themeColor="background1"/>
      <w:sz w:val="24"/>
      <w:szCs w:val="24"/>
      <w:lang w:val="pt-BR"/>
    </w:rPr>
    <w:tblPr>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qFormat/>
    <w:rPr>
      <w:rFonts w:eastAsiaTheme="minorEastAsia"/>
      <w:color w:val="FFFFFF" w:themeColor="background1"/>
      <w:sz w:val="24"/>
      <w:szCs w:val="24"/>
      <w:lang w:val="pt-BR"/>
    </w:rPr>
    <w:tblPr>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qFormat/>
    <w:rPr>
      <w:rFonts w:eastAsiaTheme="minorEastAsia"/>
      <w:color w:val="FFFFFF" w:themeColor="background1"/>
      <w:sz w:val="24"/>
      <w:szCs w:val="24"/>
      <w:lang w:val="pt-BR"/>
    </w:rPr>
    <w:tblPr>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qFormat/>
    <w:rPr>
      <w:rFonts w:eastAsiaTheme="minorEastAsia"/>
      <w:color w:val="000000" w:themeColor="text1"/>
      <w:sz w:val="24"/>
      <w:szCs w:val="24"/>
      <w:lang w:val="pt-BR"/>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qFormat/>
    <w:rPr>
      <w:rFonts w:eastAsiaTheme="minorEastAsia"/>
      <w:color w:val="365F91" w:themeColor="accent1" w:themeShade="BF"/>
      <w:sz w:val="24"/>
      <w:szCs w:val="24"/>
      <w:lang w:val="pt-BR"/>
    </w:rPr>
    <w:tblPr>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qFormat/>
    <w:rPr>
      <w:rFonts w:eastAsiaTheme="minorEastAsia"/>
      <w:color w:val="943634" w:themeColor="accent2" w:themeShade="BF"/>
      <w:sz w:val="24"/>
      <w:szCs w:val="24"/>
      <w:lang w:val="pt-BR"/>
    </w:rPr>
    <w:tblPr>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qFormat/>
    <w:rPr>
      <w:rFonts w:eastAsiaTheme="minorEastAsia"/>
      <w:color w:val="76923C" w:themeColor="accent3" w:themeShade="BF"/>
      <w:sz w:val="24"/>
      <w:szCs w:val="24"/>
      <w:lang w:val="pt-BR"/>
    </w:rPr>
    <w:tblPr>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qFormat/>
    <w:rPr>
      <w:rFonts w:eastAsiaTheme="minorEastAsia"/>
      <w:color w:val="5F497A" w:themeColor="accent4" w:themeShade="BF"/>
      <w:sz w:val="24"/>
      <w:szCs w:val="24"/>
      <w:lang w:val="pt-BR"/>
    </w:rPr>
    <w:tblPr>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qFormat/>
    <w:rPr>
      <w:rFonts w:eastAsiaTheme="minorEastAsia"/>
      <w:color w:val="31849B" w:themeColor="accent5" w:themeShade="BF"/>
      <w:sz w:val="24"/>
      <w:szCs w:val="24"/>
      <w:lang w:val="pt-BR"/>
    </w:rPr>
    <w:tblPr>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qFormat/>
    <w:rPr>
      <w:rFonts w:eastAsiaTheme="minorEastAsia"/>
      <w:color w:val="E36C0A" w:themeColor="accent6" w:themeShade="BF"/>
      <w:sz w:val="24"/>
      <w:szCs w:val="24"/>
      <w:lang w:val="pt-BR"/>
    </w:rPr>
    <w:tblPr>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qFormat/>
    <w:rPr>
      <w:rFonts w:eastAsiaTheme="minorEastAsia"/>
      <w:color w:val="000000" w:themeColor="text1"/>
      <w:sz w:val="24"/>
      <w:szCs w:val="24"/>
      <w:lang w:val="pt-BR"/>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qFormat/>
    <w:rPr>
      <w:rFonts w:eastAsiaTheme="minorEastAsia"/>
      <w:color w:val="365F91" w:themeColor="accent1"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qFormat/>
    <w:rPr>
      <w:rFonts w:eastAsiaTheme="minorEastAsia"/>
      <w:color w:val="943634" w:themeColor="accent2"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qFormat/>
    <w:rPr>
      <w:rFonts w:eastAsiaTheme="minorEastAsia"/>
      <w:color w:val="76923C" w:themeColor="accent3"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qFormat/>
    <w:rPr>
      <w:rFonts w:eastAsiaTheme="minorEastAsia"/>
      <w:color w:val="5F497A" w:themeColor="accent4"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qFormat/>
    <w:rPr>
      <w:rFonts w:eastAsiaTheme="minorEastAsia"/>
      <w:color w:val="31849B" w:themeColor="accent5"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qFormat/>
    <w:rPr>
      <w:rFonts w:eastAsiaTheme="minorEastAsia"/>
      <w:color w:val="E36C0A" w:themeColor="accent6"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99"/>
    <w:semiHidden/>
    <w:qFormat/>
    <w:rPr>
      <w:rFonts w:ascii="Consolas" w:eastAsia="Times New Roman" w:hAnsi="Consolas" w:cs="Times New Roman"/>
      <w:sz w:val="20"/>
      <w:szCs w:val="20"/>
      <w:lang w:eastAsia="pt-BR"/>
    </w:rPr>
  </w:style>
  <w:style w:type="table" w:styleId="MediumGrid1">
    <w:name w:val="Medium Grid 1"/>
    <w:basedOn w:val="TableNormal"/>
    <w:uiPriority w:val="67"/>
    <w:unhideWhenUsed/>
    <w:qFormat/>
    <w:rPr>
      <w:rFonts w:eastAsiaTheme="minorEastAsia"/>
      <w:sz w:val="24"/>
      <w:szCs w:val="24"/>
      <w:lang w:val="pt-BR"/>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qFormat/>
    <w:rPr>
      <w:rFonts w:eastAsiaTheme="minorEastAsia"/>
      <w:sz w:val="24"/>
      <w:szCs w:val="24"/>
      <w:lang w:val="pt-BR"/>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unhideWhenUsed/>
    <w:qFormat/>
    <w:rPr>
      <w:rFonts w:eastAsiaTheme="minorEastAsia"/>
      <w:sz w:val="24"/>
      <w:szCs w:val="24"/>
      <w:lang w:val="pt-BR"/>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unhideWhenUsed/>
    <w:qFormat/>
    <w:rPr>
      <w:rFonts w:eastAsiaTheme="minorEastAsia"/>
      <w:sz w:val="24"/>
      <w:szCs w:val="24"/>
      <w:lang w:val="pt-BR"/>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unhideWhenUsed/>
    <w:qFormat/>
    <w:rPr>
      <w:rFonts w:eastAsiaTheme="minorEastAsia"/>
      <w:sz w:val="24"/>
      <w:szCs w:val="24"/>
      <w:lang w:val="pt-BR"/>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unhideWhenUsed/>
    <w:qFormat/>
    <w:rPr>
      <w:rFonts w:eastAsiaTheme="minorEastAsia"/>
      <w:sz w:val="24"/>
      <w:szCs w:val="24"/>
      <w:lang w:val="pt-BR"/>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unhideWhenUsed/>
    <w:qFormat/>
    <w:rPr>
      <w:rFonts w:eastAsiaTheme="minorEastAsia"/>
      <w:sz w:val="24"/>
      <w:szCs w:val="24"/>
      <w:lang w:val="pt-BR"/>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MediumList1">
    <w:name w:val="Medium List 1"/>
    <w:basedOn w:val="TableNormal"/>
    <w:uiPriority w:val="65"/>
    <w:unhideWhenUsed/>
    <w:qFormat/>
    <w:rPr>
      <w:rFonts w:eastAsiaTheme="minorEastAsia"/>
      <w:color w:val="000000" w:themeColor="text1"/>
      <w:sz w:val="24"/>
      <w:szCs w:val="24"/>
      <w:lang w:val="pt-BR"/>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qFormat/>
    <w:rPr>
      <w:rFonts w:eastAsiaTheme="minorEastAsia"/>
      <w:color w:val="000000" w:themeColor="text1"/>
      <w:sz w:val="24"/>
      <w:szCs w:val="24"/>
      <w:lang w:val="pt-BR"/>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unhideWhenUsed/>
    <w:qFormat/>
    <w:rPr>
      <w:rFonts w:eastAsiaTheme="minorEastAsia"/>
      <w:color w:val="000000" w:themeColor="text1"/>
      <w:sz w:val="24"/>
      <w:szCs w:val="24"/>
      <w:lang w:val="pt-BR"/>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unhideWhenUsed/>
    <w:qFormat/>
    <w:rPr>
      <w:rFonts w:eastAsiaTheme="minorEastAsia"/>
      <w:color w:val="000000" w:themeColor="text1"/>
      <w:sz w:val="24"/>
      <w:szCs w:val="24"/>
      <w:lang w:val="pt-BR"/>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unhideWhenUsed/>
    <w:qFormat/>
    <w:rPr>
      <w:rFonts w:eastAsiaTheme="minorEastAsia"/>
      <w:color w:val="000000" w:themeColor="text1"/>
      <w:sz w:val="24"/>
      <w:szCs w:val="24"/>
      <w:lang w:val="pt-BR"/>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unhideWhenUsed/>
    <w:qFormat/>
    <w:rPr>
      <w:rFonts w:eastAsiaTheme="minorEastAsia"/>
      <w:color w:val="000000" w:themeColor="text1"/>
      <w:sz w:val="24"/>
      <w:szCs w:val="24"/>
      <w:lang w:val="pt-BR"/>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unhideWhenUsed/>
    <w:qFormat/>
    <w:rPr>
      <w:rFonts w:eastAsiaTheme="minorEastAsia"/>
      <w:color w:val="000000" w:themeColor="text1"/>
      <w:sz w:val="24"/>
      <w:szCs w:val="24"/>
      <w:lang w:val="pt-BR"/>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qFormat/>
    <w:rPr>
      <w:rFonts w:eastAsiaTheme="minorEastAsia"/>
      <w:sz w:val="24"/>
      <w:szCs w:val="24"/>
      <w:lang w:val="pt-BR"/>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qFormat/>
    <w:rPr>
      <w:rFonts w:eastAsiaTheme="minorEastAsia"/>
      <w:sz w:val="24"/>
      <w:szCs w:val="24"/>
      <w:lang w:val="pt-BR"/>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qFormat/>
    <w:rPr>
      <w:rFonts w:eastAsiaTheme="minorEastAsia"/>
      <w:sz w:val="24"/>
      <w:szCs w:val="24"/>
      <w:lang w:val="pt-BR"/>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qFormat/>
    <w:rPr>
      <w:rFonts w:eastAsiaTheme="minorEastAsia"/>
      <w:sz w:val="24"/>
      <w:szCs w:val="24"/>
      <w:lang w:val="pt-BR"/>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qFormat/>
    <w:rPr>
      <w:rFonts w:eastAsiaTheme="minorEastAsia"/>
      <w:sz w:val="24"/>
      <w:szCs w:val="24"/>
      <w:lang w:val="pt-BR"/>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qFormat/>
    <w:rPr>
      <w:rFonts w:eastAsiaTheme="minorEastAsia"/>
      <w:sz w:val="24"/>
      <w:szCs w:val="24"/>
      <w:lang w:val="pt-BR"/>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qFormat/>
    <w:rPr>
      <w:rFonts w:eastAsiaTheme="minorEastAsia"/>
      <w:sz w:val="24"/>
      <w:szCs w:val="24"/>
      <w:lang w:val="pt-BR"/>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qFormat/>
    <w:rPr>
      <w:color w:val="2B579A"/>
      <w:shd w:val="clear" w:color="auto" w:fill="E1DFDD"/>
    </w:rPr>
  </w:style>
  <w:style w:type="character" w:customStyle="1" w:styleId="MessageHeaderChar">
    <w:name w:val="Message Header Char"/>
    <w:basedOn w:val="DefaultParagraphFont"/>
    <w:link w:val="MessageHeader"/>
    <w:uiPriority w:val="99"/>
    <w:semiHidden/>
    <w:qFormat/>
    <w:rPr>
      <w:rFonts w:asciiTheme="majorHAnsi" w:eastAsiaTheme="majorEastAsia" w:hAnsiTheme="majorHAnsi" w:cstheme="majorBidi"/>
      <w:sz w:val="24"/>
      <w:szCs w:val="24"/>
      <w:shd w:val="pct20" w:color="auto" w:fill="auto"/>
      <w:lang w:eastAsia="pt-BR"/>
    </w:rPr>
  </w:style>
  <w:style w:type="character" w:customStyle="1" w:styleId="NoteHeadingChar">
    <w:name w:val="Note Heading Char"/>
    <w:basedOn w:val="DefaultParagraphFont"/>
    <w:link w:val="NoteHeading"/>
    <w:uiPriority w:val="99"/>
    <w:semiHidden/>
    <w:qFormat/>
    <w:rPr>
      <w:rFonts w:ascii="Times New Roman" w:eastAsia="Times New Roman" w:hAnsi="Times New Roman" w:cs="Times New Roman"/>
      <w:sz w:val="24"/>
      <w:szCs w:val="24"/>
      <w:lang w:eastAsia="pt-BR"/>
    </w:rPr>
  </w:style>
  <w:style w:type="character" w:styleId="PlaceholderText">
    <w:name w:val="Placeholder Text"/>
    <w:basedOn w:val="DefaultParagraphFont"/>
    <w:uiPriority w:val="99"/>
    <w:semiHidden/>
    <w:rPr>
      <w:color w:val="808080"/>
    </w:rPr>
  </w:style>
  <w:style w:type="table" w:customStyle="1" w:styleId="PlainTable11">
    <w:name w:val="Plain Table 11"/>
    <w:basedOn w:val="TableNormal"/>
    <w:uiPriority w:val="41"/>
    <w:qFormat/>
    <w:rPr>
      <w:rFonts w:eastAsiaTheme="minorEastAsia"/>
      <w:sz w:val="24"/>
      <w:szCs w:val="24"/>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99"/>
    <w:qFormat/>
    <w:rPr>
      <w:rFonts w:eastAsiaTheme="minorEastAsia"/>
      <w:sz w:val="24"/>
      <w:szCs w:val="24"/>
      <w:lang w:val="pt-BR"/>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99"/>
    <w:qFormat/>
    <w:rPr>
      <w:rFonts w:eastAsiaTheme="minorEastAsia"/>
      <w:sz w:val="24"/>
      <w:szCs w:val="24"/>
      <w:lang w:val="pt-BR"/>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99"/>
    <w:qFormat/>
    <w:rPr>
      <w:rFonts w:eastAsiaTheme="minorEastAsia"/>
      <w:sz w:val="24"/>
      <w:szCs w:val="24"/>
      <w:lang w:val="pt-BR"/>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99"/>
    <w:semiHidden/>
    <w:unhideWhenUsed/>
    <w:qFormat/>
    <w:rPr>
      <w:rFonts w:eastAsiaTheme="minorEastAsia"/>
      <w:sz w:val="24"/>
      <w:szCs w:val="24"/>
      <w:lang w:val="pt-BR"/>
    </w:rP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lainTextChar">
    <w:name w:val="Plain Text Char"/>
    <w:basedOn w:val="DefaultParagraphFont"/>
    <w:link w:val="PlainText"/>
    <w:uiPriority w:val="99"/>
    <w:semiHidden/>
    <w:qFormat/>
    <w:rPr>
      <w:rFonts w:ascii="Consolas" w:eastAsia="Times New Roman" w:hAnsi="Consolas" w:cs="Times New Roman"/>
      <w:sz w:val="21"/>
      <w:szCs w:val="21"/>
      <w:lang w:eastAsia="pt-BR"/>
    </w:rPr>
  </w:style>
  <w:style w:type="paragraph" w:styleId="Quote">
    <w:name w:val="Quote"/>
    <w:basedOn w:val="Normal"/>
    <w:next w:val="Normal"/>
    <w:link w:val="QuoteChar"/>
    <w:uiPriority w:val="29"/>
    <w:qFormat/>
    <w:pPr>
      <w:widowControl/>
      <w:autoSpaceDE/>
      <w:autoSpaceDN/>
      <w:spacing w:before="200" w:after="160"/>
      <w:ind w:left="864" w:right="864"/>
      <w:jc w:val="center"/>
    </w:pPr>
    <w:rPr>
      <w:i/>
      <w:iCs/>
      <w:color w:val="404040" w:themeColor="text1" w:themeTint="BF"/>
      <w:sz w:val="24"/>
      <w:szCs w:val="24"/>
      <w:lang w:eastAsia="pt-BR"/>
    </w:rPr>
  </w:style>
  <w:style w:type="character" w:customStyle="1" w:styleId="QuoteChar">
    <w:name w:val="Quote Char"/>
    <w:basedOn w:val="DefaultParagraphFont"/>
    <w:link w:val="Quote"/>
    <w:uiPriority w:val="29"/>
    <w:qFormat/>
    <w:rPr>
      <w:rFonts w:ascii="Times New Roman" w:eastAsia="Times New Roman" w:hAnsi="Times New Roman" w:cs="Times New Roman"/>
      <w:i/>
      <w:iCs/>
      <w:color w:val="404040" w:themeColor="text1" w:themeTint="BF"/>
      <w:sz w:val="24"/>
      <w:szCs w:val="24"/>
      <w:lang w:eastAsia="pt-BR"/>
    </w:rPr>
  </w:style>
  <w:style w:type="character" w:customStyle="1" w:styleId="SalutationChar">
    <w:name w:val="Salutation Char"/>
    <w:basedOn w:val="DefaultParagraphFont"/>
    <w:link w:val="Salutation"/>
    <w:uiPriority w:val="99"/>
    <w:semiHidden/>
    <w:qFormat/>
    <w:rPr>
      <w:rFonts w:ascii="Times New Roman" w:eastAsia="Times New Roman" w:hAnsi="Times New Roman" w:cs="Times New Roman"/>
      <w:sz w:val="24"/>
      <w:szCs w:val="24"/>
      <w:lang w:eastAsia="pt-BR"/>
    </w:rPr>
  </w:style>
  <w:style w:type="character" w:customStyle="1" w:styleId="SignatureChar">
    <w:name w:val="Signature Char"/>
    <w:basedOn w:val="DefaultParagraphFont"/>
    <w:link w:val="Signature"/>
    <w:uiPriority w:val="99"/>
    <w:semiHidden/>
    <w:qFormat/>
    <w:rPr>
      <w:rFonts w:ascii="Times New Roman" w:eastAsia="Times New Roman" w:hAnsi="Times New Roman" w:cs="Times New Roman"/>
      <w:sz w:val="24"/>
      <w:szCs w:val="24"/>
      <w:lang w:eastAsia="pt-BR"/>
    </w:rPr>
  </w:style>
  <w:style w:type="character" w:customStyle="1" w:styleId="SmartHyperlink1">
    <w:name w:val="Smart Hyperlink1"/>
    <w:basedOn w:val="DefaultParagraphFont"/>
    <w:uiPriority w:val="99"/>
    <w:semiHidden/>
    <w:unhideWhenUsed/>
    <w:qFormat/>
    <w:rPr>
      <w:u w:val="dotted"/>
    </w:rPr>
  </w:style>
  <w:style w:type="character" w:customStyle="1" w:styleId="SmartLink1">
    <w:name w:val="SmartLink1"/>
    <w:basedOn w:val="DefaultParagraphFont"/>
    <w:uiPriority w:val="99"/>
    <w:semiHidden/>
    <w:unhideWhenUsed/>
    <w:qFormat/>
    <w:rPr>
      <w:color w:val="0000FF"/>
      <w:u w:val="single"/>
      <w:shd w:val="clear" w:color="auto" w:fill="F3F2F1"/>
    </w:rPr>
  </w:style>
  <w:style w:type="character" w:customStyle="1" w:styleId="SubtitleChar">
    <w:name w:val="Subtitle Char"/>
    <w:basedOn w:val="DefaultParagraphFont"/>
    <w:link w:val="Subtitle"/>
    <w:uiPriority w:val="11"/>
    <w:qFormat/>
    <w:rPr>
      <w:rFonts w:eastAsiaTheme="minorEastAsia"/>
      <w:color w:val="595959" w:themeColor="text1" w:themeTint="A6"/>
      <w:spacing w:val="15"/>
      <w:lang w:eastAsia="pt-BR"/>
    </w:rPr>
  </w:style>
  <w:style w:type="character" w:customStyle="1" w:styleId="SubtleReference1">
    <w:name w:val="Subtle Reference1"/>
    <w:basedOn w:val="DefaultParagraphFont"/>
    <w:uiPriority w:val="31"/>
    <w:qFormat/>
    <w:rPr>
      <w:smallCaps/>
      <w:color w:val="595959" w:themeColor="text1" w:themeTint="A6"/>
    </w:rPr>
  </w:style>
  <w:style w:type="table" w:styleId="Table3Deffects1">
    <w:name w:val="Table 3D effects 1"/>
    <w:basedOn w:val="TableNormal"/>
    <w:uiPriority w:val="99"/>
    <w:semiHidden/>
    <w:unhideWhenUsed/>
    <w:qFormat/>
    <w:rPr>
      <w:rFonts w:eastAsiaTheme="minorEastAsia"/>
      <w:sz w:val="24"/>
      <w:szCs w:val="24"/>
      <w:lang w:val="pt-BR"/>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uiPriority w:val="99"/>
    <w:semiHidden/>
    <w:unhideWhenUsed/>
    <w:qFormat/>
    <w:rPr>
      <w:rFonts w:eastAsiaTheme="minorEastAsia"/>
      <w:sz w:val="24"/>
      <w:szCs w:val="24"/>
      <w:lang w:val="pt-BR"/>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uiPriority w:val="99"/>
    <w:semiHidden/>
    <w:unhideWhenUsed/>
    <w:qFormat/>
    <w:rPr>
      <w:rFonts w:eastAsiaTheme="minorEastAsia"/>
      <w:sz w:val="24"/>
      <w:szCs w:val="24"/>
      <w:lang w:val="pt-BR"/>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uiPriority w:val="99"/>
    <w:semiHidden/>
    <w:unhideWhenUsed/>
    <w:qFormat/>
    <w:rPr>
      <w:rFonts w:eastAsiaTheme="minorEastAsia"/>
      <w:sz w:val="24"/>
      <w:szCs w:val="24"/>
      <w:lang w:val="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uiPriority w:val="99"/>
    <w:semiHidden/>
    <w:unhideWhenUsed/>
    <w:qFormat/>
    <w:rPr>
      <w:rFonts w:eastAsiaTheme="minorEastAsia"/>
      <w:sz w:val="24"/>
      <w:szCs w:val="24"/>
      <w:lang w:val="pt-B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uiPriority w:val="99"/>
    <w:semiHidden/>
    <w:unhideWhenUsed/>
    <w:qFormat/>
    <w:rPr>
      <w:rFonts w:eastAsiaTheme="minorEastAsia"/>
      <w:color w:val="000080"/>
      <w:sz w:val="24"/>
      <w:szCs w:val="24"/>
      <w:lang w:val="pt-B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uiPriority w:val="99"/>
    <w:semiHidden/>
    <w:unhideWhenUsed/>
    <w:qFormat/>
    <w:rPr>
      <w:rFonts w:eastAsiaTheme="minorEastAsia"/>
      <w:sz w:val="24"/>
      <w:szCs w:val="24"/>
      <w:lang w:val="pt-B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uiPriority w:val="99"/>
    <w:semiHidden/>
    <w:unhideWhenUsed/>
    <w:qFormat/>
    <w:rPr>
      <w:rFonts w:eastAsiaTheme="minorEastAsia"/>
      <w:color w:val="FFFFFF"/>
      <w:sz w:val="24"/>
      <w:szCs w:val="24"/>
      <w:lang w:val="pt-B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uiPriority w:val="99"/>
    <w:semiHidden/>
    <w:unhideWhenUsed/>
    <w:qFormat/>
    <w:rPr>
      <w:rFonts w:eastAsiaTheme="minorEastAsia"/>
      <w:sz w:val="24"/>
      <w:szCs w:val="24"/>
      <w:lang w:val="pt-B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uiPriority w:val="99"/>
    <w:semiHidden/>
    <w:unhideWhenUsed/>
    <w:qFormat/>
    <w:rPr>
      <w:rFonts w:eastAsiaTheme="minorEastAsia"/>
      <w:sz w:val="24"/>
      <w:szCs w:val="24"/>
      <w:lang w:val="pt-B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uiPriority w:val="99"/>
    <w:semiHidden/>
    <w:unhideWhenUsed/>
    <w:qFormat/>
    <w:rPr>
      <w:rFonts w:eastAsiaTheme="minorEastAsia"/>
      <w:b/>
      <w:bCs/>
      <w:sz w:val="24"/>
      <w:szCs w:val="24"/>
      <w:lang w:val="pt-BR"/>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uiPriority w:val="99"/>
    <w:semiHidden/>
    <w:unhideWhenUsed/>
    <w:qFormat/>
    <w:rPr>
      <w:rFonts w:eastAsiaTheme="minorEastAsia"/>
      <w:b/>
      <w:bCs/>
      <w:sz w:val="24"/>
      <w:szCs w:val="24"/>
      <w:lang w:val="pt-BR"/>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uiPriority w:val="99"/>
    <w:semiHidden/>
    <w:unhideWhenUsed/>
    <w:qFormat/>
    <w:rPr>
      <w:rFonts w:eastAsiaTheme="minorEastAsia"/>
      <w:b/>
      <w:bCs/>
      <w:sz w:val="24"/>
      <w:szCs w:val="24"/>
      <w:lang w:val="pt-BR"/>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uiPriority w:val="99"/>
    <w:semiHidden/>
    <w:unhideWhenUsed/>
    <w:qFormat/>
    <w:rPr>
      <w:rFonts w:eastAsiaTheme="minorEastAsia"/>
      <w:sz w:val="24"/>
      <w:szCs w:val="24"/>
      <w:lang w:val="pt-BR"/>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qFormat/>
    <w:rPr>
      <w:rFonts w:eastAsiaTheme="minorEastAsia"/>
      <w:sz w:val="24"/>
      <w:szCs w:val="24"/>
      <w:lang w:val="pt-BR"/>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qFormat/>
    <w:rPr>
      <w:rFonts w:eastAsiaTheme="minorEastAsia"/>
      <w:sz w:val="24"/>
      <w:szCs w:val="24"/>
      <w:lang w:val="pt-BR"/>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uiPriority w:val="99"/>
    <w:semiHidden/>
    <w:unhideWhenUsed/>
    <w:qFormat/>
    <w:rPr>
      <w:rFonts w:eastAsiaTheme="minorEastAsia"/>
      <w:sz w:val="24"/>
      <w:szCs w:val="24"/>
      <w:lang w:val="pt-B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1">
    <w:name w:val="Table Grid 1"/>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TableGrid2">
    <w:name w:val="Table Grid 2"/>
    <w:basedOn w:val="TableNormal"/>
    <w:uiPriority w:val="99"/>
    <w:semiHidden/>
    <w:unhideWhenUsed/>
    <w:qFormat/>
    <w:rPr>
      <w:rFonts w:eastAsiaTheme="minorEastAsia"/>
      <w:sz w:val="24"/>
      <w:szCs w:val="24"/>
      <w:lang w:val="pt-BR"/>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uiPriority w:val="99"/>
    <w:semiHidden/>
    <w:unhideWhenUsed/>
    <w:rPr>
      <w:rFonts w:eastAsiaTheme="minorEastAsia"/>
      <w:sz w:val="24"/>
      <w:szCs w:val="24"/>
      <w:lang w:val="pt-B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styleId="TableGrid4">
    <w:name w:val="Table Grid 4"/>
    <w:basedOn w:val="TableNormal"/>
    <w:uiPriority w:val="99"/>
    <w:semiHidden/>
    <w:unhideWhenUsed/>
    <w:qFormat/>
    <w:rPr>
      <w:rFonts w:eastAsiaTheme="minorEastAsia"/>
      <w:sz w:val="24"/>
      <w:szCs w:val="24"/>
      <w:lang w:val="pt-B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uiPriority w:val="99"/>
    <w:semiHidden/>
    <w:unhideWhenUsed/>
    <w:qFormat/>
    <w:rPr>
      <w:rFonts w:eastAsiaTheme="minorEastAsia"/>
      <w:b/>
      <w:bCs/>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uiPriority w:val="99"/>
    <w:semiHidden/>
    <w:unhideWhenUsed/>
    <w:qFormat/>
    <w:rPr>
      <w:rFonts w:eastAsiaTheme="minorEastAsia"/>
      <w:sz w:val="24"/>
      <w:szCs w:val="24"/>
      <w:lang w:val="pt-B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TableGridLight1">
    <w:name w:val="Table Grid Light1"/>
    <w:basedOn w:val="TableNormal"/>
    <w:uiPriority w:val="40"/>
    <w:unhideWhenUsed/>
    <w:qFormat/>
    <w:rPr>
      <w:rFonts w:eastAsiaTheme="minorEastAsia"/>
      <w:sz w:val="24"/>
      <w:szCs w:val="24"/>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qFormat/>
    <w:rPr>
      <w:rFonts w:eastAsiaTheme="minorEastAsia"/>
      <w:sz w:val="24"/>
      <w:szCs w:val="24"/>
      <w:lang w:val="pt-BR"/>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uiPriority w:val="99"/>
    <w:semiHidden/>
    <w:unhideWhenUsed/>
    <w:qFormat/>
    <w:rPr>
      <w:rFonts w:eastAsiaTheme="minorEastAsia"/>
      <w:sz w:val="24"/>
      <w:szCs w:val="24"/>
      <w:lang w:val="pt-BR"/>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uiPriority w:val="99"/>
    <w:semiHidden/>
    <w:unhideWhenUsed/>
    <w:qFormat/>
    <w:rPr>
      <w:rFonts w:eastAsiaTheme="minorEastAsia"/>
      <w:sz w:val="24"/>
      <w:szCs w:val="24"/>
      <w:lang w:val="pt-B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styleId="TableList7">
    <w:name w:val="Table List 7"/>
    <w:basedOn w:val="TableNormal"/>
    <w:uiPriority w:val="99"/>
    <w:semiHidden/>
    <w:unhideWhenUsed/>
    <w:qFormat/>
    <w:rPr>
      <w:rFonts w:eastAsiaTheme="minorEastAsia"/>
      <w:sz w:val="24"/>
      <w:szCs w:val="24"/>
      <w:lang w:val="pt-BR"/>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styleId="TableProfessional">
    <w:name w:val="Table Professional"/>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uiPriority w:val="99"/>
    <w:semiHidden/>
    <w:unhideWhenUsed/>
    <w:qFormat/>
    <w:rPr>
      <w:rFonts w:eastAsiaTheme="minorEastAsia"/>
      <w:sz w:val="24"/>
      <w:szCs w:val="24"/>
      <w:lang w:val="pt-B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uiPriority w:val="99"/>
    <w:semiHidden/>
    <w:unhideWhenUsed/>
    <w:qFormat/>
    <w:rPr>
      <w:rFonts w:eastAsiaTheme="minorEastAsia"/>
      <w:sz w:val="24"/>
      <w:szCs w:val="24"/>
      <w:lang w:val="pt-BR"/>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unhideWhenUsed/>
    <w:qFormat/>
    <w:rPr>
      <w:rFonts w:eastAsiaTheme="minorEastAsia"/>
      <w:sz w:val="24"/>
      <w:szCs w:val="24"/>
      <w:lang w:val="pt-BR"/>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uiPriority w:val="99"/>
    <w:semiHidden/>
    <w:unhideWhenUsed/>
    <w:rPr>
      <w:rFonts w:eastAsiaTheme="minorEastAsia"/>
      <w:sz w:val="24"/>
      <w:szCs w:val="24"/>
      <w:lang w:val="pt-BR"/>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uiPriority w:val="99"/>
    <w:semiHidden/>
    <w:unhideWhenUsed/>
    <w:qFormat/>
    <w:rPr>
      <w:rFonts w:eastAsiaTheme="minorEastAsia"/>
      <w:sz w:val="24"/>
      <w:szCs w:val="24"/>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qFormat/>
    <w:rPr>
      <w:rFonts w:eastAsiaTheme="minorEastAsia"/>
      <w:sz w:val="24"/>
      <w:szCs w:val="24"/>
      <w:lang w:val="pt-B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uiPriority w:val="99"/>
    <w:semiHidden/>
    <w:unhideWhenUsed/>
    <w:qFormat/>
    <w:rPr>
      <w:rFonts w:eastAsiaTheme="minorEastAsia"/>
      <w:sz w:val="24"/>
      <w:szCs w:val="24"/>
      <w:lang w:val="pt-B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uiPriority w:val="99"/>
    <w:semiHidden/>
    <w:unhideWhenUsed/>
    <w:qFormat/>
    <w:rPr>
      <w:rFonts w:eastAsiaTheme="minorEastAsia"/>
      <w:sz w:val="24"/>
      <w:szCs w:val="24"/>
      <w:lang w:val="pt-B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TitleChar">
    <w:name w:val="Title Char"/>
    <w:basedOn w:val="DefaultParagraphFont"/>
    <w:link w:val="Title"/>
    <w:uiPriority w:val="10"/>
    <w:rPr>
      <w:rFonts w:ascii="Times New Roman" w:eastAsia="Times New Roman" w:hAnsi="Times New Roman" w:cs="Times New Roman"/>
      <w:b/>
      <w:bCs/>
      <w:sz w:val="32"/>
      <w:szCs w:val="32"/>
    </w:rPr>
  </w:style>
  <w:style w:type="paragraph" w:customStyle="1" w:styleId="TOCHeading1">
    <w:name w:val="TOC Heading1"/>
    <w:basedOn w:val="Heading1"/>
    <w:next w:val="Normal"/>
    <w:uiPriority w:val="39"/>
    <w:unhideWhenUsed/>
    <w:qFormat/>
    <w:pPr>
      <w:keepNext/>
      <w:keepLines/>
      <w:widowControl/>
      <w:autoSpaceDE/>
      <w:autoSpaceDN/>
      <w:spacing w:before="240"/>
      <w:ind w:left="0" w:firstLine="0"/>
      <w:jc w:val="left"/>
      <w:outlineLvl w:val="9"/>
    </w:pPr>
    <w:rPr>
      <w:rFonts w:asciiTheme="majorHAnsi" w:eastAsiaTheme="majorEastAsia" w:hAnsiTheme="majorHAnsi" w:cstheme="majorBidi"/>
      <w:b w:val="0"/>
      <w:bCs w:val="0"/>
      <w:color w:val="365F91" w:themeColor="accent1" w:themeShade="BF"/>
      <w:sz w:val="32"/>
      <w:szCs w:val="32"/>
      <w:lang w:eastAsia="pt-BR"/>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TableGrid10">
    <w:name w:val="Table Grid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val="en-US" w:eastAsia="en-US"/>
    </w:rPr>
  </w:style>
  <w:style w:type="character" w:customStyle="1" w:styleId="title-text">
    <w:name w:val="title-text"/>
    <w:basedOn w:val="DefaultParagraphFont"/>
    <w:qFormat/>
  </w:style>
  <w:style w:type="character" w:customStyle="1" w:styleId="apple-converted-space">
    <w:name w:val="apple-converted-space"/>
    <w:basedOn w:val="DefaultParagraphFont"/>
    <w:qFormat/>
  </w:style>
  <w:style w:type="paragraph" w:customStyle="1" w:styleId="Heading11">
    <w:name w:val="Heading 11"/>
    <w:basedOn w:val="Normal"/>
    <w:uiPriority w:val="1"/>
    <w:qFormat/>
    <w:pPr>
      <w:ind w:left="220"/>
      <w:outlineLvl w:val="1"/>
    </w:pPr>
    <w:rPr>
      <w:b/>
      <w:bCs/>
      <w:sz w:val="24"/>
      <w:szCs w:val="24"/>
      <w:lang w:bidi="en-US"/>
    </w:rPr>
  </w:style>
  <w:style w:type="paragraph" w:customStyle="1" w:styleId="Normal1">
    <w:name w:val="Normal1"/>
    <w:qFormat/>
    <w:pPr>
      <w:spacing w:line="276" w:lineRule="auto"/>
    </w:pPr>
    <w:rPr>
      <w:rFonts w:ascii="Arial" w:eastAsia="Arial" w:hAnsi="Arial" w:cs="Arial"/>
      <w:sz w:val="22"/>
      <w:szCs w:val="22"/>
      <w:lang w:eastAsia="cs-CZ"/>
    </w:rPr>
  </w:style>
  <w:style w:type="paragraph" w:customStyle="1" w:styleId="MDPI17abstract">
    <w:name w:val="MDPI_1.7_abstract"/>
    <w:next w:val="Normal"/>
    <w:qFormat/>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en-US" w:eastAsia="de-DE" w:bidi="en-US"/>
    </w:rPr>
  </w:style>
  <w:style w:type="paragraph" w:customStyle="1" w:styleId="MDPI18keywords">
    <w:name w:val="MDPI_1.8_keywords"/>
    <w:next w:val="Normal"/>
    <w:qFormat/>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val="en-US" w:eastAsia="de-DE" w:bidi="en-US"/>
    </w:rPr>
  </w:style>
  <w:style w:type="paragraph" w:customStyle="1" w:styleId="MDPI31text">
    <w:name w:val="MDPI_3.1_text"/>
    <w:qFormat/>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en-US" w:eastAsia="de-DE" w:bidi="en-US"/>
    </w:rPr>
  </w:style>
  <w:style w:type="paragraph" w:customStyle="1" w:styleId="MDPI39equation">
    <w:name w:val="MDPI_3.9_equation"/>
    <w:qFormat/>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Cs w:val="22"/>
      <w:lang w:val="en-US" w:eastAsia="de-DE" w:bidi="en-US"/>
    </w:rPr>
  </w:style>
  <w:style w:type="paragraph" w:customStyle="1" w:styleId="MDPI3aequationnumber">
    <w:name w:val="MDPI_3.a_equation_number"/>
    <w:qFormat/>
    <w:pPr>
      <w:spacing w:before="120" w:after="120"/>
      <w:jc w:val="right"/>
    </w:pPr>
    <w:rPr>
      <w:rFonts w:ascii="Palatino Linotype" w:eastAsia="Times New Roman" w:hAnsi="Palatino Linotype" w:cs="Times New Roman"/>
      <w:snapToGrid w:val="0"/>
      <w:color w:val="000000"/>
      <w:szCs w:val="22"/>
      <w:lang w:val="en-US" w:eastAsia="de-DE" w:bidi="en-US"/>
    </w:rPr>
  </w:style>
  <w:style w:type="paragraph" w:customStyle="1" w:styleId="MDPI42tablebody">
    <w:name w:val="MDPI_4.2_table_body"/>
    <w:qFormat/>
    <w:pPr>
      <w:adjustRightInd w:val="0"/>
      <w:snapToGrid w:val="0"/>
      <w:spacing w:line="260" w:lineRule="atLeast"/>
      <w:jc w:val="center"/>
    </w:pPr>
    <w:rPr>
      <w:rFonts w:ascii="Palatino Linotype" w:eastAsia="Times New Roman" w:hAnsi="Palatino Linotype" w:cs="Times New Roman"/>
      <w:snapToGrid w:val="0"/>
      <w:color w:val="000000"/>
      <w:lang w:val="en-US" w:eastAsia="de-DE" w:bidi="en-US"/>
    </w:rPr>
  </w:style>
  <w:style w:type="paragraph" w:customStyle="1" w:styleId="MDPI23heading3">
    <w:name w:val="MDPI_2.3_heading3"/>
    <w:qFormat/>
    <w:pPr>
      <w:adjustRightInd w:val="0"/>
      <w:snapToGrid w:val="0"/>
      <w:spacing w:before="60" w:after="60" w:line="228" w:lineRule="auto"/>
      <w:ind w:left="2608"/>
      <w:outlineLvl w:val="2"/>
    </w:pPr>
    <w:rPr>
      <w:rFonts w:ascii="Palatino Linotype" w:eastAsia="Times New Roman" w:hAnsi="Palatino Linotype" w:cs="Times New Roman"/>
      <w:snapToGrid w:val="0"/>
      <w:color w:val="000000"/>
      <w:szCs w:val="22"/>
      <w:lang w:val="en-US" w:eastAsia="de-DE" w:bidi="en-US"/>
    </w:rPr>
  </w:style>
  <w:style w:type="paragraph" w:customStyle="1" w:styleId="MDPI21heading1">
    <w:name w:val="MDPI_2.1_heading1"/>
    <w:qFormat/>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en-US" w:eastAsia="de-DE" w:bidi="en-US"/>
    </w:rPr>
  </w:style>
  <w:style w:type="paragraph" w:customStyle="1" w:styleId="MDPI22heading2">
    <w:name w:val="MDPI_2.2_heading2"/>
    <w:qFormat/>
    <w:pPr>
      <w:adjustRightInd w:val="0"/>
      <w:snapToGrid w:val="0"/>
      <w:spacing w:before="60" w:after="60" w:line="228" w:lineRule="auto"/>
      <w:ind w:left="2608"/>
      <w:outlineLvl w:val="1"/>
    </w:pPr>
    <w:rPr>
      <w:rFonts w:ascii="Palatino Linotype" w:eastAsia="Times New Roman" w:hAnsi="Palatino Linotype" w:cs="Times New Roman"/>
      <w:i/>
      <w:snapToGrid w:val="0"/>
      <w:color w:val="000000"/>
      <w:szCs w:val="22"/>
      <w:lang w:val="en-US" w:eastAsia="de-DE" w:bidi="en-US"/>
    </w:rPr>
  </w:style>
  <w:style w:type="paragraph" w:customStyle="1" w:styleId="MDPI62BackMatter">
    <w:name w:val="MDPI_6.2_BackMatter"/>
    <w:qFormat/>
    <w:pPr>
      <w:adjustRightInd w:val="0"/>
      <w:snapToGrid w:val="0"/>
      <w:spacing w:after="120" w:line="228" w:lineRule="auto"/>
      <w:ind w:left="2608"/>
      <w:jc w:val="both"/>
    </w:pPr>
    <w:rPr>
      <w:rFonts w:ascii="Palatino Linotype" w:eastAsia="Times New Roman" w:hAnsi="Palatino Linotype" w:cs="Times New Roman"/>
      <w:snapToGrid w:val="0"/>
      <w:color w:val="000000"/>
      <w:sz w:val="18"/>
      <w:lang w:val="en-US" w:eastAsia="en-US" w:bidi="en-US"/>
    </w:rPr>
  </w:style>
  <w:style w:type="paragraph" w:customStyle="1" w:styleId="TableTitle">
    <w:name w:val="TableTitle"/>
    <w:basedOn w:val="Normal"/>
    <w:qFormat/>
    <w:pPr>
      <w:widowControl/>
      <w:autoSpaceDE/>
      <w:autoSpaceDN/>
      <w:spacing w:line="300" w:lineRule="exact"/>
    </w:pPr>
    <w:rPr>
      <w:sz w:val="24"/>
      <w:szCs w:val="20"/>
      <w:lang w:val="en-GB"/>
    </w:rPr>
  </w:style>
  <w:style w:type="paragraph" w:customStyle="1" w:styleId="TableHeader">
    <w:name w:val="TableHeader"/>
    <w:basedOn w:val="Normal"/>
    <w:qFormat/>
    <w:pPr>
      <w:widowControl/>
      <w:autoSpaceDE/>
      <w:autoSpaceDN/>
      <w:spacing w:before="120"/>
    </w:pPr>
    <w:rPr>
      <w:b/>
      <w:sz w:val="24"/>
      <w:szCs w:val="20"/>
      <w:lang w:val="en-GB"/>
    </w:rPr>
  </w:style>
  <w:style w:type="paragraph" w:customStyle="1" w:styleId="TableSubHead">
    <w:name w:val="TableSubHead"/>
    <w:basedOn w:val="TableHeader"/>
    <w:qFormat/>
  </w:style>
  <w:style w:type="paragraph" w:customStyle="1" w:styleId="TableNote">
    <w:name w:val="TableNote"/>
    <w:basedOn w:val="Normal"/>
    <w:qFormat/>
    <w:pPr>
      <w:widowControl/>
      <w:autoSpaceDE/>
      <w:autoSpaceDN/>
      <w:spacing w:line="300" w:lineRule="exact"/>
    </w:pPr>
    <w:rPr>
      <w:sz w:val="24"/>
      <w:szCs w:val="20"/>
      <w:lang w:val="en-GB"/>
    </w:rPr>
  </w:style>
  <w:style w:type="character" w:customStyle="1" w:styleId="URL">
    <w:name w:val="URL"/>
    <w:basedOn w:val="DefaultParagraphFont"/>
    <w:qFormat/>
    <w:rPr>
      <w:color w:val="666699"/>
    </w:rPr>
  </w:style>
  <w:style w:type="table" w:customStyle="1" w:styleId="TableGrid20">
    <w:name w:val="Table Grid2"/>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qFormat/>
    <w:rPr>
      <w:color w:val="605E5C"/>
      <w:shd w:val="clear" w:color="auto" w:fill="E1DFDD"/>
    </w:rPr>
  </w:style>
  <w:style w:type="table" w:customStyle="1" w:styleId="GridTable7Colorful-Accent52">
    <w:name w:val="Grid Table 7 Colorful - Accent 52"/>
    <w:basedOn w:val="TableNormal"/>
    <w:uiPriority w:val="52"/>
    <w:qFormat/>
    <w:rPr>
      <w:color w:val="31849B" w:themeColor="accent5" w:themeShade="BF"/>
      <w:lang w:val="fr-CH"/>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52">
    <w:name w:val="Grid Table 3 - Accent 52"/>
    <w:basedOn w:val="TableNormal"/>
    <w:uiPriority w:val="48"/>
    <w:qFormat/>
    <w:rPr>
      <w:sz w:val="24"/>
      <w:szCs w:val="24"/>
      <w:lang w:val="sv-SE"/>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12">
    <w:name w:val="Grid Table 7 Colorful - Accent 12"/>
    <w:basedOn w:val="TableNormal"/>
    <w:uiPriority w:val="52"/>
    <w:qFormat/>
    <w:rPr>
      <w:color w:val="365F91" w:themeColor="accent1" w:themeShade="BF"/>
      <w:kern w:val="2"/>
      <w:sz w:val="24"/>
      <w:szCs w:val="24"/>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sc-pya-dn">
    <w:name w:val="sc-pya-dn"/>
    <w:basedOn w:val="DefaultParagraphFont"/>
    <w:qFormat/>
  </w:style>
  <w:style w:type="character" w:customStyle="1" w:styleId="NormalWebChar">
    <w:name w:val="Normal (Web) Char"/>
    <w:basedOn w:val="DefaultParagraphFont"/>
    <w:link w:val="NormalWeb"/>
    <w:uiPriority w:val="99"/>
    <w:qFormat/>
    <w:rPr>
      <w:rFonts w:ascii="Times New Roman" w:eastAsiaTheme="minorEastAsia" w:hAnsi="Times New Roman" w:cs="Times New Roman"/>
      <w:sz w:val="24"/>
      <w:szCs w:val="24"/>
    </w:rPr>
  </w:style>
  <w:style w:type="paragraph" w:customStyle="1" w:styleId="EndNoteBibliographyTitle">
    <w:name w:val="EndNote Bibliography Title"/>
    <w:basedOn w:val="Normal"/>
    <w:link w:val="EndNoteBibliographyTitleChar"/>
    <w:qFormat/>
    <w:pPr>
      <w:widowControl/>
      <w:autoSpaceDE/>
      <w:autoSpaceDN/>
      <w:jc w:val="center"/>
    </w:pPr>
    <w:rPr>
      <w:rFonts w:ascii="Calibri" w:eastAsiaTheme="minorHAnsi" w:hAnsi="Calibri" w:cs="Calibri"/>
      <w:kern w:val="2"/>
      <w:sz w:val="24"/>
      <w:szCs w:val="24"/>
    </w:rPr>
  </w:style>
  <w:style w:type="character" w:customStyle="1" w:styleId="EndNoteBibliographyTitleChar">
    <w:name w:val="EndNote Bibliography Title Char"/>
    <w:basedOn w:val="DefaultParagraphFont"/>
    <w:link w:val="EndNoteBibliographyTitle"/>
    <w:qFormat/>
    <w:rPr>
      <w:rFonts w:ascii="Calibri" w:hAnsi="Calibri" w:cs="Calibri"/>
      <w:kern w:val="2"/>
      <w:sz w:val="24"/>
      <w:szCs w:val="24"/>
    </w:rPr>
  </w:style>
  <w:style w:type="character" w:customStyle="1" w:styleId="NoSpacingChar">
    <w:name w:val="No Spacing Char"/>
    <w:link w:val="NoSpacing"/>
    <w:uiPriority w:val="1"/>
    <w:qFormat/>
    <w:locked/>
    <w:rPr>
      <w:rFonts w:ascii="Times New Roman" w:eastAsia="Times New Roman" w:hAnsi="Times New Roman" w:cs="Times New Roman"/>
    </w:rPr>
  </w:style>
  <w:style w:type="paragraph" w:customStyle="1" w:styleId="Footnote">
    <w:name w:val="Footnote"/>
    <w:qFormat/>
    <w:pPr>
      <w:widowControl w:val="0"/>
      <w:tabs>
        <w:tab w:val="left" w:pos="-720"/>
      </w:tabs>
      <w:suppressAutoHyphens/>
      <w:spacing w:line="200" w:lineRule="exact"/>
    </w:pPr>
    <w:rPr>
      <w:rFonts w:ascii="CG Times" w:eastAsia="Times New Roman" w:hAnsi="CG Times" w:cs="Times New Roman"/>
      <w:kern w:val="2"/>
      <w:lang w:val="en-US" w:eastAsia="en-US"/>
    </w:rPr>
  </w:style>
  <w:style w:type="paragraph" w:customStyle="1" w:styleId="Level1">
    <w:name w:val="Level 1"/>
    <w:basedOn w:val="Normal"/>
    <w:qFormat/>
    <w:pPr>
      <w:autoSpaceDE/>
      <w:autoSpaceDN/>
      <w:ind w:left="720" w:hanging="720"/>
      <w:jc w:val="both"/>
    </w:pPr>
    <w:rPr>
      <w:rFonts w:ascii="CG Times" w:hAnsi="CG Times"/>
      <w:sz w:val="24"/>
      <w:szCs w:val="20"/>
    </w:rPr>
  </w:style>
  <w:style w:type="paragraph" w:customStyle="1" w:styleId="LetteredList">
    <w:name w:val="Lettered List"/>
    <w:basedOn w:val="Normal"/>
    <w:qFormat/>
    <w:pPr>
      <w:numPr>
        <w:numId w:val="11"/>
      </w:numPr>
      <w:autoSpaceDE/>
      <w:autoSpaceDN/>
      <w:jc w:val="both"/>
    </w:pPr>
    <w:rPr>
      <w:rFonts w:ascii="CG Times" w:hAnsi="CG Times"/>
      <w:sz w:val="24"/>
      <w:szCs w:val="20"/>
    </w:rPr>
  </w:style>
  <w:style w:type="paragraph" w:customStyle="1" w:styleId="BlockQuote">
    <w:name w:val="Block Quote"/>
    <w:basedOn w:val="Normal"/>
    <w:qFormat/>
    <w:pPr>
      <w:autoSpaceDE/>
      <w:autoSpaceDN/>
      <w:ind w:left="360" w:right="360" w:firstLine="360"/>
      <w:jc w:val="both"/>
    </w:pPr>
    <w:rPr>
      <w:rFonts w:ascii="CG Times" w:hAnsi="CG Times"/>
      <w:sz w:val="21"/>
      <w:szCs w:val="19"/>
    </w:rPr>
  </w:style>
  <w:style w:type="paragraph" w:customStyle="1" w:styleId="Epigraph">
    <w:name w:val="Epigraph"/>
    <w:basedOn w:val="Normal"/>
    <w:qFormat/>
    <w:pPr>
      <w:autoSpaceDE/>
      <w:autoSpaceDN/>
      <w:ind w:left="3600"/>
      <w:jc w:val="right"/>
    </w:pPr>
    <w:rPr>
      <w:rFonts w:ascii="CG Times" w:hAnsi="CG Times"/>
      <w:sz w:val="21"/>
      <w:szCs w:val="21"/>
    </w:rPr>
  </w:style>
  <w:style w:type="paragraph" w:customStyle="1" w:styleId="ArticleTitle">
    <w:name w:val="Article Title"/>
    <w:basedOn w:val="Normal"/>
    <w:qFormat/>
    <w:pPr>
      <w:autoSpaceDE/>
      <w:autoSpaceDN/>
      <w:jc w:val="center"/>
    </w:pPr>
    <w:rPr>
      <w:rFonts w:ascii="CG Times" w:hAnsi="CG Times"/>
      <w:caps/>
      <w:sz w:val="24"/>
      <w:szCs w:val="20"/>
    </w:rPr>
  </w:style>
  <w:style w:type="paragraph" w:customStyle="1" w:styleId="YourName">
    <w:name w:val="Your Name"/>
    <w:basedOn w:val="Normal"/>
    <w:qFormat/>
    <w:pPr>
      <w:autoSpaceDE/>
      <w:autoSpaceDN/>
      <w:jc w:val="center"/>
    </w:pPr>
    <w:rPr>
      <w:rFonts w:ascii="CG Times" w:hAnsi="CG Times"/>
      <w:i/>
      <w:iCs/>
      <w:sz w:val="23"/>
      <w:szCs w:val="20"/>
    </w:rPr>
  </w:style>
  <w:style w:type="paragraph" w:customStyle="1" w:styleId="BlockQuoteinFootnote">
    <w:name w:val="Block Quote in Footnote"/>
    <w:basedOn w:val="FootnoteText"/>
    <w:qFormat/>
    <w:pPr>
      <w:widowControl w:val="0"/>
      <w:ind w:left="360" w:right="360" w:firstLine="360"/>
      <w:jc w:val="both"/>
    </w:pPr>
    <w:rPr>
      <w:rFonts w:ascii="CG Times" w:eastAsia="Times New Roman" w:hAnsi="CG Times"/>
    </w:rPr>
  </w:style>
  <w:style w:type="character" w:customStyle="1" w:styleId="ListParagraphChar">
    <w:name w:val="List Paragraph Char"/>
    <w:link w:val="ListParagraph"/>
    <w:uiPriority w:val="1"/>
    <w:qFormat/>
    <w:locked/>
    <w:rPr>
      <w:rFonts w:ascii="Times New Roman" w:eastAsia="Times New Roman" w:hAnsi="Times New Roman" w:cs="Times New Roman"/>
    </w:rPr>
  </w:style>
  <w:style w:type="table" w:customStyle="1" w:styleId="GridTable4-Accent12">
    <w:name w:val="Grid Table 4 - Accent 12"/>
    <w:basedOn w:val="TableNormal"/>
    <w:uiPriority w:val="49"/>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inTable42">
    <w:name w:val="Plain Table 42"/>
    <w:basedOn w:val="TableNormal"/>
    <w:uiPriority w:val="44"/>
    <w:qFormat/>
    <w:rPr>
      <w:rFonts w:ascii="Times New Roman" w:hAnsi="Times New Roman"/>
      <w:sz w:val="24"/>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2">
    <w:name w:val="Grid Table 22"/>
    <w:basedOn w:val="TableNormal"/>
    <w:uiPriority w:val="47"/>
    <w:qFormat/>
    <w:rPr>
      <w:rFonts w:ascii="Times New Roman" w:hAnsi="Times New Roman"/>
      <w:kern w:val="2"/>
      <w:sz w:val="24"/>
    </w:rPr>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nchor-text">
    <w:name w:val="anchor-text"/>
    <w:basedOn w:val="DefaultParagraphFont"/>
    <w:qFormat/>
  </w:style>
  <w:style w:type="table" w:customStyle="1" w:styleId="PlainTable52">
    <w:name w:val="Plain Table 52"/>
    <w:basedOn w:val="TableNormal"/>
    <w:uiPriority w:val="45"/>
    <w:qFormat/>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2">
    <w:name w:val="Table Grid Light2"/>
    <w:basedOn w:val="TableNormal"/>
    <w:uiPriority w:val="40"/>
    <w:qFormat/>
    <w:rPr>
      <w:rFonts w:ascii="Times New Roman" w:hAnsi="Times New Roman"/>
      <w:kern w:val="2"/>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2">
    <w:name w:val="Grid Table 1 Light2"/>
    <w:basedOn w:val="TableNormal"/>
    <w:uiPriority w:val="46"/>
    <w:qFormat/>
    <w:rPr>
      <w:rFonts w:ascii="Times New Roman" w:hAnsi="Times New Roman"/>
      <w:kern w:val="2"/>
      <w:sz w:val="24"/>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2">
    <w:name w:val="Plain Table 32"/>
    <w:basedOn w:val="TableNormal"/>
    <w:uiPriority w:val="43"/>
    <w:qFormat/>
    <w:rPr>
      <w:rFonts w:ascii="Times New Roman" w:hAnsi="Times New Roman"/>
      <w:kern w:val="2"/>
      <w:sz w:val="24"/>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Non-ChapterHeading">
    <w:name w:val="Non-Chapter Heading"/>
    <w:basedOn w:val="Heading1"/>
    <w:qFormat/>
    <w:pPr>
      <w:keepNext/>
      <w:keepLines/>
      <w:widowControl/>
      <w:autoSpaceDE/>
      <w:autoSpaceDN/>
      <w:spacing w:before="240" w:line="480" w:lineRule="auto"/>
      <w:ind w:left="0" w:firstLine="0"/>
      <w:jc w:val="left"/>
    </w:pPr>
    <w:rPr>
      <w:rFonts w:eastAsiaTheme="majorEastAsia"/>
      <w:bCs w:val="0"/>
      <w:sz w:val="24"/>
      <w:szCs w:val="24"/>
    </w:rPr>
  </w:style>
  <w:style w:type="paragraph" w:customStyle="1" w:styleId="Appendix">
    <w:name w:val="Appendix"/>
    <w:basedOn w:val="Heading1"/>
    <w:link w:val="AppendixChar"/>
    <w:qFormat/>
    <w:pPr>
      <w:keepNext/>
      <w:keepLines/>
      <w:widowControl/>
      <w:numPr>
        <w:numId w:val="12"/>
      </w:numPr>
      <w:autoSpaceDE/>
      <w:autoSpaceDN/>
    </w:pPr>
    <w:rPr>
      <w:rFonts w:eastAsiaTheme="majorEastAsia"/>
      <w:bCs w:val="0"/>
      <w:sz w:val="24"/>
      <w:szCs w:val="24"/>
    </w:rPr>
  </w:style>
  <w:style w:type="character" w:customStyle="1" w:styleId="AppendixChar">
    <w:name w:val="Appendix Char"/>
    <w:basedOn w:val="Heading1Char"/>
    <w:link w:val="Appendix"/>
    <w:qFormat/>
    <w:rPr>
      <w:rFonts w:ascii="Times New Roman" w:eastAsiaTheme="majorEastAsia" w:hAnsi="Times New Roman" w:cs="Times New Roman"/>
      <w:b/>
      <w:bCs/>
      <w:sz w:val="24"/>
      <w:szCs w:val="24"/>
    </w:rPr>
  </w:style>
  <w:style w:type="paragraph" w:customStyle="1" w:styleId="Address">
    <w:name w:val="Address"/>
    <w:next w:val="Normal"/>
    <w:qFormat/>
    <w:rPr>
      <w:rFonts w:ascii="Times New Roman" w:eastAsia="Arial Unicode MS" w:hAnsi="Times New Roman" w:cs="Arial Unicode MS"/>
      <w:i/>
      <w:iCs/>
      <w:color w:val="000000"/>
      <w:sz w:val="24"/>
      <w:szCs w:val="24"/>
      <w:u w:color="000000"/>
      <w:lang w:val="en-US" w:eastAsia="en-US"/>
    </w:rPr>
  </w:style>
  <w:style w:type="paragraph" w:customStyle="1" w:styleId="a">
    <w:name w:val="바탕글"/>
    <w:qFormat/>
    <w:pPr>
      <w:widowControl w:val="0"/>
      <w:pBdr>
        <w:top w:val="none" w:sz="0" w:space="0" w:color="000000"/>
        <w:left w:val="none" w:sz="0" w:space="0" w:color="000000"/>
        <w:bottom w:val="none" w:sz="0" w:space="0" w:color="000000"/>
        <w:right w:val="none" w:sz="0" w:space="0" w:color="000000"/>
      </w:pBdr>
      <w:wordWrap w:val="0"/>
      <w:autoSpaceDE w:val="0"/>
      <w:autoSpaceDN w:val="0"/>
      <w:spacing w:line="384" w:lineRule="auto"/>
      <w:jc w:val="both"/>
      <w:textAlignment w:val="baseline"/>
    </w:pPr>
    <w:rPr>
      <w:rFonts w:ascii="함초롬바탕" w:eastAsia="함초롬바탕"/>
      <w:color w:val="000000"/>
      <w:szCs w:val="22"/>
      <w:shd w:val="clear" w:color="999999" w:fill="auto"/>
      <w:lang w:val="en-US" w:eastAsia="zh-CN"/>
    </w:rPr>
  </w:style>
  <w:style w:type="paragraph" w:customStyle="1" w:styleId="1">
    <w:name w:val="바탕글1"/>
    <w:basedOn w:val="Normal"/>
    <w:qFormat/>
    <w:pPr>
      <w:wordWrap w:val="0"/>
      <w:spacing w:line="384" w:lineRule="auto"/>
      <w:jc w:val="both"/>
      <w:textAlignment w:val="baseline"/>
    </w:pPr>
    <w:rPr>
      <w:rFonts w:ascii="함초롬바탕" w:eastAsia="Gulim" w:hAnsi="Gulim" w:cs="Gulim"/>
      <w:color w:val="000000"/>
      <w:sz w:val="20"/>
      <w:szCs w:val="20"/>
      <w:lang w:eastAsia="ko-KR"/>
    </w:rPr>
  </w:style>
  <w:style w:type="character" w:customStyle="1" w:styleId="hljs-section">
    <w:name w:val="hljs-section"/>
    <w:basedOn w:val="DefaultParagraphFont"/>
    <w:qFormat/>
  </w:style>
  <w:style w:type="character" w:customStyle="1" w:styleId="relative">
    <w:name w:val="relative"/>
    <w:basedOn w:val="DefaultParagraphFont"/>
    <w:qFormat/>
  </w:style>
  <w:style w:type="paragraph" w:customStyle="1" w:styleId="Abstract">
    <w:name w:val="Abstract"/>
    <w:basedOn w:val="Normal"/>
    <w:next w:val="Keywords"/>
    <w:qFormat/>
    <w:pPr>
      <w:widowControl/>
      <w:autoSpaceDE/>
      <w:autoSpaceDN/>
      <w:spacing w:before="360" w:after="300" w:line="360" w:lineRule="auto"/>
      <w:ind w:left="720" w:right="567"/>
    </w:pPr>
    <w:rPr>
      <w:szCs w:val="24"/>
      <w:lang w:val="en-GB" w:eastAsia="en-GB"/>
    </w:rPr>
  </w:style>
  <w:style w:type="paragraph" w:customStyle="1" w:styleId="Keywords">
    <w:name w:val="Keywords"/>
    <w:basedOn w:val="Normal"/>
    <w:next w:val="Paragraph0"/>
    <w:qFormat/>
    <w:pPr>
      <w:widowControl/>
      <w:autoSpaceDE/>
      <w:autoSpaceDN/>
      <w:spacing w:before="240" w:after="240" w:line="360" w:lineRule="auto"/>
      <w:ind w:left="720" w:right="567"/>
    </w:pPr>
    <w:rPr>
      <w:szCs w:val="24"/>
      <w:lang w:val="en-GB" w:eastAsia="en-GB"/>
    </w:rPr>
  </w:style>
  <w:style w:type="paragraph" w:customStyle="1" w:styleId="Paragraph0">
    <w:name w:val="Paragraph"/>
    <w:basedOn w:val="Normal"/>
    <w:next w:val="Newparagraph"/>
    <w:link w:val="ParagraphCarter"/>
    <w:qFormat/>
    <w:pPr>
      <w:autoSpaceDE/>
      <w:autoSpaceDN/>
      <w:spacing w:before="240" w:line="480" w:lineRule="auto"/>
    </w:pPr>
    <w:rPr>
      <w:sz w:val="24"/>
      <w:szCs w:val="24"/>
      <w:lang w:val="en-GB" w:eastAsia="en-GB"/>
    </w:rPr>
  </w:style>
  <w:style w:type="paragraph" w:customStyle="1" w:styleId="Newparagraph">
    <w:name w:val="New paragraph"/>
    <w:basedOn w:val="Normal"/>
    <w:qFormat/>
    <w:pPr>
      <w:widowControl/>
      <w:autoSpaceDE/>
      <w:autoSpaceDN/>
      <w:spacing w:line="480" w:lineRule="auto"/>
      <w:ind w:firstLine="720"/>
    </w:pPr>
    <w:rPr>
      <w:sz w:val="24"/>
      <w:szCs w:val="24"/>
      <w:lang w:val="en-GB" w:eastAsia="en-GB"/>
    </w:rPr>
  </w:style>
  <w:style w:type="character" w:customStyle="1" w:styleId="ParagraphCarter">
    <w:name w:val="Paragraph Caráter"/>
    <w:basedOn w:val="DefaultParagraphFont"/>
    <w:link w:val="Paragraph0"/>
    <w:qFormat/>
    <w:rPr>
      <w:rFonts w:ascii="Times New Roman" w:eastAsia="Times New Roman" w:hAnsi="Times New Roman" w:cs="Times New Roman"/>
      <w:sz w:val="24"/>
      <w:szCs w:val="24"/>
      <w:lang w:val="en-GB" w:eastAsia="en-GB"/>
    </w:rPr>
  </w:style>
  <w:style w:type="paragraph" w:customStyle="1" w:styleId="Figurecaption">
    <w:name w:val="Figure caption"/>
    <w:basedOn w:val="Normal"/>
    <w:next w:val="Normal"/>
    <w:qFormat/>
    <w:pPr>
      <w:widowControl/>
      <w:autoSpaceDE/>
      <w:autoSpaceDN/>
      <w:spacing w:before="240" w:line="360" w:lineRule="auto"/>
    </w:pPr>
    <w:rPr>
      <w:sz w:val="24"/>
      <w:szCs w:val="24"/>
      <w:lang w:val="en-GB" w:eastAsia="en-GB"/>
    </w:rPr>
  </w:style>
  <w:style w:type="paragraph" w:customStyle="1" w:styleId="Tabletitle0">
    <w:name w:val="Table title"/>
    <w:basedOn w:val="Normal"/>
    <w:next w:val="Normal"/>
    <w:qFormat/>
    <w:pPr>
      <w:widowControl/>
      <w:autoSpaceDE/>
      <w:autoSpaceDN/>
      <w:spacing w:before="240" w:line="360" w:lineRule="auto"/>
    </w:pPr>
    <w:rPr>
      <w:sz w:val="24"/>
      <w:szCs w:val="24"/>
      <w:lang w:val="en-GB" w:eastAsia="en-GB"/>
    </w:rPr>
  </w:style>
  <w:style w:type="paragraph" w:customStyle="1" w:styleId="p1">
    <w:name w:val="p1"/>
    <w:basedOn w:val="Normal"/>
    <w:qFormat/>
    <w:pPr>
      <w:widowControl/>
      <w:autoSpaceDE/>
      <w:autoSpaceDN/>
    </w:pPr>
    <w:rPr>
      <w:rFonts w:ascii="PT Serif" w:hAnsi="PT Serif"/>
      <w:color w:val="1A1A1A"/>
      <w:sz w:val="10"/>
      <w:szCs w:val="10"/>
      <w:lang w:val="de-DE" w:eastAsia="de-DE"/>
    </w:rPr>
  </w:style>
  <w:style w:type="character" w:customStyle="1" w:styleId="id-label">
    <w:name w:val="id-label"/>
    <w:basedOn w:val="DefaultParagraphFont"/>
    <w:qFormat/>
  </w:style>
  <w:style w:type="character" w:customStyle="1" w:styleId="ej-journal-doi">
    <w:name w:val="ej-journal-doi"/>
    <w:basedOn w:val="DefaultParagraphFont"/>
    <w:qFormat/>
  </w:style>
  <w:style w:type="table" w:customStyle="1" w:styleId="TableGrid0">
    <w:name w:val="TableGrid"/>
    <w:qFormat/>
    <w:rPr>
      <w:rFonts w:eastAsiaTheme="minorEastAsia"/>
    </w:rPr>
    <w:tblPr>
      <w:tblCellMar>
        <w:top w:w="0" w:type="dxa"/>
        <w:left w:w="0" w:type="dxa"/>
        <w:bottom w:w="0" w:type="dxa"/>
        <w:right w:w="0" w:type="dxa"/>
      </w:tblCellMar>
    </w:tblPr>
  </w:style>
  <w:style w:type="paragraph" w:customStyle="1" w:styleId="BodyA">
    <w:name w:val="Body A"/>
    <w:qFormat/>
    <w:pPr>
      <w:spacing w:after="160" w:line="278" w:lineRule="auto"/>
    </w:pPr>
    <w:rPr>
      <w:rFonts w:ascii="Aptos" w:eastAsia="Aptos" w:hAnsi="Aptos" w:cs="Aptos"/>
      <w:color w:val="000000"/>
      <w:kern w:val="2"/>
      <w:sz w:val="24"/>
      <w:szCs w:val="24"/>
      <w:u w:color="000000"/>
      <w:lang w:val="en-US" w:eastAsia="en-US"/>
    </w:rPr>
  </w:style>
  <w:style w:type="table" w:customStyle="1" w:styleId="TableGridLight3">
    <w:name w:val="Table Grid Light3"/>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
    <w:name w:val="Body"/>
    <w:qFormat/>
    <w:pPr>
      <w:suppressAutoHyphens/>
    </w:pPr>
    <w:rPr>
      <w:rFonts w:ascii="Cambria" w:eastAsia="Cambria" w:hAnsi="Cambria" w:cs="Cambria"/>
      <w:color w:val="000000"/>
      <w:sz w:val="24"/>
      <w:szCs w:val="24"/>
      <w:lang w:val="en-US" w:eastAsia="pt-BR"/>
    </w:rPr>
  </w:style>
  <w:style w:type="table" w:customStyle="1" w:styleId="PlainTable12">
    <w:name w:val="Plain Table 12"/>
    <w:basedOn w:val="TableNormal"/>
    <w:uiPriority w:val="41"/>
    <w:qFormat/>
    <w:rPr>
      <w:rFonts w:ascii="Arial" w:eastAsia="Arial" w:hAnsi="Arial" w:cs="Arial"/>
      <w:lang w:val="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reference-accessdate">
    <w:name w:val="reference-accessdate"/>
    <w:basedOn w:val="DefaultParagraphFont"/>
    <w:qFormat/>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None">
    <w:name w:val="None"/>
    <w:rsid w:val="00B5760E"/>
  </w:style>
  <w:style w:type="character" w:customStyle="1" w:styleId="Hyperlink1">
    <w:name w:val="Hyperlink.1"/>
    <w:basedOn w:val="None"/>
    <w:rsid w:val="00B5760E"/>
    <w:rPr>
      <w:rFonts w:ascii="Times New Roman" w:eastAsia="Times New Roman" w:hAnsi="Times New Roman" w:cs="Times New Roman"/>
      <w:sz w:val="24"/>
      <w:szCs w:val="24"/>
      <w:vertAlign w:val="superscript"/>
    </w:rPr>
  </w:style>
  <w:style w:type="numbering" w:customStyle="1" w:styleId="Bullets">
    <w:name w:val="Bullets"/>
    <w:rsid w:val="00B5760E"/>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4841907-4AEE-49CB-80CA-092D97B365C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2656</Words>
  <Characters>15144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Intra-articular Tophaceous Gout Mimicking Cruciate Ligament Pathology: Arthroscopic Diagnosis of a Rare Knee Pathology and Comprehensive Review of Literature</vt:lpstr>
    </vt:vector>
  </TitlesOfParts>
  <Company/>
  <LinksUpToDate>false</LinksUpToDate>
  <CharactersWithSpaces>17765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Intra-articular Tophaceous Gout Mimicking Cruciate Ligament Pathology: Arthroscopic Diagnosis of a Rare Knee Pathology and Comprehensive Review of Literature</dc:title>
  <dc:creator>Pradeep Patel</dc:creator>
  <cp:keywords>Tophaceous gout; Anterior cruciate ligament; Posterior cruciate ligament; Mucoid degeneration; Hyperuricemia</cp:keywords>
  <cp:lastModifiedBy>t21617</cp:lastModifiedBy>
  <cp:revision>6</cp:revision>
  <cp:lastPrinted>2025-01-28T15:14:00Z</cp:lastPrinted>
  <dcterms:created xsi:type="dcterms:W3CDTF">2026-08-06T11:23:00Z</dcterms:created>
  <dcterms:modified xsi:type="dcterms:W3CDTF">2026-08-21T10:51:00Z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2022-06-07T00:00:00Z</vt:filetime>
  </property>
  <property fmtid="{D5CDD505-2E9C-101B-9397-08002B2CF9AE}" pid="3" name="Creator">
    <vt:lpwstr>Microsoft® Word 2010</vt:lpwstr>
  </property>
  <property fmtid="{D5CDD505-2E9C-101B-9397-08002B2CF9AE}" pid="4" name="LastSaved">
    <vt:filetime>2022-07-15T00:00:00Z</vt:filetime>
  </property>
  <property fmtid="{D5CDD505-2E9C-101B-9397-08002B2CF9AE}" pid="5" name="GrammarlyDocumentId">
    <vt:lpwstr>62c00f16-b4be-4e61-a7c9-0b3d1ecff786</vt:lpwstr>
  </property>
  <property fmtid="{D5CDD505-2E9C-101B-9397-08002B2CF9AE}" pid="6" name="KSOProductBuildVer">
    <vt:lpwstr>1036-12.2.0.23196</vt:lpwstr>
  </property>
  <property fmtid="{D5CDD505-2E9C-101B-9397-08002B2CF9AE}" pid="7" name="ICV">
    <vt:lpwstr>039FA0C8F97E42A0BDA0A7AC996022E6_13</vt:lpwstr>
  </property>
</Properties>
</file>