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204EA2B4"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Research</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2C8CEC11" w14:textId="1D0317A5" w:rsidR="00550FA4" w:rsidRDefault="00D95CDC" w:rsidP="00550FA4">
      <w:pPr>
        <w:spacing w:after="0" w:line="360" w:lineRule="auto"/>
        <w:jc w:val="center"/>
        <w:rPr>
          <w:rStyle w:val="il"/>
          <w:rFonts w:ascii="Times New Roman" w:hAnsi="Times New Roman"/>
          <w:b/>
          <w:bCs/>
          <w:sz w:val="32"/>
          <w:szCs w:val="32"/>
          <w:lang w:val="en-CA"/>
        </w:rPr>
      </w:pPr>
      <w:r w:rsidRPr="00D95CDC">
        <w:rPr>
          <w:rStyle w:val="il"/>
          <w:rFonts w:ascii="Times New Roman" w:hAnsi="Times New Roman"/>
          <w:b/>
          <w:bCs/>
          <w:sz w:val="32"/>
          <w:szCs w:val="32"/>
          <w:lang w:val="en-CA"/>
        </w:rPr>
        <w:t xml:space="preserve">Safety and Efficacy of </w:t>
      </w:r>
      <w:proofErr w:type="spellStart"/>
      <w:r w:rsidRPr="00D95CDC">
        <w:rPr>
          <w:rStyle w:val="il"/>
          <w:rFonts w:ascii="Times New Roman" w:hAnsi="Times New Roman"/>
          <w:b/>
          <w:bCs/>
          <w:sz w:val="32"/>
          <w:szCs w:val="32"/>
          <w:lang w:val="en-CA"/>
        </w:rPr>
        <w:t>Magmaris</w:t>
      </w:r>
      <w:proofErr w:type="spellEnd"/>
      <w:r w:rsidRPr="00D95CDC">
        <w:rPr>
          <w:rStyle w:val="il"/>
          <w:rFonts w:ascii="Times New Roman" w:hAnsi="Times New Roman"/>
          <w:b/>
          <w:bCs/>
          <w:sz w:val="32"/>
          <w:szCs w:val="32"/>
          <w:lang w:val="en-CA"/>
        </w:rPr>
        <w:t xml:space="preserve"> Bioresorbable Scaffolds Versus Contemporary Drug-Eluting Stents Including Biomatrix, </w:t>
      </w:r>
      <w:proofErr w:type="spellStart"/>
      <w:r w:rsidRPr="00D95CDC">
        <w:rPr>
          <w:rStyle w:val="il"/>
          <w:rFonts w:ascii="Times New Roman" w:hAnsi="Times New Roman"/>
          <w:b/>
          <w:bCs/>
          <w:sz w:val="32"/>
          <w:szCs w:val="32"/>
          <w:lang w:val="en-CA"/>
        </w:rPr>
        <w:t>Ultimaster</w:t>
      </w:r>
      <w:proofErr w:type="spellEnd"/>
      <w:r w:rsidRPr="00D95CDC">
        <w:rPr>
          <w:rStyle w:val="il"/>
          <w:rFonts w:ascii="Times New Roman" w:hAnsi="Times New Roman"/>
          <w:b/>
          <w:bCs/>
          <w:sz w:val="32"/>
          <w:szCs w:val="32"/>
          <w:lang w:val="en-CA"/>
        </w:rPr>
        <w:t xml:space="preserve">, Orsiro, and </w:t>
      </w:r>
      <w:proofErr w:type="spellStart"/>
      <w:r w:rsidRPr="00D95CDC">
        <w:rPr>
          <w:rStyle w:val="il"/>
          <w:rFonts w:ascii="Times New Roman" w:hAnsi="Times New Roman"/>
          <w:b/>
          <w:bCs/>
          <w:sz w:val="32"/>
          <w:szCs w:val="32"/>
          <w:lang w:val="en-CA"/>
        </w:rPr>
        <w:t>Xience</w:t>
      </w:r>
      <w:proofErr w:type="spellEnd"/>
      <w:r w:rsidRPr="00D95CDC">
        <w:rPr>
          <w:rStyle w:val="il"/>
          <w:rFonts w:ascii="Times New Roman" w:hAnsi="Times New Roman"/>
          <w:b/>
          <w:bCs/>
          <w:sz w:val="32"/>
          <w:szCs w:val="32"/>
          <w:lang w:val="en-CA"/>
        </w:rPr>
        <w:t xml:space="preserve"> in Patients </w:t>
      </w:r>
      <w:proofErr w:type="gramStart"/>
      <w:r w:rsidRPr="00D95CDC">
        <w:rPr>
          <w:rStyle w:val="il"/>
          <w:rFonts w:ascii="Times New Roman" w:hAnsi="Times New Roman"/>
          <w:b/>
          <w:bCs/>
          <w:sz w:val="32"/>
          <w:szCs w:val="32"/>
          <w:lang w:val="en-CA"/>
        </w:rPr>
        <w:t>With</w:t>
      </w:r>
      <w:proofErr w:type="gramEnd"/>
      <w:r w:rsidRPr="00D95CDC">
        <w:rPr>
          <w:rStyle w:val="il"/>
          <w:rFonts w:ascii="Times New Roman" w:hAnsi="Times New Roman"/>
          <w:b/>
          <w:bCs/>
          <w:sz w:val="32"/>
          <w:szCs w:val="32"/>
          <w:lang w:val="en-CA"/>
        </w:rPr>
        <w:t xml:space="preserve"> Coronary Artery Disease: A Comprehensive Systematic Review and Extended Meta-Analysis</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085C3015" w14:textId="3E03533D" w:rsidR="00AB0CA3" w:rsidRDefault="00126B84" w:rsidP="00754241">
      <w:pPr>
        <w:spacing w:after="0" w:line="360" w:lineRule="auto"/>
        <w:jc w:val="both"/>
        <w:rPr>
          <w:rFonts w:ascii="Times New Roman" w:hAnsi="Times New Roman"/>
          <w:b/>
          <w:bCs/>
          <w:sz w:val="22"/>
          <w:szCs w:val="22"/>
          <w:lang w:val="en-CA"/>
        </w:rPr>
      </w:pPr>
      <w:r w:rsidRPr="00126B84">
        <w:rPr>
          <w:rFonts w:ascii="Times New Roman" w:hAnsi="Times New Roman"/>
          <w:b/>
          <w:bCs/>
          <w:sz w:val="22"/>
          <w:szCs w:val="22"/>
          <w:lang w:val="en-CA"/>
        </w:rPr>
        <w:t>Suneel Arwani¹, Muhammad Ali Niaz², Tooba Idrees³, Saifullah Khan⁴, Bushra Ghaffar⁵, Joshua Odidison², Muhammad Ahmed Ashfaque², Saifullah Syed², Hira Riaz⁶</w:t>
      </w:r>
      <w:r w:rsidR="000E41F8">
        <w:rPr>
          <w:rFonts w:ascii="Times New Roman" w:hAnsi="Times New Roman"/>
          <w:b/>
          <w:bCs/>
          <w:sz w:val="22"/>
          <w:szCs w:val="22"/>
          <w:lang w:val="en-CA"/>
        </w:rPr>
        <w:t xml:space="preserve">  </w:t>
      </w:r>
    </w:p>
    <w:p w14:paraId="46F1EA90" w14:textId="77777777" w:rsidR="000E41F8" w:rsidRDefault="000E41F8" w:rsidP="00754241">
      <w:pPr>
        <w:spacing w:after="0" w:line="360" w:lineRule="auto"/>
        <w:jc w:val="both"/>
        <w:rPr>
          <w:rFonts w:ascii="Times New Roman" w:hAnsi="Times New Roman"/>
          <w:b/>
          <w:bCs/>
          <w:sz w:val="22"/>
          <w:szCs w:val="22"/>
          <w:lang w:val="en-CA"/>
        </w:rPr>
      </w:pPr>
    </w:p>
    <w:p w14:paraId="0713C037" w14:textId="28E7A13D" w:rsidR="0048335C" w:rsidRPr="00F41084" w:rsidRDefault="00B22936" w:rsidP="0048335C">
      <w:pPr>
        <w:spacing w:after="0" w:line="360" w:lineRule="auto"/>
        <w:jc w:val="both"/>
        <w:rPr>
          <w:rFonts w:ascii="Times New Roman" w:hAnsi="Times New Roman" w:cs="Times New Roman"/>
          <w:sz w:val="20"/>
          <w:szCs w:val="20"/>
        </w:rPr>
      </w:pPr>
      <w:r w:rsidRPr="000E41F8">
        <w:rPr>
          <w:rFonts w:ascii="Times New Roman" w:hAnsi="Times New Roman" w:cs="Times New Roman"/>
          <w:sz w:val="20"/>
          <w:szCs w:val="20"/>
          <w:vertAlign w:val="superscript"/>
        </w:rPr>
        <w:t>1</w:t>
      </w:r>
      <w:r w:rsidR="0048335C" w:rsidRPr="00F41084">
        <w:rPr>
          <w:rFonts w:ascii="Times New Roman" w:hAnsi="Times New Roman" w:cs="Times New Roman"/>
          <w:sz w:val="20"/>
          <w:szCs w:val="20"/>
        </w:rPr>
        <w:t>University of Mississippi Medical Center, Jackson, Mississippi, United States</w:t>
      </w:r>
    </w:p>
    <w:p w14:paraId="1BC1B821" w14:textId="695DBED0" w:rsidR="0048335C" w:rsidRPr="00F41084" w:rsidRDefault="0048335C" w:rsidP="0048335C">
      <w:pPr>
        <w:spacing w:after="0" w:line="360" w:lineRule="auto"/>
        <w:jc w:val="both"/>
        <w:rPr>
          <w:rFonts w:ascii="Times New Roman" w:hAnsi="Times New Roman" w:cs="Times New Roman"/>
          <w:sz w:val="20"/>
          <w:szCs w:val="20"/>
        </w:rPr>
      </w:pPr>
      <w:r w:rsidRPr="000E41F8">
        <w:rPr>
          <w:rFonts w:ascii="Times New Roman" w:hAnsi="Times New Roman" w:cs="Times New Roman"/>
          <w:sz w:val="20"/>
          <w:szCs w:val="20"/>
          <w:vertAlign w:val="superscript"/>
        </w:rPr>
        <w:t>2</w:t>
      </w:r>
      <w:r w:rsidRPr="00F41084">
        <w:rPr>
          <w:rFonts w:ascii="Times New Roman" w:hAnsi="Times New Roman" w:cs="Times New Roman"/>
          <w:sz w:val="20"/>
          <w:szCs w:val="20"/>
        </w:rPr>
        <w:t>Royal College of Surgeons in Ireland, Dublin, Ireland</w:t>
      </w:r>
    </w:p>
    <w:p w14:paraId="71C17BAA" w14:textId="4000A395" w:rsidR="0048335C" w:rsidRPr="00F41084" w:rsidRDefault="00DF0C76" w:rsidP="0048335C">
      <w:pPr>
        <w:spacing w:after="0" w:line="360" w:lineRule="auto"/>
        <w:jc w:val="both"/>
        <w:rPr>
          <w:rFonts w:ascii="Times New Roman" w:hAnsi="Times New Roman" w:cs="Times New Roman"/>
          <w:sz w:val="20"/>
          <w:szCs w:val="20"/>
        </w:rPr>
      </w:pPr>
      <w:r w:rsidRPr="000E41F8">
        <w:rPr>
          <w:rFonts w:ascii="Times New Roman" w:hAnsi="Times New Roman" w:cs="Times New Roman"/>
          <w:sz w:val="20"/>
          <w:szCs w:val="20"/>
          <w:vertAlign w:val="superscript"/>
        </w:rPr>
        <w:t>3</w:t>
      </w:r>
      <w:r w:rsidR="0048335C" w:rsidRPr="00F41084">
        <w:rPr>
          <w:rFonts w:ascii="Times New Roman" w:hAnsi="Times New Roman" w:cs="Times New Roman"/>
          <w:sz w:val="20"/>
          <w:szCs w:val="20"/>
        </w:rPr>
        <w:t>University College of Medicine and Dentistry (UCMD), Lahore, Pakistan</w:t>
      </w:r>
    </w:p>
    <w:p w14:paraId="26B21302" w14:textId="73906A0F" w:rsidR="0048335C" w:rsidRPr="00F41084" w:rsidRDefault="00DF0C76" w:rsidP="0048335C">
      <w:pPr>
        <w:spacing w:after="0" w:line="360" w:lineRule="auto"/>
        <w:jc w:val="both"/>
        <w:rPr>
          <w:rFonts w:ascii="Times New Roman" w:hAnsi="Times New Roman" w:cs="Times New Roman"/>
          <w:sz w:val="20"/>
          <w:szCs w:val="20"/>
        </w:rPr>
      </w:pPr>
      <w:r w:rsidRPr="000E41F8">
        <w:rPr>
          <w:rFonts w:ascii="Times New Roman" w:hAnsi="Times New Roman" w:cs="Times New Roman"/>
          <w:sz w:val="20"/>
          <w:szCs w:val="20"/>
          <w:vertAlign w:val="superscript"/>
        </w:rPr>
        <w:t>4</w:t>
      </w:r>
      <w:r w:rsidR="0048335C" w:rsidRPr="00F41084">
        <w:rPr>
          <w:rFonts w:ascii="Times New Roman" w:hAnsi="Times New Roman" w:cs="Times New Roman"/>
          <w:sz w:val="20"/>
          <w:szCs w:val="20"/>
        </w:rPr>
        <w:t>MedStar Washington Hospital Center, Georgetown University School of Medicine, Washington, DC, United States</w:t>
      </w:r>
    </w:p>
    <w:p w14:paraId="188FFD16" w14:textId="0641C6FA" w:rsidR="0048335C" w:rsidRPr="00F41084" w:rsidRDefault="00DF0C76" w:rsidP="0048335C">
      <w:pPr>
        <w:spacing w:after="0" w:line="360" w:lineRule="auto"/>
        <w:jc w:val="both"/>
        <w:rPr>
          <w:rFonts w:ascii="Times New Roman" w:hAnsi="Times New Roman" w:cs="Times New Roman"/>
          <w:sz w:val="20"/>
          <w:szCs w:val="20"/>
        </w:rPr>
      </w:pPr>
      <w:r w:rsidRPr="000E41F8">
        <w:rPr>
          <w:rFonts w:ascii="Times New Roman" w:hAnsi="Times New Roman" w:cs="Times New Roman"/>
          <w:sz w:val="20"/>
          <w:szCs w:val="20"/>
          <w:vertAlign w:val="superscript"/>
        </w:rPr>
        <w:t>5</w:t>
      </w:r>
      <w:r w:rsidR="0048335C" w:rsidRPr="00F41084">
        <w:rPr>
          <w:rFonts w:ascii="Times New Roman" w:hAnsi="Times New Roman" w:cs="Times New Roman"/>
          <w:sz w:val="20"/>
          <w:szCs w:val="20"/>
        </w:rPr>
        <w:t>Quaid-e-Azam Medical College, Bahawalpur, Pakistan</w:t>
      </w:r>
    </w:p>
    <w:p w14:paraId="3127EFCD" w14:textId="1F9401FA" w:rsidR="00AB0CA3" w:rsidRDefault="0048335C" w:rsidP="0048335C">
      <w:pPr>
        <w:pStyle w:val="ListParagraph"/>
        <w:spacing w:after="0" w:line="360" w:lineRule="auto"/>
        <w:ind w:left="0"/>
        <w:contextualSpacing w:val="0"/>
        <w:jc w:val="both"/>
        <w:rPr>
          <w:rFonts w:ascii="Times New Roman" w:hAnsi="Times New Roman" w:cs="Times New Roman"/>
          <w:sz w:val="20"/>
          <w:szCs w:val="20"/>
        </w:rPr>
      </w:pPr>
      <w:r w:rsidRPr="000E41F8">
        <w:rPr>
          <w:rFonts w:ascii="Times New Roman" w:hAnsi="Times New Roman" w:cs="Times New Roman"/>
          <w:sz w:val="20"/>
          <w:szCs w:val="20"/>
          <w:vertAlign w:val="superscript"/>
        </w:rPr>
        <w:t>6</w:t>
      </w:r>
      <w:r w:rsidRPr="00F41084">
        <w:rPr>
          <w:rFonts w:ascii="Times New Roman" w:hAnsi="Times New Roman" w:cs="Times New Roman"/>
          <w:sz w:val="20"/>
          <w:szCs w:val="20"/>
        </w:rPr>
        <w:t>Kabul Medical University, Kabul, Afghanistan</w:t>
      </w:r>
    </w:p>
    <w:p w14:paraId="73F7D83B" w14:textId="77777777" w:rsidR="000E41F8" w:rsidRPr="00F41084" w:rsidRDefault="000E41F8" w:rsidP="0048335C">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72FDDD39" w:rsidR="005A1D30" w:rsidRPr="00BE1FC4" w:rsidRDefault="000B2B4E" w:rsidP="00754241">
      <w:pPr>
        <w:spacing w:line="360" w:lineRule="auto"/>
        <w:jc w:val="both"/>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FF7E73">
        <w:rPr>
          <w:rFonts w:ascii="Times New Roman" w:hAnsi="Times New Roman"/>
          <w:b/>
          <w:color w:val="0070C0"/>
          <w:sz w:val="22"/>
          <w:szCs w:val="22"/>
        </w:rPr>
        <w:t>:</w:t>
      </w:r>
      <w:r w:rsidR="005A1D30" w:rsidRPr="005A1D30">
        <w:rPr>
          <w:rFonts w:ascii="Times New Roman" w:eastAsia="Calibri" w:hAnsi="Times New Roman" w:cs="Times New Roman"/>
          <w:sz w:val="24"/>
          <w:szCs w:val="24"/>
        </w:rPr>
        <w:t xml:space="preserve"> </w:t>
      </w:r>
      <w:r w:rsidR="00FF7E73" w:rsidRPr="00FF7E73">
        <w:rPr>
          <w:rFonts w:ascii="Times New Roman" w:eastAsia="Calibri" w:hAnsi="Times New Roman" w:cs="Times New Roman"/>
          <w:sz w:val="20"/>
          <w:szCs w:val="20"/>
        </w:rPr>
        <w:t>Hira Riaz</w:t>
      </w:r>
      <w:r w:rsidR="005D7118" w:rsidRPr="00BE1FC4">
        <w:rPr>
          <w:rFonts w:ascii="Times New Roman" w:eastAsia="Calibri" w:hAnsi="Times New Roman" w:cs="Times New Roman"/>
          <w:sz w:val="20"/>
          <w:szCs w:val="20"/>
        </w:rPr>
        <w:t xml:space="preserve">. </w:t>
      </w:r>
      <w:r w:rsidR="00FF7E73" w:rsidRPr="00FF7E73">
        <w:rPr>
          <w:rFonts w:ascii="Times New Roman" w:eastAsia="Calibri" w:hAnsi="Times New Roman" w:cs="Times New Roman"/>
          <w:sz w:val="20"/>
          <w:szCs w:val="20"/>
        </w:rPr>
        <w:t>Kabul Medical University, Kabul, Afghanistan</w:t>
      </w:r>
      <w:r w:rsidR="00BE1FC4">
        <w:rPr>
          <w:rFonts w:ascii="Times New Roman" w:eastAsia="Calibri" w:hAnsi="Times New Roman" w:cs="Times New Roman"/>
          <w:sz w:val="20"/>
          <w:szCs w:val="20"/>
        </w:rPr>
        <w:t>.</w:t>
      </w:r>
    </w:p>
    <w:p w14:paraId="14208F65" w14:textId="616063A0" w:rsidR="00575188" w:rsidRPr="00575188" w:rsidRDefault="00575188" w:rsidP="00754241">
      <w:pPr>
        <w:widowControl w:val="0"/>
        <w:spacing w:after="0" w:line="360" w:lineRule="auto"/>
        <w:jc w:val="both"/>
        <w:rPr>
          <w:rFonts w:ascii="Times New Roman" w:eastAsia="Times New Roman" w:hAnsi="Times New Roman" w:cs="Times New Roman"/>
          <w:sz w:val="20"/>
          <w:szCs w:val="20"/>
          <w:lang w:val="en-IN" w:eastAsia="en-IN"/>
        </w:rPr>
      </w:pPr>
    </w:p>
    <w:p w14:paraId="0DB52272" w14:textId="63C9111E" w:rsidR="000B2B4E" w:rsidRPr="00995891" w:rsidRDefault="00FA4FDF" w:rsidP="00754241">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0F07FA">
        <w:rPr>
          <w:rFonts w:ascii="Times New Roman" w:hAnsi="Times New Roman"/>
          <w:sz w:val="20"/>
          <w:szCs w:val="20"/>
        </w:rPr>
        <w:t xml:space="preserve">10 </w:t>
      </w:r>
      <w:r w:rsidR="006D3E3F">
        <w:rPr>
          <w:rFonts w:ascii="Times New Roman" w:hAnsi="Times New Roman"/>
          <w:sz w:val="20"/>
          <w:szCs w:val="20"/>
        </w:rPr>
        <w:t>June</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6D3E3F">
        <w:rPr>
          <w:rFonts w:ascii="Times New Roman" w:hAnsi="Times New Roman"/>
          <w:sz w:val="20"/>
          <w:szCs w:val="20"/>
        </w:rPr>
        <w:t>1</w:t>
      </w:r>
      <w:r w:rsidR="003D0673">
        <w:rPr>
          <w:rFonts w:ascii="Times New Roman" w:hAnsi="Times New Roman"/>
          <w:sz w:val="20"/>
          <w:szCs w:val="20"/>
        </w:rPr>
        <w:t>8</w:t>
      </w:r>
      <w:r w:rsidR="0075430D" w:rsidRPr="00ED1CEC">
        <w:rPr>
          <w:rFonts w:ascii="Times New Roman" w:hAnsi="Times New Roman"/>
          <w:sz w:val="20"/>
          <w:szCs w:val="20"/>
        </w:rPr>
        <w:t xml:space="preserve"> </w:t>
      </w:r>
      <w:r w:rsidR="006D3E3F">
        <w:rPr>
          <w:rFonts w:ascii="Times New Roman" w:hAnsi="Times New Roman"/>
          <w:sz w:val="20"/>
          <w:szCs w:val="20"/>
        </w:rPr>
        <w:t>June</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Published</w:t>
      </w:r>
      <w:proofErr w:type="gramStart"/>
      <w:r w:rsidRPr="005E3DF2">
        <w:rPr>
          <w:rFonts w:ascii="Times New Roman" w:hAnsi="Times New Roman"/>
          <w:b/>
          <w:color w:val="0070C0"/>
          <w:sz w:val="20"/>
          <w:szCs w:val="20"/>
        </w:rPr>
        <w:t xml:space="preserve">: </w:t>
      </w:r>
      <w:r w:rsidR="00F648FE">
        <w:rPr>
          <w:rFonts w:ascii="Times New Roman" w:hAnsi="Times New Roman"/>
          <w:sz w:val="20"/>
          <w:szCs w:val="20"/>
        </w:rPr>
        <w:t xml:space="preserve"> </w:t>
      </w:r>
      <w:r w:rsidR="00D4678D">
        <w:rPr>
          <w:rFonts w:ascii="Times New Roman" w:hAnsi="Times New Roman"/>
          <w:sz w:val="20"/>
          <w:szCs w:val="20"/>
        </w:rPr>
        <w:t>24</w:t>
      </w:r>
      <w:proofErr w:type="gramEnd"/>
      <w:r w:rsidR="00D4678D">
        <w:rPr>
          <w:rFonts w:ascii="Times New Roman" w:hAnsi="Times New Roman"/>
          <w:sz w:val="20"/>
          <w:szCs w:val="20"/>
        </w:rPr>
        <w:t xml:space="preserve"> </w:t>
      </w:r>
      <w:r w:rsidR="005D7118">
        <w:rPr>
          <w:rFonts w:ascii="Times New Roman" w:hAnsi="Times New Roman"/>
          <w:sz w:val="20"/>
          <w:szCs w:val="20"/>
        </w:rPr>
        <w:t xml:space="preserve">June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2453D2FA"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E859B2" w:rsidRPr="00E859B2">
        <w:rPr>
          <w:rStyle w:val="il"/>
          <w:rFonts w:ascii="Times New Roman" w:hAnsi="Times New Roman"/>
          <w:sz w:val="20"/>
          <w:szCs w:val="20"/>
          <w:lang w:val="en-CA"/>
        </w:rPr>
        <w:t>Suneel Arwani, Muhammad Ali Niaz, Tooba Idrees, Saifullah Khan, Bushra Ghaffar, Joshua Odidison, Muhammad Ahmed Ashfaque, Saifullah Syed, Hira Riaz</w:t>
      </w:r>
      <w:r w:rsidR="005A1D30" w:rsidRPr="00BE1FC4">
        <w:rPr>
          <w:rStyle w:val="il"/>
          <w:rFonts w:ascii="Times New Roman" w:hAnsi="Times New Roman"/>
          <w:sz w:val="20"/>
          <w:szCs w:val="20"/>
          <w:lang w:val="en-CA"/>
        </w:rPr>
        <w:t>.</w:t>
      </w:r>
      <w:r w:rsidR="005A1D30" w:rsidRPr="00BE1FC4">
        <w:rPr>
          <w:sz w:val="20"/>
          <w:szCs w:val="20"/>
        </w:rPr>
        <w:t xml:space="preserve"> </w:t>
      </w:r>
      <w:r w:rsidR="00FB5F6B" w:rsidRPr="00FB5F6B">
        <w:rPr>
          <w:rStyle w:val="il"/>
          <w:rFonts w:ascii="Times New Roman" w:hAnsi="Times New Roman"/>
          <w:sz w:val="20"/>
          <w:szCs w:val="20"/>
          <w:lang w:val="en-CA"/>
        </w:rPr>
        <w:t xml:space="preserve">Safety and Efficacy of </w:t>
      </w:r>
      <w:proofErr w:type="spellStart"/>
      <w:r w:rsidR="00FB5F6B" w:rsidRPr="00FB5F6B">
        <w:rPr>
          <w:rStyle w:val="il"/>
          <w:rFonts w:ascii="Times New Roman" w:hAnsi="Times New Roman"/>
          <w:sz w:val="20"/>
          <w:szCs w:val="20"/>
          <w:lang w:val="en-CA"/>
        </w:rPr>
        <w:t>Magmaris</w:t>
      </w:r>
      <w:proofErr w:type="spellEnd"/>
      <w:r w:rsidR="00FB5F6B" w:rsidRPr="00FB5F6B">
        <w:rPr>
          <w:rStyle w:val="il"/>
          <w:rFonts w:ascii="Times New Roman" w:hAnsi="Times New Roman"/>
          <w:sz w:val="20"/>
          <w:szCs w:val="20"/>
          <w:lang w:val="en-CA"/>
        </w:rPr>
        <w:t xml:space="preserve"> Bioresorbable Scaffolds Versus Contemporary Drug-Eluting Stents Including Biomatrix, </w:t>
      </w:r>
      <w:proofErr w:type="spellStart"/>
      <w:r w:rsidR="00FB5F6B" w:rsidRPr="00FB5F6B">
        <w:rPr>
          <w:rStyle w:val="il"/>
          <w:rFonts w:ascii="Times New Roman" w:hAnsi="Times New Roman"/>
          <w:sz w:val="20"/>
          <w:szCs w:val="20"/>
          <w:lang w:val="en-CA"/>
        </w:rPr>
        <w:t>Ultimaster</w:t>
      </w:r>
      <w:proofErr w:type="spellEnd"/>
      <w:r w:rsidR="00FB5F6B" w:rsidRPr="00FB5F6B">
        <w:rPr>
          <w:rStyle w:val="il"/>
          <w:rFonts w:ascii="Times New Roman" w:hAnsi="Times New Roman"/>
          <w:sz w:val="20"/>
          <w:szCs w:val="20"/>
          <w:lang w:val="en-CA"/>
        </w:rPr>
        <w:t xml:space="preserve">, Orsiro, and </w:t>
      </w:r>
      <w:proofErr w:type="spellStart"/>
      <w:r w:rsidR="00FB5F6B" w:rsidRPr="00FB5F6B">
        <w:rPr>
          <w:rStyle w:val="il"/>
          <w:rFonts w:ascii="Times New Roman" w:hAnsi="Times New Roman"/>
          <w:sz w:val="20"/>
          <w:szCs w:val="20"/>
          <w:lang w:val="en-CA"/>
        </w:rPr>
        <w:t>Xience</w:t>
      </w:r>
      <w:proofErr w:type="spellEnd"/>
      <w:r w:rsidR="00FB5F6B" w:rsidRPr="00FB5F6B">
        <w:rPr>
          <w:rStyle w:val="il"/>
          <w:rFonts w:ascii="Times New Roman" w:hAnsi="Times New Roman"/>
          <w:sz w:val="20"/>
          <w:szCs w:val="20"/>
          <w:lang w:val="en-CA"/>
        </w:rPr>
        <w:t xml:space="preserve"> in Patients </w:t>
      </w:r>
      <w:proofErr w:type="gramStart"/>
      <w:r w:rsidR="00FB5F6B" w:rsidRPr="00FB5F6B">
        <w:rPr>
          <w:rStyle w:val="il"/>
          <w:rFonts w:ascii="Times New Roman" w:hAnsi="Times New Roman"/>
          <w:sz w:val="20"/>
          <w:szCs w:val="20"/>
          <w:lang w:val="en-CA"/>
        </w:rPr>
        <w:t>With</w:t>
      </w:r>
      <w:proofErr w:type="gramEnd"/>
      <w:r w:rsidR="00FB5F6B" w:rsidRPr="00FB5F6B">
        <w:rPr>
          <w:rStyle w:val="il"/>
          <w:rFonts w:ascii="Times New Roman" w:hAnsi="Times New Roman"/>
          <w:sz w:val="20"/>
          <w:szCs w:val="20"/>
          <w:lang w:val="en-CA"/>
        </w:rPr>
        <w:t xml:space="preserve"> Coronary Artery Disease: A Comprehensive Systematic Review and Extended Meta-Analysis</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Cardiology and Cardiovascular Medicine 9</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C31C2D">
        <w:rPr>
          <w:rFonts w:ascii="Times New Roman" w:hAnsi="Times New Roman"/>
          <w:color w:val="000000"/>
          <w:spacing w:val="-1"/>
          <w:sz w:val="20"/>
          <w:szCs w:val="20"/>
        </w:rPr>
        <w:t>1</w:t>
      </w:r>
      <w:r w:rsidR="009B708D">
        <w:rPr>
          <w:rFonts w:ascii="Times New Roman" w:hAnsi="Times New Roman"/>
          <w:color w:val="000000"/>
          <w:spacing w:val="-1"/>
          <w:sz w:val="20"/>
          <w:szCs w:val="20"/>
        </w:rPr>
        <w:t>71</w:t>
      </w:r>
      <w:r w:rsidR="00C31C2D">
        <w:rPr>
          <w:rFonts w:ascii="Times New Roman" w:hAnsi="Times New Roman"/>
          <w:color w:val="000000"/>
          <w:spacing w:val="-1"/>
          <w:sz w:val="20"/>
          <w:szCs w:val="20"/>
        </w:rPr>
        <w:t>-1</w:t>
      </w:r>
      <w:r w:rsidR="009B708D">
        <w:rPr>
          <w:rFonts w:ascii="Times New Roman" w:hAnsi="Times New Roman"/>
          <w:color w:val="000000"/>
          <w:spacing w:val="-1"/>
          <w:sz w:val="20"/>
          <w:szCs w:val="20"/>
        </w:rPr>
        <w:t>91</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mirrorIndents/>
        <w:jc w:val="both"/>
        <w:rPr>
          <w:rFonts w:ascii="Times New Roman" w:hAnsi="Times New Roman"/>
          <w:color w:val="000000"/>
          <w:sz w:val="20"/>
          <w:szCs w:val="20"/>
        </w:rPr>
      </w:pPr>
    </w:p>
    <w:p w14:paraId="5D6AFB1E" w14:textId="77777777" w:rsidR="00E07C13" w:rsidRDefault="00E07C13" w:rsidP="00511F99">
      <w:pPr>
        <w:spacing w:after="0" w:line="360" w:lineRule="auto"/>
        <w:jc w:val="both"/>
        <w:rPr>
          <w:rFonts w:ascii="Times New Roman" w:hAnsi="Times New Roman"/>
          <w:b/>
          <w:color w:val="0070C0"/>
          <w:sz w:val="22"/>
          <w:szCs w:val="22"/>
        </w:rPr>
      </w:pPr>
    </w:p>
    <w:p w14:paraId="53096ACA" w14:textId="4A208A6B"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lastRenderedPageBreak/>
        <w:t>Abstract</w:t>
      </w:r>
    </w:p>
    <w:p w14:paraId="6F5D5F6E" w14:textId="4E9A8EC9" w:rsidR="00BD0C0E" w:rsidRPr="00BD0C0E" w:rsidRDefault="00BD0C0E" w:rsidP="00BD0C0E">
      <w:pPr>
        <w:spacing w:after="0" w:line="360" w:lineRule="auto"/>
        <w:jc w:val="both"/>
        <w:rPr>
          <w:rFonts w:ascii="Times New Roman" w:hAnsi="Times New Roman"/>
          <w:color w:val="000000"/>
          <w:sz w:val="20"/>
          <w:szCs w:val="20"/>
          <w:shd w:val="clear" w:color="auto" w:fill="FFFFFF"/>
        </w:rPr>
      </w:pPr>
      <w:r w:rsidRPr="00BD0C0E">
        <w:rPr>
          <w:rFonts w:ascii="Times New Roman" w:hAnsi="Times New Roman"/>
          <w:b/>
          <w:bCs/>
          <w:color w:val="0070C0"/>
          <w:sz w:val="20"/>
          <w:szCs w:val="20"/>
          <w:shd w:val="clear" w:color="auto" w:fill="FFFFFF"/>
        </w:rPr>
        <w:t>Background:</w:t>
      </w:r>
      <w:r w:rsidRPr="00BD0C0E">
        <w:rPr>
          <w:rFonts w:ascii="Times New Roman" w:hAnsi="Times New Roman"/>
          <w:color w:val="0070C0"/>
          <w:sz w:val="20"/>
          <w:szCs w:val="20"/>
          <w:shd w:val="clear" w:color="auto" w:fill="FFFFFF"/>
        </w:rPr>
        <w:t xml:space="preserve"> </w:t>
      </w:r>
      <w:r w:rsidR="00153A03" w:rsidRPr="00153A03">
        <w:rPr>
          <w:rFonts w:ascii="Times New Roman" w:hAnsi="Times New Roman"/>
          <w:color w:val="000000"/>
          <w:sz w:val="20"/>
          <w:szCs w:val="20"/>
          <w:shd w:val="clear" w:color="auto" w:fill="FFFFFF"/>
        </w:rPr>
        <w:t xml:space="preserve">Coronary artery disease (CAD) continues to be a leading cause of morbidity and mortality worldwide despite advances in percutaneous coronary intervention (PCI). While contemporary drug-eluting stents (DES) have improved outcomes, their permanent metallic structure is associated with late complications. The </w:t>
      </w:r>
      <w:proofErr w:type="spellStart"/>
      <w:r w:rsidR="00153A03" w:rsidRPr="00153A03">
        <w:rPr>
          <w:rFonts w:ascii="Times New Roman" w:hAnsi="Times New Roman"/>
          <w:color w:val="000000"/>
          <w:sz w:val="20"/>
          <w:szCs w:val="20"/>
          <w:shd w:val="clear" w:color="auto" w:fill="FFFFFF"/>
        </w:rPr>
        <w:t>Magmaris</w:t>
      </w:r>
      <w:proofErr w:type="spellEnd"/>
      <w:r w:rsidR="00153A03" w:rsidRPr="00153A03">
        <w:rPr>
          <w:rFonts w:ascii="Times New Roman" w:hAnsi="Times New Roman"/>
          <w:color w:val="000000"/>
          <w:sz w:val="20"/>
          <w:szCs w:val="20"/>
          <w:shd w:val="clear" w:color="auto" w:fill="FFFFFF"/>
        </w:rPr>
        <w:t xml:space="preserve"> bioresorbable magnesium scaffold (BRS) offers a temporary support system with gradual resorption, potentially reducing long-term adverse events.</w:t>
      </w:r>
    </w:p>
    <w:p w14:paraId="6C22DECB" w14:textId="4E532B9F" w:rsidR="00BD0C0E" w:rsidRPr="00BD0C0E" w:rsidRDefault="00BD0C0E" w:rsidP="00BD0C0E">
      <w:pPr>
        <w:spacing w:after="0" w:line="360" w:lineRule="auto"/>
        <w:jc w:val="both"/>
        <w:rPr>
          <w:rFonts w:ascii="Times New Roman" w:hAnsi="Times New Roman"/>
          <w:color w:val="000000"/>
          <w:sz w:val="20"/>
          <w:szCs w:val="20"/>
          <w:shd w:val="clear" w:color="auto" w:fill="FFFFFF"/>
        </w:rPr>
      </w:pPr>
      <w:r w:rsidRPr="00BD0C0E">
        <w:rPr>
          <w:rFonts w:ascii="Times New Roman" w:hAnsi="Times New Roman"/>
          <w:b/>
          <w:bCs/>
          <w:color w:val="0070C0"/>
          <w:sz w:val="20"/>
          <w:szCs w:val="20"/>
          <w:shd w:val="clear" w:color="auto" w:fill="FFFFFF"/>
        </w:rPr>
        <w:t>Method</w:t>
      </w:r>
      <w:r w:rsidR="00127535">
        <w:rPr>
          <w:rFonts w:ascii="Times New Roman" w:hAnsi="Times New Roman"/>
          <w:b/>
          <w:bCs/>
          <w:color w:val="0070C0"/>
          <w:sz w:val="20"/>
          <w:szCs w:val="20"/>
          <w:shd w:val="clear" w:color="auto" w:fill="FFFFFF"/>
        </w:rPr>
        <w:t>s</w:t>
      </w:r>
      <w:r w:rsidR="0003337F">
        <w:rPr>
          <w:rFonts w:ascii="Times New Roman" w:hAnsi="Times New Roman"/>
          <w:b/>
          <w:bCs/>
          <w:color w:val="0070C0"/>
          <w:sz w:val="20"/>
          <w:szCs w:val="20"/>
          <w:shd w:val="clear" w:color="auto" w:fill="FFFFFF"/>
        </w:rPr>
        <w:t xml:space="preserve">: </w:t>
      </w:r>
      <w:r w:rsidR="006F0E23" w:rsidRPr="006F0E23">
        <w:rPr>
          <w:rFonts w:ascii="Times New Roman" w:hAnsi="Times New Roman"/>
          <w:color w:val="000000"/>
          <w:sz w:val="20"/>
          <w:szCs w:val="20"/>
          <w:shd w:val="clear" w:color="auto" w:fill="FFFFFF"/>
        </w:rPr>
        <w:t xml:space="preserve">A systematic review and meta-analysis </w:t>
      </w:r>
      <w:proofErr w:type="gramStart"/>
      <w:r w:rsidR="006F0E23" w:rsidRPr="006F0E23">
        <w:rPr>
          <w:rFonts w:ascii="Times New Roman" w:hAnsi="Times New Roman"/>
          <w:color w:val="000000"/>
          <w:sz w:val="20"/>
          <w:szCs w:val="20"/>
          <w:shd w:val="clear" w:color="auto" w:fill="FFFFFF"/>
        </w:rPr>
        <w:t>was</w:t>
      </w:r>
      <w:proofErr w:type="gramEnd"/>
      <w:r w:rsidR="006F0E23" w:rsidRPr="006F0E23">
        <w:rPr>
          <w:rFonts w:ascii="Times New Roman" w:hAnsi="Times New Roman"/>
          <w:color w:val="000000"/>
          <w:sz w:val="20"/>
          <w:szCs w:val="20"/>
          <w:shd w:val="clear" w:color="auto" w:fill="FFFFFF"/>
        </w:rPr>
        <w:t xml:space="preserve"> performed to compare the safety and efficacy of </w:t>
      </w:r>
      <w:proofErr w:type="spellStart"/>
      <w:r w:rsidR="006F0E23" w:rsidRPr="006F0E23">
        <w:rPr>
          <w:rFonts w:ascii="Times New Roman" w:hAnsi="Times New Roman"/>
          <w:color w:val="000000"/>
          <w:sz w:val="20"/>
          <w:szCs w:val="20"/>
          <w:shd w:val="clear" w:color="auto" w:fill="FFFFFF"/>
        </w:rPr>
        <w:t>Magmaris</w:t>
      </w:r>
      <w:proofErr w:type="spellEnd"/>
      <w:r w:rsidR="006F0E23" w:rsidRPr="006F0E23">
        <w:rPr>
          <w:rFonts w:ascii="Times New Roman" w:hAnsi="Times New Roman"/>
          <w:color w:val="000000"/>
          <w:sz w:val="20"/>
          <w:szCs w:val="20"/>
          <w:shd w:val="clear" w:color="auto" w:fill="FFFFFF"/>
        </w:rPr>
        <w:t xml:space="preserve"> BRS with contemporary DES platforms, including Biomatrix, </w:t>
      </w:r>
      <w:proofErr w:type="spellStart"/>
      <w:r w:rsidR="006F0E23" w:rsidRPr="006F0E23">
        <w:rPr>
          <w:rFonts w:ascii="Times New Roman" w:hAnsi="Times New Roman"/>
          <w:color w:val="000000"/>
          <w:sz w:val="20"/>
          <w:szCs w:val="20"/>
          <w:shd w:val="clear" w:color="auto" w:fill="FFFFFF"/>
        </w:rPr>
        <w:t>Ultimaster</w:t>
      </w:r>
      <w:proofErr w:type="spellEnd"/>
      <w:r w:rsidR="006F0E23" w:rsidRPr="006F0E23">
        <w:rPr>
          <w:rFonts w:ascii="Times New Roman" w:hAnsi="Times New Roman"/>
          <w:color w:val="000000"/>
          <w:sz w:val="20"/>
          <w:szCs w:val="20"/>
          <w:shd w:val="clear" w:color="auto" w:fill="FFFFFF"/>
        </w:rPr>
        <w:t xml:space="preserve"> (thin-strut), and Orsiro(ultrathin-strut), in patients undergoing PCI for de novo CAD. PubMed, Scopus, and ScienceDirect were searched up to March 1, 2026. Eligible studies included prospective trials, registries, and cohorts reporting outcomes such as target lesion failure (TLF), scaffold/stent thrombosis, myocardial infarction (MI), and target vessel revascularization with at least 6 months of follow-up. Data were pooled using a </w:t>
      </w:r>
      <w:proofErr w:type="spellStart"/>
      <w:r w:rsidR="006F0E23" w:rsidRPr="006F0E23">
        <w:rPr>
          <w:rFonts w:ascii="Times New Roman" w:hAnsi="Times New Roman"/>
          <w:color w:val="000000"/>
          <w:sz w:val="20"/>
          <w:szCs w:val="20"/>
          <w:shd w:val="clear" w:color="auto" w:fill="FFFFFF"/>
        </w:rPr>
        <w:t>DerSimonian</w:t>
      </w:r>
      <w:proofErr w:type="spellEnd"/>
      <w:r w:rsidR="006F0E23" w:rsidRPr="006F0E23">
        <w:rPr>
          <w:rFonts w:ascii="Times New Roman" w:hAnsi="Times New Roman"/>
          <w:color w:val="000000"/>
          <w:sz w:val="20"/>
          <w:szCs w:val="20"/>
          <w:shd w:val="clear" w:color="auto" w:fill="FFFFFF"/>
        </w:rPr>
        <w:t>–Laird random-effects model, with subgroup analyses based on clinical and demographic factors.</w:t>
      </w:r>
    </w:p>
    <w:p w14:paraId="10C9F7E0" w14:textId="043F2601" w:rsidR="00BD0C0E" w:rsidRPr="00BD0C0E" w:rsidRDefault="00BD0C0E" w:rsidP="00BD0C0E">
      <w:pPr>
        <w:spacing w:after="0" w:line="360" w:lineRule="auto"/>
        <w:jc w:val="both"/>
        <w:rPr>
          <w:rFonts w:ascii="Times New Roman" w:hAnsi="Times New Roman"/>
          <w:color w:val="000000"/>
          <w:sz w:val="20"/>
          <w:szCs w:val="20"/>
          <w:shd w:val="clear" w:color="auto" w:fill="FFFFFF"/>
        </w:rPr>
      </w:pPr>
      <w:r w:rsidRPr="00BD0C0E">
        <w:rPr>
          <w:rFonts w:ascii="Times New Roman" w:hAnsi="Times New Roman"/>
          <w:b/>
          <w:bCs/>
          <w:color w:val="0070C0"/>
          <w:sz w:val="20"/>
          <w:szCs w:val="20"/>
          <w:shd w:val="clear" w:color="auto" w:fill="FFFFFF"/>
        </w:rPr>
        <w:t>Results:</w:t>
      </w:r>
      <w:r w:rsidRPr="00BD0C0E">
        <w:rPr>
          <w:rFonts w:ascii="Times New Roman" w:hAnsi="Times New Roman"/>
          <w:color w:val="0070C0"/>
          <w:sz w:val="20"/>
          <w:szCs w:val="20"/>
          <w:shd w:val="clear" w:color="auto" w:fill="FFFFFF"/>
        </w:rPr>
        <w:t xml:space="preserve"> </w:t>
      </w:r>
      <w:r w:rsidR="00907A26" w:rsidRPr="00907A26">
        <w:rPr>
          <w:rFonts w:ascii="Times New Roman" w:hAnsi="Times New Roman"/>
          <w:color w:val="000000"/>
          <w:sz w:val="20"/>
          <w:szCs w:val="20"/>
          <w:shd w:val="clear" w:color="auto" w:fill="FFFFFF"/>
        </w:rPr>
        <w:t xml:space="preserve">36 studies comprising over 25,000 patients were included. </w:t>
      </w:r>
      <w:proofErr w:type="spellStart"/>
      <w:r w:rsidR="00907A26" w:rsidRPr="00907A26">
        <w:rPr>
          <w:rFonts w:ascii="Times New Roman" w:hAnsi="Times New Roman"/>
          <w:color w:val="000000"/>
          <w:sz w:val="20"/>
          <w:szCs w:val="20"/>
          <w:shd w:val="clear" w:color="auto" w:fill="FFFFFF"/>
        </w:rPr>
        <w:t>Magmaris</w:t>
      </w:r>
      <w:proofErr w:type="spellEnd"/>
      <w:r w:rsidR="00907A26" w:rsidRPr="00907A26">
        <w:rPr>
          <w:rFonts w:ascii="Times New Roman" w:hAnsi="Times New Roman"/>
          <w:color w:val="000000"/>
          <w:sz w:val="20"/>
          <w:szCs w:val="20"/>
          <w:shd w:val="clear" w:color="auto" w:fill="FFFFFF"/>
        </w:rPr>
        <w:t xml:space="preserve"> BRS showed low rates of all-cause mortality (1%), thrombosis (1%), and MI (2%), comparable to DES. However, subgroup analyses revealed a clinically relevant time-dependent increase in TLF and target lesion revascularization with </w:t>
      </w:r>
      <w:proofErr w:type="spellStart"/>
      <w:r w:rsidR="00907A26" w:rsidRPr="00907A26">
        <w:rPr>
          <w:rFonts w:ascii="Times New Roman" w:hAnsi="Times New Roman"/>
          <w:color w:val="000000"/>
          <w:sz w:val="20"/>
          <w:szCs w:val="20"/>
          <w:shd w:val="clear" w:color="auto" w:fill="FFFFFF"/>
        </w:rPr>
        <w:t>Magmaris</w:t>
      </w:r>
      <w:proofErr w:type="spellEnd"/>
      <w:r w:rsidR="00907A26" w:rsidRPr="00907A26">
        <w:rPr>
          <w:rFonts w:ascii="Times New Roman" w:hAnsi="Times New Roman"/>
          <w:color w:val="000000"/>
          <w:sz w:val="20"/>
          <w:szCs w:val="20"/>
          <w:shd w:val="clear" w:color="auto" w:fill="FFFFFF"/>
        </w:rPr>
        <w:t xml:space="preserve"> (rising from ~2% at 1 year to ~6% at 2 years), suggesting potential late vulnerability during the scaffold resorption phase. Heterogeneity was low for safety outcomes and moderate to high for efficacy endpoints.</w:t>
      </w:r>
    </w:p>
    <w:p w14:paraId="4B13A8DC" w14:textId="3F9731C0" w:rsidR="00BD0C0E" w:rsidRDefault="00BD0C0E" w:rsidP="00BD0C0E">
      <w:pPr>
        <w:spacing w:after="0" w:line="360" w:lineRule="auto"/>
        <w:jc w:val="both"/>
        <w:rPr>
          <w:rFonts w:ascii="Times New Roman" w:hAnsi="Times New Roman"/>
          <w:color w:val="000000"/>
          <w:sz w:val="20"/>
          <w:szCs w:val="20"/>
          <w:shd w:val="clear" w:color="auto" w:fill="FFFFFF"/>
        </w:rPr>
      </w:pPr>
      <w:r w:rsidRPr="00BD0C0E">
        <w:rPr>
          <w:rFonts w:ascii="Times New Roman" w:hAnsi="Times New Roman"/>
          <w:b/>
          <w:bCs/>
          <w:color w:val="0070C0"/>
          <w:sz w:val="20"/>
          <w:szCs w:val="20"/>
          <w:shd w:val="clear" w:color="auto" w:fill="FFFFFF"/>
        </w:rPr>
        <w:t>Conclusion:</w:t>
      </w:r>
      <w:r w:rsidR="0003337F">
        <w:rPr>
          <w:rFonts w:ascii="Times New Roman" w:hAnsi="Times New Roman"/>
          <w:color w:val="0070C0"/>
          <w:sz w:val="20"/>
          <w:szCs w:val="20"/>
          <w:shd w:val="clear" w:color="auto" w:fill="FFFFFF"/>
        </w:rPr>
        <w:t xml:space="preserve"> </w:t>
      </w:r>
      <w:proofErr w:type="spellStart"/>
      <w:r w:rsidR="00587CE0" w:rsidRPr="00587CE0">
        <w:rPr>
          <w:rFonts w:ascii="Times New Roman" w:hAnsi="Times New Roman"/>
          <w:color w:val="000000"/>
          <w:sz w:val="20"/>
          <w:szCs w:val="20"/>
          <w:shd w:val="clear" w:color="auto" w:fill="FFFFFF"/>
        </w:rPr>
        <w:t>Magmaris</w:t>
      </w:r>
      <w:proofErr w:type="spellEnd"/>
      <w:r w:rsidR="00587CE0" w:rsidRPr="00587CE0">
        <w:rPr>
          <w:rFonts w:ascii="Times New Roman" w:hAnsi="Times New Roman"/>
          <w:color w:val="000000"/>
          <w:sz w:val="20"/>
          <w:szCs w:val="20"/>
          <w:shd w:val="clear" w:color="auto" w:fill="FFFFFF"/>
        </w:rPr>
        <w:t xml:space="preserve"> BRS demonstrates acceptable medium-term safety and comparable efficacy to modern DES, supporting its use as an alternative to permanent stents in selected patients. Further long-term randomized studies are required to confirm these findings and define optimal patient selection. However, the relatively short follow-up duration across most studies limits assessment of long-term outcomes, which is particularly critical for bioresorbable technologies.</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54B6F626" w14:textId="62BD1C2B" w:rsidR="00157C61" w:rsidRDefault="00157C61" w:rsidP="00157C61">
      <w:pPr>
        <w:spacing w:after="0" w:line="360" w:lineRule="auto"/>
        <w:jc w:val="both"/>
        <w:rPr>
          <w:rFonts w:ascii="Times New Roman" w:hAnsi="Times New Roman"/>
          <w:color w:val="000000"/>
          <w:sz w:val="20"/>
          <w:szCs w:val="20"/>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Pr="00A15EC3">
        <w:rPr>
          <w:rFonts w:ascii="Times New Roman" w:hAnsi="Times New Roman"/>
          <w:color w:val="0070C0"/>
          <w:sz w:val="20"/>
          <w:szCs w:val="20"/>
          <w:shd w:val="clear" w:color="auto" w:fill="FFFFFF"/>
        </w:rPr>
        <w:t xml:space="preserve"> </w:t>
      </w:r>
      <w:r w:rsidR="00DF0D26" w:rsidRPr="00DF0D26">
        <w:rPr>
          <w:rFonts w:ascii="Times New Roman" w:hAnsi="Times New Roman"/>
          <w:color w:val="000000"/>
          <w:sz w:val="20"/>
          <w:szCs w:val="20"/>
          <w:shd w:val="clear" w:color="auto" w:fill="FFFFFF"/>
        </w:rPr>
        <w:t>Coronary artery disease</w:t>
      </w:r>
      <w:r w:rsidR="00DF0D26">
        <w:rPr>
          <w:rFonts w:ascii="Times New Roman" w:hAnsi="Times New Roman"/>
          <w:color w:val="000000"/>
          <w:sz w:val="20"/>
          <w:szCs w:val="20"/>
          <w:shd w:val="clear" w:color="auto" w:fill="FFFFFF"/>
        </w:rPr>
        <w:t>;</w:t>
      </w:r>
      <w:r w:rsidR="00DF0D26" w:rsidRPr="00DF0D26">
        <w:rPr>
          <w:rFonts w:ascii="Times New Roman" w:hAnsi="Times New Roman"/>
          <w:color w:val="000000"/>
          <w:sz w:val="20"/>
          <w:szCs w:val="20"/>
          <w:shd w:val="clear" w:color="auto" w:fill="FFFFFF"/>
        </w:rPr>
        <w:t xml:space="preserve"> </w:t>
      </w:r>
      <w:proofErr w:type="spellStart"/>
      <w:r w:rsidR="00DF0D26" w:rsidRPr="00DF0D26">
        <w:rPr>
          <w:rFonts w:ascii="Times New Roman" w:hAnsi="Times New Roman"/>
          <w:color w:val="000000"/>
          <w:sz w:val="20"/>
          <w:szCs w:val="20"/>
          <w:shd w:val="clear" w:color="auto" w:fill="FFFFFF"/>
        </w:rPr>
        <w:t>Magmaris</w:t>
      </w:r>
      <w:proofErr w:type="spellEnd"/>
      <w:r w:rsidR="00DF0D26" w:rsidRPr="00DF0D26">
        <w:rPr>
          <w:rFonts w:ascii="Times New Roman" w:hAnsi="Times New Roman"/>
          <w:color w:val="000000"/>
          <w:sz w:val="20"/>
          <w:szCs w:val="20"/>
          <w:shd w:val="clear" w:color="auto" w:fill="FFFFFF"/>
        </w:rPr>
        <w:t xml:space="preserve">, </w:t>
      </w:r>
      <w:r w:rsidR="00991EB6">
        <w:rPr>
          <w:rFonts w:ascii="Times New Roman" w:hAnsi="Times New Roman"/>
          <w:color w:val="000000"/>
          <w:sz w:val="20"/>
          <w:szCs w:val="20"/>
          <w:shd w:val="clear" w:color="auto" w:fill="FFFFFF"/>
        </w:rPr>
        <w:t>B</w:t>
      </w:r>
      <w:r w:rsidR="00DF0D26" w:rsidRPr="00DF0D26">
        <w:rPr>
          <w:rFonts w:ascii="Times New Roman" w:hAnsi="Times New Roman"/>
          <w:color w:val="000000"/>
          <w:sz w:val="20"/>
          <w:szCs w:val="20"/>
          <w:shd w:val="clear" w:color="auto" w:fill="FFFFFF"/>
        </w:rPr>
        <w:t>ioresorbable scaffold</w:t>
      </w:r>
      <w:r w:rsidR="00DF0D26">
        <w:rPr>
          <w:rFonts w:ascii="Times New Roman" w:hAnsi="Times New Roman"/>
          <w:color w:val="000000"/>
          <w:sz w:val="20"/>
          <w:szCs w:val="20"/>
          <w:shd w:val="clear" w:color="auto" w:fill="FFFFFF"/>
        </w:rPr>
        <w:t>;</w:t>
      </w:r>
      <w:r w:rsidR="00DF0D26" w:rsidRPr="00DF0D26">
        <w:rPr>
          <w:rFonts w:ascii="Times New Roman" w:hAnsi="Times New Roman"/>
          <w:color w:val="000000"/>
          <w:sz w:val="20"/>
          <w:szCs w:val="20"/>
          <w:shd w:val="clear" w:color="auto" w:fill="FFFFFF"/>
        </w:rPr>
        <w:t xml:space="preserve"> </w:t>
      </w:r>
      <w:r w:rsidR="00991EB6">
        <w:rPr>
          <w:rFonts w:ascii="Times New Roman" w:hAnsi="Times New Roman"/>
          <w:color w:val="000000"/>
          <w:sz w:val="20"/>
          <w:szCs w:val="20"/>
          <w:shd w:val="clear" w:color="auto" w:fill="FFFFFF"/>
        </w:rPr>
        <w:t>D</w:t>
      </w:r>
      <w:r w:rsidR="00DF0D26" w:rsidRPr="00DF0D26">
        <w:rPr>
          <w:rFonts w:ascii="Times New Roman" w:hAnsi="Times New Roman"/>
          <w:color w:val="000000"/>
          <w:sz w:val="20"/>
          <w:szCs w:val="20"/>
          <w:shd w:val="clear" w:color="auto" w:fill="FFFFFF"/>
        </w:rPr>
        <w:t>rug-eluting stent</w:t>
      </w:r>
      <w:r w:rsidR="00130295">
        <w:rPr>
          <w:rFonts w:ascii="Times New Roman" w:hAnsi="Times New Roman"/>
          <w:color w:val="000000"/>
          <w:sz w:val="20"/>
          <w:szCs w:val="20"/>
          <w:shd w:val="clear" w:color="auto" w:fill="FFFFFF"/>
        </w:rPr>
        <w:t xml:space="preserve">; </w:t>
      </w:r>
      <w:r w:rsidR="00991EB6">
        <w:rPr>
          <w:rFonts w:ascii="Times New Roman" w:hAnsi="Times New Roman"/>
          <w:color w:val="000000"/>
          <w:sz w:val="20"/>
          <w:szCs w:val="20"/>
          <w:shd w:val="clear" w:color="auto" w:fill="FFFFFF"/>
        </w:rPr>
        <w:t>P</w:t>
      </w:r>
      <w:r w:rsidR="00DF0D26" w:rsidRPr="00DF0D26">
        <w:rPr>
          <w:rFonts w:ascii="Times New Roman" w:hAnsi="Times New Roman"/>
          <w:color w:val="000000"/>
          <w:sz w:val="20"/>
          <w:szCs w:val="20"/>
          <w:shd w:val="clear" w:color="auto" w:fill="FFFFFF"/>
        </w:rPr>
        <w:t>ercutaneous coronary intervention</w:t>
      </w:r>
      <w:r w:rsidR="00991EB6">
        <w:rPr>
          <w:rFonts w:ascii="Times New Roman" w:hAnsi="Times New Roman"/>
          <w:color w:val="000000"/>
          <w:sz w:val="20"/>
          <w:szCs w:val="20"/>
          <w:shd w:val="clear" w:color="auto" w:fill="FFFFFF"/>
        </w:rPr>
        <w:t>;</w:t>
      </w:r>
      <w:r w:rsidR="00DF0D26" w:rsidRPr="00DF0D26">
        <w:rPr>
          <w:rFonts w:ascii="Times New Roman" w:hAnsi="Times New Roman"/>
          <w:color w:val="000000"/>
          <w:sz w:val="20"/>
          <w:szCs w:val="20"/>
          <w:shd w:val="clear" w:color="auto" w:fill="FFFFFF"/>
        </w:rPr>
        <w:t xml:space="preserve"> </w:t>
      </w:r>
      <w:r w:rsidR="00991EB6">
        <w:rPr>
          <w:rFonts w:ascii="Times New Roman" w:hAnsi="Times New Roman"/>
          <w:color w:val="000000"/>
          <w:sz w:val="20"/>
          <w:szCs w:val="20"/>
          <w:shd w:val="clear" w:color="auto" w:fill="FFFFFF"/>
        </w:rPr>
        <w:t>T</w:t>
      </w:r>
      <w:r w:rsidR="00DF0D26" w:rsidRPr="00DF0D26">
        <w:rPr>
          <w:rFonts w:ascii="Times New Roman" w:hAnsi="Times New Roman"/>
          <w:color w:val="000000"/>
          <w:sz w:val="20"/>
          <w:szCs w:val="20"/>
          <w:shd w:val="clear" w:color="auto" w:fill="FFFFFF"/>
        </w:rPr>
        <w:t>arget lesion failure</w:t>
      </w:r>
      <w:r w:rsidR="00991EB6">
        <w:rPr>
          <w:rFonts w:ascii="Times New Roman" w:hAnsi="Times New Roman"/>
          <w:color w:val="000000"/>
          <w:sz w:val="20"/>
          <w:szCs w:val="20"/>
          <w:shd w:val="clear" w:color="auto" w:fill="FFFFFF"/>
        </w:rPr>
        <w:t>;</w:t>
      </w:r>
      <w:r w:rsidR="00DF0D26" w:rsidRPr="00DF0D26">
        <w:rPr>
          <w:rFonts w:ascii="Times New Roman" w:hAnsi="Times New Roman"/>
          <w:color w:val="000000"/>
          <w:sz w:val="20"/>
          <w:szCs w:val="20"/>
          <w:shd w:val="clear" w:color="auto" w:fill="FFFFFF"/>
        </w:rPr>
        <w:t xml:space="preserve"> </w:t>
      </w:r>
      <w:r w:rsidR="00991EB6">
        <w:rPr>
          <w:rFonts w:ascii="Times New Roman" w:hAnsi="Times New Roman"/>
          <w:color w:val="000000"/>
          <w:sz w:val="20"/>
          <w:szCs w:val="20"/>
          <w:shd w:val="clear" w:color="auto" w:fill="FFFFFF"/>
        </w:rPr>
        <w:t>S</w:t>
      </w:r>
      <w:r w:rsidR="00DF0D26" w:rsidRPr="00DF0D26">
        <w:rPr>
          <w:rFonts w:ascii="Times New Roman" w:hAnsi="Times New Roman"/>
          <w:color w:val="000000"/>
          <w:sz w:val="20"/>
          <w:szCs w:val="20"/>
          <w:shd w:val="clear" w:color="auto" w:fill="FFFFFF"/>
        </w:rPr>
        <w:t>tent thrombosis</w:t>
      </w:r>
      <w:r w:rsidR="00C33D75">
        <w:rPr>
          <w:rFonts w:ascii="Times New Roman" w:hAnsi="Times New Roman"/>
          <w:color w:val="000000"/>
          <w:sz w:val="20"/>
          <w:szCs w:val="20"/>
          <w:shd w:val="clear" w:color="auto" w:fill="FFFFFF"/>
        </w:rPr>
        <w:t>.</w:t>
      </w:r>
    </w:p>
    <w:p w14:paraId="1380D2B4" w14:textId="77777777" w:rsidR="008D4D62" w:rsidRDefault="008D4D62" w:rsidP="00157C61">
      <w:pPr>
        <w:spacing w:after="0" w:line="360" w:lineRule="auto"/>
        <w:jc w:val="both"/>
        <w:rPr>
          <w:rFonts w:ascii="Times New Roman" w:hAnsi="Times New Roman"/>
          <w:color w:val="000000"/>
          <w:sz w:val="20"/>
          <w:szCs w:val="20"/>
          <w:shd w:val="clear" w:color="auto" w:fill="FFFFFF"/>
        </w:rPr>
      </w:pPr>
    </w:p>
    <w:p w14:paraId="783F926F" w14:textId="2C564A72" w:rsidR="008D4D62" w:rsidRDefault="00B02FAD" w:rsidP="00157C61">
      <w:pPr>
        <w:spacing w:after="0" w:line="360" w:lineRule="auto"/>
        <w:jc w:val="both"/>
        <w:rPr>
          <w:rFonts w:ascii="Times New Roman" w:hAnsi="Times New Roman"/>
          <w:b/>
          <w:bCs/>
          <w:color w:val="0070C0"/>
          <w:sz w:val="22"/>
          <w:szCs w:val="22"/>
          <w:shd w:val="clear" w:color="auto" w:fill="FFFFFF"/>
        </w:rPr>
      </w:pPr>
      <w:r w:rsidRPr="00B02FAD">
        <w:rPr>
          <w:rFonts w:ascii="Times New Roman" w:hAnsi="Times New Roman"/>
          <w:b/>
          <w:bCs/>
          <w:color w:val="0070C0"/>
          <w:sz w:val="22"/>
          <w:szCs w:val="22"/>
          <w:shd w:val="clear" w:color="auto" w:fill="FFFFFF"/>
        </w:rPr>
        <w:t>List of Abbreviations</w:t>
      </w:r>
    </w:p>
    <w:p w14:paraId="63FF9928"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CAD</w:t>
      </w:r>
      <w:r w:rsidRPr="0095033F">
        <w:rPr>
          <w:rFonts w:ascii="Times New Roman" w:hAnsi="Times New Roman"/>
          <w:sz w:val="20"/>
          <w:szCs w:val="20"/>
          <w:shd w:val="clear" w:color="auto" w:fill="FFFFFF"/>
        </w:rPr>
        <w:t>: Coronary Artery Disease</w:t>
      </w:r>
    </w:p>
    <w:p w14:paraId="5FA37E27"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PCI</w:t>
      </w:r>
      <w:r w:rsidRPr="0095033F">
        <w:rPr>
          <w:rFonts w:ascii="Times New Roman" w:hAnsi="Times New Roman"/>
          <w:sz w:val="20"/>
          <w:szCs w:val="20"/>
          <w:shd w:val="clear" w:color="auto" w:fill="FFFFFF"/>
        </w:rPr>
        <w:t>: Percutaneous Coronary Intervention</w:t>
      </w:r>
    </w:p>
    <w:p w14:paraId="1E2B8A38"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DES</w:t>
      </w:r>
      <w:r w:rsidRPr="0095033F">
        <w:rPr>
          <w:rFonts w:ascii="Times New Roman" w:hAnsi="Times New Roman"/>
          <w:sz w:val="20"/>
          <w:szCs w:val="20"/>
          <w:shd w:val="clear" w:color="auto" w:fill="FFFFFF"/>
        </w:rPr>
        <w:t>: Drug-Eluting Stents</w:t>
      </w:r>
    </w:p>
    <w:p w14:paraId="076236FA"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BRS</w:t>
      </w:r>
      <w:r w:rsidRPr="0095033F">
        <w:rPr>
          <w:rFonts w:ascii="Times New Roman" w:hAnsi="Times New Roman"/>
          <w:sz w:val="20"/>
          <w:szCs w:val="20"/>
          <w:shd w:val="clear" w:color="auto" w:fill="FFFFFF"/>
        </w:rPr>
        <w:t>: Bioresorbable Scaffold(s)</w:t>
      </w:r>
    </w:p>
    <w:p w14:paraId="5DE3C3E0"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ACS</w:t>
      </w:r>
      <w:r w:rsidRPr="0095033F">
        <w:rPr>
          <w:rFonts w:ascii="Times New Roman" w:hAnsi="Times New Roman"/>
          <w:sz w:val="20"/>
          <w:szCs w:val="20"/>
          <w:shd w:val="clear" w:color="auto" w:fill="FFFFFF"/>
        </w:rPr>
        <w:t>: Acute Coronary Syndrome(s)</w:t>
      </w:r>
    </w:p>
    <w:p w14:paraId="05DE44EA"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TLF</w:t>
      </w:r>
      <w:r w:rsidRPr="0095033F">
        <w:rPr>
          <w:rFonts w:ascii="Times New Roman" w:hAnsi="Times New Roman"/>
          <w:sz w:val="20"/>
          <w:szCs w:val="20"/>
          <w:shd w:val="clear" w:color="auto" w:fill="FFFFFF"/>
        </w:rPr>
        <w:t>: Target Lesion Failure</w:t>
      </w:r>
    </w:p>
    <w:p w14:paraId="3B0684FF"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MI</w:t>
      </w:r>
      <w:r w:rsidRPr="0095033F">
        <w:rPr>
          <w:rFonts w:ascii="Times New Roman" w:hAnsi="Times New Roman"/>
          <w:sz w:val="20"/>
          <w:szCs w:val="20"/>
          <w:shd w:val="clear" w:color="auto" w:fill="FFFFFF"/>
        </w:rPr>
        <w:t>: Myocardial Infarction</w:t>
      </w:r>
    </w:p>
    <w:p w14:paraId="04290920"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MACE</w:t>
      </w:r>
      <w:r w:rsidRPr="0095033F">
        <w:rPr>
          <w:rFonts w:ascii="Times New Roman" w:hAnsi="Times New Roman"/>
          <w:sz w:val="20"/>
          <w:szCs w:val="20"/>
          <w:shd w:val="clear" w:color="auto" w:fill="FFFFFF"/>
        </w:rPr>
        <w:t>: Major Adverse Cardiovascular Events</w:t>
      </w:r>
    </w:p>
    <w:p w14:paraId="354FC5FA"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STEMI</w:t>
      </w:r>
      <w:r w:rsidRPr="0095033F">
        <w:rPr>
          <w:rFonts w:ascii="Times New Roman" w:hAnsi="Times New Roman"/>
          <w:sz w:val="20"/>
          <w:szCs w:val="20"/>
          <w:shd w:val="clear" w:color="auto" w:fill="FFFFFF"/>
        </w:rPr>
        <w:t>: ST-Elevation Myocardial Infarction</w:t>
      </w:r>
    </w:p>
    <w:p w14:paraId="506AC7E2"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lastRenderedPageBreak/>
        <w:t>NSTEMI</w:t>
      </w:r>
      <w:r w:rsidRPr="0095033F">
        <w:rPr>
          <w:rFonts w:ascii="Times New Roman" w:hAnsi="Times New Roman"/>
          <w:sz w:val="20"/>
          <w:szCs w:val="20"/>
          <w:shd w:val="clear" w:color="auto" w:fill="FFFFFF"/>
        </w:rPr>
        <w:t>: Non-ST-Elevation Myocardial Infarction</w:t>
      </w:r>
    </w:p>
    <w:p w14:paraId="2B830E8E"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ID-TLR</w:t>
      </w:r>
      <w:r w:rsidRPr="0095033F">
        <w:rPr>
          <w:rFonts w:ascii="Times New Roman" w:hAnsi="Times New Roman"/>
          <w:sz w:val="20"/>
          <w:szCs w:val="20"/>
          <w:shd w:val="clear" w:color="auto" w:fill="FFFFFF"/>
        </w:rPr>
        <w:t xml:space="preserve">: </w:t>
      </w:r>
      <w:proofErr w:type="spellStart"/>
      <w:r w:rsidRPr="0095033F">
        <w:rPr>
          <w:rFonts w:ascii="Times New Roman" w:hAnsi="Times New Roman"/>
          <w:sz w:val="20"/>
          <w:szCs w:val="20"/>
          <w:shd w:val="clear" w:color="auto" w:fill="FFFFFF"/>
        </w:rPr>
        <w:t>Ischaemia</w:t>
      </w:r>
      <w:proofErr w:type="spellEnd"/>
      <w:r w:rsidRPr="0095033F">
        <w:rPr>
          <w:rFonts w:ascii="Times New Roman" w:hAnsi="Times New Roman"/>
          <w:sz w:val="20"/>
          <w:szCs w:val="20"/>
          <w:shd w:val="clear" w:color="auto" w:fill="FFFFFF"/>
        </w:rPr>
        <w:t xml:space="preserve">-Driven Target-Lesion </w:t>
      </w:r>
      <w:proofErr w:type="spellStart"/>
      <w:r w:rsidRPr="0095033F">
        <w:rPr>
          <w:rFonts w:ascii="Times New Roman" w:hAnsi="Times New Roman"/>
          <w:sz w:val="20"/>
          <w:szCs w:val="20"/>
          <w:shd w:val="clear" w:color="auto" w:fill="FFFFFF"/>
        </w:rPr>
        <w:t>Revascularisation</w:t>
      </w:r>
      <w:proofErr w:type="spellEnd"/>
    </w:p>
    <w:p w14:paraId="5DD2352D"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TV-MI</w:t>
      </w:r>
      <w:r w:rsidRPr="0095033F">
        <w:rPr>
          <w:rFonts w:ascii="Times New Roman" w:hAnsi="Times New Roman"/>
          <w:sz w:val="20"/>
          <w:szCs w:val="20"/>
          <w:shd w:val="clear" w:color="auto" w:fill="FFFFFF"/>
        </w:rPr>
        <w:t>: Target Vessel Myocardial Infarction</w:t>
      </w:r>
    </w:p>
    <w:p w14:paraId="644EE626"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TLR</w:t>
      </w:r>
      <w:r w:rsidRPr="0095033F">
        <w:rPr>
          <w:rFonts w:ascii="Times New Roman" w:hAnsi="Times New Roman"/>
          <w:sz w:val="20"/>
          <w:szCs w:val="20"/>
          <w:shd w:val="clear" w:color="auto" w:fill="FFFFFF"/>
        </w:rPr>
        <w:t>: Target Lesion Revascularization</w:t>
      </w:r>
    </w:p>
    <w:p w14:paraId="41E021BC"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PRISMA</w:t>
      </w:r>
      <w:r w:rsidRPr="0095033F">
        <w:rPr>
          <w:rFonts w:ascii="Times New Roman" w:hAnsi="Times New Roman"/>
          <w:sz w:val="20"/>
          <w:szCs w:val="20"/>
          <w:shd w:val="clear" w:color="auto" w:fill="FFFFFF"/>
        </w:rPr>
        <w:t>: Preferred Reporting Items for Systematic Reviews and Meta-Analysis</w:t>
      </w:r>
    </w:p>
    <w:p w14:paraId="4E7B12A5"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PICOS</w:t>
      </w:r>
      <w:r w:rsidRPr="0095033F">
        <w:rPr>
          <w:rFonts w:ascii="Times New Roman" w:hAnsi="Times New Roman"/>
          <w:sz w:val="20"/>
          <w:szCs w:val="20"/>
          <w:shd w:val="clear" w:color="auto" w:fill="FFFFFF"/>
        </w:rPr>
        <w:t>: Population, Intervention, Comparator, Outcome, Study Design</w:t>
      </w:r>
    </w:p>
    <w:p w14:paraId="62872C9D" w14:textId="77777777" w:rsidR="0095033F" w:rsidRPr="0095033F" w:rsidRDefault="0095033F" w:rsidP="0095033F">
      <w:pPr>
        <w:spacing w:after="0" w:line="360" w:lineRule="auto"/>
        <w:jc w:val="both"/>
        <w:rPr>
          <w:rFonts w:ascii="Times New Roman" w:hAnsi="Times New Roman"/>
          <w:sz w:val="20"/>
          <w:szCs w:val="20"/>
          <w:shd w:val="clear" w:color="auto" w:fill="FFFFFF"/>
        </w:rPr>
      </w:pPr>
      <w:proofErr w:type="spellStart"/>
      <w:r w:rsidRPr="0095033F">
        <w:rPr>
          <w:rFonts w:ascii="Times New Roman" w:hAnsi="Times New Roman"/>
          <w:b/>
          <w:bCs/>
          <w:sz w:val="20"/>
          <w:szCs w:val="20"/>
          <w:shd w:val="clear" w:color="auto" w:fill="FFFFFF"/>
        </w:rPr>
        <w:t>MeSH</w:t>
      </w:r>
      <w:proofErr w:type="spellEnd"/>
      <w:r w:rsidRPr="0095033F">
        <w:rPr>
          <w:rFonts w:ascii="Times New Roman" w:hAnsi="Times New Roman"/>
          <w:sz w:val="20"/>
          <w:szCs w:val="20"/>
          <w:shd w:val="clear" w:color="auto" w:fill="FFFFFF"/>
        </w:rPr>
        <w:t>: Medical Subject Headings</w:t>
      </w:r>
    </w:p>
    <w:p w14:paraId="76C779B8" w14:textId="77777777" w:rsidR="0095033F"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CI</w:t>
      </w:r>
      <w:r w:rsidRPr="0095033F">
        <w:rPr>
          <w:rFonts w:ascii="Times New Roman" w:hAnsi="Times New Roman"/>
          <w:sz w:val="20"/>
          <w:szCs w:val="20"/>
          <w:shd w:val="clear" w:color="auto" w:fill="FFFFFF"/>
        </w:rPr>
        <w:t>: Confidence Interval(s)</w:t>
      </w:r>
    </w:p>
    <w:p w14:paraId="2C6F5514" w14:textId="672E8B91" w:rsidR="00B02FAD" w:rsidRPr="0095033F" w:rsidRDefault="0095033F" w:rsidP="0095033F">
      <w:pPr>
        <w:spacing w:after="0" w:line="360" w:lineRule="auto"/>
        <w:jc w:val="both"/>
        <w:rPr>
          <w:rFonts w:ascii="Times New Roman" w:hAnsi="Times New Roman"/>
          <w:sz w:val="20"/>
          <w:szCs w:val="20"/>
          <w:shd w:val="clear" w:color="auto" w:fill="FFFFFF"/>
        </w:rPr>
      </w:pPr>
      <w:r w:rsidRPr="0095033F">
        <w:rPr>
          <w:rFonts w:ascii="Times New Roman" w:hAnsi="Times New Roman"/>
          <w:b/>
          <w:bCs/>
          <w:sz w:val="20"/>
          <w:szCs w:val="20"/>
          <w:shd w:val="clear" w:color="auto" w:fill="FFFFFF"/>
        </w:rPr>
        <w:t>ARC</w:t>
      </w:r>
      <w:r w:rsidRPr="0095033F">
        <w:rPr>
          <w:rFonts w:ascii="Times New Roman" w:hAnsi="Times New Roman"/>
          <w:sz w:val="20"/>
          <w:szCs w:val="20"/>
          <w:shd w:val="clear" w:color="auto" w:fill="FFFFFF"/>
        </w:rPr>
        <w:t>: Academic Research Consortium (ARC-2 definitions for stent/scaffold thrombosis)</w:t>
      </w:r>
      <w:r w:rsidR="00A277AD">
        <w:rPr>
          <w:rFonts w:ascii="Times New Roman" w:hAnsi="Times New Roman"/>
          <w:sz w:val="20"/>
          <w:szCs w:val="20"/>
          <w:shd w:val="clear" w:color="auto" w:fill="FFFFFF"/>
        </w:rPr>
        <w:t>.</w:t>
      </w:r>
    </w:p>
    <w:p w14:paraId="7E88308B" w14:textId="77777777" w:rsidR="00BD0C0E" w:rsidRDefault="00BD0C0E" w:rsidP="00157C61">
      <w:pPr>
        <w:spacing w:after="0" w:line="360" w:lineRule="auto"/>
        <w:jc w:val="both"/>
        <w:rPr>
          <w:rFonts w:ascii="Times New Roman" w:hAnsi="Times New Roman" w:cs="Times New Roman"/>
          <w:b/>
          <w:bCs/>
          <w:color w:val="0070C0"/>
          <w:sz w:val="22"/>
          <w:szCs w:val="22"/>
        </w:rPr>
      </w:pPr>
    </w:p>
    <w:p w14:paraId="422C76DC" w14:textId="099F62E5" w:rsidR="00D60E88" w:rsidRDefault="00D6248A" w:rsidP="00157C61">
      <w:pPr>
        <w:spacing w:after="0" w:line="360" w:lineRule="auto"/>
        <w:jc w:val="both"/>
        <w:rPr>
          <w:rFonts w:ascii="Times New Roman" w:hAnsi="Times New Roman" w:cs="Times New Roman"/>
          <w:b/>
          <w:bCs/>
          <w:color w:val="0070C0"/>
          <w:sz w:val="22"/>
          <w:szCs w:val="22"/>
        </w:rPr>
      </w:pPr>
      <w:r w:rsidRPr="00D6248A">
        <w:rPr>
          <w:rFonts w:ascii="Times New Roman" w:hAnsi="Times New Roman" w:cs="Times New Roman"/>
          <w:b/>
          <w:bCs/>
          <w:color w:val="0070C0"/>
          <w:sz w:val="22"/>
          <w:szCs w:val="22"/>
        </w:rPr>
        <w:t>Background</w:t>
      </w:r>
    </w:p>
    <w:p w14:paraId="59F2A221" w14:textId="7263B22C" w:rsidR="00207C39" w:rsidRPr="00207C39" w:rsidRDefault="00207C39" w:rsidP="00207C39">
      <w:pPr>
        <w:spacing w:after="0" w:line="360" w:lineRule="auto"/>
        <w:jc w:val="both"/>
        <w:rPr>
          <w:rFonts w:ascii="Times New Roman" w:hAnsi="Times New Roman"/>
          <w:color w:val="000000"/>
          <w:sz w:val="20"/>
          <w:szCs w:val="20"/>
          <w:shd w:val="clear" w:color="auto" w:fill="FFFFFF"/>
        </w:rPr>
      </w:pPr>
      <w:r w:rsidRPr="00207C39">
        <w:rPr>
          <w:rFonts w:ascii="Times New Roman" w:hAnsi="Times New Roman"/>
          <w:color w:val="000000"/>
          <w:sz w:val="20"/>
          <w:szCs w:val="20"/>
          <w:shd w:val="clear" w:color="auto" w:fill="FFFFFF"/>
        </w:rPr>
        <w:t>Coronary artery disease (CAD) is still one of the major causes of morbidity and death globally; therefore, advancements in percutaneous coronary intervention (PCI) methods and device technology are constantly needed. By lowering restenosis and the need for repeated revascularization, drug-eluting stents (DES) have greatly enhanced clinical outcomes. However, long-term issues with permanent metallic implants</w:t>
      </w:r>
      <w:r w:rsidR="00FC284A">
        <w:rPr>
          <w:rFonts w:ascii="Times New Roman" w:hAnsi="Times New Roman"/>
          <w:color w:val="000000"/>
          <w:sz w:val="20"/>
          <w:szCs w:val="20"/>
          <w:shd w:val="clear" w:color="auto" w:fill="FFFFFF"/>
        </w:rPr>
        <w:t>-</w:t>
      </w:r>
      <w:r w:rsidRPr="00207C39">
        <w:rPr>
          <w:rFonts w:ascii="Times New Roman" w:hAnsi="Times New Roman"/>
          <w:color w:val="000000"/>
          <w:sz w:val="20"/>
          <w:szCs w:val="20"/>
          <w:shd w:val="clear" w:color="auto" w:fill="FFFFFF"/>
        </w:rPr>
        <w:t>including late stent thrombosis, decreased vasomotion, and chronic inflammation—have influenced the development of next-generation stents, such as bioresorbable scaffolds (BRS) and ultrathin-strut drug-eluting stents [1,2]</w:t>
      </w:r>
      <w:r w:rsidR="00FC284A">
        <w:rPr>
          <w:rFonts w:ascii="Times New Roman" w:hAnsi="Times New Roman"/>
          <w:color w:val="000000"/>
          <w:sz w:val="20"/>
          <w:szCs w:val="20"/>
          <w:shd w:val="clear" w:color="auto" w:fill="FFFFFF"/>
        </w:rPr>
        <w:t>.</w:t>
      </w:r>
    </w:p>
    <w:p w14:paraId="6985094F" w14:textId="7F24DCB1" w:rsidR="00BD0C0E" w:rsidRDefault="00207C39" w:rsidP="00207C39">
      <w:pPr>
        <w:spacing w:after="0" w:line="360" w:lineRule="auto"/>
        <w:jc w:val="both"/>
        <w:rPr>
          <w:rFonts w:ascii="Times New Roman" w:hAnsi="Times New Roman"/>
          <w:color w:val="000000"/>
          <w:sz w:val="20"/>
          <w:szCs w:val="20"/>
          <w:shd w:val="clear" w:color="auto" w:fill="FFFFFF"/>
        </w:rPr>
      </w:pPr>
      <w:r w:rsidRPr="00207C39">
        <w:rPr>
          <w:rFonts w:ascii="Times New Roman" w:hAnsi="Times New Roman"/>
          <w:color w:val="000000"/>
          <w:sz w:val="20"/>
          <w:szCs w:val="20"/>
          <w:shd w:val="clear" w:color="auto" w:fill="FFFFFF"/>
        </w:rPr>
        <w:t xml:space="preserve">The </w:t>
      </w:r>
      <w:proofErr w:type="spellStart"/>
      <w:r w:rsidRPr="00207C39">
        <w:rPr>
          <w:rFonts w:ascii="Times New Roman" w:hAnsi="Times New Roman"/>
          <w:color w:val="000000"/>
          <w:sz w:val="20"/>
          <w:szCs w:val="20"/>
          <w:shd w:val="clear" w:color="auto" w:fill="FFFFFF"/>
        </w:rPr>
        <w:t>Magmaris</w:t>
      </w:r>
      <w:proofErr w:type="spellEnd"/>
      <w:r w:rsidRPr="00207C39">
        <w:rPr>
          <w:rFonts w:ascii="Times New Roman" w:hAnsi="Times New Roman"/>
          <w:color w:val="000000"/>
          <w:sz w:val="20"/>
          <w:szCs w:val="20"/>
          <w:shd w:val="clear" w:color="auto" w:fill="FFFFFF"/>
        </w:rPr>
        <w:t xml:space="preserve"> bioresorbable magnesium scaffold has become a novel alternative among these developments, providing the mechanical support of conventional DES while removing the presence of foreign bodies over an extended </w:t>
      </w:r>
      <w:proofErr w:type="gramStart"/>
      <w:r w:rsidRPr="00207C39">
        <w:rPr>
          <w:rFonts w:ascii="Times New Roman" w:hAnsi="Times New Roman"/>
          <w:color w:val="000000"/>
          <w:sz w:val="20"/>
          <w:szCs w:val="20"/>
          <w:shd w:val="clear" w:color="auto" w:fill="FFFFFF"/>
        </w:rPr>
        <w:t>period of time</w:t>
      </w:r>
      <w:proofErr w:type="gramEnd"/>
      <w:r w:rsidRPr="00207C39">
        <w:rPr>
          <w:rFonts w:ascii="Times New Roman" w:hAnsi="Times New Roman"/>
          <w:color w:val="000000"/>
          <w:sz w:val="20"/>
          <w:szCs w:val="20"/>
          <w:shd w:val="clear" w:color="auto" w:fill="FFFFFF"/>
        </w:rPr>
        <w:t>. Its positive safety and efficacy profile has been shown in recent single-arm studies with encouraging outcomes in vulnerable groups such as diabetic patients and those with acute coronary syndrome (ACS). [3</w:t>
      </w:r>
      <w:r w:rsidR="00FC284A">
        <w:rPr>
          <w:rFonts w:ascii="Times New Roman" w:hAnsi="Times New Roman"/>
          <w:color w:val="000000"/>
          <w:sz w:val="20"/>
          <w:szCs w:val="20"/>
          <w:shd w:val="clear" w:color="auto" w:fill="FFFFFF"/>
        </w:rPr>
        <w:t>-</w:t>
      </w:r>
      <w:r w:rsidRPr="00207C39">
        <w:rPr>
          <w:rFonts w:ascii="Times New Roman" w:hAnsi="Times New Roman"/>
          <w:color w:val="000000"/>
          <w:sz w:val="20"/>
          <w:szCs w:val="20"/>
          <w:shd w:val="clear" w:color="auto" w:fill="FFFFFF"/>
        </w:rPr>
        <w:t>5]</w:t>
      </w:r>
      <w:r w:rsidR="00270635">
        <w:rPr>
          <w:rFonts w:ascii="Times New Roman" w:hAnsi="Times New Roman"/>
          <w:color w:val="000000"/>
          <w:sz w:val="20"/>
          <w:szCs w:val="20"/>
          <w:shd w:val="clear" w:color="auto" w:fill="FFFFFF"/>
        </w:rPr>
        <w:t xml:space="preserve">. </w:t>
      </w:r>
      <w:r w:rsidRPr="00207C39">
        <w:rPr>
          <w:rFonts w:ascii="Times New Roman" w:hAnsi="Times New Roman"/>
          <w:color w:val="000000"/>
          <w:sz w:val="20"/>
          <w:szCs w:val="20"/>
          <w:shd w:val="clear" w:color="auto" w:fill="FFFFFF"/>
        </w:rPr>
        <w:t xml:space="preserve">The effectiveness of </w:t>
      </w:r>
      <w:proofErr w:type="spellStart"/>
      <w:r w:rsidRPr="00207C39">
        <w:rPr>
          <w:rFonts w:ascii="Times New Roman" w:hAnsi="Times New Roman"/>
          <w:color w:val="000000"/>
          <w:sz w:val="20"/>
          <w:szCs w:val="20"/>
          <w:shd w:val="clear" w:color="auto" w:fill="FFFFFF"/>
        </w:rPr>
        <w:t>Magmaris</w:t>
      </w:r>
      <w:proofErr w:type="spellEnd"/>
      <w:r w:rsidRPr="00207C39">
        <w:rPr>
          <w:rFonts w:ascii="Times New Roman" w:hAnsi="Times New Roman"/>
          <w:color w:val="000000"/>
          <w:sz w:val="20"/>
          <w:szCs w:val="20"/>
          <w:shd w:val="clear" w:color="auto" w:fill="FFFFFF"/>
        </w:rPr>
        <w:t xml:space="preserve"> in controlled and real-world clinical settings has been further supported by the BIOSOLVE-IV registry which demonstrated minimal rates of scaffold or stent thrombosis and target lesion failure [6]</w:t>
      </w:r>
      <w:r w:rsidR="00FC284A">
        <w:rPr>
          <w:rFonts w:ascii="Times New Roman" w:hAnsi="Times New Roman"/>
          <w:color w:val="000000"/>
          <w:sz w:val="20"/>
          <w:szCs w:val="20"/>
          <w:shd w:val="clear" w:color="auto" w:fill="FFFFFF"/>
        </w:rPr>
        <w:t>.</w:t>
      </w:r>
      <w:r w:rsidRPr="00207C39">
        <w:rPr>
          <w:rFonts w:ascii="Times New Roman" w:hAnsi="Times New Roman"/>
          <w:color w:val="000000"/>
          <w:sz w:val="20"/>
          <w:szCs w:val="20"/>
          <w:shd w:val="clear" w:color="auto" w:fill="FFFFFF"/>
        </w:rPr>
        <w:t xml:space="preserve"> At the same time, the </w:t>
      </w:r>
      <w:proofErr w:type="spellStart"/>
      <w:r w:rsidRPr="00207C39">
        <w:rPr>
          <w:rFonts w:ascii="Times New Roman" w:hAnsi="Times New Roman"/>
          <w:color w:val="000000"/>
          <w:sz w:val="20"/>
          <w:szCs w:val="20"/>
          <w:shd w:val="clear" w:color="auto" w:fill="FFFFFF"/>
        </w:rPr>
        <w:t>Orsiro</w:t>
      </w:r>
      <w:proofErr w:type="spellEnd"/>
      <w:r w:rsidRPr="00207C39">
        <w:rPr>
          <w:rFonts w:ascii="Times New Roman" w:hAnsi="Times New Roman"/>
          <w:color w:val="000000"/>
          <w:sz w:val="20"/>
          <w:szCs w:val="20"/>
          <w:shd w:val="clear" w:color="auto" w:fill="FFFFFF"/>
        </w:rPr>
        <w:t xml:space="preserve"> ultrathin-strut (≈60 </w:t>
      </w:r>
      <w:proofErr w:type="spellStart"/>
      <w:r w:rsidRPr="00207C39">
        <w:rPr>
          <w:rFonts w:ascii="Times New Roman" w:hAnsi="Times New Roman"/>
          <w:color w:val="000000"/>
          <w:sz w:val="20"/>
          <w:szCs w:val="20"/>
          <w:shd w:val="clear" w:color="auto" w:fill="FFFFFF"/>
        </w:rPr>
        <w:t>μm</w:t>
      </w:r>
      <w:proofErr w:type="spellEnd"/>
      <w:r w:rsidRPr="00207C39">
        <w:rPr>
          <w:rFonts w:ascii="Times New Roman" w:hAnsi="Times New Roman"/>
          <w:color w:val="000000"/>
          <w:sz w:val="20"/>
          <w:szCs w:val="20"/>
          <w:shd w:val="clear" w:color="auto" w:fill="FFFFFF"/>
        </w:rPr>
        <w:t xml:space="preserve"> struts) sirolimus-eluting stent and the </w:t>
      </w:r>
      <w:proofErr w:type="spellStart"/>
      <w:r w:rsidRPr="00207C39">
        <w:rPr>
          <w:rFonts w:ascii="Times New Roman" w:hAnsi="Times New Roman"/>
          <w:color w:val="000000"/>
          <w:sz w:val="20"/>
          <w:szCs w:val="20"/>
          <w:shd w:val="clear" w:color="auto" w:fill="FFFFFF"/>
        </w:rPr>
        <w:t>Ultimaster</w:t>
      </w:r>
      <w:proofErr w:type="spellEnd"/>
      <w:r w:rsidRPr="00207C39">
        <w:rPr>
          <w:rFonts w:ascii="Times New Roman" w:hAnsi="Times New Roman"/>
          <w:color w:val="000000"/>
          <w:sz w:val="20"/>
          <w:szCs w:val="20"/>
          <w:shd w:val="clear" w:color="auto" w:fill="FFFFFF"/>
        </w:rPr>
        <w:t xml:space="preserve"> thin-strut (≈80 </w:t>
      </w:r>
      <w:proofErr w:type="spellStart"/>
      <w:r w:rsidRPr="00207C39">
        <w:rPr>
          <w:rFonts w:ascii="Times New Roman" w:hAnsi="Times New Roman"/>
          <w:color w:val="000000"/>
          <w:sz w:val="20"/>
          <w:szCs w:val="20"/>
          <w:shd w:val="clear" w:color="auto" w:fill="FFFFFF"/>
        </w:rPr>
        <w:t>μm</w:t>
      </w:r>
      <w:proofErr w:type="spellEnd"/>
      <w:r w:rsidRPr="00207C39">
        <w:rPr>
          <w:rFonts w:ascii="Times New Roman" w:hAnsi="Times New Roman"/>
          <w:color w:val="000000"/>
          <w:sz w:val="20"/>
          <w:szCs w:val="20"/>
          <w:shd w:val="clear" w:color="auto" w:fill="FFFFFF"/>
        </w:rPr>
        <w:t xml:space="preserve"> struts) sirolimus-eluting stent—each have become more well-known because of their better durability, delivery, and healing profiles [</w:t>
      </w:r>
      <w:r w:rsidR="00FC284A">
        <w:rPr>
          <w:rFonts w:ascii="Times New Roman" w:hAnsi="Times New Roman"/>
          <w:color w:val="000000"/>
          <w:sz w:val="20"/>
          <w:szCs w:val="20"/>
          <w:shd w:val="clear" w:color="auto" w:fill="FFFFFF"/>
        </w:rPr>
        <w:t>7-</w:t>
      </w:r>
      <w:r w:rsidRPr="00207C39">
        <w:rPr>
          <w:rFonts w:ascii="Times New Roman" w:hAnsi="Times New Roman"/>
          <w:color w:val="000000"/>
          <w:sz w:val="20"/>
          <w:szCs w:val="20"/>
          <w:shd w:val="clear" w:color="auto" w:fill="FFFFFF"/>
        </w:rPr>
        <w:t>9]</w:t>
      </w:r>
      <w:r w:rsidR="00270635">
        <w:rPr>
          <w:rFonts w:ascii="Times New Roman" w:hAnsi="Times New Roman"/>
          <w:color w:val="000000"/>
          <w:sz w:val="20"/>
          <w:szCs w:val="20"/>
          <w:shd w:val="clear" w:color="auto" w:fill="FFFFFF"/>
        </w:rPr>
        <w:t xml:space="preserve">. </w:t>
      </w:r>
      <w:r w:rsidRPr="00207C39">
        <w:rPr>
          <w:rFonts w:ascii="Times New Roman" w:hAnsi="Times New Roman"/>
          <w:color w:val="000000"/>
          <w:sz w:val="20"/>
          <w:szCs w:val="20"/>
          <w:shd w:val="clear" w:color="auto" w:fill="FFFFFF"/>
        </w:rPr>
        <w:t>Furthermore, reduced restenosis, lower target lesion revascularization, and fewer adverse cardiac events (ACEs) are among the best long-term results related to these stents, as shown by clinical studies and registry data [10</w:t>
      </w:r>
      <w:r w:rsidR="00BC656F">
        <w:rPr>
          <w:rFonts w:ascii="Times New Roman" w:hAnsi="Times New Roman"/>
          <w:color w:val="000000"/>
          <w:sz w:val="20"/>
          <w:szCs w:val="20"/>
          <w:shd w:val="clear" w:color="auto" w:fill="FFFFFF"/>
        </w:rPr>
        <w:t>-</w:t>
      </w:r>
      <w:r w:rsidR="0076221C">
        <w:rPr>
          <w:rFonts w:ascii="Times New Roman" w:hAnsi="Times New Roman"/>
          <w:color w:val="000000"/>
          <w:sz w:val="20"/>
          <w:szCs w:val="20"/>
          <w:shd w:val="clear" w:color="auto" w:fill="FFFFFF"/>
        </w:rPr>
        <w:t>14</w:t>
      </w:r>
      <w:r w:rsidRPr="00207C39">
        <w:rPr>
          <w:rFonts w:ascii="Times New Roman" w:hAnsi="Times New Roman"/>
          <w:color w:val="000000"/>
          <w:sz w:val="20"/>
          <w:szCs w:val="20"/>
          <w:shd w:val="clear" w:color="auto" w:fill="FFFFFF"/>
        </w:rPr>
        <w:t>]</w:t>
      </w:r>
      <w:r w:rsidR="00FC284A">
        <w:rPr>
          <w:rFonts w:ascii="Times New Roman" w:hAnsi="Times New Roman"/>
          <w:color w:val="000000"/>
          <w:sz w:val="20"/>
          <w:szCs w:val="20"/>
          <w:shd w:val="clear" w:color="auto" w:fill="FFFFFF"/>
        </w:rPr>
        <w:t>.</w:t>
      </w:r>
      <w:r w:rsidRPr="00207C39">
        <w:rPr>
          <w:rFonts w:ascii="Times New Roman" w:hAnsi="Times New Roman"/>
          <w:color w:val="000000"/>
          <w:sz w:val="20"/>
          <w:szCs w:val="20"/>
          <w:shd w:val="clear" w:color="auto" w:fill="FFFFFF"/>
        </w:rPr>
        <w:t xml:space="preserve"> Ultrathin-strut DES has proven to be more effective than regular stents in head-to-head comparisons in randomized settings, especially when it comes to enhancing vascular repair and minimizing late lumen loss [1,9]</w:t>
      </w:r>
      <w:r w:rsidR="00270635">
        <w:rPr>
          <w:rFonts w:ascii="Times New Roman" w:hAnsi="Times New Roman"/>
          <w:color w:val="000000"/>
          <w:sz w:val="20"/>
          <w:szCs w:val="20"/>
          <w:shd w:val="clear" w:color="auto" w:fill="FFFFFF"/>
        </w:rPr>
        <w:t xml:space="preserve">. </w:t>
      </w:r>
      <w:r w:rsidRPr="00207C39">
        <w:rPr>
          <w:rFonts w:ascii="Times New Roman" w:hAnsi="Times New Roman"/>
          <w:color w:val="000000"/>
          <w:sz w:val="20"/>
          <w:szCs w:val="20"/>
          <w:shd w:val="clear" w:color="auto" w:fill="FFFFFF"/>
        </w:rPr>
        <w:t xml:space="preserve">Despite these promising results, data from randomized controlled trials remain limited for more recent technologies like </w:t>
      </w:r>
      <w:proofErr w:type="spellStart"/>
      <w:r w:rsidRPr="00207C39">
        <w:rPr>
          <w:rFonts w:ascii="Times New Roman" w:hAnsi="Times New Roman"/>
          <w:color w:val="000000"/>
          <w:sz w:val="20"/>
          <w:szCs w:val="20"/>
          <w:shd w:val="clear" w:color="auto" w:fill="FFFFFF"/>
        </w:rPr>
        <w:t>Magmaris</w:t>
      </w:r>
      <w:proofErr w:type="spellEnd"/>
      <w:r w:rsidRPr="00207C39">
        <w:rPr>
          <w:rFonts w:ascii="Times New Roman" w:hAnsi="Times New Roman"/>
          <w:color w:val="000000"/>
          <w:sz w:val="20"/>
          <w:szCs w:val="20"/>
          <w:shd w:val="clear" w:color="auto" w:fill="FFFFFF"/>
        </w:rPr>
        <w:t>. Single-arm observational studies continue to be a crucial source of empirical knowledge, providing important information about how well these devices function in various clinical and anatomical contexts [3,5]</w:t>
      </w:r>
      <w:r w:rsidR="00270635">
        <w:rPr>
          <w:rFonts w:ascii="Times New Roman" w:hAnsi="Times New Roman"/>
          <w:color w:val="000000"/>
          <w:sz w:val="20"/>
          <w:szCs w:val="20"/>
          <w:shd w:val="clear" w:color="auto" w:fill="FFFFFF"/>
        </w:rPr>
        <w:t>.</w:t>
      </w:r>
      <w:r w:rsidR="006B0AC8">
        <w:rPr>
          <w:rFonts w:ascii="Times New Roman" w:hAnsi="Times New Roman"/>
          <w:color w:val="000000"/>
          <w:sz w:val="20"/>
          <w:szCs w:val="20"/>
          <w:shd w:val="clear" w:color="auto" w:fill="FFFFFF"/>
        </w:rPr>
        <w:t xml:space="preserve"> </w:t>
      </w:r>
      <w:proofErr w:type="gramStart"/>
      <w:r w:rsidRPr="00207C39">
        <w:rPr>
          <w:rFonts w:ascii="Times New Roman" w:hAnsi="Times New Roman"/>
          <w:color w:val="000000"/>
          <w:sz w:val="20"/>
          <w:szCs w:val="20"/>
          <w:shd w:val="clear" w:color="auto" w:fill="FFFFFF"/>
        </w:rPr>
        <w:t>In order to</w:t>
      </w:r>
      <w:proofErr w:type="gramEnd"/>
      <w:r w:rsidRPr="00207C39">
        <w:rPr>
          <w:rFonts w:ascii="Times New Roman" w:hAnsi="Times New Roman"/>
          <w:color w:val="000000"/>
          <w:sz w:val="20"/>
          <w:szCs w:val="20"/>
          <w:shd w:val="clear" w:color="auto" w:fill="FFFFFF"/>
        </w:rPr>
        <w:t xml:space="preserve"> evaluate the clinical results of the </w:t>
      </w:r>
      <w:proofErr w:type="spellStart"/>
      <w:r w:rsidRPr="00207C39">
        <w:rPr>
          <w:rFonts w:ascii="Times New Roman" w:hAnsi="Times New Roman"/>
          <w:color w:val="000000"/>
          <w:sz w:val="20"/>
          <w:szCs w:val="20"/>
          <w:shd w:val="clear" w:color="auto" w:fill="FFFFFF"/>
        </w:rPr>
        <w:t>Magmaris</w:t>
      </w:r>
      <w:proofErr w:type="spellEnd"/>
      <w:r w:rsidRPr="00207C39">
        <w:rPr>
          <w:rFonts w:ascii="Times New Roman" w:hAnsi="Times New Roman"/>
          <w:color w:val="000000"/>
          <w:sz w:val="20"/>
          <w:szCs w:val="20"/>
          <w:shd w:val="clear" w:color="auto" w:fill="FFFFFF"/>
        </w:rPr>
        <w:t xml:space="preserve"> bioresorbable magnesium scaffold in relation to Biomatrix, </w:t>
      </w:r>
      <w:proofErr w:type="spellStart"/>
      <w:r w:rsidRPr="00207C39">
        <w:rPr>
          <w:rFonts w:ascii="Times New Roman" w:hAnsi="Times New Roman"/>
          <w:color w:val="000000"/>
          <w:sz w:val="20"/>
          <w:szCs w:val="20"/>
          <w:shd w:val="clear" w:color="auto" w:fill="FFFFFF"/>
        </w:rPr>
        <w:t>Ultimaster</w:t>
      </w:r>
      <w:proofErr w:type="spellEnd"/>
      <w:r w:rsidRPr="00207C39">
        <w:rPr>
          <w:rFonts w:ascii="Times New Roman" w:hAnsi="Times New Roman"/>
          <w:color w:val="000000"/>
          <w:sz w:val="20"/>
          <w:szCs w:val="20"/>
          <w:shd w:val="clear" w:color="auto" w:fill="FFFFFF"/>
        </w:rPr>
        <w:t xml:space="preserve">, and </w:t>
      </w:r>
      <w:proofErr w:type="spellStart"/>
      <w:r w:rsidRPr="00207C39">
        <w:rPr>
          <w:rFonts w:ascii="Times New Roman" w:hAnsi="Times New Roman"/>
          <w:color w:val="000000"/>
          <w:sz w:val="20"/>
          <w:szCs w:val="20"/>
          <w:shd w:val="clear" w:color="auto" w:fill="FFFFFF"/>
        </w:rPr>
        <w:t>Orsiro</w:t>
      </w:r>
      <w:proofErr w:type="spellEnd"/>
      <w:r w:rsidRPr="00207C39">
        <w:rPr>
          <w:rFonts w:ascii="Times New Roman" w:hAnsi="Times New Roman"/>
          <w:color w:val="000000"/>
          <w:sz w:val="20"/>
          <w:szCs w:val="20"/>
          <w:shd w:val="clear" w:color="auto" w:fill="FFFFFF"/>
        </w:rPr>
        <w:t xml:space="preserve"> sirolimus-eluting stents in patients with de novo coronary artery disease, this systematic review and meta-analysis attempts to compile the most recent data. This review will offer a thorough assessment of these developing percutaneous coronary intervention techniques—with an emphasis on target lesion failure (TLF), all-cause mortality, cardiac death, myocardial infarction (MI), target-vessel myocardial infarction (TV-</w:t>
      </w:r>
      <w:r w:rsidRPr="00207C39">
        <w:rPr>
          <w:rFonts w:ascii="Times New Roman" w:hAnsi="Times New Roman"/>
          <w:color w:val="000000"/>
          <w:sz w:val="20"/>
          <w:szCs w:val="20"/>
          <w:shd w:val="clear" w:color="auto" w:fill="FFFFFF"/>
        </w:rPr>
        <w:lastRenderedPageBreak/>
        <w:t xml:space="preserve">MI), </w:t>
      </w:r>
      <w:proofErr w:type="spellStart"/>
      <w:r w:rsidRPr="00207C39">
        <w:rPr>
          <w:rFonts w:ascii="Times New Roman" w:hAnsi="Times New Roman"/>
          <w:color w:val="000000"/>
          <w:sz w:val="20"/>
          <w:szCs w:val="20"/>
          <w:shd w:val="clear" w:color="auto" w:fill="FFFFFF"/>
        </w:rPr>
        <w:t>ischaemia</w:t>
      </w:r>
      <w:proofErr w:type="spellEnd"/>
      <w:r w:rsidRPr="00207C39">
        <w:rPr>
          <w:rFonts w:ascii="Times New Roman" w:hAnsi="Times New Roman"/>
          <w:color w:val="000000"/>
          <w:sz w:val="20"/>
          <w:szCs w:val="20"/>
          <w:shd w:val="clear" w:color="auto" w:fill="FFFFFF"/>
        </w:rPr>
        <w:t xml:space="preserve">-driven target-lesion </w:t>
      </w:r>
      <w:proofErr w:type="spellStart"/>
      <w:r w:rsidRPr="00207C39">
        <w:rPr>
          <w:rFonts w:ascii="Times New Roman" w:hAnsi="Times New Roman"/>
          <w:color w:val="000000"/>
          <w:sz w:val="20"/>
          <w:szCs w:val="20"/>
          <w:shd w:val="clear" w:color="auto" w:fill="FFFFFF"/>
        </w:rPr>
        <w:t>revascularisation</w:t>
      </w:r>
      <w:proofErr w:type="spellEnd"/>
      <w:r w:rsidRPr="00207C39">
        <w:rPr>
          <w:rFonts w:ascii="Times New Roman" w:hAnsi="Times New Roman"/>
          <w:color w:val="000000"/>
          <w:sz w:val="20"/>
          <w:szCs w:val="20"/>
          <w:shd w:val="clear" w:color="auto" w:fill="FFFFFF"/>
        </w:rPr>
        <w:t xml:space="preserve"> (ID-TLR), and definite/probable stent/scaffold thrombosis—in order to support clinical decision-making and direct future comparative studies. However, the currently available evidence is largely limited to short- and mid-term follow-up, which remains a critical gap given that the theoretical advantages of bioresorbable scaffolds are expected to emerge over longer time horizons</w:t>
      </w:r>
      <w:r w:rsidR="006B0AC8">
        <w:rPr>
          <w:rFonts w:ascii="Times New Roman" w:hAnsi="Times New Roman"/>
          <w:color w:val="000000"/>
          <w:sz w:val="20"/>
          <w:szCs w:val="20"/>
          <w:shd w:val="clear" w:color="auto" w:fill="FFFFFF"/>
        </w:rPr>
        <w:t>.</w:t>
      </w:r>
    </w:p>
    <w:p w14:paraId="65D6BADB"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6D628BC4" w14:textId="2FC2F8FC" w:rsidR="00D60E88" w:rsidRDefault="00D60E88" w:rsidP="00BD0C0E">
      <w:pPr>
        <w:spacing w:after="0" w:line="360" w:lineRule="auto"/>
        <w:jc w:val="both"/>
        <w:rPr>
          <w:rFonts w:ascii="Times New Roman" w:hAnsi="Times New Roman" w:cs="Times New Roman"/>
          <w:b/>
          <w:bCs/>
          <w:color w:val="0070C0"/>
          <w:sz w:val="22"/>
          <w:szCs w:val="22"/>
        </w:rPr>
      </w:pPr>
      <w:r w:rsidRPr="00D60E88">
        <w:rPr>
          <w:rFonts w:ascii="Times New Roman" w:hAnsi="Times New Roman" w:cs="Times New Roman"/>
          <w:b/>
          <w:bCs/>
          <w:color w:val="0070C0"/>
          <w:sz w:val="22"/>
          <w:szCs w:val="22"/>
        </w:rPr>
        <w:t>Methods</w:t>
      </w:r>
    </w:p>
    <w:p w14:paraId="5C2196D2" w14:textId="77777777" w:rsidR="00401BC4" w:rsidRDefault="00401BC4" w:rsidP="00BD0C0E">
      <w:pPr>
        <w:spacing w:after="0" w:line="360" w:lineRule="auto"/>
        <w:jc w:val="both"/>
        <w:rPr>
          <w:rFonts w:ascii="Times New Roman" w:hAnsi="Times New Roman" w:cs="Times New Roman"/>
          <w:b/>
          <w:bCs/>
          <w:color w:val="0070C0"/>
          <w:sz w:val="22"/>
          <w:szCs w:val="22"/>
        </w:rPr>
      </w:pPr>
    </w:p>
    <w:p w14:paraId="491CBB5F" w14:textId="56CEC90C"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We conducted a systematic review and single-arm meta-analysis specified in the Preferred Reporting Items for Systematic Reviews and Meta-Analysis (PRISMA). Our review was registered at the Open Science Framework before it was undertaken (OSF ID: 10.17605/OSF.IO/PE6SU) (Figure S50)</w:t>
      </w:r>
      <w:r w:rsidR="00401BC4">
        <w:rPr>
          <w:rFonts w:ascii="Times New Roman" w:hAnsi="Times New Roman" w:cs="Times New Roman"/>
          <w:sz w:val="20"/>
          <w:szCs w:val="20"/>
        </w:rPr>
        <w:t>.</w:t>
      </w:r>
    </w:p>
    <w:p w14:paraId="68947520" w14:textId="77777777" w:rsidR="00401BC4" w:rsidRPr="0072321E" w:rsidRDefault="00401BC4" w:rsidP="00BF43DF">
      <w:pPr>
        <w:widowControl w:val="0"/>
        <w:adjustRightInd w:val="0"/>
        <w:spacing w:after="0" w:line="360" w:lineRule="auto"/>
        <w:jc w:val="both"/>
        <w:rPr>
          <w:rFonts w:ascii="Times New Roman" w:hAnsi="Times New Roman" w:cs="Times New Roman"/>
          <w:sz w:val="20"/>
          <w:szCs w:val="20"/>
        </w:rPr>
      </w:pPr>
    </w:p>
    <w:p w14:paraId="6E4CF53D" w14:textId="7C0FE068" w:rsidR="00BF43DF" w:rsidRPr="00401BC4" w:rsidRDefault="00BF43DF" w:rsidP="00BF43DF">
      <w:pPr>
        <w:widowControl w:val="0"/>
        <w:adjustRightInd w:val="0"/>
        <w:spacing w:after="0" w:line="360" w:lineRule="auto"/>
        <w:jc w:val="both"/>
        <w:rPr>
          <w:rFonts w:ascii="Times New Roman" w:hAnsi="Times New Roman" w:cs="Times New Roman"/>
          <w:b/>
          <w:bCs/>
          <w:sz w:val="20"/>
          <w:szCs w:val="20"/>
        </w:rPr>
      </w:pPr>
      <w:r w:rsidRPr="00401BC4">
        <w:rPr>
          <w:rFonts w:ascii="Times New Roman" w:hAnsi="Times New Roman" w:cs="Times New Roman"/>
          <w:b/>
          <w:bCs/>
          <w:sz w:val="20"/>
          <w:szCs w:val="20"/>
        </w:rPr>
        <w:t>Search Strategy and Data Sources</w:t>
      </w:r>
    </w:p>
    <w:p w14:paraId="19691B2D" w14:textId="77777777"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A comprehensive literature search was conducted using several electronic databases from inception until March 1, 2026, including PubMed, Scopus, and ScienceDirect. Two authors independently performed the search to ensure accuracy and minimize bias. The search strategy included combinations of keywords and </w:t>
      </w:r>
      <w:proofErr w:type="spellStart"/>
      <w:r w:rsidRPr="0072321E">
        <w:rPr>
          <w:rFonts w:ascii="Times New Roman" w:hAnsi="Times New Roman" w:cs="Times New Roman"/>
          <w:sz w:val="20"/>
          <w:szCs w:val="20"/>
        </w:rPr>
        <w:t>MeSH</w:t>
      </w:r>
      <w:proofErr w:type="spellEnd"/>
      <w:r w:rsidRPr="0072321E">
        <w:rPr>
          <w:rFonts w:ascii="Times New Roman" w:hAnsi="Times New Roman" w:cs="Times New Roman"/>
          <w:sz w:val="20"/>
          <w:szCs w:val="20"/>
        </w:rPr>
        <w:t xml:space="preserve"> terms such as “drug-eluting stent,” “biodegradable scaffold,” “clinical outcomes,” “stent thrombosis,” and “myocardial infarction.” Boolean operators (AND, OR) were applied to maximize sensitivity. No restrictions were imposed on language or publication date, ensuring a comprehensive and unbiased retrieval of relevant studies. The full search strategy is detailed in Table 5.</w:t>
      </w:r>
    </w:p>
    <w:p w14:paraId="4BAAA52B" w14:textId="77777777" w:rsidR="008E2AD7" w:rsidRDefault="008E2AD7" w:rsidP="00BF43DF">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1797"/>
        <w:gridCol w:w="2111"/>
        <w:gridCol w:w="1687"/>
        <w:gridCol w:w="2070"/>
        <w:gridCol w:w="1685"/>
      </w:tblGrid>
      <w:tr w:rsidR="0007308C" w:rsidRPr="0007308C" w14:paraId="18F78DBF" w14:textId="77777777" w:rsidTr="0007308C">
        <w:trPr>
          <w:trHeight w:val="290"/>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74C7E341" w14:textId="77777777" w:rsidR="0007308C" w:rsidRPr="0007308C" w:rsidRDefault="0007308C" w:rsidP="0007308C">
            <w:pPr>
              <w:spacing w:after="0" w:line="240" w:lineRule="auto"/>
              <w:jc w:val="center"/>
              <w:rPr>
                <w:rFonts w:ascii="Times New Roman" w:eastAsia="Times New Roman" w:hAnsi="Times New Roman" w:cs="Times New Roman"/>
                <w:b/>
                <w:bCs/>
                <w:color w:val="000000"/>
                <w:sz w:val="20"/>
                <w:szCs w:val="20"/>
                <w:lang w:val="en-IN" w:eastAsia="en-IN"/>
              </w:rPr>
            </w:pPr>
            <w:r w:rsidRPr="0007308C">
              <w:rPr>
                <w:rFonts w:ascii="Times New Roman" w:eastAsia="Times New Roman" w:hAnsi="Times New Roman" w:cs="Times New Roman"/>
                <w:b/>
                <w:bCs/>
                <w:color w:val="000000"/>
                <w:sz w:val="20"/>
                <w:szCs w:val="20"/>
                <w:lang w:val="en" w:eastAsia="en-IN"/>
              </w:rPr>
              <w:t>Database</w:t>
            </w:r>
          </w:p>
        </w:tc>
        <w:tc>
          <w:tcPr>
            <w:tcW w:w="1129" w:type="pct"/>
            <w:tcBorders>
              <w:top w:val="single" w:sz="4" w:space="0" w:color="auto"/>
              <w:left w:val="nil"/>
              <w:bottom w:val="single" w:sz="4" w:space="0" w:color="auto"/>
              <w:right w:val="single" w:sz="4" w:space="0" w:color="auto"/>
            </w:tcBorders>
            <w:vAlign w:val="center"/>
            <w:hideMark/>
          </w:tcPr>
          <w:p w14:paraId="33661A11" w14:textId="77777777" w:rsidR="0007308C" w:rsidRPr="0007308C" w:rsidRDefault="0007308C" w:rsidP="0007308C">
            <w:pPr>
              <w:spacing w:after="0" w:line="240" w:lineRule="auto"/>
              <w:jc w:val="center"/>
              <w:rPr>
                <w:rFonts w:ascii="Times New Roman" w:eastAsia="Times New Roman" w:hAnsi="Times New Roman" w:cs="Times New Roman"/>
                <w:b/>
                <w:bCs/>
                <w:color w:val="000000"/>
                <w:sz w:val="20"/>
                <w:szCs w:val="20"/>
                <w:lang w:val="en-IN" w:eastAsia="en-IN"/>
              </w:rPr>
            </w:pPr>
            <w:r w:rsidRPr="0007308C">
              <w:rPr>
                <w:rFonts w:ascii="Times New Roman" w:eastAsia="Times New Roman" w:hAnsi="Times New Roman" w:cs="Times New Roman"/>
                <w:b/>
                <w:bCs/>
                <w:color w:val="000000"/>
                <w:sz w:val="20"/>
                <w:szCs w:val="20"/>
                <w:lang w:val="en" w:eastAsia="en-IN"/>
              </w:rPr>
              <w:t>Search Terms / Strategy</w:t>
            </w:r>
          </w:p>
        </w:tc>
        <w:tc>
          <w:tcPr>
            <w:tcW w:w="902" w:type="pct"/>
            <w:tcBorders>
              <w:top w:val="single" w:sz="4" w:space="0" w:color="auto"/>
              <w:left w:val="nil"/>
              <w:bottom w:val="single" w:sz="4" w:space="0" w:color="auto"/>
              <w:right w:val="single" w:sz="4" w:space="0" w:color="auto"/>
            </w:tcBorders>
            <w:vAlign w:val="center"/>
            <w:hideMark/>
          </w:tcPr>
          <w:p w14:paraId="6F02D5EA" w14:textId="77777777" w:rsidR="0007308C" w:rsidRPr="0007308C" w:rsidRDefault="0007308C" w:rsidP="0007308C">
            <w:pPr>
              <w:spacing w:after="0" w:line="240" w:lineRule="auto"/>
              <w:jc w:val="center"/>
              <w:rPr>
                <w:rFonts w:ascii="Times New Roman" w:eastAsia="Times New Roman" w:hAnsi="Times New Roman" w:cs="Times New Roman"/>
                <w:b/>
                <w:bCs/>
                <w:color w:val="000000"/>
                <w:sz w:val="20"/>
                <w:szCs w:val="20"/>
                <w:lang w:val="en-IN" w:eastAsia="en-IN"/>
              </w:rPr>
            </w:pPr>
            <w:r w:rsidRPr="0007308C">
              <w:rPr>
                <w:rFonts w:ascii="Times New Roman" w:eastAsia="Times New Roman" w:hAnsi="Times New Roman" w:cs="Times New Roman"/>
                <w:b/>
                <w:bCs/>
                <w:color w:val="000000"/>
                <w:sz w:val="20"/>
                <w:szCs w:val="20"/>
                <w:lang w:val="en" w:eastAsia="en-IN"/>
              </w:rPr>
              <w:t>Filters / Limits Applied</w:t>
            </w:r>
          </w:p>
        </w:tc>
        <w:tc>
          <w:tcPr>
            <w:tcW w:w="1107" w:type="pct"/>
            <w:tcBorders>
              <w:top w:val="single" w:sz="4" w:space="0" w:color="auto"/>
              <w:left w:val="nil"/>
              <w:bottom w:val="single" w:sz="4" w:space="0" w:color="auto"/>
              <w:right w:val="single" w:sz="4" w:space="0" w:color="auto"/>
            </w:tcBorders>
            <w:vAlign w:val="center"/>
            <w:hideMark/>
          </w:tcPr>
          <w:p w14:paraId="5AD566BF" w14:textId="77777777" w:rsidR="0007308C" w:rsidRPr="0007308C" w:rsidRDefault="0007308C" w:rsidP="0007308C">
            <w:pPr>
              <w:spacing w:after="0" w:line="240" w:lineRule="auto"/>
              <w:jc w:val="center"/>
              <w:rPr>
                <w:rFonts w:ascii="Times New Roman" w:eastAsia="Times New Roman" w:hAnsi="Times New Roman" w:cs="Times New Roman"/>
                <w:b/>
                <w:bCs/>
                <w:color w:val="000000"/>
                <w:sz w:val="20"/>
                <w:szCs w:val="20"/>
                <w:lang w:val="en-IN" w:eastAsia="en-IN"/>
              </w:rPr>
            </w:pPr>
            <w:r w:rsidRPr="0007308C">
              <w:rPr>
                <w:rFonts w:ascii="Times New Roman" w:eastAsia="Times New Roman" w:hAnsi="Times New Roman" w:cs="Times New Roman"/>
                <w:b/>
                <w:bCs/>
                <w:color w:val="000000"/>
                <w:sz w:val="20"/>
                <w:szCs w:val="20"/>
                <w:lang w:val="en" w:eastAsia="en-IN"/>
              </w:rPr>
              <w:t>Date of Search</w:t>
            </w:r>
          </w:p>
        </w:tc>
        <w:tc>
          <w:tcPr>
            <w:tcW w:w="902" w:type="pct"/>
            <w:tcBorders>
              <w:top w:val="single" w:sz="4" w:space="0" w:color="auto"/>
              <w:left w:val="nil"/>
              <w:bottom w:val="single" w:sz="4" w:space="0" w:color="auto"/>
              <w:right w:val="single" w:sz="4" w:space="0" w:color="auto"/>
            </w:tcBorders>
            <w:vAlign w:val="center"/>
            <w:hideMark/>
          </w:tcPr>
          <w:p w14:paraId="47D3873A"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Results</w:t>
            </w:r>
          </w:p>
        </w:tc>
      </w:tr>
      <w:tr w:rsidR="0007308C" w:rsidRPr="0007308C" w14:paraId="6C052B29" w14:textId="77777777" w:rsidTr="0007308C">
        <w:trPr>
          <w:trHeight w:val="1040"/>
          <w:jc w:val="center"/>
        </w:trPr>
        <w:tc>
          <w:tcPr>
            <w:tcW w:w="961" w:type="pct"/>
            <w:tcBorders>
              <w:top w:val="nil"/>
              <w:left w:val="single" w:sz="4" w:space="0" w:color="auto"/>
              <w:bottom w:val="single" w:sz="4" w:space="0" w:color="auto"/>
              <w:right w:val="single" w:sz="4" w:space="0" w:color="auto"/>
            </w:tcBorders>
            <w:vAlign w:val="center"/>
            <w:hideMark/>
          </w:tcPr>
          <w:p w14:paraId="6C058B69"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PubMed</w:t>
            </w:r>
          </w:p>
        </w:tc>
        <w:tc>
          <w:tcPr>
            <w:tcW w:w="1129" w:type="pct"/>
            <w:tcBorders>
              <w:top w:val="nil"/>
              <w:left w:val="nil"/>
              <w:bottom w:val="single" w:sz="4" w:space="0" w:color="auto"/>
              <w:right w:val="single" w:sz="4" w:space="0" w:color="auto"/>
            </w:tcBorders>
            <w:vAlign w:val="center"/>
            <w:hideMark/>
          </w:tcPr>
          <w:p w14:paraId="2BC22FBC"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("drug-eluting stent"[</w:t>
            </w:r>
            <w:proofErr w:type="spellStart"/>
            <w:r w:rsidRPr="0007308C">
              <w:rPr>
                <w:rFonts w:ascii="Times New Roman" w:eastAsia="Times New Roman" w:hAnsi="Times New Roman" w:cs="Times New Roman"/>
                <w:color w:val="000000"/>
                <w:sz w:val="20"/>
                <w:szCs w:val="20"/>
                <w:lang w:val="en" w:eastAsia="en-IN"/>
              </w:rPr>
              <w:t>MeSH</w:t>
            </w:r>
            <w:proofErr w:type="spellEnd"/>
            <w:r w:rsidRPr="0007308C">
              <w:rPr>
                <w:rFonts w:ascii="Times New Roman" w:eastAsia="Times New Roman" w:hAnsi="Times New Roman" w:cs="Times New Roman"/>
                <w:color w:val="000000"/>
                <w:sz w:val="20"/>
                <w:szCs w:val="20"/>
                <w:lang w:val="en" w:eastAsia="en-IN"/>
              </w:rPr>
              <w:t xml:space="preserve"> Terms] OR "biodegradable scaffold" OR "DES" OR "</w:t>
            </w:r>
            <w:proofErr w:type="spellStart"/>
            <w:r w:rsidRPr="0007308C">
              <w:rPr>
                <w:rFonts w:ascii="Times New Roman" w:eastAsia="Times New Roman" w:hAnsi="Times New Roman" w:cs="Times New Roman"/>
                <w:color w:val="000000"/>
                <w:sz w:val="20"/>
                <w:szCs w:val="20"/>
                <w:lang w:val="en" w:eastAsia="en-IN"/>
              </w:rPr>
              <w:t>Magmaris</w:t>
            </w:r>
            <w:proofErr w:type="spellEnd"/>
            <w:r w:rsidRPr="0007308C">
              <w:rPr>
                <w:rFonts w:ascii="Times New Roman" w:eastAsia="Times New Roman" w:hAnsi="Times New Roman" w:cs="Times New Roman"/>
                <w:color w:val="000000"/>
                <w:sz w:val="20"/>
                <w:szCs w:val="20"/>
                <w:lang w:val="en" w:eastAsia="en-IN"/>
              </w:rPr>
              <w:t>" OR "</w:t>
            </w:r>
            <w:proofErr w:type="spellStart"/>
            <w:r w:rsidRPr="0007308C">
              <w:rPr>
                <w:rFonts w:ascii="Times New Roman" w:eastAsia="Times New Roman" w:hAnsi="Times New Roman" w:cs="Times New Roman"/>
                <w:color w:val="000000"/>
                <w:sz w:val="20"/>
                <w:szCs w:val="20"/>
                <w:lang w:val="en" w:eastAsia="en-IN"/>
              </w:rPr>
              <w:t>Orsiro</w:t>
            </w:r>
            <w:proofErr w:type="spellEnd"/>
            <w:r w:rsidRPr="0007308C">
              <w:rPr>
                <w:rFonts w:ascii="Times New Roman" w:eastAsia="Times New Roman" w:hAnsi="Times New Roman" w:cs="Times New Roman"/>
                <w:color w:val="000000"/>
                <w:sz w:val="20"/>
                <w:szCs w:val="20"/>
                <w:lang w:val="en" w:eastAsia="en-IN"/>
              </w:rPr>
              <w:t>" OR "Biomatrix" OR "</w:t>
            </w:r>
            <w:proofErr w:type="spellStart"/>
            <w:r w:rsidRPr="0007308C">
              <w:rPr>
                <w:rFonts w:ascii="Times New Roman" w:eastAsia="Times New Roman" w:hAnsi="Times New Roman" w:cs="Times New Roman"/>
                <w:color w:val="000000"/>
                <w:sz w:val="20"/>
                <w:szCs w:val="20"/>
                <w:lang w:val="en" w:eastAsia="en-IN"/>
              </w:rPr>
              <w:t>Ultimaster</w:t>
            </w:r>
            <w:proofErr w:type="spellEnd"/>
            <w:r w:rsidRPr="0007308C">
              <w:rPr>
                <w:rFonts w:ascii="Times New Roman" w:eastAsia="Times New Roman" w:hAnsi="Times New Roman" w:cs="Times New Roman"/>
                <w:color w:val="000000"/>
                <w:sz w:val="20"/>
                <w:szCs w:val="20"/>
                <w:lang w:val="en" w:eastAsia="en-IN"/>
              </w:rPr>
              <w:t>") AND ("clinical outcomes" OR "stent thrombosis" OR "myocardial infarction" OR "target lesion failure")</w:t>
            </w:r>
          </w:p>
        </w:tc>
        <w:tc>
          <w:tcPr>
            <w:tcW w:w="902" w:type="pct"/>
            <w:tcBorders>
              <w:top w:val="nil"/>
              <w:left w:val="nil"/>
              <w:bottom w:val="single" w:sz="4" w:space="0" w:color="auto"/>
              <w:right w:val="single" w:sz="4" w:space="0" w:color="auto"/>
            </w:tcBorders>
            <w:vAlign w:val="center"/>
            <w:hideMark/>
          </w:tcPr>
          <w:p w14:paraId="53AE0B0C"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No language or date restrictions</w:t>
            </w:r>
          </w:p>
        </w:tc>
        <w:tc>
          <w:tcPr>
            <w:tcW w:w="1107" w:type="pct"/>
            <w:tcBorders>
              <w:top w:val="nil"/>
              <w:left w:val="nil"/>
              <w:bottom w:val="single" w:sz="4" w:space="0" w:color="auto"/>
              <w:right w:val="single" w:sz="4" w:space="0" w:color="auto"/>
            </w:tcBorders>
            <w:vAlign w:val="center"/>
            <w:hideMark/>
          </w:tcPr>
          <w:p w14:paraId="56EABDB3"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 xml:space="preserve">March </w:t>
            </w:r>
            <w:proofErr w:type="gramStart"/>
            <w:r w:rsidRPr="0007308C">
              <w:rPr>
                <w:rFonts w:ascii="Times New Roman" w:eastAsia="Times New Roman" w:hAnsi="Times New Roman" w:cs="Times New Roman"/>
                <w:color w:val="000000"/>
                <w:sz w:val="20"/>
                <w:szCs w:val="20"/>
                <w:lang w:val="en" w:eastAsia="en-IN"/>
              </w:rPr>
              <w:t>1 ,</w:t>
            </w:r>
            <w:proofErr w:type="gramEnd"/>
            <w:r w:rsidRPr="0007308C">
              <w:rPr>
                <w:rFonts w:ascii="Times New Roman" w:eastAsia="Times New Roman" w:hAnsi="Times New Roman" w:cs="Times New Roman"/>
                <w:color w:val="000000"/>
                <w:sz w:val="20"/>
                <w:szCs w:val="20"/>
                <w:lang w:val="en" w:eastAsia="en-IN"/>
              </w:rPr>
              <w:t xml:space="preserve"> 2026</w:t>
            </w:r>
          </w:p>
        </w:tc>
        <w:tc>
          <w:tcPr>
            <w:tcW w:w="902" w:type="pct"/>
            <w:tcBorders>
              <w:top w:val="nil"/>
              <w:left w:val="nil"/>
              <w:bottom w:val="single" w:sz="4" w:space="0" w:color="auto"/>
              <w:right w:val="single" w:sz="4" w:space="0" w:color="auto"/>
            </w:tcBorders>
            <w:vAlign w:val="center"/>
            <w:hideMark/>
          </w:tcPr>
          <w:p w14:paraId="067C5CEA" w14:textId="77777777" w:rsidR="0007308C" w:rsidRPr="0007308C" w:rsidRDefault="0007308C" w:rsidP="0007308C">
            <w:pPr>
              <w:spacing w:after="0" w:line="240" w:lineRule="auto"/>
              <w:jc w:val="right"/>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9681</w:t>
            </w:r>
          </w:p>
        </w:tc>
      </w:tr>
      <w:tr w:rsidR="0007308C" w:rsidRPr="0007308C" w14:paraId="3091E4B1" w14:textId="77777777" w:rsidTr="0007308C">
        <w:trPr>
          <w:trHeight w:val="1250"/>
          <w:jc w:val="center"/>
        </w:trPr>
        <w:tc>
          <w:tcPr>
            <w:tcW w:w="961" w:type="pct"/>
            <w:tcBorders>
              <w:top w:val="nil"/>
              <w:left w:val="single" w:sz="4" w:space="0" w:color="auto"/>
              <w:bottom w:val="single" w:sz="4" w:space="0" w:color="auto"/>
              <w:right w:val="single" w:sz="4" w:space="0" w:color="auto"/>
            </w:tcBorders>
            <w:vAlign w:val="center"/>
            <w:hideMark/>
          </w:tcPr>
          <w:p w14:paraId="1D55BFE7"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Scopus</w:t>
            </w:r>
          </w:p>
        </w:tc>
        <w:tc>
          <w:tcPr>
            <w:tcW w:w="1129" w:type="pct"/>
            <w:tcBorders>
              <w:top w:val="nil"/>
              <w:left w:val="nil"/>
              <w:bottom w:val="single" w:sz="4" w:space="0" w:color="auto"/>
              <w:right w:val="single" w:sz="4" w:space="0" w:color="auto"/>
            </w:tcBorders>
            <w:vAlign w:val="center"/>
            <w:hideMark/>
          </w:tcPr>
          <w:p w14:paraId="7DAFCC11"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TITLE-ABS-</w:t>
            </w:r>
            <w:proofErr w:type="gramStart"/>
            <w:r w:rsidRPr="0007308C">
              <w:rPr>
                <w:rFonts w:ascii="Times New Roman" w:eastAsia="Times New Roman" w:hAnsi="Times New Roman" w:cs="Times New Roman"/>
                <w:color w:val="000000"/>
                <w:sz w:val="20"/>
                <w:szCs w:val="20"/>
                <w:lang w:val="en" w:eastAsia="en-IN"/>
              </w:rPr>
              <w:t>KEY(</w:t>
            </w:r>
            <w:proofErr w:type="gramEnd"/>
            <w:r w:rsidRPr="0007308C">
              <w:rPr>
                <w:rFonts w:ascii="Times New Roman" w:eastAsia="Times New Roman" w:hAnsi="Times New Roman" w:cs="Times New Roman"/>
                <w:color w:val="000000"/>
                <w:sz w:val="20"/>
                <w:szCs w:val="20"/>
                <w:lang w:val="en" w:eastAsia="en-IN"/>
              </w:rPr>
              <w:t>"drug-eluting stent" OR "biodegradable scaffold" OR "DES" OR "</w:t>
            </w:r>
            <w:proofErr w:type="spellStart"/>
            <w:r w:rsidRPr="0007308C">
              <w:rPr>
                <w:rFonts w:ascii="Times New Roman" w:eastAsia="Times New Roman" w:hAnsi="Times New Roman" w:cs="Times New Roman"/>
                <w:color w:val="000000"/>
                <w:sz w:val="20"/>
                <w:szCs w:val="20"/>
                <w:lang w:val="en" w:eastAsia="en-IN"/>
              </w:rPr>
              <w:t>Magmaris</w:t>
            </w:r>
            <w:proofErr w:type="spellEnd"/>
            <w:r w:rsidRPr="0007308C">
              <w:rPr>
                <w:rFonts w:ascii="Times New Roman" w:eastAsia="Times New Roman" w:hAnsi="Times New Roman" w:cs="Times New Roman"/>
                <w:color w:val="000000"/>
                <w:sz w:val="20"/>
                <w:szCs w:val="20"/>
                <w:lang w:val="en" w:eastAsia="en-IN"/>
              </w:rPr>
              <w:t>" OR "</w:t>
            </w:r>
            <w:proofErr w:type="spellStart"/>
            <w:r w:rsidRPr="0007308C">
              <w:rPr>
                <w:rFonts w:ascii="Times New Roman" w:eastAsia="Times New Roman" w:hAnsi="Times New Roman" w:cs="Times New Roman"/>
                <w:color w:val="000000"/>
                <w:sz w:val="20"/>
                <w:szCs w:val="20"/>
                <w:lang w:val="en" w:eastAsia="en-IN"/>
              </w:rPr>
              <w:t>Orsiro</w:t>
            </w:r>
            <w:proofErr w:type="spellEnd"/>
            <w:r w:rsidRPr="0007308C">
              <w:rPr>
                <w:rFonts w:ascii="Times New Roman" w:eastAsia="Times New Roman" w:hAnsi="Times New Roman" w:cs="Times New Roman"/>
                <w:color w:val="000000"/>
                <w:sz w:val="20"/>
                <w:szCs w:val="20"/>
                <w:lang w:val="en" w:eastAsia="en-IN"/>
              </w:rPr>
              <w:t>" OR "Biomatrix" OR "</w:t>
            </w:r>
            <w:proofErr w:type="spellStart"/>
            <w:r w:rsidRPr="0007308C">
              <w:rPr>
                <w:rFonts w:ascii="Times New Roman" w:eastAsia="Times New Roman" w:hAnsi="Times New Roman" w:cs="Times New Roman"/>
                <w:color w:val="000000"/>
                <w:sz w:val="20"/>
                <w:szCs w:val="20"/>
                <w:lang w:val="en" w:eastAsia="en-IN"/>
              </w:rPr>
              <w:t>Ultimaster</w:t>
            </w:r>
            <w:proofErr w:type="spellEnd"/>
            <w:r w:rsidRPr="0007308C">
              <w:rPr>
                <w:rFonts w:ascii="Times New Roman" w:eastAsia="Times New Roman" w:hAnsi="Times New Roman" w:cs="Times New Roman"/>
                <w:color w:val="000000"/>
                <w:sz w:val="20"/>
                <w:szCs w:val="20"/>
                <w:lang w:val="en" w:eastAsia="en-IN"/>
              </w:rPr>
              <w:t>") AND TITLE-ABS-</w:t>
            </w:r>
            <w:proofErr w:type="gramStart"/>
            <w:r w:rsidRPr="0007308C">
              <w:rPr>
                <w:rFonts w:ascii="Times New Roman" w:eastAsia="Times New Roman" w:hAnsi="Times New Roman" w:cs="Times New Roman"/>
                <w:color w:val="000000"/>
                <w:sz w:val="20"/>
                <w:szCs w:val="20"/>
                <w:lang w:val="en" w:eastAsia="en-IN"/>
              </w:rPr>
              <w:lastRenderedPageBreak/>
              <w:t>KEY(</w:t>
            </w:r>
            <w:proofErr w:type="gramEnd"/>
            <w:r w:rsidRPr="0007308C">
              <w:rPr>
                <w:rFonts w:ascii="Times New Roman" w:eastAsia="Times New Roman" w:hAnsi="Times New Roman" w:cs="Times New Roman"/>
                <w:color w:val="000000"/>
                <w:sz w:val="20"/>
                <w:szCs w:val="20"/>
                <w:lang w:val="en" w:eastAsia="en-IN"/>
              </w:rPr>
              <w:t>"clinical outcomes" OR "stent thrombosis" OR "myocardial infarction" OR "target lesion failure")</w:t>
            </w:r>
          </w:p>
        </w:tc>
        <w:tc>
          <w:tcPr>
            <w:tcW w:w="902" w:type="pct"/>
            <w:tcBorders>
              <w:top w:val="nil"/>
              <w:left w:val="nil"/>
              <w:bottom w:val="single" w:sz="4" w:space="0" w:color="auto"/>
              <w:right w:val="single" w:sz="4" w:space="0" w:color="auto"/>
            </w:tcBorders>
            <w:vAlign w:val="center"/>
            <w:hideMark/>
          </w:tcPr>
          <w:p w14:paraId="5C34AF7F"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lastRenderedPageBreak/>
              <w:t>No limits</w:t>
            </w:r>
          </w:p>
        </w:tc>
        <w:tc>
          <w:tcPr>
            <w:tcW w:w="1107" w:type="pct"/>
            <w:tcBorders>
              <w:top w:val="nil"/>
              <w:left w:val="nil"/>
              <w:bottom w:val="single" w:sz="4" w:space="0" w:color="auto"/>
              <w:right w:val="single" w:sz="4" w:space="0" w:color="auto"/>
            </w:tcBorders>
            <w:vAlign w:val="center"/>
            <w:hideMark/>
          </w:tcPr>
          <w:p w14:paraId="6C3D76C6"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 xml:space="preserve">March </w:t>
            </w:r>
            <w:proofErr w:type="gramStart"/>
            <w:r w:rsidRPr="0007308C">
              <w:rPr>
                <w:rFonts w:ascii="Times New Roman" w:eastAsia="Times New Roman" w:hAnsi="Times New Roman" w:cs="Times New Roman"/>
                <w:color w:val="000000"/>
                <w:sz w:val="20"/>
                <w:szCs w:val="20"/>
                <w:lang w:val="en" w:eastAsia="en-IN"/>
              </w:rPr>
              <w:t>1 ,</w:t>
            </w:r>
            <w:proofErr w:type="gramEnd"/>
            <w:r w:rsidRPr="0007308C">
              <w:rPr>
                <w:rFonts w:ascii="Times New Roman" w:eastAsia="Times New Roman" w:hAnsi="Times New Roman" w:cs="Times New Roman"/>
                <w:color w:val="000000"/>
                <w:sz w:val="20"/>
                <w:szCs w:val="20"/>
                <w:lang w:val="en" w:eastAsia="en-IN"/>
              </w:rPr>
              <w:t xml:space="preserve"> 2026</w:t>
            </w:r>
          </w:p>
        </w:tc>
        <w:tc>
          <w:tcPr>
            <w:tcW w:w="902" w:type="pct"/>
            <w:tcBorders>
              <w:top w:val="nil"/>
              <w:left w:val="nil"/>
              <w:bottom w:val="single" w:sz="4" w:space="0" w:color="auto"/>
              <w:right w:val="single" w:sz="4" w:space="0" w:color="auto"/>
            </w:tcBorders>
            <w:vAlign w:val="center"/>
            <w:hideMark/>
          </w:tcPr>
          <w:p w14:paraId="0D026964" w14:textId="77777777" w:rsidR="0007308C" w:rsidRPr="0007308C" w:rsidRDefault="0007308C" w:rsidP="0007308C">
            <w:pPr>
              <w:spacing w:after="0" w:line="240" w:lineRule="auto"/>
              <w:jc w:val="right"/>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5758</w:t>
            </w:r>
          </w:p>
        </w:tc>
      </w:tr>
      <w:tr w:rsidR="0007308C" w:rsidRPr="0007308C" w14:paraId="0B2D5F7F" w14:textId="77777777" w:rsidTr="0007308C">
        <w:trPr>
          <w:trHeight w:val="1180"/>
          <w:jc w:val="center"/>
        </w:trPr>
        <w:tc>
          <w:tcPr>
            <w:tcW w:w="961" w:type="pct"/>
            <w:tcBorders>
              <w:top w:val="nil"/>
              <w:left w:val="single" w:sz="4" w:space="0" w:color="auto"/>
              <w:bottom w:val="single" w:sz="4" w:space="0" w:color="auto"/>
              <w:right w:val="single" w:sz="4" w:space="0" w:color="auto"/>
            </w:tcBorders>
            <w:vAlign w:val="center"/>
            <w:hideMark/>
          </w:tcPr>
          <w:p w14:paraId="67FF1917"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ScienceDirect</w:t>
            </w:r>
          </w:p>
        </w:tc>
        <w:tc>
          <w:tcPr>
            <w:tcW w:w="1129" w:type="pct"/>
            <w:tcBorders>
              <w:top w:val="nil"/>
              <w:left w:val="nil"/>
              <w:bottom w:val="single" w:sz="4" w:space="0" w:color="auto"/>
              <w:right w:val="single" w:sz="4" w:space="0" w:color="auto"/>
            </w:tcBorders>
            <w:vAlign w:val="center"/>
            <w:hideMark/>
          </w:tcPr>
          <w:p w14:paraId="40726970"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("drug-eluting stent" OR "biodegradable scaffold" OR "DES" OR "</w:t>
            </w:r>
            <w:proofErr w:type="spellStart"/>
            <w:r w:rsidRPr="0007308C">
              <w:rPr>
                <w:rFonts w:ascii="Times New Roman" w:eastAsia="Times New Roman" w:hAnsi="Times New Roman" w:cs="Times New Roman"/>
                <w:color w:val="000000"/>
                <w:sz w:val="20"/>
                <w:szCs w:val="20"/>
                <w:lang w:val="en" w:eastAsia="en-IN"/>
              </w:rPr>
              <w:t>Magmaris</w:t>
            </w:r>
            <w:proofErr w:type="spellEnd"/>
            <w:r w:rsidRPr="0007308C">
              <w:rPr>
                <w:rFonts w:ascii="Times New Roman" w:eastAsia="Times New Roman" w:hAnsi="Times New Roman" w:cs="Times New Roman"/>
                <w:color w:val="000000"/>
                <w:sz w:val="20"/>
                <w:szCs w:val="20"/>
                <w:lang w:val="en" w:eastAsia="en-IN"/>
              </w:rPr>
              <w:t>" OR "</w:t>
            </w:r>
            <w:proofErr w:type="spellStart"/>
            <w:r w:rsidRPr="0007308C">
              <w:rPr>
                <w:rFonts w:ascii="Times New Roman" w:eastAsia="Times New Roman" w:hAnsi="Times New Roman" w:cs="Times New Roman"/>
                <w:color w:val="000000"/>
                <w:sz w:val="20"/>
                <w:szCs w:val="20"/>
                <w:lang w:val="en" w:eastAsia="en-IN"/>
              </w:rPr>
              <w:t>Orsiro</w:t>
            </w:r>
            <w:proofErr w:type="spellEnd"/>
            <w:r w:rsidRPr="0007308C">
              <w:rPr>
                <w:rFonts w:ascii="Times New Roman" w:eastAsia="Times New Roman" w:hAnsi="Times New Roman" w:cs="Times New Roman"/>
                <w:color w:val="000000"/>
                <w:sz w:val="20"/>
                <w:szCs w:val="20"/>
                <w:lang w:val="en" w:eastAsia="en-IN"/>
              </w:rPr>
              <w:t>" OR "Biomatrix" OR "</w:t>
            </w:r>
            <w:proofErr w:type="spellStart"/>
            <w:r w:rsidRPr="0007308C">
              <w:rPr>
                <w:rFonts w:ascii="Times New Roman" w:eastAsia="Times New Roman" w:hAnsi="Times New Roman" w:cs="Times New Roman"/>
                <w:color w:val="000000"/>
                <w:sz w:val="20"/>
                <w:szCs w:val="20"/>
                <w:lang w:val="en" w:eastAsia="en-IN"/>
              </w:rPr>
              <w:t>Ultimaster</w:t>
            </w:r>
            <w:proofErr w:type="spellEnd"/>
            <w:r w:rsidRPr="0007308C">
              <w:rPr>
                <w:rFonts w:ascii="Times New Roman" w:eastAsia="Times New Roman" w:hAnsi="Times New Roman" w:cs="Times New Roman"/>
                <w:color w:val="000000"/>
                <w:sz w:val="20"/>
                <w:szCs w:val="20"/>
                <w:lang w:val="en" w:eastAsia="en-IN"/>
              </w:rPr>
              <w:t>") AND ("clinical outcomes" OR "stent thrombosis" OR "myocardial infarction" OR "target lesion failure")</w:t>
            </w:r>
          </w:p>
        </w:tc>
        <w:tc>
          <w:tcPr>
            <w:tcW w:w="902" w:type="pct"/>
            <w:tcBorders>
              <w:top w:val="nil"/>
              <w:left w:val="nil"/>
              <w:bottom w:val="single" w:sz="4" w:space="0" w:color="auto"/>
              <w:right w:val="single" w:sz="4" w:space="0" w:color="auto"/>
            </w:tcBorders>
            <w:vAlign w:val="center"/>
            <w:hideMark/>
          </w:tcPr>
          <w:p w14:paraId="0043BE9D"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No limits</w:t>
            </w:r>
          </w:p>
        </w:tc>
        <w:tc>
          <w:tcPr>
            <w:tcW w:w="1107" w:type="pct"/>
            <w:tcBorders>
              <w:top w:val="nil"/>
              <w:left w:val="nil"/>
              <w:bottom w:val="single" w:sz="4" w:space="0" w:color="auto"/>
              <w:right w:val="single" w:sz="4" w:space="0" w:color="auto"/>
            </w:tcBorders>
            <w:vAlign w:val="center"/>
            <w:hideMark/>
          </w:tcPr>
          <w:p w14:paraId="41F4471B" w14:textId="77777777" w:rsidR="0007308C" w:rsidRPr="0007308C" w:rsidRDefault="0007308C" w:rsidP="0007308C">
            <w:pPr>
              <w:spacing w:after="0" w:line="240" w:lineRule="auto"/>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 xml:space="preserve">March </w:t>
            </w:r>
            <w:proofErr w:type="gramStart"/>
            <w:r w:rsidRPr="0007308C">
              <w:rPr>
                <w:rFonts w:ascii="Times New Roman" w:eastAsia="Times New Roman" w:hAnsi="Times New Roman" w:cs="Times New Roman"/>
                <w:color w:val="000000"/>
                <w:sz w:val="20"/>
                <w:szCs w:val="20"/>
                <w:lang w:val="en" w:eastAsia="en-IN"/>
              </w:rPr>
              <w:t>1 ,</w:t>
            </w:r>
            <w:proofErr w:type="gramEnd"/>
            <w:r w:rsidRPr="0007308C">
              <w:rPr>
                <w:rFonts w:ascii="Times New Roman" w:eastAsia="Times New Roman" w:hAnsi="Times New Roman" w:cs="Times New Roman"/>
                <w:color w:val="000000"/>
                <w:sz w:val="20"/>
                <w:szCs w:val="20"/>
                <w:lang w:val="en" w:eastAsia="en-IN"/>
              </w:rPr>
              <w:t xml:space="preserve"> 2026</w:t>
            </w:r>
          </w:p>
        </w:tc>
        <w:tc>
          <w:tcPr>
            <w:tcW w:w="902" w:type="pct"/>
            <w:tcBorders>
              <w:top w:val="nil"/>
              <w:left w:val="nil"/>
              <w:bottom w:val="single" w:sz="4" w:space="0" w:color="auto"/>
              <w:right w:val="single" w:sz="4" w:space="0" w:color="auto"/>
            </w:tcBorders>
            <w:vAlign w:val="center"/>
            <w:hideMark/>
          </w:tcPr>
          <w:p w14:paraId="5358A7E2" w14:textId="77777777" w:rsidR="0007308C" w:rsidRPr="0007308C" w:rsidRDefault="0007308C" w:rsidP="0007308C">
            <w:pPr>
              <w:spacing w:after="0" w:line="240" w:lineRule="auto"/>
              <w:jc w:val="right"/>
              <w:rPr>
                <w:rFonts w:ascii="Times New Roman" w:eastAsia="Times New Roman" w:hAnsi="Times New Roman" w:cs="Times New Roman"/>
                <w:color w:val="000000"/>
                <w:sz w:val="20"/>
                <w:szCs w:val="20"/>
                <w:lang w:val="en-IN" w:eastAsia="en-IN"/>
              </w:rPr>
            </w:pPr>
            <w:r w:rsidRPr="0007308C">
              <w:rPr>
                <w:rFonts w:ascii="Times New Roman" w:eastAsia="Times New Roman" w:hAnsi="Times New Roman" w:cs="Times New Roman"/>
                <w:color w:val="000000"/>
                <w:sz w:val="20"/>
                <w:szCs w:val="20"/>
                <w:lang w:val="en" w:eastAsia="en-IN"/>
              </w:rPr>
              <w:t>6583</w:t>
            </w:r>
          </w:p>
        </w:tc>
      </w:tr>
    </w:tbl>
    <w:p w14:paraId="51792539" w14:textId="77777777" w:rsidR="008E2AD7" w:rsidRDefault="008E2AD7" w:rsidP="00BF43DF">
      <w:pPr>
        <w:widowControl w:val="0"/>
        <w:adjustRightInd w:val="0"/>
        <w:spacing w:after="0" w:line="360" w:lineRule="auto"/>
        <w:jc w:val="both"/>
        <w:rPr>
          <w:rFonts w:ascii="Times New Roman" w:hAnsi="Times New Roman" w:cs="Times New Roman"/>
          <w:sz w:val="20"/>
          <w:szCs w:val="20"/>
        </w:rPr>
      </w:pPr>
    </w:p>
    <w:p w14:paraId="43E2E755" w14:textId="025D6CE9" w:rsidR="00EA7FC6" w:rsidRDefault="00F83818" w:rsidP="00BF43DF">
      <w:pPr>
        <w:widowControl w:val="0"/>
        <w:adjustRightInd w:val="0"/>
        <w:spacing w:after="0" w:line="360" w:lineRule="auto"/>
        <w:jc w:val="both"/>
        <w:rPr>
          <w:rFonts w:ascii="Times New Roman" w:hAnsi="Times New Roman" w:cs="Times New Roman"/>
          <w:sz w:val="20"/>
          <w:szCs w:val="20"/>
        </w:rPr>
      </w:pPr>
      <w:r w:rsidRPr="00F83818">
        <w:rPr>
          <w:rFonts w:ascii="Times New Roman" w:hAnsi="Times New Roman" w:cs="Times New Roman"/>
          <w:b/>
          <w:bCs/>
          <w:color w:val="0070C0"/>
          <w:sz w:val="20"/>
          <w:szCs w:val="20"/>
        </w:rPr>
        <w:t>Table 5</w:t>
      </w:r>
      <w:r>
        <w:rPr>
          <w:rFonts w:ascii="Times New Roman" w:hAnsi="Times New Roman" w:cs="Times New Roman"/>
          <w:sz w:val="20"/>
          <w:szCs w:val="20"/>
        </w:rPr>
        <w:t>:</w:t>
      </w:r>
      <w:r w:rsidRPr="00F83818">
        <w:rPr>
          <w:rFonts w:ascii="Times New Roman" w:hAnsi="Times New Roman" w:cs="Times New Roman"/>
          <w:sz w:val="20"/>
          <w:szCs w:val="20"/>
        </w:rPr>
        <w:t xml:space="preserve"> Search </w:t>
      </w:r>
      <w:proofErr w:type="spellStart"/>
      <w:r w:rsidRPr="00F83818">
        <w:rPr>
          <w:rFonts w:ascii="Times New Roman" w:hAnsi="Times New Roman" w:cs="Times New Roman"/>
          <w:sz w:val="20"/>
          <w:szCs w:val="20"/>
        </w:rPr>
        <w:t>strateg</w:t>
      </w:r>
      <w:proofErr w:type="spellEnd"/>
      <w:r>
        <w:rPr>
          <w:rFonts w:ascii="Times New Roman" w:hAnsi="Times New Roman" w:cs="Times New Roman"/>
          <w:sz w:val="20"/>
          <w:szCs w:val="20"/>
        </w:rPr>
        <w:t>.</w:t>
      </w:r>
    </w:p>
    <w:p w14:paraId="12F61DE3" w14:textId="77777777" w:rsidR="00401BC4" w:rsidRPr="0072321E" w:rsidRDefault="00401BC4" w:rsidP="00BF43DF">
      <w:pPr>
        <w:widowControl w:val="0"/>
        <w:adjustRightInd w:val="0"/>
        <w:spacing w:after="0" w:line="360" w:lineRule="auto"/>
        <w:jc w:val="both"/>
        <w:rPr>
          <w:rFonts w:ascii="Times New Roman" w:hAnsi="Times New Roman" w:cs="Times New Roman"/>
          <w:sz w:val="20"/>
          <w:szCs w:val="20"/>
        </w:rPr>
      </w:pPr>
    </w:p>
    <w:p w14:paraId="7044441E" w14:textId="0F0D608B" w:rsidR="00BF43DF" w:rsidRPr="00401BC4" w:rsidRDefault="00BF43DF" w:rsidP="00BF43DF">
      <w:pPr>
        <w:widowControl w:val="0"/>
        <w:adjustRightInd w:val="0"/>
        <w:spacing w:after="0" w:line="360" w:lineRule="auto"/>
        <w:jc w:val="both"/>
        <w:rPr>
          <w:rFonts w:ascii="Times New Roman" w:hAnsi="Times New Roman" w:cs="Times New Roman"/>
          <w:b/>
          <w:bCs/>
          <w:sz w:val="20"/>
          <w:szCs w:val="20"/>
        </w:rPr>
      </w:pPr>
      <w:r w:rsidRPr="00401BC4">
        <w:rPr>
          <w:rFonts w:ascii="Times New Roman" w:hAnsi="Times New Roman" w:cs="Times New Roman"/>
          <w:b/>
          <w:bCs/>
          <w:sz w:val="20"/>
          <w:szCs w:val="20"/>
        </w:rPr>
        <w:t>Study Selection Criteria</w:t>
      </w:r>
    </w:p>
    <w:p w14:paraId="05F62AA3" w14:textId="77777777"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Eligibility was </w:t>
      </w:r>
      <w:proofErr w:type="gramStart"/>
      <w:r w:rsidRPr="0072321E">
        <w:rPr>
          <w:rFonts w:ascii="Times New Roman" w:hAnsi="Times New Roman" w:cs="Times New Roman"/>
          <w:sz w:val="20"/>
          <w:szCs w:val="20"/>
        </w:rPr>
        <w:t>defined</w:t>
      </w:r>
      <w:proofErr w:type="gramEnd"/>
      <w:r w:rsidRPr="0072321E">
        <w:rPr>
          <w:rFonts w:ascii="Times New Roman" w:hAnsi="Times New Roman" w:cs="Times New Roman"/>
          <w:sz w:val="20"/>
          <w:szCs w:val="20"/>
        </w:rPr>
        <w:t xml:space="preserve"> using the PICOS scheme. Trials were required to enroll adults (≥18 years) with angiographically confirmed de novo coronary lesions receiving PCI due to either acute coronary syndromes (STEMI, NSTEMI, unstable angina) or stable coronary artery disease. Eligible devices included: (1) </w:t>
      </w:r>
      <w:proofErr w:type="spellStart"/>
      <w:r w:rsidRPr="0072321E">
        <w:rPr>
          <w:rFonts w:ascii="Times New Roman" w:hAnsi="Times New Roman" w:cs="Times New Roman"/>
          <w:sz w:val="20"/>
          <w:szCs w:val="20"/>
        </w:rPr>
        <w:t>Magmaris</w:t>
      </w:r>
      <w:proofErr w:type="spellEnd"/>
      <w:r w:rsidRPr="0072321E">
        <w:rPr>
          <w:rFonts w:ascii="Times New Roman" w:hAnsi="Times New Roman" w:cs="Times New Roman"/>
          <w:sz w:val="20"/>
          <w:szCs w:val="20"/>
        </w:rPr>
        <w:t xml:space="preserve"> bioresorbable magnesium scaffold (sirolimus-eluting), (2) </w:t>
      </w:r>
      <w:proofErr w:type="spellStart"/>
      <w:r w:rsidRPr="0072321E">
        <w:rPr>
          <w:rFonts w:ascii="Times New Roman" w:hAnsi="Times New Roman" w:cs="Times New Roman"/>
          <w:sz w:val="20"/>
          <w:szCs w:val="20"/>
        </w:rPr>
        <w:t>Orsiro</w:t>
      </w:r>
      <w:proofErr w:type="spellEnd"/>
      <w:r w:rsidRPr="0072321E">
        <w:rPr>
          <w:rFonts w:ascii="Times New Roman" w:hAnsi="Times New Roman" w:cs="Times New Roman"/>
          <w:sz w:val="20"/>
          <w:szCs w:val="20"/>
        </w:rPr>
        <w:t xml:space="preserve"> ultrathin-strut metallic sirolimus-eluting stent, (3) </w:t>
      </w:r>
      <w:proofErr w:type="spellStart"/>
      <w:r w:rsidRPr="0072321E">
        <w:rPr>
          <w:rFonts w:ascii="Times New Roman" w:hAnsi="Times New Roman" w:cs="Times New Roman"/>
          <w:sz w:val="20"/>
          <w:szCs w:val="20"/>
        </w:rPr>
        <w:t>Ultimaster</w:t>
      </w:r>
      <w:proofErr w:type="spellEnd"/>
      <w:r w:rsidRPr="0072321E">
        <w:rPr>
          <w:rFonts w:ascii="Times New Roman" w:hAnsi="Times New Roman" w:cs="Times New Roman"/>
          <w:sz w:val="20"/>
          <w:szCs w:val="20"/>
        </w:rPr>
        <w:t xml:space="preserve"> thin-strut metallic sirolimus-eluting stent, and (4) Biomatrix stent. At least one adjudicated clinical endpoint had to be reported at ≥6 months (preferably ≥12 months): target-lesion failure (TLF), all-cause mortality, cardiac death, myocardial infarction (MI), target-vessel MI, </w:t>
      </w:r>
      <w:proofErr w:type="spellStart"/>
      <w:r w:rsidRPr="0072321E">
        <w:rPr>
          <w:rFonts w:ascii="Times New Roman" w:hAnsi="Times New Roman" w:cs="Times New Roman"/>
          <w:sz w:val="20"/>
          <w:szCs w:val="20"/>
        </w:rPr>
        <w:t>ischaemia</w:t>
      </w:r>
      <w:proofErr w:type="spellEnd"/>
      <w:r w:rsidRPr="0072321E">
        <w:rPr>
          <w:rFonts w:ascii="Times New Roman" w:hAnsi="Times New Roman" w:cs="Times New Roman"/>
          <w:sz w:val="20"/>
          <w:szCs w:val="20"/>
        </w:rPr>
        <w:t xml:space="preserve">-driven target-lesion </w:t>
      </w:r>
      <w:proofErr w:type="spellStart"/>
      <w:r w:rsidRPr="0072321E">
        <w:rPr>
          <w:rFonts w:ascii="Times New Roman" w:hAnsi="Times New Roman" w:cs="Times New Roman"/>
          <w:sz w:val="20"/>
          <w:szCs w:val="20"/>
        </w:rPr>
        <w:t>revascularisation</w:t>
      </w:r>
      <w:proofErr w:type="spellEnd"/>
      <w:r w:rsidRPr="0072321E">
        <w:rPr>
          <w:rFonts w:ascii="Times New Roman" w:hAnsi="Times New Roman" w:cs="Times New Roman"/>
          <w:sz w:val="20"/>
          <w:szCs w:val="20"/>
        </w:rPr>
        <w:t xml:space="preserve"> (ID-TLR), or definite/probable stent/scaffold thrombosis (ARC-2 definitions). Prospective single-arm observational studies, registries, cohorts, and single arms of </w:t>
      </w:r>
      <w:proofErr w:type="spellStart"/>
      <w:r w:rsidRPr="0072321E">
        <w:rPr>
          <w:rFonts w:ascii="Times New Roman" w:hAnsi="Times New Roman" w:cs="Times New Roman"/>
          <w:sz w:val="20"/>
          <w:szCs w:val="20"/>
        </w:rPr>
        <w:t>randomised</w:t>
      </w:r>
      <w:proofErr w:type="spellEnd"/>
      <w:r w:rsidRPr="0072321E">
        <w:rPr>
          <w:rFonts w:ascii="Times New Roman" w:hAnsi="Times New Roman" w:cs="Times New Roman"/>
          <w:sz w:val="20"/>
          <w:szCs w:val="20"/>
        </w:rPr>
        <w:t xml:space="preserve"> controlled trials were eligible. Exclusions included case reports, case series (&lt;10 patients), retrospective chart reviews lacking prospective outcome collection, reviews, editorials, animal studies, and studies where device-specific data could not be disaggregated.</w:t>
      </w:r>
    </w:p>
    <w:p w14:paraId="2335B805" w14:textId="77777777" w:rsidR="00401BC4" w:rsidRPr="0072321E" w:rsidRDefault="00401BC4" w:rsidP="00BF43DF">
      <w:pPr>
        <w:widowControl w:val="0"/>
        <w:adjustRightInd w:val="0"/>
        <w:spacing w:after="0" w:line="360" w:lineRule="auto"/>
        <w:jc w:val="both"/>
        <w:rPr>
          <w:rFonts w:ascii="Times New Roman" w:hAnsi="Times New Roman" w:cs="Times New Roman"/>
          <w:sz w:val="20"/>
          <w:szCs w:val="20"/>
        </w:rPr>
      </w:pPr>
    </w:p>
    <w:p w14:paraId="4FCE6CE1" w14:textId="0F3D6CFF" w:rsidR="00BF43DF" w:rsidRPr="00401BC4" w:rsidRDefault="00BF43DF" w:rsidP="00BF43DF">
      <w:pPr>
        <w:widowControl w:val="0"/>
        <w:adjustRightInd w:val="0"/>
        <w:spacing w:after="0" w:line="360" w:lineRule="auto"/>
        <w:jc w:val="both"/>
        <w:rPr>
          <w:rFonts w:ascii="Times New Roman" w:hAnsi="Times New Roman" w:cs="Times New Roman"/>
          <w:b/>
          <w:bCs/>
          <w:sz w:val="20"/>
          <w:szCs w:val="20"/>
        </w:rPr>
      </w:pPr>
      <w:r w:rsidRPr="00401BC4">
        <w:rPr>
          <w:rFonts w:ascii="Times New Roman" w:hAnsi="Times New Roman" w:cs="Times New Roman"/>
          <w:b/>
          <w:bCs/>
          <w:sz w:val="20"/>
          <w:szCs w:val="20"/>
        </w:rPr>
        <w:t>Screening and Data Extraction</w:t>
      </w:r>
    </w:p>
    <w:p w14:paraId="3D33E063" w14:textId="77777777"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All studies retrieved from the literature search were imported to EndNote X9 (Clarivate Analytics) for duplicate removal and screening. Title, abstract, and full-text screening were completed separately by two reviewers; disagreement was settled by a third senior reviewer (Cohen’s κ = 0.82). Study features, patient demographics, procedure parameters, and endpoint data were documented at 6-, 12-, 24-, and 36-month time-points using a piloted, </w:t>
      </w:r>
      <w:proofErr w:type="spellStart"/>
      <w:r w:rsidRPr="0072321E">
        <w:rPr>
          <w:rFonts w:ascii="Times New Roman" w:hAnsi="Times New Roman" w:cs="Times New Roman"/>
          <w:sz w:val="20"/>
          <w:szCs w:val="20"/>
        </w:rPr>
        <w:t>standardised</w:t>
      </w:r>
      <w:proofErr w:type="spellEnd"/>
      <w:r w:rsidRPr="0072321E">
        <w:rPr>
          <w:rFonts w:ascii="Times New Roman" w:hAnsi="Times New Roman" w:cs="Times New Roman"/>
          <w:sz w:val="20"/>
          <w:szCs w:val="20"/>
        </w:rPr>
        <w:t xml:space="preserve"> Excel form. Data </w:t>
      </w:r>
      <w:proofErr w:type="gramStart"/>
      <w:r w:rsidRPr="0072321E">
        <w:rPr>
          <w:rFonts w:ascii="Times New Roman" w:hAnsi="Times New Roman" w:cs="Times New Roman"/>
          <w:sz w:val="20"/>
          <w:szCs w:val="20"/>
        </w:rPr>
        <w:t>were</w:t>
      </w:r>
      <w:proofErr w:type="gramEnd"/>
      <w:r w:rsidRPr="0072321E">
        <w:rPr>
          <w:rFonts w:ascii="Times New Roman" w:hAnsi="Times New Roman" w:cs="Times New Roman"/>
          <w:sz w:val="20"/>
          <w:szCs w:val="20"/>
        </w:rPr>
        <w:t xml:space="preserve"> extracted in duplicate; inconsistencies were reconciled by consensus. When only graphical data were provided, </w:t>
      </w:r>
      <w:proofErr w:type="spellStart"/>
      <w:r w:rsidRPr="0072321E">
        <w:rPr>
          <w:rFonts w:ascii="Times New Roman" w:hAnsi="Times New Roman" w:cs="Times New Roman"/>
          <w:sz w:val="20"/>
          <w:szCs w:val="20"/>
        </w:rPr>
        <w:t>PlotDigitizer</w:t>
      </w:r>
      <w:proofErr w:type="spellEnd"/>
      <w:r w:rsidRPr="0072321E">
        <w:rPr>
          <w:rFonts w:ascii="Times New Roman" w:hAnsi="Times New Roman" w:cs="Times New Roman"/>
          <w:sz w:val="20"/>
          <w:szCs w:val="20"/>
        </w:rPr>
        <w:t xml:space="preserve"> (v2.6.8) was used. Study authors were contacted twice for missing or unclear data; non-responders within four weeks were excluded from pooled analyses for the relevant outcome.</w:t>
      </w:r>
    </w:p>
    <w:p w14:paraId="05C17A86" w14:textId="77777777" w:rsidR="00401BC4" w:rsidRPr="0072321E" w:rsidRDefault="00401BC4" w:rsidP="00BF43DF">
      <w:pPr>
        <w:widowControl w:val="0"/>
        <w:adjustRightInd w:val="0"/>
        <w:spacing w:after="0" w:line="360" w:lineRule="auto"/>
        <w:jc w:val="both"/>
        <w:rPr>
          <w:rFonts w:ascii="Times New Roman" w:hAnsi="Times New Roman" w:cs="Times New Roman"/>
          <w:sz w:val="20"/>
          <w:szCs w:val="20"/>
        </w:rPr>
      </w:pPr>
    </w:p>
    <w:p w14:paraId="0A33F7FB" w14:textId="428B2477" w:rsidR="00BF43DF" w:rsidRPr="00401BC4" w:rsidRDefault="00BF43DF" w:rsidP="00BF43DF">
      <w:pPr>
        <w:widowControl w:val="0"/>
        <w:adjustRightInd w:val="0"/>
        <w:spacing w:after="0" w:line="360" w:lineRule="auto"/>
        <w:jc w:val="both"/>
        <w:rPr>
          <w:rFonts w:ascii="Times New Roman" w:hAnsi="Times New Roman" w:cs="Times New Roman"/>
          <w:b/>
          <w:bCs/>
          <w:sz w:val="20"/>
          <w:szCs w:val="20"/>
        </w:rPr>
      </w:pPr>
      <w:r w:rsidRPr="00401BC4">
        <w:rPr>
          <w:rFonts w:ascii="Times New Roman" w:hAnsi="Times New Roman" w:cs="Times New Roman"/>
          <w:b/>
          <w:bCs/>
          <w:sz w:val="20"/>
          <w:szCs w:val="20"/>
        </w:rPr>
        <w:lastRenderedPageBreak/>
        <w:t>Risk of Bias Assessment</w:t>
      </w:r>
    </w:p>
    <w:p w14:paraId="06BD0CA3"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Risk of bias for included studies was assessed using validated tools according to study design. Cohort studies were evaluated using the Newcastle–Ottawa Scale (NOS), which examines three domains: selection of study groups (S1–S4), comparability (C1–C2), and outcome assessment (O1–O3) (7). A maximum score of nine stars indicates the highest methodological quality. Randomized controlled trials (RCTs) were assessed using the Cochrane Risk of Bias 2 (</w:t>
      </w:r>
      <w:proofErr w:type="spellStart"/>
      <w:r w:rsidRPr="0072321E">
        <w:rPr>
          <w:rFonts w:ascii="Times New Roman" w:hAnsi="Times New Roman" w:cs="Times New Roman"/>
          <w:sz w:val="20"/>
          <w:szCs w:val="20"/>
        </w:rPr>
        <w:t>RoB</w:t>
      </w:r>
      <w:proofErr w:type="spellEnd"/>
      <w:r w:rsidRPr="0072321E">
        <w:rPr>
          <w:rFonts w:ascii="Times New Roman" w:hAnsi="Times New Roman" w:cs="Times New Roman"/>
          <w:sz w:val="20"/>
          <w:szCs w:val="20"/>
        </w:rPr>
        <w:t xml:space="preserve"> 2) tool, which evaluates bias across five domains: randomization process, deviations from intended interventions, missing outcome data, outcome measurement, and selective reporting. Each domain was rated as “low risk,” “some concerns,” or “high risk,” and an overall risk of bias judgment was assigned accordingly.</w:t>
      </w:r>
    </w:p>
    <w:p w14:paraId="1D9A8263"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 </w:t>
      </w:r>
    </w:p>
    <w:p w14:paraId="4B88DA25" w14:textId="6A86155C" w:rsidR="00BF43DF" w:rsidRPr="00401BC4" w:rsidRDefault="00BF43DF" w:rsidP="00BF43DF">
      <w:pPr>
        <w:widowControl w:val="0"/>
        <w:adjustRightInd w:val="0"/>
        <w:spacing w:after="0" w:line="360" w:lineRule="auto"/>
        <w:jc w:val="both"/>
        <w:rPr>
          <w:rFonts w:ascii="Times New Roman" w:hAnsi="Times New Roman" w:cs="Times New Roman"/>
          <w:b/>
          <w:bCs/>
          <w:sz w:val="20"/>
          <w:szCs w:val="20"/>
        </w:rPr>
      </w:pPr>
      <w:r w:rsidRPr="00401BC4">
        <w:rPr>
          <w:rFonts w:ascii="Times New Roman" w:hAnsi="Times New Roman" w:cs="Times New Roman"/>
          <w:b/>
          <w:bCs/>
          <w:sz w:val="20"/>
          <w:szCs w:val="20"/>
        </w:rPr>
        <w:t>Data Synthesis and Statistical Analysis</w:t>
      </w:r>
    </w:p>
    <w:p w14:paraId="5C259089" w14:textId="77777777"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We calculated event rates with exact 95% confidence intervals (Clopper–Pearson) for each device and each outcome. The </w:t>
      </w:r>
      <w:proofErr w:type="spellStart"/>
      <w:r w:rsidRPr="0072321E">
        <w:rPr>
          <w:rFonts w:ascii="Times New Roman" w:hAnsi="Times New Roman" w:cs="Times New Roman"/>
          <w:sz w:val="20"/>
          <w:szCs w:val="20"/>
        </w:rPr>
        <w:t>DerSimonian</w:t>
      </w:r>
      <w:proofErr w:type="spellEnd"/>
      <w:r w:rsidRPr="0072321E">
        <w:rPr>
          <w:rFonts w:ascii="Times New Roman" w:hAnsi="Times New Roman" w:cs="Times New Roman"/>
          <w:sz w:val="20"/>
          <w:szCs w:val="20"/>
        </w:rPr>
        <w:t>–Laird random-effects model was used to make pooled estimates that accounted for expected clinical and methodological differences. Heterogeneity was quantified using I² (values &gt;50% indicating substantial heterogeneity) and prediction intervals. Predefined subgroup analyses examined clinical presentation (stable CAD versus acute coronary syndrome), diabetes status, follow-up duration (6–12 months versus &gt;12 months), and geographical region (Western versus Asian cohorts). Sensitivity analyses omitted studies with a high risk of bias, unpublished reports, or those involving fewer than 100 patients; influence analysis utilized leave-one-out cross-validation. Funnel plots and Egger’s test were used to check for publication bias when there were at least 10 studies for an outcome. All statistical analyses were performed using R (v4.3.2).</w:t>
      </w:r>
    </w:p>
    <w:p w14:paraId="107306A5" w14:textId="77777777" w:rsidR="009361EB" w:rsidRPr="0072321E" w:rsidRDefault="009361EB" w:rsidP="00BF43DF">
      <w:pPr>
        <w:widowControl w:val="0"/>
        <w:adjustRightInd w:val="0"/>
        <w:spacing w:after="0" w:line="360" w:lineRule="auto"/>
        <w:jc w:val="both"/>
        <w:rPr>
          <w:rFonts w:ascii="Times New Roman" w:hAnsi="Times New Roman" w:cs="Times New Roman"/>
          <w:sz w:val="20"/>
          <w:szCs w:val="20"/>
        </w:rPr>
      </w:pPr>
    </w:p>
    <w:p w14:paraId="2826C278" w14:textId="392514B6" w:rsidR="00BF43DF" w:rsidRPr="009361EB" w:rsidRDefault="00BF43DF" w:rsidP="00BF43DF">
      <w:pPr>
        <w:widowControl w:val="0"/>
        <w:adjustRightInd w:val="0"/>
        <w:spacing w:after="0" w:line="360" w:lineRule="auto"/>
        <w:jc w:val="both"/>
        <w:rPr>
          <w:rFonts w:ascii="Times New Roman" w:hAnsi="Times New Roman" w:cs="Times New Roman"/>
          <w:b/>
          <w:bCs/>
          <w:sz w:val="20"/>
          <w:szCs w:val="20"/>
        </w:rPr>
      </w:pPr>
      <w:r w:rsidRPr="009361EB">
        <w:rPr>
          <w:rFonts w:ascii="Times New Roman" w:hAnsi="Times New Roman" w:cs="Times New Roman"/>
          <w:b/>
          <w:bCs/>
          <w:sz w:val="20"/>
          <w:szCs w:val="20"/>
        </w:rPr>
        <w:t>Outcomes</w:t>
      </w:r>
    </w:p>
    <w:p w14:paraId="71FF423E" w14:textId="77777777" w:rsidR="00BF43DF"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Clinical endpoints were adjudicated at ≥6 months, consistent with ARC-2 definitions.</w:t>
      </w:r>
    </w:p>
    <w:p w14:paraId="72573BDF" w14:textId="77777777" w:rsidR="009361EB" w:rsidRPr="0072321E" w:rsidRDefault="009361EB" w:rsidP="00BF43DF">
      <w:pPr>
        <w:widowControl w:val="0"/>
        <w:adjustRightInd w:val="0"/>
        <w:spacing w:after="0" w:line="360" w:lineRule="auto"/>
        <w:jc w:val="both"/>
        <w:rPr>
          <w:rFonts w:ascii="Times New Roman" w:hAnsi="Times New Roman" w:cs="Times New Roman"/>
          <w:sz w:val="20"/>
          <w:szCs w:val="20"/>
        </w:rPr>
      </w:pPr>
    </w:p>
    <w:p w14:paraId="689D3DC1" w14:textId="5E985E09" w:rsidR="00BF43DF" w:rsidRPr="009361EB" w:rsidRDefault="00BF43DF" w:rsidP="00BF43DF">
      <w:pPr>
        <w:widowControl w:val="0"/>
        <w:adjustRightInd w:val="0"/>
        <w:spacing w:after="0" w:line="360" w:lineRule="auto"/>
        <w:jc w:val="both"/>
        <w:rPr>
          <w:rFonts w:ascii="Times New Roman" w:hAnsi="Times New Roman" w:cs="Times New Roman"/>
          <w:b/>
          <w:bCs/>
          <w:sz w:val="20"/>
          <w:szCs w:val="20"/>
        </w:rPr>
      </w:pPr>
      <w:r w:rsidRPr="009361EB">
        <w:rPr>
          <w:rFonts w:ascii="Times New Roman" w:hAnsi="Times New Roman" w:cs="Times New Roman"/>
          <w:b/>
          <w:bCs/>
          <w:sz w:val="20"/>
          <w:szCs w:val="20"/>
        </w:rPr>
        <w:t>Primary Efficacy Endpoint</w:t>
      </w:r>
    </w:p>
    <w:p w14:paraId="7357116B"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t xml:space="preserve">Target-Lesion Failure (TLF): This composite endpoint is defined as the combination of: (1) Cardiac death—unexplained death occurring within a time window of the index procedure; (2) Target-Vessel Myocardial Infarction (TV-MI); and (3) </w:t>
      </w:r>
      <w:proofErr w:type="spellStart"/>
      <w:r w:rsidRPr="0072321E">
        <w:rPr>
          <w:rFonts w:ascii="Times New Roman" w:hAnsi="Times New Roman" w:cs="Times New Roman"/>
          <w:sz w:val="20"/>
          <w:szCs w:val="20"/>
        </w:rPr>
        <w:t>Ischaemia</w:t>
      </w:r>
      <w:proofErr w:type="spellEnd"/>
      <w:r w:rsidRPr="0072321E">
        <w:rPr>
          <w:rFonts w:ascii="Times New Roman" w:hAnsi="Times New Roman" w:cs="Times New Roman"/>
          <w:sz w:val="20"/>
          <w:szCs w:val="20"/>
        </w:rPr>
        <w:t xml:space="preserve">-Driven Target-Lesion </w:t>
      </w:r>
      <w:proofErr w:type="spellStart"/>
      <w:r w:rsidRPr="0072321E">
        <w:rPr>
          <w:rFonts w:ascii="Times New Roman" w:hAnsi="Times New Roman" w:cs="Times New Roman"/>
          <w:sz w:val="20"/>
          <w:szCs w:val="20"/>
        </w:rPr>
        <w:t>Revascularisation</w:t>
      </w:r>
      <w:proofErr w:type="spellEnd"/>
      <w:r w:rsidRPr="0072321E">
        <w:rPr>
          <w:rFonts w:ascii="Times New Roman" w:hAnsi="Times New Roman" w:cs="Times New Roman"/>
          <w:sz w:val="20"/>
          <w:szCs w:val="20"/>
        </w:rPr>
        <w:t xml:space="preserve"> (ID-TLR).</w:t>
      </w:r>
    </w:p>
    <w:p w14:paraId="6E441CD2" w14:textId="27D2A516" w:rsidR="00BF43DF" w:rsidRPr="009361EB" w:rsidRDefault="00BF43DF" w:rsidP="00BF43DF">
      <w:pPr>
        <w:widowControl w:val="0"/>
        <w:adjustRightInd w:val="0"/>
        <w:spacing w:after="0" w:line="360" w:lineRule="auto"/>
        <w:jc w:val="both"/>
        <w:rPr>
          <w:rFonts w:ascii="Times New Roman" w:hAnsi="Times New Roman" w:cs="Times New Roman"/>
          <w:b/>
          <w:bCs/>
          <w:sz w:val="20"/>
          <w:szCs w:val="20"/>
        </w:rPr>
      </w:pPr>
      <w:r w:rsidRPr="009361EB">
        <w:rPr>
          <w:rFonts w:ascii="Times New Roman" w:hAnsi="Times New Roman" w:cs="Times New Roman"/>
          <w:b/>
          <w:bCs/>
          <w:sz w:val="20"/>
          <w:szCs w:val="20"/>
        </w:rPr>
        <w:t>Secondary Safety and Efficacy Endpoints</w:t>
      </w:r>
    </w:p>
    <w:p w14:paraId="4612944F"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9361EB">
        <w:rPr>
          <w:rFonts w:ascii="Times New Roman" w:hAnsi="Times New Roman" w:cs="Times New Roman"/>
          <w:b/>
          <w:bCs/>
          <w:sz w:val="20"/>
          <w:szCs w:val="20"/>
        </w:rPr>
        <w:t>Stent/Scaffold Thrombosis (ST)</w:t>
      </w:r>
      <w:r w:rsidRPr="0072321E">
        <w:rPr>
          <w:rFonts w:ascii="Times New Roman" w:hAnsi="Times New Roman" w:cs="Times New Roman"/>
          <w:sz w:val="20"/>
          <w:szCs w:val="20"/>
        </w:rPr>
        <w:t>: Defined according to ARC-2 criteria, encompassing definite (angiographic or pathological confirmation) and probable (unexplained acute ischemic event or sudden death within the target vessel territory) events.</w:t>
      </w:r>
    </w:p>
    <w:p w14:paraId="51D06374"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9361EB">
        <w:rPr>
          <w:rFonts w:ascii="Times New Roman" w:hAnsi="Times New Roman" w:cs="Times New Roman"/>
          <w:b/>
          <w:bCs/>
          <w:sz w:val="20"/>
          <w:szCs w:val="20"/>
        </w:rPr>
        <w:t>Myocardial Infarction (MI)</w:t>
      </w:r>
      <w:r w:rsidRPr="0072321E">
        <w:rPr>
          <w:rFonts w:ascii="Times New Roman" w:hAnsi="Times New Roman" w:cs="Times New Roman"/>
          <w:sz w:val="20"/>
          <w:szCs w:val="20"/>
        </w:rPr>
        <w:t>: Defined according to the latest universal definition, specifically including Target-Vessel MI (TV-MI), which is an MI caused by an acute ischemic event in the territory supplied by the target vessel, excluding events clearly caused by procedural complications.</w:t>
      </w:r>
    </w:p>
    <w:p w14:paraId="4284414B" w14:textId="77777777"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proofErr w:type="spellStart"/>
      <w:r w:rsidRPr="009361EB">
        <w:rPr>
          <w:rFonts w:ascii="Times New Roman" w:hAnsi="Times New Roman" w:cs="Times New Roman"/>
          <w:b/>
          <w:bCs/>
          <w:sz w:val="20"/>
          <w:szCs w:val="20"/>
        </w:rPr>
        <w:t>Ischaemia</w:t>
      </w:r>
      <w:proofErr w:type="spellEnd"/>
      <w:r w:rsidRPr="009361EB">
        <w:rPr>
          <w:rFonts w:ascii="Times New Roman" w:hAnsi="Times New Roman" w:cs="Times New Roman"/>
          <w:b/>
          <w:bCs/>
          <w:sz w:val="20"/>
          <w:szCs w:val="20"/>
        </w:rPr>
        <w:t xml:space="preserve">-Driven Target-Lesion </w:t>
      </w:r>
      <w:proofErr w:type="spellStart"/>
      <w:r w:rsidRPr="009361EB">
        <w:rPr>
          <w:rFonts w:ascii="Times New Roman" w:hAnsi="Times New Roman" w:cs="Times New Roman"/>
          <w:b/>
          <w:bCs/>
          <w:sz w:val="20"/>
          <w:szCs w:val="20"/>
        </w:rPr>
        <w:t>Revascularisation</w:t>
      </w:r>
      <w:proofErr w:type="spellEnd"/>
      <w:r w:rsidRPr="009361EB">
        <w:rPr>
          <w:rFonts w:ascii="Times New Roman" w:hAnsi="Times New Roman" w:cs="Times New Roman"/>
          <w:b/>
          <w:bCs/>
          <w:sz w:val="20"/>
          <w:szCs w:val="20"/>
        </w:rPr>
        <w:t xml:space="preserve"> (ID-TLR):</w:t>
      </w:r>
      <w:r w:rsidRPr="0072321E">
        <w:rPr>
          <w:rFonts w:ascii="Times New Roman" w:hAnsi="Times New Roman" w:cs="Times New Roman"/>
          <w:sz w:val="20"/>
          <w:szCs w:val="20"/>
        </w:rPr>
        <w:t xml:space="preserve"> Any repeat revascularization (PCI or bypass surgery) performed on the target lesion due to clinical signs or symptoms of </w:t>
      </w:r>
      <w:proofErr w:type="spellStart"/>
      <w:r w:rsidRPr="0072321E">
        <w:rPr>
          <w:rFonts w:ascii="Times New Roman" w:hAnsi="Times New Roman" w:cs="Times New Roman"/>
          <w:sz w:val="20"/>
          <w:szCs w:val="20"/>
        </w:rPr>
        <w:t>ischaemia</w:t>
      </w:r>
      <w:proofErr w:type="spellEnd"/>
      <w:r w:rsidRPr="0072321E">
        <w:rPr>
          <w:rFonts w:ascii="Times New Roman" w:hAnsi="Times New Roman" w:cs="Times New Roman"/>
          <w:sz w:val="20"/>
          <w:szCs w:val="20"/>
        </w:rPr>
        <w:t xml:space="preserve"> and confirmed by angiographic evidence of restenosis.</w:t>
      </w:r>
    </w:p>
    <w:p w14:paraId="6011E410" w14:textId="5BA6C02B" w:rsidR="00BF43DF" w:rsidRPr="0072321E" w:rsidRDefault="00BF43DF" w:rsidP="00BF43DF">
      <w:pPr>
        <w:widowControl w:val="0"/>
        <w:adjustRightInd w:val="0"/>
        <w:spacing w:after="0" w:line="360" w:lineRule="auto"/>
        <w:jc w:val="both"/>
        <w:rPr>
          <w:rFonts w:ascii="Times New Roman" w:hAnsi="Times New Roman" w:cs="Times New Roman"/>
          <w:sz w:val="20"/>
          <w:szCs w:val="20"/>
        </w:rPr>
      </w:pPr>
      <w:r w:rsidRPr="0072321E">
        <w:rPr>
          <w:rFonts w:ascii="Times New Roman" w:hAnsi="Times New Roman" w:cs="Times New Roman"/>
          <w:sz w:val="20"/>
          <w:szCs w:val="20"/>
        </w:rPr>
        <w:lastRenderedPageBreak/>
        <w:t xml:space="preserve"> </w:t>
      </w:r>
      <w:r w:rsidRPr="00B96BB4">
        <w:rPr>
          <w:rFonts w:ascii="Times New Roman" w:hAnsi="Times New Roman" w:cs="Times New Roman"/>
          <w:b/>
          <w:bCs/>
          <w:sz w:val="20"/>
          <w:szCs w:val="20"/>
        </w:rPr>
        <w:t>All-Cause Mortality</w:t>
      </w:r>
      <w:r w:rsidRPr="0072321E">
        <w:rPr>
          <w:rFonts w:ascii="Times New Roman" w:hAnsi="Times New Roman" w:cs="Times New Roman"/>
          <w:sz w:val="20"/>
          <w:szCs w:val="20"/>
        </w:rPr>
        <w:t>: Death from any cause occurring during the specified follow-up period.</w:t>
      </w:r>
    </w:p>
    <w:p w14:paraId="0A103E25" w14:textId="2967293C" w:rsidR="0014303C" w:rsidRPr="0072321E" w:rsidRDefault="00BF43DF" w:rsidP="00BF43DF">
      <w:pPr>
        <w:widowControl w:val="0"/>
        <w:adjustRightInd w:val="0"/>
        <w:spacing w:after="0" w:line="360" w:lineRule="auto"/>
        <w:jc w:val="both"/>
        <w:rPr>
          <w:rFonts w:ascii="Times New Roman" w:hAnsi="Times New Roman" w:cs="Times New Roman"/>
          <w:sz w:val="20"/>
          <w:szCs w:val="20"/>
        </w:rPr>
      </w:pPr>
      <w:r w:rsidRPr="00B96BB4">
        <w:rPr>
          <w:rFonts w:ascii="Times New Roman" w:hAnsi="Times New Roman" w:cs="Times New Roman"/>
          <w:b/>
          <w:bCs/>
          <w:sz w:val="20"/>
          <w:szCs w:val="20"/>
        </w:rPr>
        <w:t>Cardiac Death</w:t>
      </w:r>
      <w:r w:rsidRPr="0072321E">
        <w:rPr>
          <w:rFonts w:ascii="Times New Roman" w:hAnsi="Times New Roman" w:cs="Times New Roman"/>
          <w:sz w:val="20"/>
          <w:szCs w:val="20"/>
        </w:rPr>
        <w:t>: Death due to an immediate cardiac cause (e.g., MI, heart failure, lethal arrhythmia, or procedural complications) or any unexplained death.</w:t>
      </w:r>
    </w:p>
    <w:p w14:paraId="6F4A3255" w14:textId="77777777" w:rsidR="00BD0C0E" w:rsidRPr="00BD0C0E" w:rsidRDefault="00BD0C0E" w:rsidP="00BD0C0E">
      <w:pPr>
        <w:widowControl w:val="0"/>
        <w:adjustRightInd w:val="0"/>
        <w:spacing w:after="0" w:line="360" w:lineRule="auto"/>
        <w:jc w:val="both"/>
        <w:rPr>
          <w:rFonts w:ascii="Times New Roman" w:eastAsia="DengXian" w:hAnsi="Times New Roman" w:cs="Times New Roman"/>
          <w:kern w:val="2"/>
          <w:sz w:val="20"/>
          <w:szCs w:val="20"/>
          <w:lang w:eastAsia="zh-CN"/>
        </w:rPr>
      </w:pPr>
    </w:p>
    <w:p w14:paraId="15247DE1" w14:textId="707FD550" w:rsidR="008B34BE" w:rsidRDefault="008B34BE" w:rsidP="00307263">
      <w:pPr>
        <w:widowControl w:val="0"/>
        <w:adjustRightInd w:val="0"/>
        <w:spacing w:after="0" w:line="360" w:lineRule="auto"/>
        <w:jc w:val="both"/>
        <w:rPr>
          <w:rFonts w:ascii="Times New Roman" w:hAnsi="Times New Roman" w:cs="Times New Roman"/>
          <w:b/>
          <w:bCs/>
          <w:color w:val="0070C0"/>
          <w:sz w:val="22"/>
          <w:szCs w:val="22"/>
        </w:rPr>
      </w:pPr>
      <w:r w:rsidRPr="008B34BE">
        <w:rPr>
          <w:rFonts w:ascii="Times New Roman" w:hAnsi="Times New Roman" w:cs="Times New Roman"/>
          <w:b/>
          <w:bCs/>
          <w:color w:val="0070C0"/>
          <w:sz w:val="22"/>
          <w:szCs w:val="22"/>
        </w:rPr>
        <w:t>Results</w:t>
      </w:r>
    </w:p>
    <w:p w14:paraId="516542E8" w14:textId="77777777" w:rsidR="00710ABD" w:rsidRDefault="00710ABD" w:rsidP="00307263">
      <w:pPr>
        <w:widowControl w:val="0"/>
        <w:adjustRightInd w:val="0"/>
        <w:spacing w:after="0" w:line="360" w:lineRule="auto"/>
        <w:jc w:val="both"/>
        <w:rPr>
          <w:rFonts w:ascii="Times New Roman" w:hAnsi="Times New Roman" w:cs="Times New Roman"/>
          <w:b/>
          <w:bCs/>
          <w:color w:val="0070C0"/>
          <w:sz w:val="22"/>
          <w:szCs w:val="22"/>
        </w:rPr>
      </w:pPr>
    </w:p>
    <w:p w14:paraId="5D16F462" w14:textId="277AF8AF" w:rsidR="00FB7F00" w:rsidRPr="00FB7F00" w:rsidRDefault="00FB7F00" w:rsidP="00FB7F00">
      <w:pPr>
        <w:widowControl w:val="0"/>
        <w:adjustRightInd w:val="0"/>
        <w:spacing w:after="0" w:line="360" w:lineRule="auto"/>
        <w:jc w:val="both"/>
        <w:rPr>
          <w:rFonts w:ascii="Times New Roman" w:hAnsi="Times New Roman" w:cs="Times New Roman"/>
          <w:b/>
          <w:bCs/>
          <w:sz w:val="20"/>
          <w:szCs w:val="20"/>
        </w:rPr>
      </w:pPr>
      <w:r w:rsidRPr="00FB7F00">
        <w:rPr>
          <w:rFonts w:ascii="Times New Roman" w:hAnsi="Times New Roman" w:cs="Times New Roman"/>
          <w:b/>
          <w:bCs/>
          <w:sz w:val="20"/>
          <w:szCs w:val="20"/>
        </w:rPr>
        <w:t>Study Selection</w:t>
      </w:r>
    </w:p>
    <w:p w14:paraId="1FAF58F3"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A total of 22,022 records were identified through database searching, with no additional records obtained from registers. After removal of 4,200 duplicate records and 322 records for other reasons, 17,500 records remained for title and abstract screening. Of these, 16,200 records were excluded based on predefined eligibility criteria.</w:t>
      </w:r>
    </w:p>
    <w:p w14:paraId="44ED4806" w14:textId="28EA452A"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A total of 1,300 reports were sought for full-text retrieval, of which 100 could not be retrieved. Consequently, 1,200 full-text articles were assessed for eligibility. Among these, 1,164 reports were excluded due to wrong study design (n = 520), irrelevant outcomes (n = 310), and insufficient data (n = 334).</w:t>
      </w:r>
      <w:r w:rsidR="005C2629">
        <w:rPr>
          <w:rFonts w:ascii="Times New Roman" w:hAnsi="Times New Roman" w:cs="Times New Roman"/>
          <w:sz w:val="20"/>
          <w:szCs w:val="20"/>
        </w:rPr>
        <w:t xml:space="preserve"> </w:t>
      </w:r>
      <w:r w:rsidRPr="00FB7F00">
        <w:rPr>
          <w:rFonts w:ascii="Times New Roman" w:hAnsi="Times New Roman" w:cs="Times New Roman"/>
          <w:sz w:val="20"/>
          <w:szCs w:val="20"/>
        </w:rPr>
        <w:t>Ultimately, 36 studies met the inclusion criteria and were included in the final systematic review (Figure 1).</w:t>
      </w:r>
    </w:p>
    <w:p w14:paraId="715EC877" w14:textId="77777777" w:rsidR="00DB0ED3" w:rsidRDefault="00DB0ED3" w:rsidP="00FB7F00">
      <w:pPr>
        <w:widowControl w:val="0"/>
        <w:adjustRightInd w:val="0"/>
        <w:spacing w:after="0" w:line="360" w:lineRule="auto"/>
        <w:jc w:val="both"/>
        <w:rPr>
          <w:rFonts w:ascii="Times New Roman" w:hAnsi="Times New Roman" w:cs="Times New Roman"/>
          <w:sz w:val="20"/>
          <w:szCs w:val="20"/>
        </w:rPr>
      </w:pPr>
    </w:p>
    <w:p w14:paraId="3A2229C4" w14:textId="7F43A871" w:rsidR="00DB0ED3" w:rsidRDefault="001D3025" w:rsidP="00FB7F00">
      <w:pPr>
        <w:widowControl w:val="0"/>
        <w:adjustRightInd w:val="0"/>
        <w:spacing w:after="0" w:line="360" w:lineRule="auto"/>
        <w:jc w:val="both"/>
        <w:rPr>
          <w:rFonts w:ascii="Times New Roman" w:hAnsi="Times New Roman" w:cs="Times New Roman"/>
          <w:sz w:val="20"/>
          <w:szCs w:val="20"/>
        </w:rPr>
      </w:pPr>
      <w:r w:rsidRPr="001D3025">
        <w:rPr>
          <w:rFonts w:ascii="Times New Roman" w:hAnsi="Times New Roman" w:cs="Times New Roman"/>
          <w:noProof/>
          <w:sz w:val="20"/>
          <w:szCs w:val="20"/>
        </w:rPr>
        <w:drawing>
          <wp:inline distT="0" distB="0" distL="0" distR="0" wp14:anchorId="61A1F2AE" wp14:editId="1CE7F254">
            <wp:extent cx="2800494" cy="2768742"/>
            <wp:effectExtent l="0" t="0" r="0" b="0"/>
            <wp:docPr id="104372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727511" name=""/>
                    <pic:cNvPicPr/>
                  </pic:nvPicPr>
                  <pic:blipFill>
                    <a:blip r:embed="rId13"/>
                    <a:stretch>
                      <a:fillRect/>
                    </a:stretch>
                  </pic:blipFill>
                  <pic:spPr>
                    <a:xfrm>
                      <a:off x="0" y="0"/>
                      <a:ext cx="2800494" cy="2768742"/>
                    </a:xfrm>
                    <a:prstGeom prst="rect">
                      <a:avLst/>
                    </a:prstGeom>
                  </pic:spPr>
                </pic:pic>
              </a:graphicData>
            </a:graphic>
          </wp:inline>
        </w:drawing>
      </w:r>
    </w:p>
    <w:p w14:paraId="31728F49" w14:textId="77777777" w:rsidR="001D3025" w:rsidRDefault="001D3025" w:rsidP="00FB7F00">
      <w:pPr>
        <w:widowControl w:val="0"/>
        <w:adjustRightInd w:val="0"/>
        <w:spacing w:after="0" w:line="360" w:lineRule="auto"/>
        <w:jc w:val="both"/>
        <w:rPr>
          <w:rFonts w:ascii="Times New Roman" w:hAnsi="Times New Roman" w:cs="Times New Roman"/>
          <w:sz w:val="20"/>
          <w:szCs w:val="20"/>
        </w:rPr>
      </w:pPr>
    </w:p>
    <w:p w14:paraId="0422B533" w14:textId="4D17ED2E" w:rsidR="007F7AE2" w:rsidRDefault="0014292E" w:rsidP="00FB7F00">
      <w:pPr>
        <w:widowControl w:val="0"/>
        <w:adjustRightInd w:val="0"/>
        <w:spacing w:after="0" w:line="360" w:lineRule="auto"/>
        <w:jc w:val="both"/>
        <w:rPr>
          <w:rFonts w:ascii="Times New Roman" w:hAnsi="Times New Roman" w:cs="Times New Roman"/>
          <w:sz w:val="20"/>
          <w:szCs w:val="20"/>
        </w:rPr>
      </w:pPr>
      <w:r w:rsidRPr="0014292E">
        <w:rPr>
          <w:rFonts w:ascii="Times New Roman" w:hAnsi="Times New Roman" w:cs="Times New Roman"/>
          <w:b/>
          <w:bCs/>
          <w:color w:val="0070C0"/>
          <w:sz w:val="20"/>
          <w:szCs w:val="20"/>
        </w:rPr>
        <w:t>Figure 1</w:t>
      </w:r>
      <w:r>
        <w:rPr>
          <w:rFonts w:ascii="Times New Roman" w:hAnsi="Times New Roman" w:cs="Times New Roman"/>
          <w:sz w:val="20"/>
          <w:szCs w:val="20"/>
        </w:rPr>
        <w:t>:</w:t>
      </w:r>
      <w:r w:rsidRPr="0014292E">
        <w:rPr>
          <w:rFonts w:ascii="Times New Roman" w:hAnsi="Times New Roman" w:cs="Times New Roman"/>
          <w:sz w:val="20"/>
          <w:szCs w:val="20"/>
        </w:rPr>
        <w:t xml:space="preserve"> Prisma flow diagram</w:t>
      </w:r>
      <w:r>
        <w:rPr>
          <w:rFonts w:ascii="Times New Roman" w:hAnsi="Times New Roman" w:cs="Times New Roman"/>
          <w:sz w:val="20"/>
          <w:szCs w:val="20"/>
        </w:rPr>
        <w:t>.</w:t>
      </w:r>
    </w:p>
    <w:p w14:paraId="24B65B29" w14:textId="77777777" w:rsidR="0014292E" w:rsidRPr="00FB7F00" w:rsidRDefault="0014292E" w:rsidP="00FB7F00">
      <w:pPr>
        <w:widowControl w:val="0"/>
        <w:adjustRightInd w:val="0"/>
        <w:spacing w:after="0" w:line="360" w:lineRule="auto"/>
        <w:jc w:val="both"/>
        <w:rPr>
          <w:rFonts w:ascii="Times New Roman" w:hAnsi="Times New Roman" w:cs="Times New Roman"/>
          <w:sz w:val="20"/>
          <w:szCs w:val="20"/>
        </w:rPr>
      </w:pPr>
    </w:p>
    <w:p w14:paraId="5DF0EB2A" w14:textId="3E6C30C7" w:rsidR="00FB7F00" w:rsidRPr="005C2629" w:rsidRDefault="00FB7F00" w:rsidP="00FB7F00">
      <w:pPr>
        <w:widowControl w:val="0"/>
        <w:adjustRightInd w:val="0"/>
        <w:spacing w:after="0" w:line="360" w:lineRule="auto"/>
        <w:jc w:val="both"/>
        <w:rPr>
          <w:rFonts w:ascii="Times New Roman" w:hAnsi="Times New Roman" w:cs="Times New Roman"/>
          <w:b/>
          <w:bCs/>
          <w:sz w:val="20"/>
          <w:szCs w:val="20"/>
        </w:rPr>
      </w:pPr>
      <w:r w:rsidRPr="005C2629">
        <w:rPr>
          <w:rFonts w:ascii="Times New Roman" w:hAnsi="Times New Roman" w:cs="Times New Roman"/>
          <w:b/>
          <w:bCs/>
          <w:sz w:val="20"/>
          <w:szCs w:val="20"/>
        </w:rPr>
        <w:t>Study Characteristics</w:t>
      </w:r>
    </w:p>
    <w:p w14:paraId="7E7A940E"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included studies evaluated four distinct stent platforms: Biomatrix,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w:t>
      </w:r>
    </w:p>
    <w:p w14:paraId="3F8EC935"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A total of 36 studies were included, comprising a mix of randomized controlled trials (RCTs) and observational cohort studies. The included studies evaluated a range of coronary devices, predominantly focusing on magnesium-based bioresorbable scaffolds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biodegradable polymer drug-eluting stents (e.g.,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BioMatrix</w:t>
      </w:r>
      <w:proofErr w:type="spellEnd"/>
      <w:r w:rsidRPr="00FB7F00">
        <w:rPr>
          <w:rFonts w:ascii="Times New Roman" w:hAnsi="Times New Roman" w:cs="Times New Roman"/>
          <w:sz w:val="20"/>
          <w:szCs w:val="20"/>
        </w:rPr>
        <w:t>), and comparative platforms including durable polymer stents and dual-therapy stents.</w:t>
      </w:r>
    </w:p>
    <w:p w14:paraId="63C9D449"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lastRenderedPageBreak/>
        <w:t>Sample sizes varied substantially, ranging from 30 to 3,832 participants, with several large multicenter RCTs enrolling over 2,000 patients. The studies were conducted across diverse geographic regions, including Europe, Asia, the Middle East, Africa, and multinational cohorts, reflecting a broad representation of real-world and trial populations.</w:t>
      </w:r>
    </w:p>
    <w:p w14:paraId="0CFFF6F5" w14:textId="13D0EE85"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Patient populations included both acute coronary syndrome (ACS) and stable coronary artery disease (CAD), with many studies enrolling mixed cohorts. ACS presentations encompassed ST-segment elevation myocardial infarction (STEMI), non-ST elevation myocardial infarction (NSTEMI), and unstable angina, while stable CAD populations included chronic coronary syndrome and silent ischemia.</w:t>
      </w:r>
      <w:r w:rsidR="00710ABD">
        <w:rPr>
          <w:rFonts w:ascii="Times New Roman" w:hAnsi="Times New Roman" w:cs="Times New Roman"/>
          <w:sz w:val="20"/>
          <w:szCs w:val="20"/>
        </w:rPr>
        <w:t xml:space="preserve"> </w:t>
      </w:r>
      <w:r w:rsidRPr="00FB7F00">
        <w:rPr>
          <w:rFonts w:ascii="Times New Roman" w:hAnsi="Times New Roman" w:cs="Times New Roman"/>
          <w:sz w:val="20"/>
          <w:szCs w:val="20"/>
        </w:rPr>
        <w:t>Follow-up durations ranged from short-term (30 days) to long-term (up to 5 years), although most studies reported outcomes at 1–2 years. Dual antiplatelet therapy (DAPT) duration varied across studies, typically ranging from 6 to 12 months, with some studies exploring shorter or extended regimens depending on clinical context and device type.</w:t>
      </w:r>
      <w:r w:rsidR="00710ABD">
        <w:rPr>
          <w:rFonts w:ascii="Times New Roman" w:hAnsi="Times New Roman" w:cs="Times New Roman"/>
          <w:sz w:val="20"/>
          <w:szCs w:val="20"/>
        </w:rPr>
        <w:t xml:space="preserve"> </w:t>
      </w:r>
      <w:r w:rsidRPr="00FB7F00">
        <w:rPr>
          <w:rFonts w:ascii="Times New Roman" w:hAnsi="Times New Roman" w:cs="Times New Roman"/>
          <w:sz w:val="20"/>
          <w:szCs w:val="20"/>
        </w:rPr>
        <w:t xml:space="preserve">Intravascular imaging was variably utilized across studies. Optical coherence tomography (OCT) and intravascular ultrasound (IVUS) were commonly employed in scaffold-based studies, particularly those involving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whereas several RCTs relied primarily on conventional coronary angiography, with selective use of imaging modalities in a subset of patients.</w:t>
      </w:r>
      <w:r w:rsidR="00710ABD">
        <w:rPr>
          <w:rFonts w:ascii="Times New Roman" w:hAnsi="Times New Roman" w:cs="Times New Roman"/>
          <w:sz w:val="20"/>
          <w:szCs w:val="20"/>
        </w:rPr>
        <w:t xml:space="preserve"> </w:t>
      </w:r>
      <w:r w:rsidRPr="00FB7F00">
        <w:rPr>
          <w:rFonts w:ascii="Times New Roman" w:hAnsi="Times New Roman" w:cs="Times New Roman"/>
          <w:sz w:val="20"/>
          <w:szCs w:val="20"/>
        </w:rPr>
        <w:t xml:space="preserve">Overall, the included studies demonstrate considerable heterogeneity in study design, patient populations, device platforms, and adjunctive imaging and pharmacotherapy strategies. Study characteristics </w:t>
      </w:r>
      <w:proofErr w:type="gramStart"/>
      <w:r w:rsidRPr="00FB7F00">
        <w:rPr>
          <w:rFonts w:ascii="Times New Roman" w:hAnsi="Times New Roman" w:cs="Times New Roman"/>
          <w:sz w:val="20"/>
          <w:szCs w:val="20"/>
        </w:rPr>
        <w:t>is</w:t>
      </w:r>
      <w:proofErr w:type="gramEnd"/>
      <w:r w:rsidRPr="00FB7F00">
        <w:rPr>
          <w:rFonts w:ascii="Times New Roman" w:hAnsi="Times New Roman" w:cs="Times New Roman"/>
          <w:sz w:val="20"/>
          <w:szCs w:val="20"/>
        </w:rPr>
        <w:t xml:space="preserve"> given in table 1, patient characteristics </w:t>
      </w:r>
      <w:proofErr w:type="gramStart"/>
      <w:r w:rsidRPr="00FB7F00">
        <w:rPr>
          <w:rFonts w:ascii="Times New Roman" w:hAnsi="Times New Roman" w:cs="Times New Roman"/>
          <w:sz w:val="20"/>
          <w:szCs w:val="20"/>
        </w:rPr>
        <w:t>is</w:t>
      </w:r>
      <w:proofErr w:type="gramEnd"/>
      <w:r w:rsidRPr="00FB7F00">
        <w:rPr>
          <w:rFonts w:ascii="Times New Roman" w:hAnsi="Times New Roman" w:cs="Times New Roman"/>
          <w:sz w:val="20"/>
          <w:szCs w:val="20"/>
        </w:rPr>
        <w:t xml:space="preserve"> given in table 2.</w:t>
      </w:r>
    </w:p>
    <w:p w14:paraId="2268F1C4" w14:textId="77777777" w:rsidR="00D0235C" w:rsidRDefault="00D0235C"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916"/>
        <w:gridCol w:w="998"/>
        <w:gridCol w:w="783"/>
        <w:gridCol w:w="220"/>
        <w:gridCol w:w="1043"/>
        <w:gridCol w:w="819"/>
        <w:gridCol w:w="924"/>
        <w:gridCol w:w="828"/>
        <w:gridCol w:w="767"/>
        <w:gridCol w:w="1066"/>
        <w:gridCol w:w="976"/>
      </w:tblGrid>
      <w:tr w:rsidR="003F77E0" w:rsidRPr="00FC08FE" w14:paraId="71701912" w14:textId="77777777" w:rsidTr="00FC08FE">
        <w:trPr>
          <w:trHeight w:val="550"/>
          <w:jc w:val="center"/>
        </w:trPr>
        <w:tc>
          <w:tcPr>
            <w:tcW w:w="490" w:type="pct"/>
            <w:tcBorders>
              <w:top w:val="single" w:sz="8" w:space="0" w:color="CCCCCC"/>
              <w:left w:val="single" w:sz="8" w:space="0" w:color="CCCCCC"/>
              <w:bottom w:val="single" w:sz="8" w:space="0" w:color="CCCCCC"/>
              <w:right w:val="single" w:sz="8" w:space="0" w:color="CCCCCC"/>
            </w:tcBorders>
            <w:shd w:val="clear" w:color="000000" w:fill="C9DAF8"/>
            <w:vAlign w:val="center"/>
            <w:hideMark/>
          </w:tcPr>
          <w:p w14:paraId="45DD03DD"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Study ID</w:t>
            </w:r>
          </w:p>
        </w:tc>
        <w:tc>
          <w:tcPr>
            <w:tcW w:w="534" w:type="pct"/>
            <w:tcBorders>
              <w:top w:val="single" w:sz="8" w:space="0" w:color="CCCCCC"/>
              <w:left w:val="nil"/>
              <w:bottom w:val="single" w:sz="8" w:space="0" w:color="CCCCCC"/>
              <w:right w:val="single" w:sz="8" w:space="0" w:color="CCCCCC"/>
            </w:tcBorders>
            <w:shd w:val="clear" w:color="000000" w:fill="C9DAF8"/>
            <w:vAlign w:val="center"/>
            <w:hideMark/>
          </w:tcPr>
          <w:p w14:paraId="4AEA1C03"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Study Design (Classified)</w:t>
            </w:r>
          </w:p>
        </w:tc>
        <w:tc>
          <w:tcPr>
            <w:tcW w:w="419" w:type="pct"/>
            <w:tcBorders>
              <w:top w:val="single" w:sz="8" w:space="0" w:color="CCCCCC"/>
              <w:left w:val="nil"/>
              <w:bottom w:val="single" w:sz="8" w:space="0" w:color="CCCCCC"/>
              <w:right w:val="single" w:sz="8" w:space="0" w:color="CCCCCC"/>
            </w:tcBorders>
            <w:shd w:val="clear" w:color="000000" w:fill="C9DAF8"/>
            <w:vAlign w:val="center"/>
            <w:hideMark/>
          </w:tcPr>
          <w:p w14:paraId="12417A0E"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Stent / Device Name</w:t>
            </w:r>
          </w:p>
        </w:tc>
        <w:tc>
          <w:tcPr>
            <w:tcW w:w="118" w:type="pct"/>
            <w:tcBorders>
              <w:top w:val="single" w:sz="8" w:space="0" w:color="CCCCCC"/>
              <w:left w:val="nil"/>
              <w:bottom w:val="single" w:sz="8" w:space="0" w:color="CCCCCC"/>
              <w:right w:val="nil"/>
            </w:tcBorders>
            <w:shd w:val="clear" w:color="000000" w:fill="C9DAF8"/>
          </w:tcPr>
          <w:p w14:paraId="6C4FEBC4" w14:textId="77777777" w:rsidR="003F77E0" w:rsidRPr="00FC08FE" w:rsidRDefault="003F77E0" w:rsidP="003F77E0">
            <w:pPr>
              <w:spacing w:after="0" w:line="240" w:lineRule="auto"/>
              <w:jc w:val="center"/>
              <w:rPr>
                <w:rFonts w:ascii="Times New Roman" w:eastAsia="Times New Roman" w:hAnsi="Times New Roman" w:cs="Times New Roman"/>
                <w:b/>
                <w:bCs/>
                <w:sz w:val="20"/>
                <w:szCs w:val="20"/>
                <w:lang w:val="en" w:eastAsia="en-IN"/>
              </w:rPr>
            </w:pPr>
          </w:p>
        </w:tc>
        <w:tc>
          <w:tcPr>
            <w:tcW w:w="558" w:type="pct"/>
            <w:tcBorders>
              <w:top w:val="single" w:sz="8" w:space="0" w:color="CCCCCC"/>
              <w:left w:val="nil"/>
              <w:bottom w:val="single" w:sz="8" w:space="0" w:color="CCCCCC"/>
              <w:right w:val="single" w:sz="8" w:space="0" w:color="CCCCCC"/>
            </w:tcBorders>
            <w:shd w:val="clear" w:color="000000" w:fill="C9DAF8"/>
            <w:vAlign w:val="center"/>
            <w:hideMark/>
          </w:tcPr>
          <w:p w14:paraId="74F43231" w14:textId="5595BBBC"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Device Type</w:t>
            </w:r>
          </w:p>
        </w:tc>
        <w:tc>
          <w:tcPr>
            <w:tcW w:w="438" w:type="pct"/>
            <w:tcBorders>
              <w:top w:val="single" w:sz="8" w:space="0" w:color="CCCCCC"/>
              <w:left w:val="nil"/>
              <w:bottom w:val="single" w:sz="8" w:space="0" w:color="CCCCCC"/>
              <w:right w:val="single" w:sz="8" w:space="0" w:color="CCCCCC"/>
            </w:tcBorders>
            <w:shd w:val="clear" w:color="000000" w:fill="C9DAF8"/>
            <w:vAlign w:val="center"/>
            <w:hideMark/>
          </w:tcPr>
          <w:p w14:paraId="57366A1A"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Sample Size</w:t>
            </w:r>
          </w:p>
        </w:tc>
        <w:tc>
          <w:tcPr>
            <w:tcW w:w="495" w:type="pct"/>
            <w:tcBorders>
              <w:top w:val="single" w:sz="8" w:space="0" w:color="CCCCCC"/>
              <w:left w:val="nil"/>
              <w:bottom w:val="single" w:sz="8" w:space="0" w:color="CCCCCC"/>
              <w:right w:val="single" w:sz="8" w:space="0" w:color="CCCCCC"/>
            </w:tcBorders>
            <w:shd w:val="clear" w:color="000000" w:fill="C9DAF8"/>
            <w:vAlign w:val="center"/>
            <w:hideMark/>
          </w:tcPr>
          <w:p w14:paraId="5D913B4A"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Country / Region</w:t>
            </w:r>
          </w:p>
        </w:tc>
        <w:tc>
          <w:tcPr>
            <w:tcW w:w="443" w:type="pct"/>
            <w:tcBorders>
              <w:top w:val="single" w:sz="8" w:space="0" w:color="CCCCCC"/>
              <w:left w:val="nil"/>
              <w:bottom w:val="single" w:sz="8" w:space="0" w:color="CCCCCC"/>
              <w:right w:val="single" w:sz="8" w:space="0" w:color="CCCCCC"/>
            </w:tcBorders>
            <w:shd w:val="clear" w:color="000000" w:fill="C9DAF8"/>
            <w:vAlign w:val="center"/>
            <w:hideMark/>
          </w:tcPr>
          <w:p w14:paraId="279C698A"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ACS or Stable CAD</w:t>
            </w:r>
          </w:p>
        </w:tc>
        <w:tc>
          <w:tcPr>
            <w:tcW w:w="411" w:type="pct"/>
            <w:tcBorders>
              <w:top w:val="single" w:sz="8" w:space="0" w:color="CCCCCC"/>
              <w:left w:val="nil"/>
              <w:bottom w:val="single" w:sz="8" w:space="0" w:color="CCCCCC"/>
              <w:right w:val="single" w:sz="8" w:space="0" w:color="CCCCCC"/>
            </w:tcBorders>
            <w:shd w:val="clear" w:color="000000" w:fill="C9DAF8"/>
            <w:vAlign w:val="center"/>
            <w:hideMark/>
          </w:tcPr>
          <w:p w14:paraId="36899CF0"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Follow-up Duration</w:t>
            </w:r>
          </w:p>
        </w:tc>
        <w:tc>
          <w:tcPr>
            <w:tcW w:w="571" w:type="pct"/>
            <w:tcBorders>
              <w:top w:val="single" w:sz="8" w:space="0" w:color="CCCCCC"/>
              <w:left w:val="nil"/>
              <w:bottom w:val="single" w:sz="8" w:space="0" w:color="CCCCCC"/>
              <w:right w:val="single" w:sz="8" w:space="0" w:color="CCCCCC"/>
            </w:tcBorders>
            <w:shd w:val="clear" w:color="000000" w:fill="C9DAF8"/>
            <w:vAlign w:val="center"/>
            <w:hideMark/>
          </w:tcPr>
          <w:p w14:paraId="585679CE"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DAPT Duration</w:t>
            </w:r>
          </w:p>
        </w:tc>
        <w:tc>
          <w:tcPr>
            <w:tcW w:w="522" w:type="pct"/>
            <w:tcBorders>
              <w:top w:val="single" w:sz="8" w:space="0" w:color="CCCCCC"/>
              <w:left w:val="nil"/>
              <w:bottom w:val="single" w:sz="8" w:space="0" w:color="CCCCCC"/>
              <w:right w:val="single" w:sz="8" w:space="0" w:color="CCCCCC"/>
            </w:tcBorders>
            <w:shd w:val="clear" w:color="000000" w:fill="C9DAF8"/>
            <w:vAlign w:val="center"/>
            <w:hideMark/>
          </w:tcPr>
          <w:p w14:paraId="088BACC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Imaging Used</w:t>
            </w:r>
          </w:p>
        </w:tc>
      </w:tr>
      <w:tr w:rsidR="003F77E0" w:rsidRPr="00FC08FE" w14:paraId="7B0E9FC4" w14:textId="77777777" w:rsidTr="00FC08FE">
        <w:trPr>
          <w:trHeight w:val="4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47EAC04"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Rola 2022</w:t>
            </w:r>
          </w:p>
        </w:tc>
        <w:tc>
          <w:tcPr>
            <w:tcW w:w="534" w:type="pct"/>
            <w:tcBorders>
              <w:top w:val="nil"/>
              <w:left w:val="nil"/>
              <w:bottom w:val="single" w:sz="8" w:space="0" w:color="CCCCCC"/>
              <w:right w:val="single" w:sz="8" w:space="0" w:color="CCCCCC"/>
            </w:tcBorders>
            <w:shd w:val="clear" w:color="000000" w:fill="FFFFFF"/>
            <w:vAlign w:val="center"/>
            <w:hideMark/>
          </w:tcPr>
          <w:p w14:paraId="3A9A059F"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41D67B7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68D9C609"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C4AF10C" w14:textId="7ED913C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bioresorbable scaffold (BRS)</w:t>
            </w:r>
          </w:p>
        </w:tc>
        <w:tc>
          <w:tcPr>
            <w:tcW w:w="438" w:type="pct"/>
            <w:tcBorders>
              <w:top w:val="nil"/>
              <w:left w:val="nil"/>
              <w:bottom w:val="single" w:sz="8" w:space="0" w:color="CCCCCC"/>
              <w:right w:val="single" w:sz="8" w:space="0" w:color="CCCCCC"/>
            </w:tcBorders>
            <w:shd w:val="clear" w:color="000000" w:fill="FFFFFF"/>
            <w:vAlign w:val="center"/>
            <w:hideMark/>
          </w:tcPr>
          <w:p w14:paraId="420E4661"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193</w:t>
            </w:r>
          </w:p>
        </w:tc>
        <w:tc>
          <w:tcPr>
            <w:tcW w:w="495" w:type="pct"/>
            <w:tcBorders>
              <w:top w:val="nil"/>
              <w:left w:val="nil"/>
              <w:bottom w:val="single" w:sz="8" w:space="0" w:color="CCCCCC"/>
              <w:right w:val="single" w:sz="8" w:space="0" w:color="CCCCCC"/>
            </w:tcBorders>
            <w:shd w:val="clear" w:color="000000" w:fill="FFFFFF"/>
            <w:vAlign w:val="center"/>
            <w:hideMark/>
          </w:tcPr>
          <w:p w14:paraId="38AEDC1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273E4AE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NSTE-ACS</w:t>
            </w:r>
          </w:p>
        </w:tc>
        <w:tc>
          <w:tcPr>
            <w:tcW w:w="411" w:type="pct"/>
            <w:tcBorders>
              <w:top w:val="nil"/>
              <w:left w:val="nil"/>
              <w:bottom w:val="single" w:sz="8" w:space="0" w:color="CCCCCC"/>
              <w:right w:val="single" w:sz="8" w:space="0" w:color="CCCCCC"/>
            </w:tcBorders>
            <w:shd w:val="clear" w:color="000000" w:fill="FFFFFF"/>
            <w:vAlign w:val="center"/>
            <w:hideMark/>
          </w:tcPr>
          <w:p w14:paraId="1BCD478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2D3CFEC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000000"/>
            </w:tcBorders>
            <w:shd w:val="clear" w:color="000000" w:fill="FFFFFF"/>
            <w:vAlign w:val="center"/>
            <w:hideMark/>
          </w:tcPr>
          <w:p w14:paraId="1807B74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OCT/IVUS (21.2%)</w:t>
            </w:r>
          </w:p>
        </w:tc>
      </w:tr>
      <w:tr w:rsidR="003F77E0" w:rsidRPr="00FC08FE" w14:paraId="1267BEC3"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B1409E7"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Włodarczak</w:t>
            </w:r>
            <w:proofErr w:type="spellEnd"/>
            <w:r w:rsidRPr="00FC08FE">
              <w:rPr>
                <w:rFonts w:ascii="Times New Roman" w:eastAsia="Times New Roman" w:hAnsi="Times New Roman" w:cs="Times New Roman"/>
                <w:b/>
                <w:bCs/>
                <w:sz w:val="20"/>
                <w:szCs w:val="20"/>
                <w:lang w:val="en" w:eastAsia="en-IN"/>
              </w:rPr>
              <w:t xml:space="preserve"> 2021</w:t>
            </w:r>
          </w:p>
        </w:tc>
        <w:tc>
          <w:tcPr>
            <w:tcW w:w="534" w:type="pct"/>
            <w:tcBorders>
              <w:top w:val="nil"/>
              <w:left w:val="nil"/>
              <w:bottom w:val="single" w:sz="8" w:space="0" w:color="CCCCCC"/>
              <w:right w:val="single" w:sz="8" w:space="0" w:color="CCCCCC"/>
            </w:tcBorders>
            <w:shd w:val="clear" w:color="000000" w:fill="FFFFFF"/>
            <w:vAlign w:val="center"/>
            <w:hideMark/>
          </w:tcPr>
          <w:p w14:paraId="4ACCCBBE"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2DB1165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12595311"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7DB39532" w14:textId="25AA53B0"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bioresorbable vascular scaffold (BRS)</w:t>
            </w:r>
          </w:p>
        </w:tc>
        <w:tc>
          <w:tcPr>
            <w:tcW w:w="438" w:type="pct"/>
            <w:tcBorders>
              <w:top w:val="nil"/>
              <w:left w:val="nil"/>
              <w:bottom w:val="single" w:sz="8" w:space="0" w:color="CCCCCC"/>
              <w:right w:val="single" w:sz="8" w:space="0" w:color="CCCCCC"/>
            </w:tcBorders>
            <w:shd w:val="clear" w:color="000000" w:fill="FFFFFF"/>
            <w:vAlign w:val="center"/>
            <w:hideMark/>
          </w:tcPr>
          <w:p w14:paraId="6D6F8DD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193 (72 diabetic, 121 non-diabetic)</w:t>
            </w:r>
          </w:p>
        </w:tc>
        <w:tc>
          <w:tcPr>
            <w:tcW w:w="495" w:type="pct"/>
            <w:tcBorders>
              <w:top w:val="nil"/>
              <w:left w:val="nil"/>
              <w:bottom w:val="single" w:sz="8" w:space="0" w:color="CCCCCC"/>
              <w:right w:val="single" w:sz="8" w:space="0" w:color="CCCCCC"/>
            </w:tcBorders>
            <w:shd w:val="clear" w:color="000000" w:fill="FFFFFF"/>
            <w:vAlign w:val="center"/>
            <w:hideMark/>
          </w:tcPr>
          <w:p w14:paraId="6BA1092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1BE9293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NSTE-ACS</w:t>
            </w:r>
          </w:p>
        </w:tc>
        <w:tc>
          <w:tcPr>
            <w:tcW w:w="411" w:type="pct"/>
            <w:tcBorders>
              <w:top w:val="nil"/>
              <w:left w:val="nil"/>
              <w:bottom w:val="single" w:sz="8" w:space="0" w:color="CCCCCC"/>
              <w:right w:val="single" w:sz="8" w:space="0" w:color="CCCCCC"/>
            </w:tcBorders>
            <w:shd w:val="clear" w:color="000000" w:fill="FFFFFF"/>
            <w:vAlign w:val="center"/>
            <w:hideMark/>
          </w:tcPr>
          <w:p w14:paraId="5ADEC2D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30 days, 1 year</w:t>
            </w:r>
          </w:p>
        </w:tc>
        <w:tc>
          <w:tcPr>
            <w:tcW w:w="571" w:type="pct"/>
            <w:tcBorders>
              <w:top w:val="nil"/>
              <w:left w:val="nil"/>
              <w:bottom w:val="single" w:sz="8" w:space="0" w:color="CCCCCC"/>
              <w:right w:val="single" w:sz="8" w:space="0" w:color="CCCCCC"/>
            </w:tcBorders>
            <w:shd w:val="clear" w:color="000000" w:fill="FFFFFF"/>
            <w:vAlign w:val="center"/>
            <w:hideMark/>
          </w:tcPr>
          <w:p w14:paraId="2EE4FA0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000000"/>
            </w:tcBorders>
            <w:shd w:val="clear" w:color="000000" w:fill="FFFFFF"/>
            <w:vAlign w:val="center"/>
            <w:hideMark/>
          </w:tcPr>
          <w:p w14:paraId="2159F06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 (13/72 DM; 28/121 non-DM)</w:t>
            </w:r>
          </w:p>
        </w:tc>
      </w:tr>
      <w:tr w:rsidR="003F77E0" w:rsidRPr="00FC08FE" w14:paraId="318CB0A1"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10E0C8B"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Truong 2023</w:t>
            </w:r>
          </w:p>
        </w:tc>
        <w:tc>
          <w:tcPr>
            <w:tcW w:w="534" w:type="pct"/>
            <w:tcBorders>
              <w:top w:val="nil"/>
              <w:left w:val="nil"/>
              <w:bottom w:val="single" w:sz="8" w:space="0" w:color="CCCCCC"/>
              <w:right w:val="single" w:sz="8" w:space="0" w:color="CCCCCC"/>
            </w:tcBorders>
            <w:shd w:val="clear" w:color="000000" w:fill="FFFFFF"/>
            <w:vAlign w:val="center"/>
            <w:hideMark/>
          </w:tcPr>
          <w:p w14:paraId="0303F1D6"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4961613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78A26DB5"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37DAE627" w14:textId="41FF4261"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Magnesium-based sirolimus-eluting bioabsorbable scaffold</w:t>
            </w:r>
          </w:p>
        </w:tc>
        <w:tc>
          <w:tcPr>
            <w:tcW w:w="438" w:type="pct"/>
            <w:tcBorders>
              <w:top w:val="nil"/>
              <w:left w:val="nil"/>
              <w:bottom w:val="single" w:sz="8" w:space="0" w:color="CCCCCC"/>
              <w:right w:val="single" w:sz="8" w:space="0" w:color="CCCCCC"/>
            </w:tcBorders>
            <w:shd w:val="clear" w:color="000000" w:fill="FFFFFF"/>
            <w:vAlign w:val="center"/>
            <w:hideMark/>
          </w:tcPr>
          <w:p w14:paraId="63BC43FA"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58</w:t>
            </w:r>
          </w:p>
        </w:tc>
        <w:tc>
          <w:tcPr>
            <w:tcW w:w="495" w:type="pct"/>
            <w:tcBorders>
              <w:top w:val="nil"/>
              <w:left w:val="nil"/>
              <w:bottom w:val="single" w:sz="8" w:space="0" w:color="CCCCCC"/>
              <w:right w:val="single" w:sz="8" w:space="0" w:color="CCCCCC"/>
            </w:tcBorders>
            <w:shd w:val="clear" w:color="000000" w:fill="FFFFFF"/>
            <w:vAlign w:val="center"/>
            <w:hideMark/>
          </w:tcPr>
          <w:p w14:paraId="4888B78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Vietnam</w:t>
            </w:r>
          </w:p>
        </w:tc>
        <w:tc>
          <w:tcPr>
            <w:tcW w:w="443" w:type="pct"/>
            <w:tcBorders>
              <w:top w:val="nil"/>
              <w:left w:val="nil"/>
              <w:bottom w:val="single" w:sz="8" w:space="0" w:color="CCCCCC"/>
              <w:right w:val="single" w:sz="8" w:space="0" w:color="CCCCCC"/>
            </w:tcBorders>
            <w:shd w:val="clear" w:color="000000" w:fill="FFFFFF"/>
            <w:vAlign w:val="center"/>
            <w:hideMark/>
          </w:tcPr>
          <w:p w14:paraId="3FF634A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Non-STEMI 67%, STEMI 10%, CCS 22.4%</w:t>
            </w:r>
          </w:p>
        </w:tc>
        <w:tc>
          <w:tcPr>
            <w:tcW w:w="411" w:type="pct"/>
            <w:tcBorders>
              <w:top w:val="nil"/>
              <w:left w:val="nil"/>
              <w:bottom w:val="single" w:sz="8" w:space="0" w:color="CCCCCC"/>
              <w:right w:val="single" w:sz="8" w:space="0" w:color="CCCCCC"/>
            </w:tcBorders>
            <w:shd w:val="clear" w:color="000000" w:fill="FFFFFF"/>
            <w:vAlign w:val="center"/>
            <w:hideMark/>
          </w:tcPr>
          <w:p w14:paraId="634EA66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5B51F4E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22" w:type="pct"/>
            <w:tcBorders>
              <w:top w:val="nil"/>
              <w:left w:val="nil"/>
              <w:bottom w:val="single" w:sz="8" w:space="0" w:color="CCCCCC"/>
              <w:right w:val="single" w:sz="8" w:space="0" w:color="CCCCCC"/>
            </w:tcBorders>
            <w:shd w:val="clear" w:color="000000" w:fill="FFFFFF"/>
            <w:vAlign w:val="center"/>
            <w:hideMark/>
          </w:tcPr>
          <w:p w14:paraId="722C88E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 (98.3%)</w:t>
            </w:r>
          </w:p>
        </w:tc>
      </w:tr>
      <w:tr w:rsidR="003F77E0" w:rsidRPr="00FC08FE" w14:paraId="74A79B87"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D60D8A4"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Włodarczak</w:t>
            </w:r>
            <w:proofErr w:type="spellEnd"/>
            <w:r w:rsidRPr="00FC08FE">
              <w:rPr>
                <w:rFonts w:ascii="Times New Roman" w:eastAsia="Times New Roman" w:hAnsi="Times New Roman" w:cs="Times New Roman"/>
                <w:b/>
                <w:bCs/>
                <w:sz w:val="20"/>
                <w:szCs w:val="20"/>
                <w:lang w:val="en" w:eastAsia="en-IN"/>
              </w:rPr>
              <w:t xml:space="preserve"> 2023</w:t>
            </w:r>
          </w:p>
        </w:tc>
        <w:tc>
          <w:tcPr>
            <w:tcW w:w="534" w:type="pct"/>
            <w:tcBorders>
              <w:top w:val="nil"/>
              <w:left w:val="nil"/>
              <w:bottom w:val="single" w:sz="8" w:space="0" w:color="CCCCCC"/>
              <w:right w:val="single" w:sz="8" w:space="0" w:color="CCCCCC"/>
            </w:tcBorders>
            <w:shd w:val="clear" w:color="000000" w:fill="FFFFFF"/>
            <w:vAlign w:val="center"/>
            <w:hideMark/>
          </w:tcPr>
          <w:p w14:paraId="076408B6"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23AEEEC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3C501BF2"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090B3F22" w14:textId="0DBA3A0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Bioresorbable magnesium scaffold (BRS) with </w:t>
            </w:r>
            <w:r w:rsidRPr="00FC08FE">
              <w:rPr>
                <w:rFonts w:ascii="Times New Roman" w:eastAsia="Times New Roman" w:hAnsi="Times New Roman" w:cs="Times New Roman"/>
                <w:sz w:val="20"/>
                <w:szCs w:val="20"/>
                <w:lang w:val="en" w:eastAsia="en-IN"/>
              </w:rPr>
              <w:lastRenderedPageBreak/>
              <w:t>sirolimus-eluting capability</w:t>
            </w:r>
          </w:p>
        </w:tc>
        <w:tc>
          <w:tcPr>
            <w:tcW w:w="438" w:type="pct"/>
            <w:tcBorders>
              <w:top w:val="nil"/>
              <w:left w:val="nil"/>
              <w:bottom w:val="single" w:sz="8" w:space="0" w:color="CCCCCC"/>
              <w:right w:val="single" w:sz="8" w:space="0" w:color="CCCCCC"/>
            </w:tcBorders>
            <w:shd w:val="clear" w:color="000000" w:fill="FFFFFF"/>
            <w:vAlign w:val="center"/>
            <w:hideMark/>
          </w:tcPr>
          <w:p w14:paraId="0F81B1F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lastRenderedPageBreak/>
              <w:t>193 (72 diabetic, 121 non-diabetic)</w:t>
            </w:r>
          </w:p>
        </w:tc>
        <w:tc>
          <w:tcPr>
            <w:tcW w:w="495" w:type="pct"/>
            <w:tcBorders>
              <w:top w:val="nil"/>
              <w:left w:val="nil"/>
              <w:bottom w:val="single" w:sz="8" w:space="0" w:color="CCCCCC"/>
              <w:right w:val="single" w:sz="8" w:space="0" w:color="CCCCCC"/>
            </w:tcBorders>
            <w:shd w:val="clear" w:color="000000" w:fill="FFFFFF"/>
            <w:vAlign w:val="center"/>
            <w:hideMark/>
          </w:tcPr>
          <w:p w14:paraId="7D95874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6C72B4B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NSTE-ACS</w:t>
            </w:r>
          </w:p>
        </w:tc>
        <w:tc>
          <w:tcPr>
            <w:tcW w:w="411" w:type="pct"/>
            <w:tcBorders>
              <w:top w:val="nil"/>
              <w:left w:val="nil"/>
              <w:bottom w:val="single" w:sz="8" w:space="0" w:color="CCCCCC"/>
              <w:right w:val="single" w:sz="8" w:space="0" w:color="CCCCCC"/>
            </w:tcBorders>
            <w:shd w:val="clear" w:color="000000" w:fill="FFFFFF"/>
            <w:vAlign w:val="center"/>
            <w:hideMark/>
          </w:tcPr>
          <w:p w14:paraId="078C6E5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 years</w:t>
            </w:r>
          </w:p>
        </w:tc>
        <w:tc>
          <w:tcPr>
            <w:tcW w:w="571" w:type="pct"/>
            <w:tcBorders>
              <w:top w:val="nil"/>
              <w:left w:val="nil"/>
              <w:bottom w:val="single" w:sz="8" w:space="0" w:color="CCCCCC"/>
              <w:right w:val="single" w:sz="8" w:space="0" w:color="CCCCCC"/>
            </w:tcBorders>
            <w:shd w:val="clear" w:color="000000" w:fill="FFFFFF"/>
            <w:vAlign w:val="center"/>
            <w:hideMark/>
          </w:tcPr>
          <w:p w14:paraId="31718B3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000000"/>
            </w:tcBorders>
            <w:shd w:val="clear" w:color="000000" w:fill="FFFFFF"/>
            <w:vAlign w:val="center"/>
            <w:hideMark/>
          </w:tcPr>
          <w:p w14:paraId="6BF6C31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OCT-guided PCI 13 (18) vs 28 (23.1)</w:t>
            </w:r>
          </w:p>
        </w:tc>
      </w:tr>
      <w:tr w:rsidR="003F77E0" w:rsidRPr="00FC08FE" w14:paraId="20CA702A" w14:textId="77777777" w:rsidTr="00FC08FE">
        <w:trPr>
          <w:trHeight w:val="4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D067736"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Rola 2023</w:t>
            </w:r>
          </w:p>
        </w:tc>
        <w:tc>
          <w:tcPr>
            <w:tcW w:w="534" w:type="pct"/>
            <w:tcBorders>
              <w:top w:val="nil"/>
              <w:left w:val="nil"/>
              <w:bottom w:val="single" w:sz="8" w:space="0" w:color="CCCCCC"/>
              <w:right w:val="single" w:sz="8" w:space="0" w:color="CCCCCC"/>
            </w:tcBorders>
            <w:shd w:val="clear" w:color="000000" w:fill="FFFFFF"/>
            <w:vAlign w:val="center"/>
            <w:hideMark/>
          </w:tcPr>
          <w:p w14:paraId="5C18457B"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2A2E6AF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3333751F"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1CAFD38" w14:textId="2F92F0FA"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bioresorbable scaffold (BRS)</w:t>
            </w:r>
          </w:p>
        </w:tc>
        <w:tc>
          <w:tcPr>
            <w:tcW w:w="438" w:type="pct"/>
            <w:tcBorders>
              <w:top w:val="nil"/>
              <w:left w:val="nil"/>
              <w:bottom w:val="single" w:sz="8" w:space="0" w:color="CCCCCC"/>
              <w:right w:val="single" w:sz="8" w:space="0" w:color="CCCCCC"/>
            </w:tcBorders>
            <w:shd w:val="clear" w:color="000000" w:fill="FFFFFF"/>
            <w:vAlign w:val="center"/>
            <w:hideMark/>
          </w:tcPr>
          <w:p w14:paraId="7361259B"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193</w:t>
            </w:r>
          </w:p>
        </w:tc>
        <w:tc>
          <w:tcPr>
            <w:tcW w:w="495" w:type="pct"/>
            <w:tcBorders>
              <w:top w:val="nil"/>
              <w:left w:val="nil"/>
              <w:bottom w:val="single" w:sz="8" w:space="0" w:color="CCCCCC"/>
              <w:right w:val="single" w:sz="8" w:space="0" w:color="CCCCCC"/>
            </w:tcBorders>
            <w:shd w:val="clear" w:color="000000" w:fill="FFFFFF"/>
            <w:vAlign w:val="center"/>
            <w:hideMark/>
          </w:tcPr>
          <w:p w14:paraId="70ECAA7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4254542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(unstable angina or NSTEMI)</w:t>
            </w:r>
          </w:p>
        </w:tc>
        <w:tc>
          <w:tcPr>
            <w:tcW w:w="411" w:type="pct"/>
            <w:tcBorders>
              <w:top w:val="nil"/>
              <w:left w:val="nil"/>
              <w:bottom w:val="single" w:sz="8" w:space="0" w:color="CCCCCC"/>
              <w:right w:val="single" w:sz="8" w:space="0" w:color="CCCCCC"/>
            </w:tcBorders>
            <w:shd w:val="clear" w:color="000000" w:fill="FFFFFF"/>
            <w:vAlign w:val="center"/>
            <w:hideMark/>
          </w:tcPr>
          <w:p w14:paraId="382D033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31E0D41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000000"/>
            </w:tcBorders>
            <w:shd w:val="clear" w:color="000000" w:fill="FFFFFF"/>
            <w:vAlign w:val="center"/>
            <w:hideMark/>
          </w:tcPr>
          <w:p w14:paraId="1934FC9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 guided PCI 41 (21.2)</w:t>
            </w:r>
          </w:p>
        </w:tc>
      </w:tr>
      <w:tr w:rsidR="003F77E0" w:rsidRPr="00FC08FE" w14:paraId="2191075B"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113DD028"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Sequeiros 2020</w:t>
            </w:r>
          </w:p>
        </w:tc>
        <w:tc>
          <w:tcPr>
            <w:tcW w:w="534" w:type="pct"/>
            <w:tcBorders>
              <w:top w:val="nil"/>
              <w:left w:val="nil"/>
              <w:bottom w:val="single" w:sz="8" w:space="0" w:color="CCCCCC"/>
              <w:right w:val="single" w:sz="8" w:space="0" w:color="CCCCCC"/>
            </w:tcBorders>
            <w:shd w:val="clear" w:color="000000" w:fill="FFFFFF"/>
            <w:vAlign w:val="center"/>
            <w:hideMark/>
          </w:tcPr>
          <w:p w14:paraId="0B673A4B"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123405B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6B02C8D8"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70CC3FB4" w14:textId="0E1587A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magnesium scaffold (BRS) – sirolimus-eluting</w:t>
            </w:r>
          </w:p>
        </w:tc>
        <w:tc>
          <w:tcPr>
            <w:tcW w:w="438" w:type="pct"/>
            <w:tcBorders>
              <w:top w:val="nil"/>
              <w:left w:val="nil"/>
              <w:bottom w:val="single" w:sz="8" w:space="0" w:color="CCCCCC"/>
              <w:right w:val="single" w:sz="8" w:space="0" w:color="CCCCCC"/>
            </w:tcBorders>
            <w:shd w:val="clear" w:color="000000" w:fill="FFFFFF"/>
            <w:vAlign w:val="center"/>
            <w:hideMark/>
          </w:tcPr>
          <w:p w14:paraId="66B4D0C1"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42</w:t>
            </w:r>
          </w:p>
        </w:tc>
        <w:tc>
          <w:tcPr>
            <w:tcW w:w="495" w:type="pct"/>
            <w:tcBorders>
              <w:top w:val="nil"/>
              <w:left w:val="nil"/>
              <w:bottom w:val="single" w:sz="8" w:space="0" w:color="CCCCCC"/>
              <w:right w:val="single" w:sz="8" w:space="0" w:color="CCCCCC"/>
            </w:tcBorders>
            <w:shd w:val="clear" w:color="000000" w:fill="FFFFFF"/>
            <w:vAlign w:val="center"/>
            <w:hideMark/>
          </w:tcPr>
          <w:p w14:paraId="41B9596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Spain</w:t>
            </w:r>
          </w:p>
        </w:tc>
        <w:tc>
          <w:tcPr>
            <w:tcW w:w="443" w:type="pct"/>
            <w:tcBorders>
              <w:top w:val="nil"/>
              <w:left w:val="nil"/>
              <w:bottom w:val="single" w:sz="8" w:space="0" w:color="CCCCCC"/>
              <w:right w:val="single" w:sz="8" w:space="0" w:color="CCCCCC"/>
            </w:tcBorders>
            <w:shd w:val="clear" w:color="000000" w:fill="FFFFFF"/>
            <w:vAlign w:val="center"/>
            <w:hideMark/>
          </w:tcPr>
          <w:p w14:paraId="7EA77D5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NSTEMI 52.4%, STEMI 2.4%, Effort Angina 45.2%</w:t>
            </w:r>
          </w:p>
        </w:tc>
        <w:tc>
          <w:tcPr>
            <w:tcW w:w="411" w:type="pct"/>
            <w:tcBorders>
              <w:top w:val="nil"/>
              <w:left w:val="nil"/>
              <w:bottom w:val="single" w:sz="8" w:space="0" w:color="CCCCCC"/>
              <w:right w:val="single" w:sz="8" w:space="0" w:color="CCCCCC"/>
            </w:tcBorders>
            <w:shd w:val="clear" w:color="000000" w:fill="FFFFFF"/>
            <w:vAlign w:val="center"/>
            <w:hideMark/>
          </w:tcPr>
          <w:p w14:paraId="7A81346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49C4F2C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CCCCCC"/>
            </w:tcBorders>
            <w:shd w:val="clear" w:color="000000" w:fill="FFFFFF"/>
            <w:vAlign w:val="center"/>
            <w:hideMark/>
          </w:tcPr>
          <w:p w14:paraId="23A239D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w:t>
            </w:r>
          </w:p>
        </w:tc>
      </w:tr>
      <w:tr w:rsidR="003F77E0" w:rsidRPr="00FC08FE" w14:paraId="5EE27F5B"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3D3EE45"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Włodarcza</w:t>
            </w:r>
            <w:proofErr w:type="spellEnd"/>
            <w:r w:rsidRPr="00FC08FE">
              <w:rPr>
                <w:rFonts w:ascii="Times New Roman" w:eastAsia="Times New Roman" w:hAnsi="Times New Roman" w:cs="Times New Roman"/>
                <w:b/>
                <w:bCs/>
                <w:sz w:val="20"/>
                <w:szCs w:val="20"/>
                <w:lang w:val="en" w:eastAsia="en-IN"/>
              </w:rPr>
              <w:t xml:space="preserve"> 2024</w:t>
            </w:r>
          </w:p>
        </w:tc>
        <w:tc>
          <w:tcPr>
            <w:tcW w:w="534" w:type="pct"/>
            <w:tcBorders>
              <w:top w:val="nil"/>
              <w:left w:val="nil"/>
              <w:bottom w:val="single" w:sz="8" w:space="0" w:color="CCCCCC"/>
              <w:right w:val="single" w:sz="8" w:space="0" w:color="CCCCCC"/>
            </w:tcBorders>
            <w:shd w:val="clear" w:color="000000" w:fill="FFFFFF"/>
            <w:vAlign w:val="center"/>
            <w:hideMark/>
          </w:tcPr>
          <w:p w14:paraId="0468C076"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41AC17D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1FDC09FF"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021BEDC0" w14:textId="2FEFDC1D"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Second-generation bioresorbable scaffold (BRS) – magnesium-based</w:t>
            </w:r>
          </w:p>
        </w:tc>
        <w:tc>
          <w:tcPr>
            <w:tcW w:w="438" w:type="pct"/>
            <w:tcBorders>
              <w:top w:val="nil"/>
              <w:left w:val="nil"/>
              <w:bottom w:val="single" w:sz="8" w:space="0" w:color="CCCCCC"/>
              <w:right w:val="single" w:sz="8" w:space="0" w:color="CCCCCC"/>
            </w:tcBorders>
            <w:shd w:val="clear" w:color="000000" w:fill="FFFFFF"/>
            <w:vAlign w:val="center"/>
            <w:hideMark/>
          </w:tcPr>
          <w:p w14:paraId="047C9347"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193</w:t>
            </w:r>
          </w:p>
        </w:tc>
        <w:tc>
          <w:tcPr>
            <w:tcW w:w="495" w:type="pct"/>
            <w:tcBorders>
              <w:top w:val="nil"/>
              <w:left w:val="nil"/>
              <w:bottom w:val="single" w:sz="8" w:space="0" w:color="CCCCCC"/>
              <w:right w:val="single" w:sz="8" w:space="0" w:color="CCCCCC"/>
            </w:tcBorders>
            <w:shd w:val="clear" w:color="000000" w:fill="FFFFFF"/>
            <w:vAlign w:val="center"/>
            <w:hideMark/>
          </w:tcPr>
          <w:p w14:paraId="3A2ACAE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16B80FE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NSTE-ACS</w:t>
            </w:r>
          </w:p>
        </w:tc>
        <w:tc>
          <w:tcPr>
            <w:tcW w:w="411" w:type="pct"/>
            <w:tcBorders>
              <w:top w:val="nil"/>
              <w:left w:val="nil"/>
              <w:bottom w:val="single" w:sz="8" w:space="0" w:color="CCCCCC"/>
              <w:right w:val="single" w:sz="8" w:space="0" w:color="CCCCCC"/>
            </w:tcBorders>
            <w:shd w:val="clear" w:color="000000" w:fill="FFFFFF"/>
            <w:vAlign w:val="center"/>
            <w:hideMark/>
          </w:tcPr>
          <w:p w14:paraId="2E45E5D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 years</w:t>
            </w:r>
          </w:p>
        </w:tc>
        <w:tc>
          <w:tcPr>
            <w:tcW w:w="571" w:type="pct"/>
            <w:tcBorders>
              <w:top w:val="nil"/>
              <w:left w:val="nil"/>
              <w:bottom w:val="single" w:sz="8" w:space="0" w:color="CCCCCC"/>
              <w:right w:val="single" w:sz="8" w:space="0" w:color="CCCCCC"/>
            </w:tcBorders>
            <w:shd w:val="clear" w:color="000000" w:fill="FFFFFF"/>
            <w:vAlign w:val="center"/>
            <w:hideMark/>
          </w:tcPr>
          <w:p w14:paraId="4A8FE87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000000"/>
            </w:tcBorders>
            <w:shd w:val="clear" w:color="000000" w:fill="FFFFFF"/>
            <w:vAlign w:val="center"/>
            <w:hideMark/>
          </w:tcPr>
          <w:p w14:paraId="0DD5D1E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OCT/IVUS guided PCI 41 (21.2)</w:t>
            </w:r>
          </w:p>
        </w:tc>
      </w:tr>
      <w:tr w:rsidR="003F77E0" w:rsidRPr="00FC08FE" w14:paraId="268E96B6"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23CAA3D"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Verheye</w:t>
            </w:r>
            <w:proofErr w:type="spellEnd"/>
            <w:r w:rsidRPr="00FC08FE">
              <w:rPr>
                <w:rFonts w:ascii="Times New Roman" w:eastAsia="Times New Roman" w:hAnsi="Times New Roman" w:cs="Times New Roman"/>
                <w:b/>
                <w:bCs/>
                <w:sz w:val="20"/>
                <w:szCs w:val="20"/>
                <w:lang w:val="en" w:eastAsia="en-IN"/>
              </w:rPr>
              <w:t xml:space="preserve"> 2021</w:t>
            </w:r>
          </w:p>
        </w:tc>
        <w:tc>
          <w:tcPr>
            <w:tcW w:w="534" w:type="pct"/>
            <w:tcBorders>
              <w:top w:val="nil"/>
              <w:left w:val="nil"/>
              <w:bottom w:val="single" w:sz="8" w:space="0" w:color="CCCCCC"/>
              <w:right w:val="single" w:sz="8" w:space="0" w:color="CCCCCC"/>
            </w:tcBorders>
            <w:shd w:val="clear" w:color="000000" w:fill="FFFFFF"/>
            <w:vAlign w:val="center"/>
            <w:hideMark/>
          </w:tcPr>
          <w:p w14:paraId="5C5BBA61"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4609FB5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245CE6B5"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07FD4714" w14:textId="753F9C5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Sirolimus-eluting bioresorbable magnesium scaffold</w:t>
            </w:r>
          </w:p>
        </w:tc>
        <w:tc>
          <w:tcPr>
            <w:tcW w:w="438" w:type="pct"/>
            <w:tcBorders>
              <w:top w:val="nil"/>
              <w:left w:val="nil"/>
              <w:bottom w:val="single" w:sz="8" w:space="0" w:color="CCCCCC"/>
              <w:right w:val="single" w:sz="8" w:space="0" w:color="CCCCCC"/>
            </w:tcBorders>
            <w:shd w:val="clear" w:color="000000" w:fill="FFFFFF"/>
            <w:vAlign w:val="center"/>
            <w:hideMark/>
          </w:tcPr>
          <w:p w14:paraId="1A9C7C65"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1,075</w:t>
            </w:r>
          </w:p>
        </w:tc>
        <w:tc>
          <w:tcPr>
            <w:tcW w:w="495" w:type="pct"/>
            <w:tcBorders>
              <w:top w:val="nil"/>
              <w:left w:val="nil"/>
              <w:bottom w:val="single" w:sz="8" w:space="0" w:color="CCCCCC"/>
              <w:right w:val="single" w:sz="8" w:space="0" w:color="CCCCCC"/>
            </w:tcBorders>
            <w:shd w:val="clear" w:color="000000" w:fill="FFFFFF"/>
            <w:vAlign w:val="center"/>
            <w:hideMark/>
          </w:tcPr>
          <w:p w14:paraId="005CF60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Asia, Africa, Australia/NZ</w:t>
            </w:r>
          </w:p>
        </w:tc>
        <w:tc>
          <w:tcPr>
            <w:tcW w:w="443" w:type="pct"/>
            <w:tcBorders>
              <w:top w:val="nil"/>
              <w:left w:val="nil"/>
              <w:bottom w:val="single" w:sz="8" w:space="0" w:color="CCCCCC"/>
              <w:right w:val="single" w:sz="8" w:space="0" w:color="CCCCCC"/>
            </w:tcBorders>
            <w:shd w:val="clear" w:color="000000" w:fill="FFFFFF"/>
            <w:vAlign w:val="center"/>
            <w:hideMark/>
          </w:tcPr>
          <w:p w14:paraId="09571B0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NSTEMI 19.2%, remainder stable CAD</w:t>
            </w:r>
          </w:p>
        </w:tc>
        <w:tc>
          <w:tcPr>
            <w:tcW w:w="411" w:type="pct"/>
            <w:tcBorders>
              <w:top w:val="nil"/>
              <w:left w:val="nil"/>
              <w:bottom w:val="single" w:sz="8" w:space="0" w:color="CCCCCC"/>
              <w:right w:val="single" w:sz="8" w:space="0" w:color="CCCCCC"/>
            </w:tcBorders>
            <w:shd w:val="clear" w:color="000000" w:fill="FFFFFF"/>
            <w:vAlign w:val="center"/>
            <w:hideMark/>
          </w:tcPr>
          <w:p w14:paraId="6DB47CA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401F528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000000"/>
            </w:tcBorders>
            <w:shd w:val="clear" w:color="000000" w:fill="FFFFFF"/>
            <w:vAlign w:val="center"/>
            <w:hideMark/>
          </w:tcPr>
          <w:p w14:paraId="0CAEBCD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Angiographic core lab, OCT</w:t>
            </w:r>
          </w:p>
        </w:tc>
      </w:tr>
      <w:tr w:rsidR="003F77E0" w:rsidRPr="00FC08FE" w14:paraId="6D34DEB5"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47389677"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Wlodarczak</w:t>
            </w:r>
            <w:proofErr w:type="spellEnd"/>
            <w:r w:rsidRPr="00FC08FE">
              <w:rPr>
                <w:rFonts w:ascii="Times New Roman" w:eastAsia="Times New Roman" w:hAnsi="Times New Roman" w:cs="Times New Roman"/>
                <w:b/>
                <w:bCs/>
                <w:sz w:val="20"/>
                <w:szCs w:val="20"/>
                <w:lang w:val="en" w:eastAsia="en-IN"/>
              </w:rPr>
              <w:t xml:space="preserve"> 2023</w:t>
            </w:r>
          </w:p>
        </w:tc>
        <w:tc>
          <w:tcPr>
            <w:tcW w:w="534" w:type="pct"/>
            <w:tcBorders>
              <w:top w:val="nil"/>
              <w:left w:val="nil"/>
              <w:bottom w:val="single" w:sz="8" w:space="0" w:color="CCCCCC"/>
              <w:right w:val="single" w:sz="8" w:space="0" w:color="CCCCCC"/>
            </w:tcBorders>
            <w:shd w:val="clear" w:color="000000" w:fill="FFFFFF"/>
            <w:vAlign w:val="center"/>
            <w:hideMark/>
          </w:tcPr>
          <w:p w14:paraId="60F11E9B"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1D30162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011305FF"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8CF651C" w14:textId="21FCFA1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Sirolimus-eluting bioresorbable magnesium scaffold</w:t>
            </w:r>
          </w:p>
        </w:tc>
        <w:tc>
          <w:tcPr>
            <w:tcW w:w="438" w:type="pct"/>
            <w:tcBorders>
              <w:top w:val="nil"/>
              <w:left w:val="nil"/>
              <w:bottom w:val="single" w:sz="8" w:space="0" w:color="CCCCCC"/>
              <w:right w:val="single" w:sz="8" w:space="0" w:color="CCCCCC"/>
            </w:tcBorders>
            <w:shd w:val="clear" w:color="000000" w:fill="FFFFFF"/>
            <w:vAlign w:val="center"/>
            <w:hideMark/>
          </w:tcPr>
          <w:p w14:paraId="2766B5D2"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2,066</w:t>
            </w:r>
          </w:p>
        </w:tc>
        <w:tc>
          <w:tcPr>
            <w:tcW w:w="495" w:type="pct"/>
            <w:tcBorders>
              <w:top w:val="nil"/>
              <w:left w:val="nil"/>
              <w:bottom w:val="single" w:sz="8" w:space="0" w:color="CCCCCC"/>
              <w:right w:val="single" w:sz="8" w:space="0" w:color="CCCCCC"/>
            </w:tcBorders>
            <w:shd w:val="clear" w:color="000000" w:fill="FFFFFF"/>
            <w:vAlign w:val="center"/>
            <w:hideMark/>
          </w:tcPr>
          <w:p w14:paraId="2A59FA2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Asia and Asia-Pacific</w:t>
            </w:r>
          </w:p>
        </w:tc>
        <w:tc>
          <w:tcPr>
            <w:tcW w:w="443" w:type="pct"/>
            <w:tcBorders>
              <w:top w:val="nil"/>
              <w:left w:val="nil"/>
              <w:bottom w:val="single" w:sz="8" w:space="0" w:color="CCCCCC"/>
              <w:right w:val="single" w:sz="8" w:space="0" w:color="CCCCCC"/>
            </w:tcBorders>
            <w:shd w:val="clear" w:color="000000" w:fill="FFFFFF"/>
            <w:vAlign w:val="center"/>
            <w:hideMark/>
          </w:tcPr>
          <w:p w14:paraId="58DF75B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NSTEMI 18.5%, STEMI 0.4%, Stable angina 48.3%, UA 17.3%</w:t>
            </w:r>
          </w:p>
        </w:tc>
        <w:tc>
          <w:tcPr>
            <w:tcW w:w="411" w:type="pct"/>
            <w:tcBorders>
              <w:top w:val="nil"/>
              <w:left w:val="nil"/>
              <w:bottom w:val="single" w:sz="8" w:space="0" w:color="CCCCCC"/>
              <w:right w:val="single" w:sz="8" w:space="0" w:color="CCCCCC"/>
            </w:tcBorders>
            <w:shd w:val="clear" w:color="000000" w:fill="FFFFFF"/>
            <w:vAlign w:val="center"/>
            <w:hideMark/>
          </w:tcPr>
          <w:p w14:paraId="0FB4313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 years</w:t>
            </w:r>
          </w:p>
        </w:tc>
        <w:tc>
          <w:tcPr>
            <w:tcW w:w="571" w:type="pct"/>
            <w:tcBorders>
              <w:top w:val="nil"/>
              <w:left w:val="nil"/>
              <w:bottom w:val="single" w:sz="8" w:space="0" w:color="CCCCCC"/>
              <w:right w:val="single" w:sz="8" w:space="0" w:color="CCCCCC"/>
            </w:tcBorders>
            <w:shd w:val="clear" w:color="000000" w:fill="FFFFFF"/>
            <w:vAlign w:val="center"/>
            <w:hideMark/>
          </w:tcPr>
          <w:p w14:paraId="0ED00FB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72.7% at 12 months; 21.3% at 24 months</w:t>
            </w:r>
          </w:p>
        </w:tc>
        <w:tc>
          <w:tcPr>
            <w:tcW w:w="522" w:type="pct"/>
            <w:tcBorders>
              <w:top w:val="nil"/>
              <w:left w:val="nil"/>
              <w:bottom w:val="single" w:sz="8" w:space="0" w:color="CCCCCC"/>
              <w:right w:val="single" w:sz="8" w:space="0" w:color="CCCCCC"/>
            </w:tcBorders>
            <w:shd w:val="clear" w:color="000000" w:fill="FFFFFF"/>
            <w:vAlign w:val="center"/>
            <w:hideMark/>
          </w:tcPr>
          <w:p w14:paraId="5EF80DC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w:t>
            </w:r>
          </w:p>
        </w:tc>
      </w:tr>
      <w:tr w:rsidR="003F77E0" w:rsidRPr="00FC08FE" w14:paraId="7D517C15" w14:textId="77777777" w:rsidTr="00FC08FE">
        <w:trPr>
          <w:trHeight w:val="4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2050C309"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Rola 2021</w:t>
            </w:r>
          </w:p>
        </w:tc>
        <w:tc>
          <w:tcPr>
            <w:tcW w:w="534" w:type="pct"/>
            <w:tcBorders>
              <w:top w:val="nil"/>
              <w:left w:val="nil"/>
              <w:bottom w:val="single" w:sz="8" w:space="0" w:color="CCCCCC"/>
              <w:right w:val="single" w:sz="8" w:space="0" w:color="CCCCCC"/>
            </w:tcBorders>
            <w:shd w:val="clear" w:color="000000" w:fill="FFFFFF"/>
            <w:vAlign w:val="center"/>
            <w:hideMark/>
          </w:tcPr>
          <w:p w14:paraId="5556FEB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0576B98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661E238B"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36B7497A" w14:textId="5D10BC8C"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bioresorbable scaffold (BRS)</w:t>
            </w:r>
          </w:p>
        </w:tc>
        <w:tc>
          <w:tcPr>
            <w:tcW w:w="438" w:type="pct"/>
            <w:tcBorders>
              <w:top w:val="nil"/>
              <w:left w:val="nil"/>
              <w:bottom w:val="single" w:sz="8" w:space="0" w:color="CCCCCC"/>
              <w:right w:val="single" w:sz="8" w:space="0" w:color="CCCCCC"/>
            </w:tcBorders>
            <w:shd w:val="clear" w:color="000000" w:fill="FFFFFF"/>
            <w:vAlign w:val="center"/>
            <w:hideMark/>
          </w:tcPr>
          <w:p w14:paraId="308AAF5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193 (DM 72 vs </w:t>
            </w:r>
            <w:proofErr w:type="gramStart"/>
            <w:r w:rsidRPr="00FC08FE">
              <w:rPr>
                <w:rFonts w:ascii="Times New Roman" w:eastAsia="Times New Roman" w:hAnsi="Times New Roman" w:cs="Times New Roman"/>
                <w:sz w:val="20"/>
                <w:szCs w:val="20"/>
                <w:lang w:val="en" w:eastAsia="en-IN"/>
              </w:rPr>
              <w:t>Non-DM</w:t>
            </w:r>
            <w:proofErr w:type="gramEnd"/>
            <w:r w:rsidRPr="00FC08FE">
              <w:rPr>
                <w:rFonts w:ascii="Times New Roman" w:eastAsia="Times New Roman" w:hAnsi="Times New Roman" w:cs="Times New Roman"/>
                <w:sz w:val="20"/>
                <w:szCs w:val="20"/>
                <w:lang w:val="en" w:eastAsia="en-IN"/>
              </w:rPr>
              <w:t xml:space="preserve"> 121)</w:t>
            </w:r>
          </w:p>
        </w:tc>
        <w:tc>
          <w:tcPr>
            <w:tcW w:w="495" w:type="pct"/>
            <w:tcBorders>
              <w:top w:val="nil"/>
              <w:left w:val="nil"/>
              <w:bottom w:val="single" w:sz="8" w:space="0" w:color="CCCCCC"/>
              <w:right w:val="single" w:sz="8" w:space="0" w:color="CCCCCC"/>
            </w:tcBorders>
            <w:shd w:val="clear" w:color="000000" w:fill="FFFFFF"/>
            <w:vAlign w:val="center"/>
            <w:hideMark/>
          </w:tcPr>
          <w:p w14:paraId="5374F37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48AD272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(NSTE-ACS)</w:t>
            </w:r>
          </w:p>
        </w:tc>
        <w:tc>
          <w:tcPr>
            <w:tcW w:w="411" w:type="pct"/>
            <w:tcBorders>
              <w:top w:val="nil"/>
              <w:left w:val="nil"/>
              <w:bottom w:val="single" w:sz="8" w:space="0" w:color="CCCCCC"/>
              <w:right w:val="single" w:sz="8" w:space="0" w:color="CCCCCC"/>
            </w:tcBorders>
            <w:shd w:val="clear" w:color="000000" w:fill="FFFFFF"/>
            <w:vAlign w:val="center"/>
            <w:hideMark/>
          </w:tcPr>
          <w:p w14:paraId="35C3AD8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2EE3F96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000000"/>
            </w:tcBorders>
            <w:shd w:val="clear" w:color="000000" w:fill="FFFFFF"/>
            <w:vAlign w:val="center"/>
            <w:hideMark/>
          </w:tcPr>
          <w:p w14:paraId="7AE34EC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OCT-guided PCI (18% DM; 23.1% non-DM)</w:t>
            </w:r>
          </w:p>
        </w:tc>
      </w:tr>
      <w:tr w:rsidR="003F77E0" w:rsidRPr="00FC08FE" w14:paraId="13E1822A" w14:textId="77777777" w:rsidTr="00FC08FE">
        <w:trPr>
          <w:trHeight w:val="4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A122B8A"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lastRenderedPageBreak/>
              <w:t>Gall 2022</w:t>
            </w:r>
          </w:p>
        </w:tc>
        <w:tc>
          <w:tcPr>
            <w:tcW w:w="534" w:type="pct"/>
            <w:tcBorders>
              <w:top w:val="nil"/>
              <w:left w:val="nil"/>
              <w:bottom w:val="single" w:sz="8" w:space="0" w:color="CCCCCC"/>
              <w:right w:val="single" w:sz="8" w:space="0" w:color="CCCCCC"/>
            </w:tcBorders>
            <w:shd w:val="clear" w:color="000000" w:fill="FFFFFF"/>
            <w:vAlign w:val="center"/>
            <w:hideMark/>
          </w:tcPr>
          <w:p w14:paraId="661D14FD"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04BB0F2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51D4FDDB"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1741B59F" w14:textId="332C9ECD"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Resorbable Scaffold (MRS)</w:t>
            </w:r>
          </w:p>
        </w:tc>
        <w:tc>
          <w:tcPr>
            <w:tcW w:w="438" w:type="pct"/>
            <w:tcBorders>
              <w:top w:val="nil"/>
              <w:left w:val="nil"/>
              <w:bottom w:val="single" w:sz="8" w:space="0" w:color="CCCCCC"/>
              <w:right w:val="single" w:sz="8" w:space="0" w:color="CCCCCC"/>
            </w:tcBorders>
            <w:shd w:val="clear" w:color="000000" w:fill="FFFFFF"/>
            <w:vAlign w:val="center"/>
            <w:hideMark/>
          </w:tcPr>
          <w:p w14:paraId="4EE155CD"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207</w:t>
            </w:r>
          </w:p>
        </w:tc>
        <w:tc>
          <w:tcPr>
            <w:tcW w:w="495" w:type="pct"/>
            <w:tcBorders>
              <w:top w:val="nil"/>
              <w:left w:val="nil"/>
              <w:bottom w:val="single" w:sz="8" w:space="0" w:color="CCCCCC"/>
              <w:right w:val="single" w:sz="8" w:space="0" w:color="CCCCCC"/>
            </w:tcBorders>
            <w:shd w:val="clear" w:color="000000" w:fill="FFFFFF"/>
            <w:vAlign w:val="center"/>
            <w:hideMark/>
          </w:tcPr>
          <w:p w14:paraId="35A5666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Italy</w:t>
            </w:r>
          </w:p>
        </w:tc>
        <w:tc>
          <w:tcPr>
            <w:tcW w:w="443" w:type="pct"/>
            <w:tcBorders>
              <w:top w:val="nil"/>
              <w:left w:val="nil"/>
              <w:bottom w:val="single" w:sz="8" w:space="0" w:color="CCCCCC"/>
              <w:right w:val="single" w:sz="8" w:space="0" w:color="CCCCCC"/>
            </w:tcBorders>
            <w:shd w:val="clear" w:color="000000" w:fill="FFFFFF"/>
            <w:vAlign w:val="center"/>
            <w:hideMark/>
          </w:tcPr>
          <w:p w14:paraId="25572BF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Stable </w:t>
            </w:r>
            <w:proofErr w:type="gramStart"/>
            <w:r w:rsidRPr="00FC08FE">
              <w:rPr>
                <w:rFonts w:ascii="Times New Roman" w:eastAsia="Times New Roman" w:hAnsi="Times New Roman" w:cs="Times New Roman"/>
                <w:sz w:val="20"/>
                <w:szCs w:val="20"/>
                <w:lang w:val="en" w:eastAsia="en-IN"/>
              </w:rPr>
              <w:t>angina</w:t>
            </w:r>
            <w:proofErr w:type="gramEnd"/>
            <w:r w:rsidRPr="00FC08FE">
              <w:rPr>
                <w:rFonts w:ascii="Times New Roman" w:eastAsia="Times New Roman" w:hAnsi="Times New Roman" w:cs="Times New Roman"/>
                <w:sz w:val="20"/>
                <w:szCs w:val="20"/>
                <w:lang w:val="en" w:eastAsia="en-IN"/>
              </w:rPr>
              <w:t xml:space="preserve"> and ACS</w:t>
            </w:r>
          </w:p>
        </w:tc>
        <w:tc>
          <w:tcPr>
            <w:tcW w:w="411" w:type="pct"/>
            <w:tcBorders>
              <w:top w:val="nil"/>
              <w:left w:val="nil"/>
              <w:bottom w:val="single" w:sz="8" w:space="0" w:color="CCCCCC"/>
              <w:right w:val="single" w:sz="8" w:space="0" w:color="CCCCCC"/>
            </w:tcBorders>
            <w:shd w:val="clear" w:color="000000" w:fill="FFFFFF"/>
            <w:vAlign w:val="center"/>
            <w:hideMark/>
          </w:tcPr>
          <w:p w14:paraId="1C3F017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and 2 years</w:t>
            </w:r>
          </w:p>
        </w:tc>
        <w:tc>
          <w:tcPr>
            <w:tcW w:w="571" w:type="pct"/>
            <w:tcBorders>
              <w:top w:val="nil"/>
              <w:left w:val="nil"/>
              <w:bottom w:val="single" w:sz="8" w:space="0" w:color="CCCCCC"/>
              <w:right w:val="single" w:sz="8" w:space="0" w:color="CCCCCC"/>
            </w:tcBorders>
            <w:shd w:val="clear" w:color="000000" w:fill="FFFFFF"/>
            <w:vAlign w:val="center"/>
            <w:hideMark/>
          </w:tcPr>
          <w:p w14:paraId="3829194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 (recommended)</w:t>
            </w:r>
          </w:p>
        </w:tc>
        <w:tc>
          <w:tcPr>
            <w:tcW w:w="522" w:type="pct"/>
            <w:tcBorders>
              <w:top w:val="nil"/>
              <w:left w:val="nil"/>
              <w:bottom w:val="single" w:sz="8" w:space="0" w:color="CCCCCC"/>
              <w:right w:val="single" w:sz="8" w:space="0" w:color="000000"/>
            </w:tcBorders>
            <w:shd w:val="clear" w:color="000000" w:fill="FFFFFF"/>
            <w:vAlign w:val="center"/>
            <w:hideMark/>
          </w:tcPr>
          <w:p w14:paraId="1BBBEF8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Angiography, OCT, IVUS</w:t>
            </w:r>
          </w:p>
        </w:tc>
      </w:tr>
      <w:tr w:rsidR="003F77E0" w:rsidRPr="00FC08FE" w14:paraId="32E7C545"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4D4B307E"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Galli 2023</w:t>
            </w:r>
          </w:p>
        </w:tc>
        <w:tc>
          <w:tcPr>
            <w:tcW w:w="534" w:type="pct"/>
            <w:tcBorders>
              <w:top w:val="nil"/>
              <w:left w:val="nil"/>
              <w:bottom w:val="single" w:sz="8" w:space="0" w:color="CCCCCC"/>
              <w:right w:val="single" w:sz="8" w:space="0" w:color="CCCCCC"/>
            </w:tcBorders>
            <w:shd w:val="clear" w:color="000000" w:fill="FFFFFF"/>
            <w:vAlign w:val="center"/>
            <w:hideMark/>
          </w:tcPr>
          <w:p w14:paraId="58902432"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2CC9648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3B9C5930"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4521C0F8" w14:textId="2F53C43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Sirolimus-eluting magnesium resorbable scaffold (MRS)</w:t>
            </w:r>
          </w:p>
        </w:tc>
        <w:tc>
          <w:tcPr>
            <w:tcW w:w="438" w:type="pct"/>
            <w:tcBorders>
              <w:top w:val="nil"/>
              <w:left w:val="nil"/>
              <w:bottom w:val="single" w:sz="8" w:space="0" w:color="CCCCCC"/>
              <w:right w:val="single" w:sz="8" w:space="0" w:color="CCCCCC"/>
            </w:tcBorders>
            <w:shd w:val="clear" w:color="000000" w:fill="FFFFFF"/>
            <w:vAlign w:val="center"/>
            <w:hideMark/>
          </w:tcPr>
          <w:p w14:paraId="3AF4B99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207 (1-yr: 202, 2-yr: 192)</w:t>
            </w:r>
          </w:p>
        </w:tc>
        <w:tc>
          <w:tcPr>
            <w:tcW w:w="495" w:type="pct"/>
            <w:tcBorders>
              <w:top w:val="nil"/>
              <w:left w:val="nil"/>
              <w:bottom w:val="single" w:sz="8" w:space="0" w:color="CCCCCC"/>
              <w:right w:val="single" w:sz="8" w:space="0" w:color="CCCCCC"/>
            </w:tcBorders>
            <w:shd w:val="clear" w:color="000000" w:fill="FFFFFF"/>
            <w:vAlign w:val="center"/>
            <w:hideMark/>
          </w:tcPr>
          <w:p w14:paraId="5980CB5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Italy</w:t>
            </w:r>
          </w:p>
        </w:tc>
        <w:tc>
          <w:tcPr>
            <w:tcW w:w="443" w:type="pct"/>
            <w:tcBorders>
              <w:top w:val="nil"/>
              <w:left w:val="nil"/>
              <w:bottom w:val="single" w:sz="8" w:space="0" w:color="CCCCCC"/>
              <w:right w:val="single" w:sz="8" w:space="0" w:color="CCCCCC"/>
            </w:tcBorders>
            <w:shd w:val="clear" w:color="000000" w:fill="FFFFFF"/>
            <w:vAlign w:val="center"/>
            <w:hideMark/>
          </w:tcPr>
          <w:p w14:paraId="3D05C19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Stable CAD 145, ACS 62</w:t>
            </w:r>
          </w:p>
        </w:tc>
        <w:tc>
          <w:tcPr>
            <w:tcW w:w="411" w:type="pct"/>
            <w:tcBorders>
              <w:top w:val="nil"/>
              <w:left w:val="nil"/>
              <w:bottom w:val="single" w:sz="8" w:space="0" w:color="CCCCCC"/>
              <w:right w:val="single" w:sz="8" w:space="0" w:color="CCCCCC"/>
            </w:tcBorders>
            <w:shd w:val="clear" w:color="000000" w:fill="FFFFFF"/>
            <w:vAlign w:val="center"/>
            <w:hideMark/>
          </w:tcPr>
          <w:p w14:paraId="20E18B4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and 2 years</w:t>
            </w:r>
          </w:p>
        </w:tc>
        <w:tc>
          <w:tcPr>
            <w:tcW w:w="571" w:type="pct"/>
            <w:tcBorders>
              <w:top w:val="nil"/>
              <w:left w:val="nil"/>
              <w:bottom w:val="single" w:sz="8" w:space="0" w:color="CCCCCC"/>
              <w:right w:val="single" w:sz="8" w:space="0" w:color="CCCCCC"/>
            </w:tcBorders>
            <w:shd w:val="clear" w:color="000000" w:fill="FFFFFF"/>
            <w:vAlign w:val="center"/>
            <w:hideMark/>
          </w:tcPr>
          <w:p w14:paraId="07A954E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1-yr: 95%; 2-yr: 8%</w:t>
            </w:r>
          </w:p>
        </w:tc>
        <w:tc>
          <w:tcPr>
            <w:tcW w:w="522" w:type="pct"/>
            <w:tcBorders>
              <w:top w:val="nil"/>
              <w:left w:val="nil"/>
              <w:bottom w:val="single" w:sz="8" w:space="0" w:color="CCCCCC"/>
              <w:right w:val="single" w:sz="8" w:space="0" w:color="000000"/>
            </w:tcBorders>
            <w:shd w:val="clear" w:color="000000" w:fill="FFFFFF"/>
            <w:vAlign w:val="center"/>
            <w:hideMark/>
          </w:tcPr>
          <w:p w14:paraId="062ACC2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Angio (55%), IVUS (21%), OCT (23%)</w:t>
            </w:r>
          </w:p>
        </w:tc>
      </w:tr>
      <w:tr w:rsidR="003F77E0" w:rsidRPr="00FC08FE" w14:paraId="5837E0C8"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0087C9A1"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Wlodarczak</w:t>
            </w:r>
            <w:proofErr w:type="spellEnd"/>
            <w:r w:rsidRPr="00FC08FE">
              <w:rPr>
                <w:rFonts w:ascii="Times New Roman" w:eastAsia="Times New Roman" w:hAnsi="Times New Roman" w:cs="Times New Roman"/>
                <w:b/>
                <w:bCs/>
                <w:sz w:val="20"/>
                <w:szCs w:val="20"/>
                <w:lang w:val="en" w:eastAsia="en-IN"/>
              </w:rPr>
              <w:t xml:space="preserve"> 2018</w:t>
            </w:r>
          </w:p>
        </w:tc>
        <w:tc>
          <w:tcPr>
            <w:tcW w:w="534" w:type="pct"/>
            <w:tcBorders>
              <w:top w:val="nil"/>
              <w:left w:val="nil"/>
              <w:bottom w:val="single" w:sz="8" w:space="0" w:color="CCCCCC"/>
              <w:right w:val="single" w:sz="8" w:space="0" w:color="CCCCCC"/>
            </w:tcBorders>
            <w:shd w:val="clear" w:color="000000" w:fill="FFFFFF"/>
            <w:vAlign w:val="center"/>
            <w:hideMark/>
          </w:tcPr>
          <w:p w14:paraId="744EC5A1"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0D00AEC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6D8F1EAE"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6E3D958E" w14:textId="7A320FA5"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Sirolimus-eluting bioresorbable metallic magnesium scaffold (BRS)</w:t>
            </w:r>
          </w:p>
        </w:tc>
        <w:tc>
          <w:tcPr>
            <w:tcW w:w="438" w:type="pct"/>
            <w:tcBorders>
              <w:top w:val="nil"/>
              <w:left w:val="nil"/>
              <w:bottom w:val="single" w:sz="8" w:space="0" w:color="CCCCCC"/>
              <w:right w:val="single" w:sz="8" w:space="0" w:color="CCCCCC"/>
            </w:tcBorders>
            <w:shd w:val="clear" w:color="000000" w:fill="FFFFFF"/>
            <w:vAlign w:val="center"/>
            <w:hideMark/>
          </w:tcPr>
          <w:p w14:paraId="4B9F4832"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50</w:t>
            </w:r>
          </w:p>
        </w:tc>
        <w:tc>
          <w:tcPr>
            <w:tcW w:w="495" w:type="pct"/>
            <w:tcBorders>
              <w:top w:val="nil"/>
              <w:left w:val="nil"/>
              <w:bottom w:val="single" w:sz="8" w:space="0" w:color="CCCCCC"/>
              <w:right w:val="single" w:sz="8" w:space="0" w:color="CCCCCC"/>
            </w:tcBorders>
            <w:shd w:val="clear" w:color="000000" w:fill="FFFFFF"/>
            <w:vAlign w:val="center"/>
            <w:hideMark/>
          </w:tcPr>
          <w:p w14:paraId="38A1775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Poland</w:t>
            </w:r>
          </w:p>
        </w:tc>
        <w:tc>
          <w:tcPr>
            <w:tcW w:w="443" w:type="pct"/>
            <w:tcBorders>
              <w:top w:val="nil"/>
              <w:left w:val="nil"/>
              <w:bottom w:val="single" w:sz="8" w:space="0" w:color="CCCCCC"/>
              <w:right w:val="single" w:sz="8" w:space="0" w:color="CCCCCC"/>
            </w:tcBorders>
            <w:shd w:val="clear" w:color="000000" w:fill="FFFFFF"/>
            <w:vAlign w:val="center"/>
            <w:hideMark/>
          </w:tcPr>
          <w:p w14:paraId="256B070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(NSTE-ACS)</w:t>
            </w:r>
          </w:p>
        </w:tc>
        <w:tc>
          <w:tcPr>
            <w:tcW w:w="411" w:type="pct"/>
            <w:tcBorders>
              <w:top w:val="nil"/>
              <w:left w:val="nil"/>
              <w:bottom w:val="single" w:sz="8" w:space="0" w:color="CCCCCC"/>
              <w:right w:val="single" w:sz="8" w:space="0" w:color="CCCCCC"/>
            </w:tcBorders>
            <w:shd w:val="clear" w:color="000000" w:fill="FFFFFF"/>
            <w:vAlign w:val="center"/>
            <w:hideMark/>
          </w:tcPr>
          <w:p w14:paraId="15F9CF5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30 days and 6 months</w:t>
            </w:r>
          </w:p>
        </w:tc>
        <w:tc>
          <w:tcPr>
            <w:tcW w:w="571" w:type="pct"/>
            <w:tcBorders>
              <w:top w:val="nil"/>
              <w:left w:val="nil"/>
              <w:bottom w:val="single" w:sz="8" w:space="0" w:color="CCCCCC"/>
              <w:right w:val="single" w:sz="8" w:space="0" w:color="CCCCCC"/>
            </w:tcBorders>
            <w:shd w:val="clear" w:color="000000" w:fill="FFFFFF"/>
            <w:vAlign w:val="center"/>
            <w:hideMark/>
          </w:tcPr>
          <w:p w14:paraId="2B942C1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color w:val="000000"/>
                <w:sz w:val="20"/>
                <w:szCs w:val="20"/>
                <w:lang w:val="en" w:eastAsia="en-IN"/>
              </w:rPr>
              <w:t>≥12 months</w:t>
            </w:r>
          </w:p>
        </w:tc>
        <w:tc>
          <w:tcPr>
            <w:tcW w:w="522" w:type="pct"/>
            <w:tcBorders>
              <w:top w:val="nil"/>
              <w:left w:val="nil"/>
              <w:bottom w:val="single" w:sz="8" w:space="0" w:color="CCCCCC"/>
              <w:right w:val="single" w:sz="8" w:space="0" w:color="CCCCCC"/>
            </w:tcBorders>
            <w:shd w:val="clear" w:color="000000" w:fill="FFFFFF"/>
            <w:vAlign w:val="center"/>
            <w:hideMark/>
          </w:tcPr>
          <w:p w14:paraId="6E6C9FB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w:t>
            </w:r>
          </w:p>
        </w:tc>
      </w:tr>
      <w:tr w:rsidR="003F77E0" w:rsidRPr="00FC08FE" w14:paraId="18A83418"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2B74693"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Hemptinne</w:t>
            </w:r>
            <w:proofErr w:type="spellEnd"/>
            <w:r w:rsidRPr="00FC08FE">
              <w:rPr>
                <w:rFonts w:ascii="Times New Roman" w:eastAsia="Times New Roman" w:hAnsi="Times New Roman" w:cs="Times New Roman"/>
                <w:b/>
                <w:bCs/>
                <w:sz w:val="20"/>
                <w:szCs w:val="20"/>
                <w:lang w:val="en" w:eastAsia="en-IN"/>
              </w:rPr>
              <w:t xml:space="preserve"> 2022</w:t>
            </w:r>
          </w:p>
        </w:tc>
        <w:tc>
          <w:tcPr>
            <w:tcW w:w="534" w:type="pct"/>
            <w:tcBorders>
              <w:top w:val="nil"/>
              <w:left w:val="nil"/>
              <w:bottom w:val="single" w:sz="8" w:space="0" w:color="CCCCCC"/>
              <w:right w:val="single" w:sz="8" w:space="0" w:color="CCCCCC"/>
            </w:tcBorders>
            <w:shd w:val="clear" w:color="000000" w:fill="FFFFFF"/>
            <w:vAlign w:val="center"/>
            <w:hideMark/>
          </w:tcPr>
          <w:p w14:paraId="7C1B6125"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416AD07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p>
        </w:tc>
        <w:tc>
          <w:tcPr>
            <w:tcW w:w="118" w:type="pct"/>
            <w:tcBorders>
              <w:top w:val="nil"/>
              <w:left w:val="nil"/>
              <w:bottom w:val="single" w:sz="8" w:space="0" w:color="CCCCCC"/>
              <w:right w:val="nil"/>
            </w:tcBorders>
            <w:shd w:val="clear" w:color="000000" w:fill="FFFFFF"/>
          </w:tcPr>
          <w:p w14:paraId="521EB8FC"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39CB263D" w14:textId="26C441D8"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Resorbable magnesium scaffold – sirolimus-eluting BRS</w:t>
            </w:r>
          </w:p>
        </w:tc>
        <w:tc>
          <w:tcPr>
            <w:tcW w:w="438" w:type="pct"/>
            <w:tcBorders>
              <w:top w:val="nil"/>
              <w:left w:val="nil"/>
              <w:bottom w:val="single" w:sz="8" w:space="0" w:color="CCCCCC"/>
              <w:right w:val="single" w:sz="8" w:space="0" w:color="CCCCCC"/>
            </w:tcBorders>
            <w:shd w:val="clear" w:color="000000" w:fill="FFFFFF"/>
            <w:vAlign w:val="center"/>
            <w:hideMark/>
          </w:tcPr>
          <w:p w14:paraId="4186CBED"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30</w:t>
            </w:r>
          </w:p>
        </w:tc>
        <w:tc>
          <w:tcPr>
            <w:tcW w:w="495" w:type="pct"/>
            <w:tcBorders>
              <w:top w:val="nil"/>
              <w:left w:val="nil"/>
              <w:bottom w:val="single" w:sz="8" w:space="0" w:color="CCCCCC"/>
              <w:right w:val="single" w:sz="8" w:space="0" w:color="CCCCCC"/>
            </w:tcBorders>
            <w:shd w:val="clear" w:color="000000" w:fill="FFFFFF"/>
            <w:vAlign w:val="center"/>
            <w:hideMark/>
          </w:tcPr>
          <w:p w14:paraId="6B4A0DC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Belgium</w:t>
            </w:r>
          </w:p>
        </w:tc>
        <w:tc>
          <w:tcPr>
            <w:tcW w:w="443" w:type="pct"/>
            <w:tcBorders>
              <w:top w:val="nil"/>
              <w:left w:val="nil"/>
              <w:bottom w:val="single" w:sz="8" w:space="0" w:color="CCCCCC"/>
              <w:right w:val="single" w:sz="8" w:space="0" w:color="CCCCCC"/>
            </w:tcBorders>
            <w:shd w:val="clear" w:color="000000" w:fill="FFFFFF"/>
            <w:vAlign w:val="center"/>
            <w:hideMark/>
          </w:tcPr>
          <w:p w14:paraId="13004EF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STEMI (ACS)</w:t>
            </w:r>
          </w:p>
        </w:tc>
        <w:tc>
          <w:tcPr>
            <w:tcW w:w="411" w:type="pct"/>
            <w:tcBorders>
              <w:top w:val="nil"/>
              <w:left w:val="nil"/>
              <w:bottom w:val="single" w:sz="8" w:space="0" w:color="CCCCCC"/>
              <w:right w:val="single" w:sz="8" w:space="0" w:color="CCCCCC"/>
            </w:tcBorders>
            <w:shd w:val="clear" w:color="000000" w:fill="FFFFFF"/>
            <w:vAlign w:val="center"/>
            <w:hideMark/>
          </w:tcPr>
          <w:p w14:paraId="0DE2E76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54D4035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CCCCCC"/>
            </w:tcBorders>
            <w:shd w:val="clear" w:color="000000" w:fill="FFFFFF"/>
            <w:vAlign w:val="center"/>
            <w:hideMark/>
          </w:tcPr>
          <w:p w14:paraId="64908E1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w:t>
            </w:r>
          </w:p>
        </w:tc>
      </w:tr>
      <w:tr w:rsidR="003F77E0" w:rsidRPr="00FC08FE" w14:paraId="38268A81"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07E33C7D"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Yoon 2023</w:t>
            </w:r>
          </w:p>
        </w:tc>
        <w:tc>
          <w:tcPr>
            <w:tcW w:w="534" w:type="pct"/>
            <w:tcBorders>
              <w:top w:val="nil"/>
              <w:left w:val="nil"/>
              <w:bottom w:val="single" w:sz="8" w:space="0" w:color="CCCCCC"/>
              <w:right w:val="single" w:sz="8" w:space="0" w:color="CCCCCC"/>
            </w:tcBorders>
            <w:shd w:val="clear" w:color="000000" w:fill="FFFFFF"/>
            <w:vAlign w:val="center"/>
            <w:hideMark/>
          </w:tcPr>
          <w:p w14:paraId="33942AA1"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5634243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(BP-SES) vs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(BP-BES)</w:t>
            </w:r>
          </w:p>
        </w:tc>
        <w:tc>
          <w:tcPr>
            <w:tcW w:w="118" w:type="pct"/>
            <w:tcBorders>
              <w:top w:val="nil"/>
              <w:left w:val="nil"/>
              <w:bottom w:val="single" w:sz="8" w:space="0" w:color="CCCCCC"/>
              <w:right w:val="nil"/>
            </w:tcBorders>
            <w:shd w:val="clear" w:color="000000" w:fill="FFFFFF"/>
          </w:tcPr>
          <w:p w14:paraId="03381BAA"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295D9DD5" w14:textId="2CDBB193"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Ultrathin-strut BP sirolimus-eluting stent vs thick-strut BP </w:t>
            </w:r>
            <w:proofErr w:type="spellStart"/>
            <w:r w:rsidRPr="00FC08FE">
              <w:rPr>
                <w:rFonts w:ascii="Times New Roman" w:eastAsia="Times New Roman" w:hAnsi="Times New Roman" w:cs="Times New Roman"/>
                <w:sz w:val="20"/>
                <w:szCs w:val="20"/>
                <w:lang w:val="en" w:eastAsia="en-IN"/>
              </w:rPr>
              <w:t>biolimus</w:t>
            </w:r>
            <w:proofErr w:type="spellEnd"/>
            <w:r w:rsidRPr="00FC08FE">
              <w:rPr>
                <w:rFonts w:ascii="Times New Roman" w:eastAsia="Times New Roman" w:hAnsi="Times New Roman" w:cs="Times New Roman"/>
                <w:sz w:val="20"/>
                <w:szCs w:val="20"/>
                <w:lang w:val="en" w:eastAsia="en-IN"/>
              </w:rPr>
              <w:t>-eluting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077CBE0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2,341 (BP-SES 1,175; BP-BES 1,166)</w:t>
            </w:r>
          </w:p>
        </w:tc>
        <w:tc>
          <w:tcPr>
            <w:tcW w:w="495" w:type="pct"/>
            <w:tcBorders>
              <w:top w:val="nil"/>
              <w:left w:val="nil"/>
              <w:bottom w:val="single" w:sz="8" w:space="0" w:color="CCCCCC"/>
              <w:right w:val="single" w:sz="8" w:space="0" w:color="CCCCCC"/>
            </w:tcBorders>
            <w:shd w:val="clear" w:color="000000" w:fill="FFFFFF"/>
            <w:vAlign w:val="center"/>
            <w:hideMark/>
          </w:tcPr>
          <w:p w14:paraId="579327F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Korea</w:t>
            </w:r>
          </w:p>
        </w:tc>
        <w:tc>
          <w:tcPr>
            <w:tcW w:w="443" w:type="pct"/>
            <w:tcBorders>
              <w:top w:val="nil"/>
              <w:left w:val="nil"/>
              <w:bottom w:val="single" w:sz="8" w:space="0" w:color="CCCCCC"/>
              <w:right w:val="single" w:sz="8" w:space="0" w:color="CCCCCC"/>
            </w:tcBorders>
            <w:shd w:val="clear" w:color="000000" w:fill="FFFFFF"/>
            <w:vAlign w:val="center"/>
            <w:hideMark/>
          </w:tcPr>
          <w:p w14:paraId="4370767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Mixed: ACS 67.3%, Stable CAD 27.6%, Silent ischemia 5.2%</w:t>
            </w:r>
          </w:p>
        </w:tc>
        <w:tc>
          <w:tcPr>
            <w:tcW w:w="411" w:type="pct"/>
            <w:tcBorders>
              <w:top w:val="nil"/>
              <w:left w:val="nil"/>
              <w:bottom w:val="single" w:sz="8" w:space="0" w:color="CCCCCC"/>
              <w:right w:val="single" w:sz="8" w:space="0" w:color="CCCCCC"/>
            </w:tcBorders>
            <w:shd w:val="clear" w:color="000000" w:fill="FFFFFF"/>
            <w:vAlign w:val="center"/>
            <w:hideMark/>
          </w:tcPr>
          <w:p w14:paraId="4C7D56E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 years</w:t>
            </w:r>
          </w:p>
        </w:tc>
        <w:tc>
          <w:tcPr>
            <w:tcW w:w="571" w:type="pct"/>
            <w:tcBorders>
              <w:top w:val="nil"/>
              <w:left w:val="nil"/>
              <w:bottom w:val="single" w:sz="8" w:space="0" w:color="CCCCCC"/>
              <w:right w:val="single" w:sz="8" w:space="0" w:color="CCCCCC"/>
            </w:tcBorders>
            <w:shd w:val="clear" w:color="000000" w:fill="FFFFFF"/>
            <w:vAlign w:val="center"/>
            <w:hideMark/>
          </w:tcPr>
          <w:p w14:paraId="7F7B7AB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color w:val="000000"/>
                <w:sz w:val="20"/>
                <w:szCs w:val="20"/>
                <w:lang w:val="en" w:eastAsia="en-IN"/>
              </w:rPr>
              <w:t>≥12 months (~30% beyond 3 yrs)</w:t>
            </w:r>
          </w:p>
        </w:tc>
        <w:tc>
          <w:tcPr>
            <w:tcW w:w="522" w:type="pct"/>
            <w:tcBorders>
              <w:top w:val="nil"/>
              <w:left w:val="nil"/>
              <w:bottom w:val="single" w:sz="8" w:space="0" w:color="CCCCCC"/>
              <w:right w:val="single" w:sz="8" w:space="0" w:color="000000"/>
            </w:tcBorders>
            <w:shd w:val="clear" w:color="000000" w:fill="FFFFFF"/>
            <w:vAlign w:val="center"/>
            <w:hideMark/>
          </w:tcPr>
          <w:p w14:paraId="3F1F8B0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IVUS/OCT in 23% of lesions</w:t>
            </w:r>
          </w:p>
        </w:tc>
      </w:tr>
      <w:tr w:rsidR="003F77E0" w:rsidRPr="00FC08FE" w14:paraId="37AC190A"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99C385A"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Yoon 2021</w:t>
            </w:r>
          </w:p>
        </w:tc>
        <w:tc>
          <w:tcPr>
            <w:tcW w:w="534" w:type="pct"/>
            <w:tcBorders>
              <w:top w:val="nil"/>
              <w:left w:val="nil"/>
              <w:bottom w:val="single" w:sz="8" w:space="0" w:color="CCCCCC"/>
              <w:right w:val="single" w:sz="8" w:space="0" w:color="CCCCCC"/>
            </w:tcBorders>
            <w:shd w:val="clear" w:color="000000" w:fill="FFFFFF"/>
            <w:vAlign w:val="center"/>
            <w:hideMark/>
          </w:tcPr>
          <w:p w14:paraId="392AA51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340C5FB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(BP-SES) vs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(BP-BES)</w:t>
            </w:r>
          </w:p>
        </w:tc>
        <w:tc>
          <w:tcPr>
            <w:tcW w:w="118" w:type="pct"/>
            <w:tcBorders>
              <w:top w:val="nil"/>
              <w:left w:val="nil"/>
              <w:bottom w:val="single" w:sz="8" w:space="0" w:color="CCCCCC"/>
              <w:right w:val="nil"/>
            </w:tcBorders>
            <w:shd w:val="clear" w:color="000000" w:fill="FFFFFF"/>
          </w:tcPr>
          <w:p w14:paraId="2A2ED61A"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9C19D37" w14:textId="1D92F788"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Thin-strut BP sirolimus-eluting stent vs thick-strut BP </w:t>
            </w:r>
            <w:proofErr w:type="spellStart"/>
            <w:r w:rsidRPr="00FC08FE">
              <w:rPr>
                <w:rFonts w:ascii="Times New Roman" w:eastAsia="Times New Roman" w:hAnsi="Times New Roman" w:cs="Times New Roman"/>
                <w:sz w:val="20"/>
                <w:szCs w:val="20"/>
                <w:lang w:val="en" w:eastAsia="en-IN"/>
              </w:rPr>
              <w:t>biolimus</w:t>
            </w:r>
            <w:proofErr w:type="spellEnd"/>
            <w:r w:rsidRPr="00FC08FE">
              <w:rPr>
                <w:rFonts w:ascii="Times New Roman" w:eastAsia="Times New Roman" w:hAnsi="Times New Roman" w:cs="Times New Roman"/>
                <w:sz w:val="20"/>
                <w:szCs w:val="20"/>
                <w:lang w:val="en" w:eastAsia="en-IN"/>
              </w:rPr>
              <w:t>-eluting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73B932B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2,341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1,166; </w:t>
            </w: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1,175)</w:t>
            </w:r>
          </w:p>
        </w:tc>
        <w:tc>
          <w:tcPr>
            <w:tcW w:w="495" w:type="pct"/>
            <w:tcBorders>
              <w:top w:val="nil"/>
              <w:left w:val="nil"/>
              <w:bottom w:val="single" w:sz="8" w:space="0" w:color="CCCCCC"/>
              <w:right w:val="single" w:sz="8" w:space="0" w:color="CCCCCC"/>
            </w:tcBorders>
            <w:shd w:val="clear" w:color="000000" w:fill="FFFFFF"/>
            <w:vAlign w:val="center"/>
            <w:hideMark/>
          </w:tcPr>
          <w:p w14:paraId="22DBEB0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Korea</w:t>
            </w:r>
          </w:p>
        </w:tc>
        <w:tc>
          <w:tcPr>
            <w:tcW w:w="443" w:type="pct"/>
            <w:tcBorders>
              <w:top w:val="nil"/>
              <w:left w:val="nil"/>
              <w:bottom w:val="single" w:sz="8" w:space="0" w:color="CCCCCC"/>
              <w:right w:val="single" w:sz="8" w:space="0" w:color="CCCCCC"/>
            </w:tcBorders>
            <w:shd w:val="clear" w:color="000000" w:fill="FFFFFF"/>
            <w:vAlign w:val="center"/>
            <w:hideMark/>
          </w:tcPr>
          <w:p w14:paraId="69D537B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67.3%, Stable CAD 32.7%</w:t>
            </w:r>
          </w:p>
        </w:tc>
        <w:tc>
          <w:tcPr>
            <w:tcW w:w="411" w:type="pct"/>
            <w:tcBorders>
              <w:top w:val="nil"/>
              <w:left w:val="nil"/>
              <w:bottom w:val="single" w:sz="8" w:space="0" w:color="CCCCCC"/>
              <w:right w:val="single" w:sz="8" w:space="0" w:color="CCCCCC"/>
            </w:tcBorders>
            <w:shd w:val="clear" w:color="000000" w:fill="FFFFFF"/>
            <w:vAlign w:val="center"/>
            <w:hideMark/>
          </w:tcPr>
          <w:p w14:paraId="33C6B00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18 months</w:t>
            </w:r>
          </w:p>
        </w:tc>
        <w:tc>
          <w:tcPr>
            <w:tcW w:w="571" w:type="pct"/>
            <w:tcBorders>
              <w:top w:val="nil"/>
              <w:left w:val="nil"/>
              <w:bottom w:val="single" w:sz="8" w:space="0" w:color="CCCCCC"/>
              <w:right w:val="single" w:sz="8" w:space="0" w:color="CCCCCC"/>
            </w:tcBorders>
            <w:shd w:val="clear" w:color="000000" w:fill="FFFFFF"/>
            <w:vAlign w:val="center"/>
            <w:hideMark/>
          </w:tcPr>
          <w:p w14:paraId="685C133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Recommended 6 months; ~18% still on DAPT at 1 year</w:t>
            </w:r>
          </w:p>
        </w:tc>
        <w:tc>
          <w:tcPr>
            <w:tcW w:w="522" w:type="pct"/>
            <w:tcBorders>
              <w:top w:val="nil"/>
              <w:left w:val="nil"/>
              <w:bottom w:val="single" w:sz="8" w:space="0" w:color="CCCCCC"/>
              <w:right w:val="single" w:sz="8" w:space="0" w:color="000000"/>
            </w:tcBorders>
            <w:shd w:val="clear" w:color="000000" w:fill="FFFFFF"/>
            <w:vAlign w:val="center"/>
            <w:hideMark/>
          </w:tcPr>
          <w:p w14:paraId="2F5A564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Conventional coronary angiography</w:t>
            </w:r>
          </w:p>
        </w:tc>
      </w:tr>
      <w:tr w:rsidR="003F77E0" w:rsidRPr="00FC08FE" w14:paraId="7C466723"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60496029"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De Marzo 2020</w:t>
            </w:r>
          </w:p>
        </w:tc>
        <w:tc>
          <w:tcPr>
            <w:tcW w:w="534" w:type="pct"/>
            <w:tcBorders>
              <w:top w:val="nil"/>
              <w:left w:val="nil"/>
              <w:bottom w:val="single" w:sz="8" w:space="0" w:color="CCCCCC"/>
              <w:right w:val="single" w:sz="8" w:space="0" w:color="CCCCCC"/>
            </w:tcBorders>
            <w:shd w:val="clear" w:color="000000" w:fill="FFFFFF"/>
            <w:vAlign w:val="center"/>
            <w:hideMark/>
          </w:tcPr>
          <w:p w14:paraId="79FAE254"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28C99DC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p>
        </w:tc>
        <w:tc>
          <w:tcPr>
            <w:tcW w:w="118" w:type="pct"/>
            <w:tcBorders>
              <w:top w:val="nil"/>
              <w:left w:val="nil"/>
              <w:bottom w:val="single" w:sz="8" w:space="0" w:color="CCCCCC"/>
              <w:right w:val="nil"/>
            </w:tcBorders>
            <w:shd w:val="clear" w:color="000000" w:fill="FFFFFF"/>
          </w:tcPr>
          <w:p w14:paraId="2995C7D5"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9B61562" w14:textId="3C83DBD8"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ultrathin-strut biodegradable-</w:t>
            </w:r>
            <w:r w:rsidRPr="00FC08FE">
              <w:rPr>
                <w:rFonts w:ascii="Times New Roman" w:eastAsia="Times New Roman" w:hAnsi="Times New Roman" w:cs="Times New Roman"/>
                <w:sz w:val="20"/>
                <w:szCs w:val="20"/>
                <w:lang w:val="en" w:eastAsia="en-IN"/>
              </w:rPr>
              <w:lastRenderedPageBreak/>
              <w:t>polymer DES</w:t>
            </w:r>
          </w:p>
        </w:tc>
        <w:tc>
          <w:tcPr>
            <w:tcW w:w="438" w:type="pct"/>
            <w:tcBorders>
              <w:top w:val="nil"/>
              <w:left w:val="nil"/>
              <w:bottom w:val="single" w:sz="8" w:space="0" w:color="CCCCCC"/>
              <w:right w:val="single" w:sz="8" w:space="0" w:color="CCCCCC"/>
            </w:tcBorders>
            <w:shd w:val="clear" w:color="000000" w:fill="FFFFFF"/>
            <w:vAlign w:val="center"/>
            <w:hideMark/>
          </w:tcPr>
          <w:p w14:paraId="395F3EBF"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lastRenderedPageBreak/>
              <w:t>353</w:t>
            </w:r>
          </w:p>
        </w:tc>
        <w:tc>
          <w:tcPr>
            <w:tcW w:w="495" w:type="pct"/>
            <w:tcBorders>
              <w:top w:val="nil"/>
              <w:left w:val="nil"/>
              <w:bottom w:val="single" w:sz="8" w:space="0" w:color="CCCCCC"/>
              <w:right w:val="single" w:sz="8" w:space="0" w:color="CCCCCC"/>
            </w:tcBorders>
            <w:shd w:val="clear" w:color="000000" w:fill="FFFFFF"/>
            <w:vAlign w:val="center"/>
            <w:hideMark/>
          </w:tcPr>
          <w:p w14:paraId="15F6FFA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Italy</w:t>
            </w:r>
          </w:p>
        </w:tc>
        <w:tc>
          <w:tcPr>
            <w:tcW w:w="443" w:type="pct"/>
            <w:tcBorders>
              <w:top w:val="nil"/>
              <w:left w:val="nil"/>
              <w:bottom w:val="single" w:sz="8" w:space="0" w:color="CCCCCC"/>
              <w:right w:val="single" w:sz="8" w:space="0" w:color="CCCCCC"/>
            </w:tcBorders>
            <w:shd w:val="clear" w:color="000000" w:fill="FFFFFF"/>
            <w:vAlign w:val="center"/>
            <w:hideMark/>
          </w:tcPr>
          <w:p w14:paraId="3FBB64F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STEMI (100% ACS)</w:t>
            </w:r>
          </w:p>
        </w:tc>
        <w:tc>
          <w:tcPr>
            <w:tcW w:w="411" w:type="pct"/>
            <w:tcBorders>
              <w:top w:val="nil"/>
              <w:left w:val="nil"/>
              <w:bottom w:val="single" w:sz="8" w:space="0" w:color="CCCCCC"/>
              <w:right w:val="single" w:sz="8" w:space="0" w:color="CCCCCC"/>
            </w:tcBorders>
            <w:shd w:val="clear" w:color="000000" w:fill="FFFFFF"/>
            <w:vAlign w:val="center"/>
            <w:hideMark/>
          </w:tcPr>
          <w:p w14:paraId="131D3EC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 (mean 20.2 months)</w:t>
            </w:r>
          </w:p>
        </w:tc>
        <w:tc>
          <w:tcPr>
            <w:tcW w:w="571" w:type="pct"/>
            <w:tcBorders>
              <w:top w:val="nil"/>
              <w:left w:val="nil"/>
              <w:bottom w:val="single" w:sz="8" w:space="0" w:color="CCCCCC"/>
              <w:right w:val="single" w:sz="8" w:space="0" w:color="CCCCCC"/>
            </w:tcBorders>
            <w:shd w:val="clear" w:color="000000" w:fill="FFFFFF"/>
            <w:vAlign w:val="center"/>
            <w:hideMark/>
          </w:tcPr>
          <w:p w14:paraId="63FD68F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22" w:type="pct"/>
            <w:tcBorders>
              <w:top w:val="nil"/>
              <w:left w:val="nil"/>
              <w:bottom w:val="single" w:sz="8" w:space="0" w:color="CCCCCC"/>
              <w:right w:val="single" w:sz="8" w:space="0" w:color="CCCCCC"/>
            </w:tcBorders>
            <w:shd w:val="clear" w:color="000000" w:fill="FFFFFF"/>
            <w:vAlign w:val="center"/>
            <w:hideMark/>
          </w:tcPr>
          <w:p w14:paraId="0BB00F4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Angiography</w:t>
            </w:r>
          </w:p>
        </w:tc>
      </w:tr>
      <w:tr w:rsidR="003F77E0" w:rsidRPr="00FC08FE" w14:paraId="1DF16C36"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3EF95D6"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Bartorelli</w:t>
            </w:r>
            <w:proofErr w:type="spellEnd"/>
            <w:r w:rsidRPr="00FC08FE">
              <w:rPr>
                <w:rFonts w:ascii="Times New Roman" w:eastAsia="Times New Roman" w:hAnsi="Times New Roman" w:cs="Times New Roman"/>
                <w:b/>
                <w:bCs/>
                <w:sz w:val="20"/>
                <w:szCs w:val="20"/>
                <w:lang w:val="en" w:eastAsia="en-IN"/>
              </w:rPr>
              <w:t xml:space="preserve"> 2019</w:t>
            </w:r>
          </w:p>
        </w:tc>
        <w:tc>
          <w:tcPr>
            <w:tcW w:w="534" w:type="pct"/>
            <w:tcBorders>
              <w:top w:val="nil"/>
              <w:left w:val="nil"/>
              <w:bottom w:val="single" w:sz="8" w:space="0" w:color="CCCCCC"/>
              <w:right w:val="single" w:sz="8" w:space="0" w:color="CCCCCC"/>
            </w:tcBorders>
            <w:shd w:val="clear" w:color="000000" w:fill="FFFFFF"/>
            <w:vAlign w:val="center"/>
            <w:hideMark/>
          </w:tcPr>
          <w:p w14:paraId="095410C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79147A8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p>
        </w:tc>
        <w:tc>
          <w:tcPr>
            <w:tcW w:w="118" w:type="pct"/>
            <w:tcBorders>
              <w:top w:val="nil"/>
              <w:left w:val="nil"/>
              <w:bottom w:val="single" w:sz="8" w:space="0" w:color="CCCCCC"/>
              <w:right w:val="nil"/>
            </w:tcBorders>
            <w:shd w:val="clear" w:color="000000" w:fill="FFFFFF"/>
          </w:tcPr>
          <w:p w14:paraId="7E92B2C6"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21AE98BE" w14:textId="3B030990"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Ultrathin-strut biodegradable-polymer sirolimus-eluting </w:t>
            </w: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stent</w:t>
            </w:r>
          </w:p>
        </w:tc>
        <w:tc>
          <w:tcPr>
            <w:tcW w:w="438" w:type="pct"/>
            <w:tcBorders>
              <w:top w:val="nil"/>
              <w:left w:val="nil"/>
              <w:bottom w:val="single" w:sz="8" w:space="0" w:color="CCCCCC"/>
              <w:right w:val="single" w:sz="8" w:space="0" w:color="CCCCCC"/>
            </w:tcBorders>
            <w:shd w:val="clear" w:color="000000" w:fill="FFFFFF"/>
            <w:vAlign w:val="center"/>
            <w:hideMark/>
          </w:tcPr>
          <w:p w14:paraId="42266DF1"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601</w:t>
            </w:r>
          </w:p>
        </w:tc>
        <w:tc>
          <w:tcPr>
            <w:tcW w:w="495" w:type="pct"/>
            <w:tcBorders>
              <w:top w:val="nil"/>
              <w:left w:val="nil"/>
              <w:bottom w:val="single" w:sz="8" w:space="0" w:color="CCCCCC"/>
              <w:right w:val="single" w:sz="8" w:space="0" w:color="CCCCCC"/>
            </w:tcBorders>
            <w:shd w:val="clear" w:color="000000" w:fill="FFFFFF"/>
            <w:vAlign w:val="center"/>
            <w:hideMark/>
          </w:tcPr>
          <w:p w14:paraId="575483E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Italy</w:t>
            </w:r>
          </w:p>
        </w:tc>
        <w:tc>
          <w:tcPr>
            <w:tcW w:w="443" w:type="pct"/>
            <w:tcBorders>
              <w:top w:val="nil"/>
              <w:left w:val="nil"/>
              <w:bottom w:val="single" w:sz="8" w:space="0" w:color="CCCCCC"/>
              <w:right w:val="single" w:sz="8" w:space="0" w:color="CCCCCC"/>
            </w:tcBorders>
            <w:shd w:val="clear" w:color="000000" w:fill="FFFFFF"/>
            <w:vAlign w:val="center"/>
            <w:hideMark/>
          </w:tcPr>
          <w:p w14:paraId="6054139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STEMI 16%, NSTEMI 18%, UA 17.5%, Stable angina 33.4%, Silent ischemia 14.5%</w:t>
            </w:r>
          </w:p>
        </w:tc>
        <w:tc>
          <w:tcPr>
            <w:tcW w:w="411" w:type="pct"/>
            <w:tcBorders>
              <w:top w:val="nil"/>
              <w:left w:val="nil"/>
              <w:bottom w:val="single" w:sz="8" w:space="0" w:color="CCCCCC"/>
              <w:right w:val="single" w:sz="8" w:space="0" w:color="CCCCCC"/>
            </w:tcBorders>
            <w:shd w:val="clear" w:color="000000" w:fill="FFFFFF"/>
            <w:vAlign w:val="center"/>
            <w:hideMark/>
          </w:tcPr>
          <w:p w14:paraId="1480ABA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18 months</w:t>
            </w:r>
          </w:p>
        </w:tc>
        <w:tc>
          <w:tcPr>
            <w:tcW w:w="571" w:type="pct"/>
            <w:tcBorders>
              <w:top w:val="nil"/>
              <w:left w:val="nil"/>
              <w:bottom w:val="single" w:sz="8" w:space="0" w:color="CCCCCC"/>
              <w:right w:val="single" w:sz="8" w:space="0" w:color="CCCCCC"/>
            </w:tcBorders>
            <w:shd w:val="clear" w:color="000000" w:fill="FFFFFF"/>
            <w:vAlign w:val="center"/>
            <w:hideMark/>
          </w:tcPr>
          <w:p w14:paraId="2745DBB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 (standard)</w:t>
            </w:r>
          </w:p>
        </w:tc>
        <w:tc>
          <w:tcPr>
            <w:tcW w:w="522" w:type="pct"/>
            <w:tcBorders>
              <w:top w:val="nil"/>
              <w:left w:val="nil"/>
              <w:bottom w:val="single" w:sz="8" w:space="0" w:color="CCCCCC"/>
              <w:right w:val="single" w:sz="8" w:space="0" w:color="CCCCCC"/>
            </w:tcBorders>
            <w:shd w:val="clear" w:color="000000" w:fill="FFFFFF"/>
            <w:vAlign w:val="center"/>
            <w:hideMark/>
          </w:tcPr>
          <w:p w14:paraId="3E09EDB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Not stated</w:t>
            </w:r>
          </w:p>
        </w:tc>
      </w:tr>
      <w:tr w:rsidR="003F77E0" w:rsidRPr="00FC08FE" w14:paraId="7F5D32C5"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1D10837"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Windecker 2015</w:t>
            </w:r>
          </w:p>
        </w:tc>
        <w:tc>
          <w:tcPr>
            <w:tcW w:w="534" w:type="pct"/>
            <w:tcBorders>
              <w:top w:val="nil"/>
              <w:left w:val="nil"/>
              <w:bottom w:val="single" w:sz="8" w:space="0" w:color="CCCCCC"/>
              <w:right w:val="single" w:sz="8" w:space="0" w:color="CCCCCC"/>
            </w:tcBorders>
            <w:shd w:val="clear" w:color="000000" w:fill="FFFFFF"/>
            <w:vAlign w:val="center"/>
            <w:hideMark/>
          </w:tcPr>
          <w:p w14:paraId="5B351373"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1E380B1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(O-SES) vs </w:t>
            </w:r>
            <w:proofErr w:type="spellStart"/>
            <w:r w:rsidRPr="00FC08FE">
              <w:rPr>
                <w:rFonts w:ascii="Times New Roman" w:eastAsia="Times New Roman" w:hAnsi="Times New Roman" w:cs="Times New Roman"/>
                <w:sz w:val="20"/>
                <w:szCs w:val="20"/>
                <w:lang w:val="en" w:eastAsia="en-IN"/>
              </w:rPr>
              <w:t>Xience</w:t>
            </w:r>
            <w:proofErr w:type="spellEnd"/>
            <w:r w:rsidRPr="00FC08FE">
              <w:rPr>
                <w:rFonts w:ascii="Times New Roman" w:eastAsia="Times New Roman" w:hAnsi="Times New Roman" w:cs="Times New Roman"/>
                <w:sz w:val="20"/>
                <w:szCs w:val="20"/>
                <w:lang w:val="en" w:eastAsia="en-IN"/>
              </w:rPr>
              <w:t xml:space="preserve"> (X-EES)</w:t>
            </w:r>
          </w:p>
        </w:tc>
        <w:tc>
          <w:tcPr>
            <w:tcW w:w="118" w:type="pct"/>
            <w:tcBorders>
              <w:top w:val="nil"/>
              <w:left w:val="nil"/>
              <w:bottom w:val="single" w:sz="8" w:space="0" w:color="CCCCCC"/>
              <w:right w:val="nil"/>
            </w:tcBorders>
            <w:shd w:val="clear" w:color="000000" w:fill="FFFFFF"/>
          </w:tcPr>
          <w:p w14:paraId="69AF7795"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670DD21C" w14:textId="57AB8238"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Ultrathin-strut sirolimus-eluting BP stent vs durable polymer EES</w:t>
            </w:r>
          </w:p>
        </w:tc>
        <w:tc>
          <w:tcPr>
            <w:tcW w:w="438" w:type="pct"/>
            <w:tcBorders>
              <w:top w:val="nil"/>
              <w:left w:val="nil"/>
              <w:bottom w:val="single" w:sz="8" w:space="0" w:color="CCCCCC"/>
              <w:right w:val="single" w:sz="8" w:space="0" w:color="CCCCCC"/>
            </w:tcBorders>
            <w:shd w:val="clear" w:color="000000" w:fill="FFFFFF"/>
            <w:vAlign w:val="center"/>
            <w:hideMark/>
          </w:tcPr>
          <w:p w14:paraId="18425FD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452 (O-SES 298; X-EES 154)</w:t>
            </w:r>
          </w:p>
        </w:tc>
        <w:tc>
          <w:tcPr>
            <w:tcW w:w="495" w:type="pct"/>
            <w:tcBorders>
              <w:top w:val="nil"/>
              <w:left w:val="nil"/>
              <w:bottom w:val="single" w:sz="8" w:space="0" w:color="CCCCCC"/>
              <w:right w:val="single" w:sz="8" w:space="0" w:color="CCCCCC"/>
            </w:tcBorders>
            <w:shd w:val="clear" w:color="000000" w:fill="FFFFFF"/>
            <w:vAlign w:val="center"/>
            <w:hideMark/>
          </w:tcPr>
          <w:p w14:paraId="456311D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8 European countries</w:t>
            </w:r>
          </w:p>
        </w:tc>
        <w:tc>
          <w:tcPr>
            <w:tcW w:w="443" w:type="pct"/>
            <w:tcBorders>
              <w:top w:val="nil"/>
              <w:left w:val="nil"/>
              <w:bottom w:val="single" w:sz="8" w:space="0" w:color="CCCCCC"/>
              <w:right w:val="single" w:sz="8" w:space="0" w:color="CCCCCC"/>
            </w:tcBorders>
            <w:shd w:val="clear" w:color="000000" w:fill="FFFFFF"/>
            <w:vAlign w:val="center"/>
            <w:hideMark/>
          </w:tcPr>
          <w:p w14:paraId="04AF7BE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Stable CAD (100%)</w:t>
            </w:r>
          </w:p>
        </w:tc>
        <w:tc>
          <w:tcPr>
            <w:tcW w:w="411" w:type="pct"/>
            <w:tcBorders>
              <w:top w:val="nil"/>
              <w:left w:val="nil"/>
              <w:bottom w:val="single" w:sz="8" w:space="0" w:color="CCCCCC"/>
              <w:right w:val="single" w:sz="8" w:space="0" w:color="CCCCCC"/>
            </w:tcBorders>
            <w:shd w:val="clear" w:color="000000" w:fill="FFFFFF"/>
            <w:vAlign w:val="center"/>
            <w:hideMark/>
          </w:tcPr>
          <w:p w14:paraId="5B314C3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9 months</w:t>
            </w:r>
          </w:p>
        </w:tc>
        <w:tc>
          <w:tcPr>
            <w:tcW w:w="571" w:type="pct"/>
            <w:tcBorders>
              <w:top w:val="nil"/>
              <w:left w:val="nil"/>
              <w:bottom w:val="single" w:sz="8" w:space="0" w:color="CCCCCC"/>
              <w:right w:val="single" w:sz="8" w:space="0" w:color="CCCCCC"/>
            </w:tcBorders>
            <w:shd w:val="clear" w:color="000000" w:fill="FFFFFF"/>
            <w:vAlign w:val="center"/>
            <w:hideMark/>
          </w:tcPr>
          <w:p w14:paraId="0D45F17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color w:val="000000"/>
                <w:sz w:val="20"/>
                <w:szCs w:val="20"/>
                <w:lang w:val="en" w:eastAsia="en-IN"/>
              </w:rPr>
              <w:t>≥6 months (many up to 12 months)</w:t>
            </w:r>
          </w:p>
        </w:tc>
        <w:tc>
          <w:tcPr>
            <w:tcW w:w="522" w:type="pct"/>
            <w:tcBorders>
              <w:top w:val="nil"/>
              <w:left w:val="nil"/>
              <w:bottom w:val="single" w:sz="8" w:space="0" w:color="CCCCCC"/>
              <w:right w:val="single" w:sz="8" w:space="0" w:color="000000"/>
            </w:tcBorders>
            <w:shd w:val="clear" w:color="000000" w:fill="FFFFFF"/>
            <w:vAlign w:val="center"/>
            <w:hideMark/>
          </w:tcPr>
          <w:p w14:paraId="4F4E068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QCA (all); OCT/IVUS in selected centers</w:t>
            </w:r>
          </w:p>
        </w:tc>
      </w:tr>
      <w:tr w:rsidR="003F77E0" w:rsidRPr="00FC08FE" w14:paraId="20EF4F2C"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3571A594"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Ploumen 2024</w:t>
            </w:r>
          </w:p>
        </w:tc>
        <w:tc>
          <w:tcPr>
            <w:tcW w:w="534" w:type="pct"/>
            <w:tcBorders>
              <w:top w:val="nil"/>
              <w:left w:val="nil"/>
              <w:bottom w:val="single" w:sz="8" w:space="0" w:color="CCCCCC"/>
              <w:right w:val="single" w:sz="8" w:space="0" w:color="CCCCCC"/>
            </w:tcBorders>
            <w:shd w:val="clear" w:color="000000" w:fill="FFFFFF"/>
            <w:vAlign w:val="center"/>
            <w:hideMark/>
          </w:tcPr>
          <w:p w14:paraId="63E9FBE6"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22719E4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(SES) vs Synergy (EES) vs Resolute Integrity (ZES)</w:t>
            </w:r>
          </w:p>
        </w:tc>
        <w:tc>
          <w:tcPr>
            <w:tcW w:w="118" w:type="pct"/>
            <w:tcBorders>
              <w:top w:val="nil"/>
              <w:left w:val="nil"/>
              <w:bottom w:val="single" w:sz="8" w:space="0" w:color="CCCCCC"/>
              <w:right w:val="nil"/>
            </w:tcBorders>
            <w:shd w:val="clear" w:color="000000" w:fill="FFFFFF"/>
          </w:tcPr>
          <w:p w14:paraId="52499B1E"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7BD260C2" w14:textId="24D9CAE6"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Ultrathin-strut BP SES vs very-thin-strut EES vs thin-strut durable polymer ZES</w:t>
            </w:r>
          </w:p>
        </w:tc>
        <w:tc>
          <w:tcPr>
            <w:tcW w:w="438" w:type="pct"/>
            <w:tcBorders>
              <w:top w:val="nil"/>
              <w:left w:val="nil"/>
              <w:bottom w:val="single" w:sz="8" w:space="0" w:color="CCCCCC"/>
              <w:right w:val="single" w:sz="8" w:space="0" w:color="CCCCCC"/>
            </w:tcBorders>
            <w:shd w:val="clear" w:color="000000" w:fill="FFFFFF"/>
            <w:vAlign w:val="center"/>
            <w:hideMark/>
          </w:tcPr>
          <w:p w14:paraId="50D6F78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3,514 (SES 1,169; EES 1,172; ZES 1,173)</w:t>
            </w:r>
          </w:p>
        </w:tc>
        <w:tc>
          <w:tcPr>
            <w:tcW w:w="495" w:type="pct"/>
            <w:tcBorders>
              <w:top w:val="nil"/>
              <w:left w:val="nil"/>
              <w:bottom w:val="single" w:sz="8" w:space="0" w:color="CCCCCC"/>
              <w:right w:val="single" w:sz="8" w:space="0" w:color="CCCCCC"/>
            </w:tcBorders>
            <w:shd w:val="clear" w:color="000000" w:fill="FFFFFF"/>
            <w:vAlign w:val="center"/>
            <w:hideMark/>
          </w:tcPr>
          <w:p w14:paraId="61E3A67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Netherlands</w:t>
            </w:r>
          </w:p>
        </w:tc>
        <w:tc>
          <w:tcPr>
            <w:tcW w:w="443" w:type="pct"/>
            <w:tcBorders>
              <w:top w:val="nil"/>
              <w:left w:val="nil"/>
              <w:bottom w:val="single" w:sz="8" w:space="0" w:color="CCCCCC"/>
              <w:right w:val="single" w:sz="8" w:space="0" w:color="CCCCCC"/>
            </w:tcBorders>
            <w:shd w:val="clear" w:color="000000" w:fill="FFFFFF"/>
            <w:vAlign w:val="center"/>
            <w:hideMark/>
          </w:tcPr>
          <w:p w14:paraId="7576706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Mixed</w:t>
            </w:r>
          </w:p>
        </w:tc>
        <w:tc>
          <w:tcPr>
            <w:tcW w:w="411" w:type="pct"/>
            <w:tcBorders>
              <w:top w:val="nil"/>
              <w:left w:val="nil"/>
              <w:bottom w:val="single" w:sz="8" w:space="0" w:color="CCCCCC"/>
              <w:right w:val="single" w:sz="8" w:space="0" w:color="CCCCCC"/>
            </w:tcBorders>
            <w:shd w:val="clear" w:color="000000" w:fill="FFFFFF"/>
            <w:vAlign w:val="center"/>
            <w:hideMark/>
          </w:tcPr>
          <w:p w14:paraId="5BC2462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 years</w:t>
            </w:r>
          </w:p>
        </w:tc>
        <w:tc>
          <w:tcPr>
            <w:tcW w:w="571" w:type="pct"/>
            <w:tcBorders>
              <w:top w:val="nil"/>
              <w:left w:val="nil"/>
              <w:bottom w:val="single" w:sz="8" w:space="0" w:color="CCCCCC"/>
              <w:right w:val="single" w:sz="8" w:space="0" w:color="CCCCCC"/>
            </w:tcBorders>
            <w:shd w:val="clear" w:color="000000" w:fill="FFFFFF"/>
            <w:vAlign w:val="center"/>
            <w:hideMark/>
          </w:tcPr>
          <w:p w14:paraId="470B1FD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CCCCCC"/>
            </w:tcBorders>
            <w:shd w:val="clear" w:color="000000" w:fill="FFFFFF"/>
            <w:vAlign w:val="center"/>
            <w:hideMark/>
          </w:tcPr>
          <w:p w14:paraId="10D044E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r>
      <w:tr w:rsidR="003F77E0" w:rsidRPr="00FC08FE" w14:paraId="6EF66C91"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17BCFFE3"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Buiten 2020</w:t>
            </w:r>
          </w:p>
        </w:tc>
        <w:tc>
          <w:tcPr>
            <w:tcW w:w="534" w:type="pct"/>
            <w:tcBorders>
              <w:top w:val="nil"/>
              <w:left w:val="nil"/>
              <w:bottom w:val="single" w:sz="8" w:space="0" w:color="CCCCCC"/>
              <w:right w:val="single" w:sz="8" w:space="0" w:color="CCCCCC"/>
            </w:tcBorders>
            <w:shd w:val="clear" w:color="000000" w:fill="FFFFFF"/>
            <w:vAlign w:val="center"/>
            <w:hideMark/>
          </w:tcPr>
          <w:p w14:paraId="48B16415"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5859517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 xml:space="preserve"> (SES) vs Synergy (EES) vs Resolute Integrity (ZES)</w:t>
            </w:r>
          </w:p>
        </w:tc>
        <w:tc>
          <w:tcPr>
            <w:tcW w:w="118" w:type="pct"/>
            <w:tcBorders>
              <w:top w:val="nil"/>
              <w:left w:val="nil"/>
              <w:bottom w:val="single" w:sz="8" w:space="0" w:color="CCCCCC"/>
              <w:right w:val="nil"/>
            </w:tcBorders>
            <w:shd w:val="clear" w:color="000000" w:fill="FFFFFF"/>
          </w:tcPr>
          <w:p w14:paraId="227BDA67"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759657C1" w14:textId="263D8DF6"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BP EES / BP SES vs durable polymer ZES</w:t>
            </w:r>
          </w:p>
        </w:tc>
        <w:tc>
          <w:tcPr>
            <w:tcW w:w="438" w:type="pct"/>
            <w:tcBorders>
              <w:top w:val="nil"/>
              <w:left w:val="nil"/>
              <w:bottom w:val="single" w:sz="8" w:space="0" w:color="CCCCCC"/>
              <w:right w:val="single" w:sz="8" w:space="0" w:color="CCCCCC"/>
            </w:tcBorders>
            <w:shd w:val="clear" w:color="000000" w:fill="FFFFFF"/>
            <w:vAlign w:val="center"/>
            <w:hideMark/>
          </w:tcPr>
          <w:p w14:paraId="23B1830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738 (EES 252; ZES 265; SES 266)</w:t>
            </w:r>
          </w:p>
        </w:tc>
        <w:tc>
          <w:tcPr>
            <w:tcW w:w="495" w:type="pct"/>
            <w:tcBorders>
              <w:top w:val="nil"/>
              <w:left w:val="nil"/>
              <w:bottom w:val="single" w:sz="8" w:space="0" w:color="CCCCCC"/>
              <w:right w:val="single" w:sz="8" w:space="0" w:color="CCCCCC"/>
            </w:tcBorders>
            <w:shd w:val="clear" w:color="000000" w:fill="FFFFFF"/>
            <w:vAlign w:val="center"/>
            <w:hideMark/>
          </w:tcPr>
          <w:p w14:paraId="6BFD279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Netherlands (4 centers)</w:t>
            </w:r>
          </w:p>
        </w:tc>
        <w:tc>
          <w:tcPr>
            <w:tcW w:w="443" w:type="pct"/>
            <w:tcBorders>
              <w:top w:val="nil"/>
              <w:left w:val="nil"/>
              <w:bottom w:val="single" w:sz="8" w:space="0" w:color="CCCCCC"/>
              <w:right w:val="single" w:sz="8" w:space="0" w:color="CCCCCC"/>
            </w:tcBorders>
            <w:shd w:val="clear" w:color="000000" w:fill="FFFFFF"/>
            <w:vAlign w:val="center"/>
            <w:hideMark/>
          </w:tcPr>
          <w:p w14:paraId="69E5C47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Mixed (ACS ~62%, Stable CAD ~38%)</w:t>
            </w:r>
          </w:p>
        </w:tc>
        <w:tc>
          <w:tcPr>
            <w:tcW w:w="411" w:type="pct"/>
            <w:tcBorders>
              <w:top w:val="nil"/>
              <w:left w:val="nil"/>
              <w:bottom w:val="single" w:sz="8" w:space="0" w:color="CCCCCC"/>
              <w:right w:val="single" w:sz="8" w:space="0" w:color="CCCCCC"/>
            </w:tcBorders>
            <w:shd w:val="clear" w:color="000000" w:fill="FFFFFF"/>
            <w:vAlign w:val="center"/>
            <w:hideMark/>
          </w:tcPr>
          <w:p w14:paraId="2EAE208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 years</w:t>
            </w:r>
          </w:p>
        </w:tc>
        <w:tc>
          <w:tcPr>
            <w:tcW w:w="571" w:type="pct"/>
            <w:tcBorders>
              <w:top w:val="nil"/>
              <w:left w:val="nil"/>
              <w:bottom w:val="single" w:sz="8" w:space="0" w:color="CCCCCC"/>
              <w:right w:val="single" w:sz="8" w:space="0" w:color="CCCCCC"/>
            </w:tcBorders>
            <w:shd w:val="clear" w:color="000000" w:fill="FFFFFF"/>
            <w:vAlign w:val="center"/>
            <w:hideMark/>
          </w:tcPr>
          <w:p w14:paraId="6923CAF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22" w:type="pct"/>
            <w:tcBorders>
              <w:top w:val="nil"/>
              <w:left w:val="nil"/>
              <w:bottom w:val="single" w:sz="8" w:space="0" w:color="CCCCCC"/>
              <w:right w:val="single" w:sz="8" w:space="0" w:color="000000"/>
            </w:tcBorders>
            <w:shd w:val="clear" w:color="000000" w:fill="FFFFFF"/>
            <w:vAlign w:val="center"/>
            <w:hideMark/>
          </w:tcPr>
          <w:p w14:paraId="1D2D53D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 only</w:t>
            </w:r>
          </w:p>
        </w:tc>
      </w:tr>
      <w:tr w:rsidR="003F77E0" w:rsidRPr="00FC08FE" w14:paraId="791985FA"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EAFF47A"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Smits 2024</w:t>
            </w:r>
          </w:p>
        </w:tc>
        <w:tc>
          <w:tcPr>
            <w:tcW w:w="534" w:type="pct"/>
            <w:tcBorders>
              <w:top w:val="nil"/>
              <w:left w:val="nil"/>
              <w:bottom w:val="single" w:sz="8" w:space="0" w:color="CCCCCC"/>
              <w:right w:val="single" w:sz="8" w:space="0" w:color="CCCCCC"/>
            </w:tcBorders>
            <w:shd w:val="clear" w:color="000000" w:fill="FFFFFF"/>
            <w:vAlign w:val="center"/>
            <w:hideMark/>
          </w:tcPr>
          <w:p w14:paraId="3F42EBA0"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055623F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w:t>
            </w:r>
            <w:proofErr w:type="spellStart"/>
            <w:r w:rsidRPr="00FC08FE">
              <w:rPr>
                <w:rFonts w:ascii="Times New Roman" w:eastAsia="Times New Roman" w:hAnsi="Times New Roman" w:cs="Times New Roman"/>
                <w:sz w:val="20"/>
                <w:szCs w:val="20"/>
                <w:lang w:val="en" w:eastAsia="en-IN"/>
              </w:rPr>
              <w:t>Tansei</w:t>
            </w:r>
            <w:proofErr w:type="spellEnd"/>
            <w:r w:rsidRPr="00FC08FE">
              <w:rPr>
                <w:rFonts w:ascii="Times New Roman" w:eastAsia="Times New Roman" w:hAnsi="Times New Roman" w:cs="Times New Roman"/>
                <w:sz w:val="20"/>
                <w:szCs w:val="20"/>
                <w:lang w:val="en" w:eastAsia="en-IN"/>
              </w:rPr>
              <w:t xml:space="preserve"> (80 µm </w:t>
            </w:r>
            <w:r w:rsidRPr="00FC08FE">
              <w:rPr>
                <w:rFonts w:ascii="Times New Roman" w:eastAsia="Times New Roman" w:hAnsi="Times New Roman" w:cs="Times New Roman"/>
                <w:sz w:val="20"/>
                <w:szCs w:val="20"/>
                <w:lang w:val="en" w:eastAsia="en-IN"/>
              </w:rPr>
              <w:lastRenderedPageBreak/>
              <w:t>BP-SES)</w:t>
            </w:r>
          </w:p>
        </w:tc>
        <w:tc>
          <w:tcPr>
            <w:tcW w:w="118" w:type="pct"/>
            <w:tcBorders>
              <w:top w:val="nil"/>
              <w:left w:val="nil"/>
              <w:bottom w:val="single" w:sz="8" w:space="0" w:color="CCCCCC"/>
              <w:right w:val="nil"/>
            </w:tcBorders>
            <w:shd w:val="clear" w:color="000000" w:fill="FFFFFF"/>
          </w:tcPr>
          <w:p w14:paraId="3573EC97"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4AF1944" w14:textId="0E3229A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Biodegradable-polymer sirolimus-</w:t>
            </w:r>
            <w:r w:rsidRPr="00FC08FE">
              <w:rPr>
                <w:rFonts w:ascii="Times New Roman" w:eastAsia="Times New Roman" w:hAnsi="Times New Roman" w:cs="Times New Roman"/>
                <w:sz w:val="20"/>
                <w:szCs w:val="20"/>
                <w:lang w:val="en" w:eastAsia="en-IN"/>
              </w:rPr>
              <w:lastRenderedPageBreak/>
              <w:t>eluting DES</w:t>
            </w:r>
          </w:p>
        </w:tc>
        <w:tc>
          <w:tcPr>
            <w:tcW w:w="438" w:type="pct"/>
            <w:tcBorders>
              <w:top w:val="nil"/>
              <w:left w:val="nil"/>
              <w:bottom w:val="single" w:sz="8" w:space="0" w:color="CCCCCC"/>
              <w:right w:val="single" w:sz="8" w:space="0" w:color="CCCCCC"/>
            </w:tcBorders>
            <w:shd w:val="clear" w:color="000000" w:fill="FFFFFF"/>
            <w:vAlign w:val="center"/>
            <w:hideMark/>
          </w:tcPr>
          <w:p w14:paraId="5C6931AC"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lastRenderedPageBreak/>
              <w:t>364</w:t>
            </w:r>
          </w:p>
        </w:tc>
        <w:tc>
          <w:tcPr>
            <w:tcW w:w="495" w:type="pct"/>
            <w:tcBorders>
              <w:top w:val="nil"/>
              <w:left w:val="nil"/>
              <w:bottom w:val="single" w:sz="8" w:space="0" w:color="CCCCCC"/>
              <w:right w:val="single" w:sz="8" w:space="0" w:color="CCCCCC"/>
            </w:tcBorders>
            <w:shd w:val="clear" w:color="000000" w:fill="FFFFFF"/>
            <w:vAlign w:val="center"/>
            <w:hideMark/>
          </w:tcPr>
          <w:p w14:paraId="4AA389D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Netherlands</w:t>
            </w:r>
          </w:p>
        </w:tc>
        <w:tc>
          <w:tcPr>
            <w:tcW w:w="443" w:type="pct"/>
            <w:tcBorders>
              <w:top w:val="nil"/>
              <w:left w:val="nil"/>
              <w:bottom w:val="single" w:sz="8" w:space="0" w:color="CCCCCC"/>
              <w:right w:val="single" w:sz="8" w:space="0" w:color="CCCCCC"/>
            </w:tcBorders>
            <w:shd w:val="clear" w:color="000000" w:fill="FFFFFF"/>
            <w:vAlign w:val="center"/>
            <w:hideMark/>
          </w:tcPr>
          <w:p w14:paraId="7EED098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70% stable CAD, 30% ACS</w:t>
            </w:r>
          </w:p>
        </w:tc>
        <w:tc>
          <w:tcPr>
            <w:tcW w:w="411" w:type="pct"/>
            <w:tcBorders>
              <w:top w:val="nil"/>
              <w:left w:val="nil"/>
              <w:bottom w:val="single" w:sz="8" w:space="0" w:color="CCCCCC"/>
              <w:right w:val="single" w:sz="8" w:space="0" w:color="CCCCCC"/>
            </w:tcBorders>
            <w:shd w:val="clear" w:color="000000" w:fill="FFFFFF"/>
            <w:vAlign w:val="center"/>
            <w:hideMark/>
          </w:tcPr>
          <w:p w14:paraId="6694426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60C393A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Median 30 days (IQR 0–181)</w:t>
            </w:r>
          </w:p>
        </w:tc>
        <w:tc>
          <w:tcPr>
            <w:tcW w:w="522" w:type="pct"/>
            <w:tcBorders>
              <w:top w:val="nil"/>
              <w:left w:val="nil"/>
              <w:bottom w:val="single" w:sz="8" w:space="0" w:color="CCCCCC"/>
              <w:right w:val="single" w:sz="8" w:space="0" w:color="000000"/>
            </w:tcBorders>
            <w:shd w:val="clear" w:color="000000" w:fill="FFFFFF"/>
            <w:vAlign w:val="center"/>
            <w:hideMark/>
          </w:tcPr>
          <w:p w14:paraId="4A033BC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 2.6%, OCT 1%</w:t>
            </w:r>
          </w:p>
        </w:tc>
      </w:tr>
      <w:tr w:rsidR="003F77E0" w:rsidRPr="00FC08FE" w14:paraId="7F449BB0"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6335C09A"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Saito 2014</w:t>
            </w:r>
          </w:p>
        </w:tc>
        <w:tc>
          <w:tcPr>
            <w:tcW w:w="534" w:type="pct"/>
            <w:tcBorders>
              <w:top w:val="nil"/>
              <w:left w:val="nil"/>
              <w:bottom w:val="single" w:sz="8" w:space="0" w:color="CCCCCC"/>
              <w:right w:val="single" w:sz="8" w:space="0" w:color="CCCCCC"/>
            </w:tcBorders>
            <w:shd w:val="clear" w:color="000000" w:fill="FFFFFF"/>
            <w:vAlign w:val="center"/>
            <w:hideMark/>
          </w:tcPr>
          <w:p w14:paraId="202ACCA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24FA146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w:t>
            </w:r>
          </w:p>
        </w:tc>
        <w:tc>
          <w:tcPr>
            <w:tcW w:w="118" w:type="pct"/>
            <w:tcBorders>
              <w:top w:val="nil"/>
              <w:left w:val="nil"/>
              <w:bottom w:val="single" w:sz="8" w:space="0" w:color="CCCCCC"/>
              <w:right w:val="nil"/>
            </w:tcBorders>
            <w:shd w:val="clear" w:color="000000" w:fill="FFFFFF"/>
          </w:tcPr>
          <w:p w14:paraId="6C7D5696"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28EDCFA5" w14:textId="31E9AC2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polymer sirolimus-eluting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4643BC11"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551</w:t>
            </w:r>
          </w:p>
        </w:tc>
        <w:tc>
          <w:tcPr>
            <w:tcW w:w="495" w:type="pct"/>
            <w:tcBorders>
              <w:top w:val="nil"/>
              <w:left w:val="nil"/>
              <w:bottom w:val="single" w:sz="8" w:space="0" w:color="CCCCCC"/>
              <w:right w:val="single" w:sz="8" w:space="0" w:color="CCCCCC"/>
            </w:tcBorders>
            <w:shd w:val="clear" w:color="000000" w:fill="FFFFFF"/>
            <w:vAlign w:val="center"/>
            <w:hideMark/>
          </w:tcPr>
          <w:p w14:paraId="2F92AAD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Japan, Europe, South Korea</w:t>
            </w:r>
          </w:p>
        </w:tc>
        <w:tc>
          <w:tcPr>
            <w:tcW w:w="443" w:type="pct"/>
            <w:tcBorders>
              <w:top w:val="nil"/>
              <w:left w:val="nil"/>
              <w:bottom w:val="single" w:sz="8" w:space="0" w:color="CCCCCC"/>
              <w:right w:val="single" w:sz="8" w:space="0" w:color="CCCCCC"/>
            </w:tcBorders>
            <w:shd w:val="clear" w:color="000000" w:fill="FFFFFF"/>
            <w:vAlign w:val="center"/>
            <w:hideMark/>
          </w:tcPr>
          <w:p w14:paraId="28B0218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36%, remainder stable CAD</w:t>
            </w:r>
          </w:p>
        </w:tc>
        <w:tc>
          <w:tcPr>
            <w:tcW w:w="411" w:type="pct"/>
            <w:tcBorders>
              <w:top w:val="nil"/>
              <w:left w:val="nil"/>
              <w:bottom w:val="single" w:sz="8" w:space="0" w:color="CCCCCC"/>
              <w:right w:val="single" w:sz="8" w:space="0" w:color="CCCCCC"/>
            </w:tcBorders>
            <w:shd w:val="clear" w:color="000000" w:fill="FFFFFF"/>
            <w:vAlign w:val="center"/>
            <w:hideMark/>
          </w:tcPr>
          <w:p w14:paraId="0803908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9 months (planned up to 5 years)</w:t>
            </w:r>
          </w:p>
        </w:tc>
        <w:tc>
          <w:tcPr>
            <w:tcW w:w="571" w:type="pct"/>
            <w:tcBorders>
              <w:top w:val="nil"/>
              <w:left w:val="nil"/>
              <w:bottom w:val="single" w:sz="8" w:space="0" w:color="CCCCCC"/>
              <w:right w:val="single" w:sz="8" w:space="0" w:color="CCCCCC"/>
            </w:tcBorders>
            <w:shd w:val="clear" w:color="000000" w:fill="FFFFFF"/>
            <w:vAlign w:val="center"/>
            <w:hideMark/>
          </w:tcPr>
          <w:p w14:paraId="0BCBC23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89.5% </w:t>
            </w:r>
            <w:proofErr w:type="gramStart"/>
            <w:r w:rsidRPr="00FC08FE">
              <w:rPr>
                <w:rFonts w:ascii="Times New Roman" w:eastAsia="Times New Roman" w:hAnsi="Times New Roman" w:cs="Times New Roman"/>
                <w:sz w:val="20"/>
                <w:szCs w:val="20"/>
                <w:lang w:val="en" w:eastAsia="en-IN"/>
              </w:rPr>
              <w:t>at</w:t>
            </w:r>
            <w:proofErr w:type="gramEnd"/>
            <w:r w:rsidRPr="00FC08FE">
              <w:rPr>
                <w:rFonts w:ascii="Times New Roman" w:eastAsia="Times New Roman" w:hAnsi="Times New Roman" w:cs="Times New Roman"/>
                <w:sz w:val="20"/>
                <w:szCs w:val="20"/>
                <w:lang w:val="en" w:eastAsia="en-IN"/>
              </w:rPr>
              <w:t xml:space="preserve"> 9 months</w:t>
            </w:r>
          </w:p>
        </w:tc>
        <w:tc>
          <w:tcPr>
            <w:tcW w:w="522" w:type="pct"/>
            <w:tcBorders>
              <w:top w:val="nil"/>
              <w:left w:val="nil"/>
              <w:bottom w:val="single" w:sz="8" w:space="0" w:color="CCCCCC"/>
              <w:right w:val="single" w:sz="8" w:space="0" w:color="000000"/>
            </w:tcBorders>
            <w:shd w:val="clear" w:color="000000" w:fill="FFFFFF"/>
            <w:vAlign w:val="center"/>
            <w:hideMark/>
          </w:tcPr>
          <w:p w14:paraId="22E67C8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Quantitative coronary angiography</w:t>
            </w:r>
          </w:p>
        </w:tc>
      </w:tr>
      <w:tr w:rsidR="003F77E0" w:rsidRPr="00FC08FE" w14:paraId="52E43D03"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06159BD0"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Ishida 2024</w:t>
            </w:r>
          </w:p>
        </w:tc>
        <w:tc>
          <w:tcPr>
            <w:tcW w:w="534" w:type="pct"/>
            <w:tcBorders>
              <w:top w:val="nil"/>
              <w:left w:val="nil"/>
              <w:bottom w:val="single" w:sz="8" w:space="0" w:color="CCCCCC"/>
              <w:right w:val="single" w:sz="8" w:space="0" w:color="CCCCCC"/>
            </w:tcBorders>
            <w:shd w:val="clear" w:color="000000" w:fill="FFFFFF"/>
            <w:vAlign w:val="center"/>
            <w:hideMark/>
          </w:tcPr>
          <w:p w14:paraId="06072B32"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5C10CC3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p>
        </w:tc>
        <w:tc>
          <w:tcPr>
            <w:tcW w:w="118" w:type="pct"/>
            <w:tcBorders>
              <w:top w:val="nil"/>
              <w:left w:val="nil"/>
              <w:bottom w:val="single" w:sz="8" w:space="0" w:color="CCCCCC"/>
              <w:right w:val="nil"/>
            </w:tcBorders>
            <w:shd w:val="clear" w:color="000000" w:fill="FFFFFF"/>
          </w:tcPr>
          <w:p w14:paraId="670E645B"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0B775CE2" w14:textId="0235DA8F"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Thin-strut biodegradable polymer DES (BP-DES)</w:t>
            </w:r>
          </w:p>
        </w:tc>
        <w:tc>
          <w:tcPr>
            <w:tcW w:w="438" w:type="pct"/>
            <w:tcBorders>
              <w:top w:val="nil"/>
              <w:left w:val="nil"/>
              <w:bottom w:val="single" w:sz="8" w:space="0" w:color="CCCCCC"/>
              <w:right w:val="single" w:sz="8" w:space="0" w:color="CCCCCC"/>
            </w:tcBorders>
            <w:shd w:val="clear" w:color="000000" w:fill="FFFFFF"/>
            <w:vAlign w:val="center"/>
            <w:hideMark/>
          </w:tcPr>
          <w:p w14:paraId="7D330A16"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1,202</w:t>
            </w:r>
          </w:p>
        </w:tc>
        <w:tc>
          <w:tcPr>
            <w:tcW w:w="495" w:type="pct"/>
            <w:tcBorders>
              <w:top w:val="nil"/>
              <w:left w:val="nil"/>
              <w:bottom w:val="single" w:sz="8" w:space="0" w:color="CCCCCC"/>
              <w:right w:val="single" w:sz="8" w:space="0" w:color="CCCCCC"/>
            </w:tcBorders>
            <w:shd w:val="clear" w:color="000000" w:fill="FFFFFF"/>
            <w:vAlign w:val="center"/>
            <w:hideMark/>
          </w:tcPr>
          <w:p w14:paraId="2A16F2D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Japan</w:t>
            </w:r>
          </w:p>
        </w:tc>
        <w:tc>
          <w:tcPr>
            <w:tcW w:w="443" w:type="pct"/>
            <w:tcBorders>
              <w:top w:val="nil"/>
              <w:left w:val="nil"/>
              <w:bottom w:val="single" w:sz="8" w:space="0" w:color="CCCCCC"/>
              <w:right w:val="single" w:sz="8" w:space="0" w:color="CCCCCC"/>
            </w:tcBorders>
            <w:shd w:val="clear" w:color="000000" w:fill="FFFFFF"/>
            <w:vAlign w:val="center"/>
            <w:hideMark/>
          </w:tcPr>
          <w:p w14:paraId="4D6EFDE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43% ACS, 57% CCS</w:t>
            </w:r>
          </w:p>
        </w:tc>
        <w:tc>
          <w:tcPr>
            <w:tcW w:w="411" w:type="pct"/>
            <w:tcBorders>
              <w:top w:val="nil"/>
              <w:left w:val="nil"/>
              <w:bottom w:val="single" w:sz="8" w:space="0" w:color="CCCCCC"/>
              <w:right w:val="single" w:sz="8" w:space="0" w:color="CCCCCC"/>
            </w:tcBorders>
            <w:shd w:val="clear" w:color="000000" w:fill="FFFFFF"/>
            <w:vAlign w:val="center"/>
            <w:hideMark/>
          </w:tcPr>
          <w:p w14:paraId="360F013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78AEC90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1-month DAPT then P2Y12 monotherapy for 11 months</w:t>
            </w:r>
          </w:p>
        </w:tc>
        <w:tc>
          <w:tcPr>
            <w:tcW w:w="522" w:type="pct"/>
            <w:tcBorders>
              <w:top w:val="nil"/>
              <w:left w:val="nil"/>
              <w:bottom w:val="single" w:sz="8" w:space="0" w:color="CCCCCC"/>
              <w:right w:val="single" w:sz="8" w:space="0" w:color="000000"/>
            </w:tcBorders>
            <w:shd w:val="clear" w:color="000000" w:fill="FFFFFF"/>
            <w:vAlign w:val="center"/>
            <w:hideMark/>
          </w:tcPr>
          <w:p w14:paraId="64635C9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 94.4%, OCT/OFDI 6.5%</w:t>
            </w:r>
          </w:p>
        </w:tc>
      </w:tr>
      <w:tr w:rsidR="003F77E0" w:rsidRPr="00FC08FE" w14:paraId="37449A6C"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1905775B"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Iñiguez 2020</w:t>
            </w:r>
          </w:p>
        </w:tc>
        <w:tc>
          <w:tcPr>
            <w:tcW w:w="534" w:type="pct"/>
            <w:tcBorders>
              <w:top w:val="nil"/>
              <w:left w:val="nil"/>
              <w:bottom w:val="single" w:sz="8" w:space="0" w:color="CCCCCC"/>
              <w:right w:val="single" w:sz="8" w:space="0" w:color="CCCCCC"/>
            </w:tcBorders>
            <w:shd w:val="clear" w:color="000000" w:fill="FFFFFF"/>
            <w:vAlign w:val="center"/>
            <w:hideMark/>
          </w:tcPr>
          <w:p w14:paraId="01C09AAE"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54FAB6A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w:t>
            </w:r>
          </w:p>
        </w:tc>
        <w:tc>
          <w:tcPr>
            <w:tcW w:w="118" w:type="pct"/>
            <w:tcBorders>
              <w:top w:val="nil"/>
              <w:left w:val="nil"/>
              <w:bottom w:val="single" w:sz="8" w:space="0" w:color="CCCCCC"/>
              <w:right w:val="nil"/>
            </w:tcBorders>
            <w:shd w:val="clear" w:color="000000" w:fill="FFFFFF"/>
          </w:tcPr>
          <w:p w14:paraId="7B266382"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313E6D1B" w14:textId="564A4ADA"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polymer sirolimus-eluting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42EC6B04"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225</w:t>
            </w:r>
          </w:p>
        </w:tc>
        <w:tc>
          <w:tcPr>
            <w:tcW w:w="495" w:type="pct"/>
            <w:tcBorders>
              <w:top w:val="nil"/>
              <w:left w:val="nil"/>
              <w:bottom w:val="single" w:sz="8" w:space="0" w:color="CCCCCC"/>
              <w:right w:val="single" w:sz="8" w:space="0" w:color="CCCCCC"/>
            </w:tcBorders>
            <w:shd w:val="clear" w:color="000000" w:fill="FFFFFF"/>
            <w:vAlign w:val="center"/>
            <w:hideMark/>
          </w:tcPr>
          <w:p w14:paraId="02D259D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Japan, South Korea</w:t>
            </w:r>
          </w:p>
        </w:tc>
        <w:tc>
          <w:tcPr>
            <w:tcW w:w="443" w:type="pct"/>
            <w:tcBorders>
              <w:top w:val="nil"/>
              <w:left w:val="nil"/>
              <w:bottom w:val="single" w:sz="8" w:space="0" w:color="CCCCCC"/>
              <w:right w:val="single" w:sz="8" w:space="0" w:color="CCCCCC"/>
            </w:tcBorders>
            <w:shd w:val="clear" w:color="000000" w:fill="FFFFFF"/>
            <w:vAlign w:val="center"/>
            <w:hideMark/>
          </w:tcPr>
          <w:p w14:paraId="5ACE2BD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Stable angina 48.9%, UA 12.0%, STEMI 4.9%, NSTEMI 17.8%</w:t>
            </w:r>
          </w:p>
        </w:tc>
        <w:tc>
          <w:tcPr>
            <w:tcW w:w="411" w:type="pct"/>
            <w:tcBorders>
              <w:top w:val="nil"/>
              <w:left w:val="nil"/>
              <w:bottom w:val="single" w:sz="8" w:space="0" w:color="CCCCCC"/>
              <w:right w:val="single" w:sz="8" w:space="0" w:color="CCCCCC"/>
            </w:tcBorders>
            <w:shd w:val="clear" w:color="000000" w:fill="FFFFFF"/>
            <w:vAlign w:val="center"/>
            <w:hideMark/>
          </w:tcPr>
          <w:p w14:paraId="32754FB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 5 years</w:t>
            </w:r>
          </w:p>
        </w:tc>
        <w:tc>
          <w:tcPr>
            <w:tcW w:w="571" w:type="pct"/>
            <w:tcBorders>
              <w:top w:val="nil"/>
              <w:left w:val="nil"/>
              <w:bottom w:val="single" w:sz="8" w:space="0" w:color="CCCCCC"/>
              <w:right w:val="single" w:sz="8" w:space="0" w:color="CCCCCC"/>
            </w:tcBorders>
            <w:shd w:val="clear" w:color="000000" w:fill="FFFFFF"/>
            <w:vAlign w:val="center"/>
            <w:hideMark/>
          </w:tcPr>
          <w:p w14:paraId="59802A8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CCCCCC"/>
            </w:tcBorders>
            <w:shd w:val="clear" w:color="000000" w:fill="FFFFFF"/>
            <w:vAlign w:val="center"/>
            <w:hideMark/>
          </w:tcPr>
          <w:p w14:paraId="24ED1B7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r>
      <w:tr w:rsidR="003F77E0" w:rsidRPr="00FC08FE" w14:paraId="43CB78FC"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DE4FF6B"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Lesiak 2016</w:t>
            </w:r>
          </w:p>
        </w:tc>
        <w:tc>
          <w:tcPr>
            <w:tcW w:w="534" w:type="pct"/>
            <w:tcBorders>
              <w:top w:val="nil"/>
              <w:left w:val="nil"/>
              <w:bottom w:val="single" w:sz="8" w:space="0" w:color="CCCCCC"/>
              <w:right w:val="single" w:sz="8" w:space="0" w:color="CCCCCC"/>
            </w:tcBorders>
            <w:shd w:val="clear" w:color="000000" w:fill="FFFFFF"/>
            <w:vAlign w:val="center"/>
            <w:hideMark/>
          </w:tcPr>
          <w:p w14:paraId="35279213"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4A1BB37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w:t>
            </w:r>
          </w:p>
        </w:tc>
        <w:tc>
          <w:tcPr>
            <w:tcW w:w="118" w:type="pct"/>
            <w:tcBorders>
              <w:top w:val="nil"/>
              <w:left w:val="nil"/>
              <w:bottom w:val="single" w:sz="8" w:space="0" w:color="CCCCCC"/>
              <w:right w:val="nil"/>
            </w:tcBorders>
            <w:shd w:val="clear" w:color="000000" w:fill="FFFFFF"/>
          </w:tcPr>
          <w:p w14:paraId="1281EB99"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23C026BC" w14:textId="7BD76D1D"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polymer sirolimus-eluting cobalt-chromium stent</w:t>
            </w:r>
          </w:p>
        </w:tc>
        <w:tc>
          <w:tcPr>
            <w:tcW w:w="438" w:type="pct"/>
            <w:tcBorders>
              <w:top w:val="nil"/>
              <w:left w:val="nil"/>
              <w:bottom w:val="single" w:sz="8" w:space="0" w:color="CCCCCC"/>
              <w:right w:val="single" w:sz="8" w:space="0" w:color="CCCCCC"/>
            </w:tcBorders>
            <w:shd w:val="clear" w:color="000000" w:fill="FFFFFF"/>
            <w:vAlign w:val="center"/>
            <w:hideMark/>
          </w:tcPr>
          <w:p w14:paraId="1D9AB99D"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101</w:t>
            </w:r>
          </w:p>
        </w:tc>
        <w:tc>
          <w:tcPr>
            <w:tcW w:w="495" w:type="pct"/>
            <w:tcBorders>
              <w:top w:val="nil"/>
              <w:left w:val="nil"/>
              <w:bottom w:val="single" w:sz="8" w:space="0" w:color="CCCCCC"/>
              <w:right w:val="single" w:sz="8" w:space="0" w:color="CCCCCC"/>
            </w:tcBorders>
            <w:shd w:val="clear" w:color="000000" w:fill="FFFFFF"/>
            <w:vAlign w:val="center"/>
            <w:hideMark/>
          </w:tcPr>
          <w:p w14:paraId="53CF822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Japan, Korea</w:t>
            </w:r>
          </w:p>
        </w:tc>
        <w:tc>
          <w:tcPr>
            <w:tcW w:w="443" w:type="pct"/>
            <w:tcBorders>
              <w:top w:val="nil"/>
              <w:left w:val="nil"/>
              <w:bottom w:val="single" w:sz="8" w:space="0" w:color="CCCCCC"/>
              <w:right w:val="single" w:sz="8" w:space="0" w:color="CCCCCC"/>
            </w:tcBorders>
            <w:shd w:val="clear" w:color="000000" w:fill="FFFFFF"/>
            <w:vAlign w:val="center"/>
            <w:hideMark/>
          </w:tcPr>
          <w:p w14:paraId="5AC1860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Stable angina 42.6%, UA 13.9%, STEMI 6.9%, NSTEMI 19.8%</w:t>
            </w:r>
          </w:p>
        </w:tc>
        <w:tc>
          <w:tcPr>
            <w:tcW w:w="411" w:type="pct"/>
            <w:tcBorders>
              <w:top w:val="nil"/>
              <w:left w:val="nil"/>
              <w:bottom w:val="single" w:sz="8" w:space="0" w:color="CCCCCC"/>
              <w:right w:val="single" w:sz="8" w:space="0" w:color="CCCCCC"/>
            </w:tcBorders>
            <w:shd w:val="clear" w:color="000000" w:fill="FFFFFF"/>
            <w:vAlign w:val="center"/>
            <w:hideMark/>
          </w:tcPr>
          <w:p w14:paraId="4D40D08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9 months</w:t>
            </w:r>
          </w:p>
        </w:tc>
        <w:tc>
          <w:tcPr>
            <w:tcW w:w="571" w:type="pct"/>
            <w:tcBorders>
              <w:top w:val="nil"/>
              <w:left w:val="nil"/>
              <w:bottom w:val="single" w:sz="8" w:space="0" w:color="CCCCCC"/>
              <w:right w:val="single" w:sz="8" w:space="0" w:color="CCCCCC"/>
            </w:tcBorders>
            <w:shd w:val="clear" w:color="000000" w:fill="FFFFFF"/>
            <w:vAlign w:val="center"/>
            <w:hideMark/>
          </w:tcPr>
          <w:p w14:paraId="4A8BC3A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000000"/>
            </w:tcBorders>
            <w:shd w:val="clear" w:color="000000" w:fill="FFFFFF"/>
            <w:vAlign w:val="center"/>
            <w:hideMark/>
          </w:tcPr>
          <w:p w14:paraId="6EDD888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Quantitative Coronary Angiography</w:t>
            </w:r>
          </w:p>
        </w:tc>
      </w:tr>
      <w:tr w:rsidR="003F77E0" w:rsidRPr="00FC08FE" w14:paraId="45188130" w14:textId="77777777" w:rsidTr="00FC08FE">
        <w:trPr>
          <w:trHeight w:val="12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6FED4292"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Wijns</w:t>
            </w:r>
            <w:proofErr w:type="spellEnd"/>
            <w:r w:rsidRPr="00FC08FE">
              <w:rPr>
                <w:rFonts w:ascii="Times New Roman" w:eastAsia="Times New Roman" w:hAnsi="Times New Roman" w:cs="Times New Roman"/>
                <w:b/>
                <w:bCs/>
                <w:sz w:val="20"/>
                <w:szCs w:val="20"/>
                <w:lang w:val="en" w:eastAsia="en-IN"/>
              </w:rPr>
              <w:t xml:space="preserve"> 2018</w:t>
            </w:r>
          </w:p>
        </w:tc>
        <w:tc>
          <w:tcPr>
            <w:tcW w:w="534" w:type="pct"/>
            <w:tcBorders>
              <w:top w:val="nil"/>
              <w:left w:val="nil"/>
              <w:bottom w:val="single" w:sz="8" w:space="0" w:color="CCCCCC"/>
              <w:right w:val="single" w:sz="8" w:space="0" w:color="CCCCCC"/>
            </w:tcBorders>
            <w:shd w:val="clear" w:color="000000" w:fill="FFFFFF"/>
            <w:vAlign w:val="center"/>
            <w:hideMark/>
          </w:tcPr>
          <w:p w14:paraId="7C1FD1DF"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6BC35B8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 vs </w:t>
            </w:r>
            <w:proofErr w:type="spellStart"/>
            <w:r w:rsidRPr="00FC08FE">
              <w:rPr>
                <w:rFonts w:ascii="Times New Roman" w:eastAsia="Times New Roman" w:hAnsi="Times New Roman" w:cs="Times New Roman"/>
                <w:sz w:val="20"/>
                <w:szCs w:val="20"/>
                <w:lang w:val="en" w:eastAsia="en-IN"/>
              </w:rPr>
              <w:t>Xience</w:t>
            </w:r>
            <w:proofErr w:type="spellEnd"/>
            <w:r w:rsidRPr="00FC08FE">
              <w:rPr>
                <w:rFonts w:ascii="Times New Roman" w:eastAsia="Times New Roman" w:hAnsi="Times New Roman" w:cs="Times New Roman"/>
                <w:sz w:val="20"/>
                <w:szCs w:val="20"/>
                <w:lang w:val="en" w:eastAsia="en-IN"/>
              </w:rPr>
              <w:t xml:space="preserve"> (PP-EES)</w:t>
            </w:r>
          </w:p>
        </w:tc>
        <w:tc>
          <w:tcPr>
            <w:tcW w:w="118" w:type="pct"/>
            <w:tcBorders>
              <w:top w:val="nil"/>
              <w:left w:val="nil"/>
              <w:bottom w:val="single" w:sz="8" w:space="0" w:color="CCCCCC"/>
              <w:right w:val="nil"/>
            </w:tcBorders>
            <w:shd w:val="clear" w:color="000000" w:fill="FFFFFF"/>
          </w:tcPr>
          <w:p w14:paraId="369508F2"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409A820A" w14:textId="322E558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polymer SES vs permanent polymer EES</w:t>
            </w:r>
          </w:p>
        </w:tc>
        <w:tc>
          <w:tcPr>
            <w:tcW w:w="438" w:type="pct"/>
            <w:tcBorders>
              <w:top w:val="nil"/>
              <w:left w:val="nil"/>
              <w:bottom w:val="single" w:sz="8" w:space="0" w:color="CCCCCC"/>
              <w:right w:val="single" w:sz="8" w:space="0" w:color="CCCCCC"/>
            </w:tcBorders>
            <w:shd w:val="clear" w:color="000000" w:fill="FFFFFF"/>
            <w:vAlign w:val="center"/>
            <w:hideMark/>
          </w:tcPr>
          <w:p w14:paraId="027B7E3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1,101 (BP-SES 551; PP-EES 550)</w:t>
            </w:r>
          </w:p>
        </w:tc>
        <w:tc>
          <w:tcPr>
            <w:tcW w:w="495" w:type="pct"/>
            <w:tcBorders>
              <w:top w:val="nil"/>
              <w:left w:val="nil"/>
              <w:bottom w:val="single" w:sz="8" w:space="0" w:color="CCCCCC"/>
              <w:right w:val="single" w:sz="8" w:space="0" w:color="CCCCCC"/>
            </w:tcBorders>
            <w:shd w:val="clear" w:color="000000" w:fill="FFFFFF"/>
            <w:vAlign w:val="center"/>
            <w:hideMark/>
          </w:tcPr>
          <w:p w14:paraId="56A4FF5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(42 sites), Japan (15 sites), Korea (1 site)</w:t>
            </w:r>
          </w:p>
        </w:tc>
        <w:tc>
          <w:tcPr>
            <w:tcW w:w="443" w:type="pct"/>
            <w:tcBorders>
              <w:top w:val="nil"/>
              <w:left w:val="nil"/>
              <w:bottom w:val="single" w:sz="8" w:space="0" w:color="CCCCCC"/>
              <w:right w:val="single" w:sz="8" w:space="0" w:color="CCCCCC"/>
            </w:tcBorders>
            <w:shd w:val="clear" w:color="000000" w:fill="FFFFFF"/>
            <w:vAlign w:val="center"/>
            <w:hideMark/>
          </w:tcPr>
          <w:p w14:paraId="12E532E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BP-SES: Stable 49%, UA 13.6%, STEMI 5.3%, NSTEMI 17.2%; PP-EES: Stable 46%, UA 10.9%, STEMI </w:t>
            </w:r>
            <w:r w:rsidRPr="00FC08FE">
              <w:rPr>
                <w:rFonts w:ascii="Times New Roman" w:eastAsia="Times New Roman" w:hAnsi="Times New Roman" w:cs="Times New Roman"/>
                <w:sz w:val="20"/>
                <w:szCs w:val="20"/>
                <w:lang w:val="en" w:eastAsia="en-IN"/>
              </w:rPr>
              <w:lastRenderedPageBreak/>
              <w:t>5.6%, NSTEMI 19.1%</w:t>
            </w:r>
          </w:p>
        </w:tc>
        <w:tc>
          <w:tcPr>
            <w:tcW w:w="411" w:type="pct"/>
            <w:tcBorders>
              <w:top w:val="nil"/>
              <w:left w:val="nil"/>
              <w:bottom w:val="single" w:sz="8" w:space="0" w:color="CCCCCC"/>
              <w:right w:val="single" w:sz="8" w:space="0" w:color="CCCCCC"/>
            </w:tcBorders>
            <w:shd w:val="clear" w:color="000000" w:fill="FFFFFF"/>
            <w:vAlign w:val="center"/>
            <w:hideMark/>
          </w:tcPr>
          <w:p w14:paraId="7DDFC26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lastRenderedPageBreak/>
              <w:t>5 years</w:t>
            </w:r>
          </w:p>
        </w:tc>
        <w:tc>
          <w:tcPr>
            <w:tcW w:w="571" w:type="pct"/>
            <w:tcBorders>
              <w:top w:val="nil"/>
              <w:left w:val="nil"/>
              <w:bottom w:val="single" w:sz="8" w:space="0" w:color="CCCCCC"/>
              <w:right w:val="single" w:sz="8" w:space="0" w:color="CCCCCC"/>
            </w:tcBorders>
            <w:shd w:val="clear" w:color="000000" w:fill="FFFFFF"/>
            <w:vAlign w:val="center"/>
            <w:hideMark/>
          </w:tcPr>
          <w:p w14:paraId="0C30EEF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98.4% at 1 month; 66.1% at 1 year; 15.7% at 5 years (BP-SES)</w:t>
            </w:r>
          </w:p>
        </w:tc>
        <w:tc>
          <w:tcPr>
            <w:tcW w:w="522" w:type="pct"/>
            <w:tcBorders>
              <w:top w:val="nil"/>
              <w:left w:val="nil"/>
              <w:bottom w:val="single" w:sz="8" w:space="0" w:color="CCCCCC"/>
              <w:right w:val="single" w:sz="8" w:space="0" w:color="000000"/>
            </w:tcBorders>
            <w:shd w:val="clear" w:color="000000" w:fill="FFFFFF"/>
            <w:vAlign w:val="center"/>
            <w:hideMark/>
          </w:tcPr>
          <w:p w14:paraId="4C4D1B2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54177731"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820E13B"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Godino 2019</w:t>
            </w:r>
          </w:p>
        </w:tc>
        <w:tc>
          <w:tcPr>
            <w:tcW w:w="534" w:type="pct"/>
            <w:tcBorders>
              <w:top w:val="nil"/>
              <w:left w:val="nil"/>
              <w:bottom w:val="single" w:sz="8" w:space="0" w:color="CCCCCC"/>
              <w:right w:val="single" w:sz="8" w:space="0" w:color="CCCCCC"/>
            </w:tcBorders>
            <w:shd w:val="clear" w:color="000000" w:fill="FFFFFF"/>
            <w:vAlign w:val="center"/>
            <w:hideMark/>
          </w:tcPr>
          <w:p w14:paraId="006D89A0"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054575E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w:t>
            </w:r>
          </w:p>
        </w:tc>
        <w:tc>
          <w:tcPr>
            <w:tcW w:w="118" w:type="pct"/>
            <w:tcBorders>
              <w:top w:val="nil"/>
              <w:left w:val="nil"/>
              <w:bottom w:val="single" w:sz="8" w:space="0" w:color="CCCCCC"/>
              <w:right w:val="nil"/>
            </w:tcBorders>
            <w:shd w:val="clear" w:color="000000" w:fill="FFFFFF"/>
          </w:tcPr>
          <w:p w14:paraId="20BE55CA"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4C8C9ED" w14:textId="0BC1B160"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Thin-strut biodegradable polymer sirolimus-eluting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35F7787A"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1,660</w:t>
            </w:r>
          </w:p>
        </w:tc>
        <w:tc>
          <w:tcPr>
            <w:tcW w:w="495" w:type="pct"/>
            <w:tcBorders>
              <w:top w:val="nil"/>
              <w:left w:val="nil"/>
              <w:bottom w:val="single" w:sz="8" w:space="0" w:color="CCCCCC"/>
              <w:right w:val="single" w:sz="8" w:space="0" w:color="CCCCCC"/>
            </w:tcBorders>
            <w:shd w:val="clear" w:color="000000" w:fill="FFFFFF"/>
            <w:vAlign w:val="center"/>
            <w:hideMark/>
          </w:tcPr>
          <w:p w14:paraId="71D59FB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Italy (9 centers)</w:t>
            </w:r>
          </w:p>
        </w:tc>
        <w:tc>
          <w:tcPr>
            <w:tcW w:w="443" w:type="pct"/>
            <w:tcBorders>
              <w:top w:val="nil"/>
              <w:left w:val="nil"/>
              <w:bottom w:val="single" w:sz="8" w:space="0" w:color="CCCCCC"/>
              <w:right w:val="single" w:sz="8" w:space="0" w:color="CCCCCC"/>
            </w:tcBorders>
            <w:shd w:val="clear" w:color="000000" w:fill="FFFFFF"/>
            <w:vAlign w:val="center"/>
            <w:hideMark/>
          </w:tcPr>
          <w:p w14:paraId="2B5CD63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ACS 37%, Stable </w:t>
            </w:r>
            <w:proofErr w:type="gramStart"/>
            <w:r w:rsidRPr="00FC08FE">
              <w:rPr>
                <w:rFonts w:ascii="Times New Roman" w:eastAsia="Times New Roman" w:hAnsi="Times New Roman" w:cs="Times New Roman"/>
                <w:sz w:val="20"/>
                <w:szCs w:val="20"/>
                <w:lang w:val="en" w:eastAsia="en-IN"/>
              </w:rPr>
              <w:t>angina</w:t>
            </w:r>
            <w:proofErr w:type="gramEnd"/>
            <w:r w:rsidRPr="00FC08FE">
              <w:rPr>
                <w:rFonts w:ascii="Times New Roman" w:eastAsia="Times New Roman" w:hAnsi="Times New Roman" w:cs="Times New Roman"/>
                <w:sz w:val="20"/>
                <w:szCs w:val="20"/>
                <w:lang w:val="en" w:eastAsia="en-IN"/>
              </w:rPr>
              <w:t xml:space="preserve"> 52%</w:t>
            </w:r>
          </w:p>
        </w:tc>
        <w:tc>
          <w:tcPr>
            <w:tcW w:w="411" w:type="pct"/>
            <w:tcBorders>
              <w:top w:val="nil"/>
              <w:left w:val="nil"/>
              <w:bottom w:val="single" w:sz="8" w:space="0" w:color="CCCCCC"/>
              <w:right w:val="single" w:sz="8" w:space="0" w:color="CCCCCC"/>
            </w:tcBorders>
            <w:shd w:val="clear" w:color="000000" w:fill="FFFFFF"/>
            <w:vAlign w:val="center"/>
            <w:hideMark/>
          </w:tcPr>
          <w:p w14:paraId="2392F8B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585D2EB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color w:val="000000"/>
                <w:sz w:val="20"/>
                <w:szCs w:val="20"/>
                <w:lang w:val="en" w:eastAsia="en-IN"/>
              </w:rPr>
              <w:t>S-DAPT (≤3 months, mean 57±27 days); R-DAPT (≥6 months, mean 318±75 days)</w:t>
            </w:r>
          </w:p>
        </w:tc>
        <w:tc>
          <w:tcPr>
            <w:tcW w:w="522" w:type="pct"/>
            <w:tcBorders>
              <w:top w:val="nil"/>
              <w:left w:val="nil"/>
              <w:bottom w:val="single" w:sz="8" w:space="0" w:color="CCCCCC"/>
              <w:right w:val="single" w:sz="8" w:space="0" w:color="000000"/>
            </w:tcBorders>
            <w:shd w:val="clear" w:color="000000" w:fill="FFFFFF"/>
            <w:vAlign w:val="center"/>
            <w:hideMark/>
          </w:tcPr>
          <w:p w14:paraId="09D539C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25854C1C"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23446719"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Rola 2021 (</w:t>
            </w:r>
            <w:proofErr w:type="spellStart"/>
            <w:r w:rsidRPr="00FC08FE">
              <w:rPr>
                <w:rFonts w:ascii="Times New Roman" w:eastAsia="Times New Roman" w:hAnsi="Times New Roman" w:cs="Times New Roman"/>
                <w:b/>
                <w:bCs/>
                <w:sz w:val="20"/>
                <w:szCs w:val="20"/>
                <w:lang w:val="en" w:eastAsia="en-IN"/>
              </w:rPr>
              <w:t>Ultimaster</w:t>
            </w:r>
            <w:proofErr w:type="spellEnd"/>
            <w:r w:rsidRPr="00FC08FE">
              <w:rPr>
                <w:rFonts w:ascii="Times New Roman" w:eastAsia="Times New Roman" w:hAnsi="Times New Roman" w:cs="Times New Roman"/>
                <w:b/>
                <w:bCs/>
                <w:sz w:val="20"/>
                <w:szCs w:val="20"/>
                <w:lang w:val="en" w:eastAsia="en-IN"/>
              </w:rPr>
              <w:t>)</w:t>
            </w:r>
          </w:p>
        </w:tc>
        <w:tc>
          <w:tcPr>
            <w:tcW w:w="534" w:type="pct"/>
            <w:tcBorders>
              <w:top w:val="nil"/>
              <w:left w:val="nil"/>
              <w:bottom w:val="single" w:sz="8" w:space="0" w:color="CCCCCC"/>
              <w:right w:val="single" w:sz="8" w:space="0" w:color="CCCCCC"/>
            </w:tcBorders>
            <w:shd w:val="clear" w:color="000000" w:fill="FFFFFF"/>
            <w:vAlign w:val="center"/>
            <w:hideMark/>
          </w:tcPr>
          <w:p w14:paraId="1233EAD3"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Retrospective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6CC451B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Magmaris</w:t>
            </w:r>
            <w:proofErr w:type="spellEnd"/>
            <w:r w:rsidRPr="00FC08FE">
              <w:rPr>
                <w:rFonts w:ascii="Times New Roman" w:eastAsia="Times New Roman" w:hAnsi="Times New Roman" w:cs="Times New Roman"/>
                <w:sz w:val="20"/>
                <w:szCs w:val="20"/>
                <w:lang w:val="en" w:eastAsia="en-IN"/>
              </w:rPr>
              <w:t xml:space="preserve"> vs </w:t>
            </w:r>
            <w:proofErr w:type="spellStart"/>
            <w:r w:rsidRPr="00FC08FE">
              <w:rPr>
                <w:rFonts w:ascii="Times New Roman" w:eastAsia="Times New Roman" w:hAnsi="Times New Roman" w:cs="Times New Roman"/>
                <w:sz w:val="20"/>
                <w:szCs w:val="20"/>
                <w:lang w:val="en" w:eastAsia="en-IN"/>
              </w:rPr>
              <w:t>Ultimaster</w:t>
            </w:r>
            <w:proofErr w:type="spellEnd"/>
          </w:p>
        </w:tc>
        <w:tc>
          <w:tcPr>
            <w:tcW w:w="118" w:type="pct"/>
            <w:tcBorders>
              <w:top w:val="nil"/>
              <w:left w:val="nil"/>
              <w:bottom w:val="single" w:sz="8" w:space="0" w:color="CCCCCC"/>
              <w:right w:val="nil"/>
            </w:tcBorders>
            <w:shd w:val="clear" w:color="000000" w:fill="FFFFFF"/>
          </w:tcPr>
          <w:p w14:paraId="4E445B63"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42804BCC" w14:textId="7DBCC7A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Magnesium scaffold (BP) vs Cobalt-chromium stent (BP)</w:t>
            </w:r>
          </w:p>
        </w:tc>
        <w:tc>
          <w:tcPr>
            <w:tcW w:w="438" w:type="pct"/>
            <w:tcBorders>
              <w:top w:val="nil"/>
              <w:left w:val="nil"/>
              <w:bottom w:val="single" w:sz="8" w:space="0" w:color="CCCCCC"/>
              <w:right w:val="single" w:sz="8" w:space="0" w:color="CCCCCC"/>
            </w:tcBorders>
            <w:shd w:val="clear" w:color="000000" w:fill="FFFFFF"/>
            <w:vAlign w:val="center"/>
            <w:hideMark/>
          </w:tcPr>
          <w:p w14:paraId="4EE8BB6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362 (</w:t>
            </w:r>
            <w:proofErr w:type="spellStart"/>
            <w:r w:rsidRPr="00FC08FE">
              <w:rPr>
                <w:rFonts w:ascii="Times New Roman" w:eastAsia="Times New Roman" w:hAnsi="Times New Roman" w:cs="Times New Roman"/>
                <w:sz w:val="20"/>
                <w:szCs w:val="20"/>
                <w:lang w:val="en" w:eastAsia="en-IN"/>
              </w:rPr>
              <w:t>Magmaris</w:t>
            </w:r>
            <w:proofErr w:type="spellEnd"/>
            <w:r w:rsidRPr="00FC08FE">
              <w:rPr>
                <w:rFonts w:ascii="Times New Roman" w:eastAsia="Times New Roman" w:hAnsi="Times New Roman" w:cs="Times New Roman"/>
                <w:sz w:val="20"/>
                <w:szCs w:val="20"/>
                <w:lang w:val="en" w:eastAsia="en-IN"/>
              </w:rPr>
              <w:t xml:space="preserve"> 193; </w:t>
            </w: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169)</w:t>
            </w:r>
          </w:p>
        </w:tc>
        <w:tc>
          <w:tcPr>
            <w:tcW w:w="495" w:type="pct"/>
            <w:tcBorders>
              <w:top w:val="nil"/>
              <w:left w:val="nil"/>
              <w:bottom w:val="single" w:sz="8" w:space="0" w:color="CCCCCC"/>
              <w:right w:val="single" w:sz="8" w:space="0" w:color="CCCCCC"/>
            </w:tcBorders>
            <w:shd w:val="clear" w:color="000000" w:fill="FFFFFF"/>
            <w:vAlign w:val="center"/>
            <w:hideMark/>
          </w:tcPr>
          <w:p w14:paraId="516B617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Czech Republic</w:t>
            </w:r>
          </w:p>
        </w:tc>
        <w:tc>
          <w:tcPr>
            <w:tcW w:w="443" w:type="pct"/>
            <w:tcBorders>
              <w:top w:val="nil"/>
              <w:left w:val="nil"/>
              <w:bottom w:val="single" w:sz="8" w:space="0" w:color="CCCCCC"/>
              <w:right w:val="single" w:sz="8" w:space="0" w:color="CCCCCC"/>
            </w:tcBorders>
            <w:shd w:val="clear" w:color="000000" w:fill="FFFFFF"/>
            <w:vAlign w:val="center"/>
            <w:hideMark/>
          </w:tcPr>
          <w:p w14:paraId="1F882C9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ACS only (NSTE-ACS; STEMI excluded)</w:t>
            </w:r>
          </w:p>
        </w:tc>
        <w:tc>
          <w:tcPr>
            <w:tcW w:w="411" w:type="pct"/>
            <w:tcBorders>
              <w:top w:val="nil"/>
              <w:left w:val="nil"/>
              <w:bottom w:val="single" w:sz="8" w:space="0" w:color="CCCCCC"/>
              <w:right w:val="single" w:sz="8" w:space="0" w:color="CCCCCC"/>
            </w:tcBorders>
            <w:shd w:val="clear" w:color="000000" w:fill="FFFFFF"/>
            <w:vAlign w:val="center"/>
            <w:hideMark/>
          </w:tcPr>
          <w:p w14:paraId="462456F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30 days; 1 year</w:t>
            </w:r>
          </w:p>
        </w:tc>
        <w:tc>
          <w:tcPr>
            <w:tcW w:w="571" w:type="pct"/>
            <w:tcBorders>
              <w:top w:val="nil"/>
              <w:left w:val="nil"/>
              <w:bottom w:val="single" w:sz="8" w:space="0" w:color="CCCCCC"/>
              <w:right w:val="single" w:sz="8" w:space="0" w:color="CCCCCC"/>
            </w:tcBorders>
            <w:shd w:val="clear" w:color="000000" w:fill="FFFFFF"/>
            <w:vAlign w:val="center"/>
            <w:hideMark/>
          </w:tcPr>
          <w:p w14:paraId="7B28B94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CCCCCC"/>
            </w:tcBorders>
            <w:shd w:val="clear" w:color="000000" w:fill="FFFFFF"/>
            <w:vAlign w:val="center"/>
            <w:hideMark/>
          </w:tcPr>
          <w:p w14:paraId="64582B6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OCT</w:t>
            </w:r>
          </w:p>
        </w:tc>
      </w:tr>
      <w:tr w:rsidR="003F77E0" w:rsidRPr="00FC08FE" w14:paraId="4BC4F185"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05C58B2B"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Tadano 2018</w:t>
            </w:r>
          </w:p>
        </w:tc>
        <w:tc>
          <w:tcPr>
            <w:tcW w:w="534" w:type="pct"/>
            <w:tcBorders>
              <w:top w:val="nil"/>
              <w:left w:val="nil"/>
              <w:bottom w:val="single" w:sz="8" w:space="0" w:color="CCCCCC"/>
              <w:right w:val="single" w:sz="8" w:space="0" w:color="CCCCCC"/>
            </w:tcBorders>
            <w:shd w:val="clear" w:color="000000" w:fill="FFFFFF"/>
            <w:vAlign w:val="center"/>
            <w:hideMark/>
          </w:tcPr>
          <w:p w14:paraId="06789E8E"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5C676E5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r w:rsidRPr="00FC08FE">
              <w:rPr>
                <w:rFonts w:ascii="Times New Roman" w:eastAsia="Times New Roman" w:hAnsi="Times New Roman" w:cs="Times New Roman"/>
                <w:sz w:val="20"/>
                <w:szCs w:val="20"/>
                <w:lang w:val="en" w:eastAsia="en-IN"/>
              </w:rPr>
              <w:t xml:space="preserve"> BP-SES</w:t>
            </w:r>
          </w:p>
        </w:tc>
        <w:tc>
          <w:tcPr>
            <w:tcW w:w="118" w:type="pct"/>
            <w:tcBorders>
              <w:top w:val="nil"/>
              <w:left w:val="nil"/>
              <w:bottom w:val="single" w:sz="8" w:space="0" w:color="CCCCCC"/>
              <w:right w:val="nil"/>
            </w:tcBorders>
            <w:shd w:val="clear" w:color="000000" w:fill="FFFFFF"/>
          </w:tcPr>
          <w:p w14:paraId="66CF5706"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07003D99" w14:textId="2BAEAA7D"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Bioresorbable polymer sirolimus-eluting coronary stent</w:t>
            </w:r>
          </w:p>
        </w:tc>
        <w:tc>
          <w:tcPr>
            <w:tcW w:w="438" w:type="pct"/>
            <w:tcBorders>
              <w:top w:val="nil"/>
              <w:left w:val="nil"/>
              <w:bottom w:val="single" w:sz="8" w:space="0" w:color="CCCCCC"/>
              <w:right w:val="single" w:sz="8" w:space="0" w:color="CCCCCC"/>
            </w:tcBorders>
            <w:shd w:val="clear" w:color="000000" w:fill="FFFFFF"/>
            <w:vAlign w:val="center"/>
            <w:hideMark/>
          </w:tcPr>
          <w:p w14:paraId="2F47C916"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1,727</w:t>
            </w:r>
          </w:p>
        </w:tc>
        <w:tc>
          <w:tcPr>
            <w:tcW w:w="495" w:type="pct"/>
            <w:tcBorders>
              <w:top w:val="nil"/>
              <w:left w:val="nil"/>
              <w:bottom w:val="single" w:sz="8" w:space="0" w:color="CCCCCC"/>
              <w:right w:val="single" w:sz="8" w:space="0" w:color="CCCCCC"/>
            </w:tcBorders>
            <w:shd w:val="clear" w:color="000000" w:fill="FFFFFF"/>
            <w:vAlign w:val="center"/>
            <w:hideMark/>
          </w:tcPr>
          <w:p w14:paraId="6FFA14C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Japan</w:t>
            </w:r>
          </w:p>
        </w:tc>
        <w:tc>
          <w:tcPr>
            <w:tcW w:w="443" w:type="pct"/>
            <w:tcBorders>
              <w:top w:val="nil"/>
              <w:left w:val="nil"/>
              <w:bottom w:val="single" w:sz="8" w:space="0" w:color="CCCCCC"/>
              <w:right w:val="single" w:sz="8" w:space="0" w:color="CCCCCC"/>
            </w:tcBorders>
            <w:shd w:val="clear" w:color="000000" w:fill="FFFFFF"/>
            <w:vAlign w:val="center"/>
            <w:hideMark/>
          </w:tcPr>
          <w:p w14:paraId="67FCE51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Stable angina 89%, UA 7%, NSTEMI 1%, STEMI 3%</w:t>
            </w:r>
          </w:p>
        </w:tc>
        <w:tc>
          <w:tcPr>
            <w:tcW w:w="411" w:type="pct"/>
            <w:tcBorders>
              <w:top w:val="nil"/>
              <w:left w:val="nil"/>
              <w:bottom w:val="single" w:sz="8" w:space="0" w:color="CCCCCC"/>
              <w:right w:val="single" w:sz="8" w:space="0" w:color="CCCCCC"/>
            </w:tcBorders>
            <w:shd w:val="clear" w:color="000000" w:fill="FFFFFF"/>
            <w:vAlign w:val="center"/>
            <w:hideMark/>
          </w:tcPr>
          <w:p w14:paraId="6BECD34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w:t>
            </w:r>
          </w:p>
        </w:tc>
        <w:tc>
          <w:tcPr>
            <w:tcW w:w="571" w:type="pct"/>
            <w:tcBorders>
              <w:top w:val="nil"/>
              <w:left w:val="nil"/>
              <w:bottom w:val="single" w:sz="8" w:space="0" w:color="CCCCCC"/>
              <w:right w:val="single" w:sz="8" w:space="0" w:color="CCCCCC"/>
            </w:tcBorders>
            <w:shd w:val="clear" w:color="000000" w:fill="FFFFFF"/>
            <w:vAlign w:val="center"/>
            <w:hideMark/>
          </w:tcPr>
          <w:p w14:paraId="77715E2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color w:val="000000"/>
                <w:sz w:val="20"/>
                <w:szCs w:val="20"/>
                <w:lang w:val="en" w:eastAsia="en-IN"/>
              </w:rPr>
              <w:t>Recommended ≥1 year; actual at physician discretion</w:t>
            </w:r>
          </w:p>
        </w:tc>
        <w:tc>
          <w:tcPr>
            <w:tcW w:w="522" w:type="pct"/>
            <w:tcBorders>
              <w:top w:val="nil"/>
              <w:left w:val="nil"/>
              <w:bottom w:val="single" w:sz="8" w:space="0" w:color="CCCCCC"/>
              <w:right w:val="single" w:sz="8" w:space="0" w:color="000000"/>
            </w:tcBorders>
            <w:shd w:val="clear" w:color="000000" w:fill="FFFFFF"/>
            <w:vAlign w:val="center"/>
            <w:hideMark/>
          </w:tcPr>
          <w:p w14:paraId="5335A34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IVUS (100% of lesions)</w:t>
            </w:r>
          </w:p>
        </w:tc>
      </w:tr>
      <w:tr w:rsidR="003F77E0" w:rsidRPr="00FC08FE" w14:paraId="4B136E57" w14:textId="77777777" w:rsidTr="00FC08FE">
        <w:trPr>
          <w:trHeight w:val="81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D724D49"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Jiménez Díaz 2024</w:t>
            </w:r>
          </w:p>
        </w:tc>
        <w:tc>
          <w:tcPr>
            <w:tcW w:w="534" w:type="pct"/>
            <w:tcBorders>
              <w:top w:val="nil"/>
              <w:left w:val="nil"/>
              <w:bottom w:val="single" w:sz="8" w:space="0" w:color="CCCCCC"/>
              <w:right w:val="single" w:sz="8" w:space="0" w:color="CCCCCC"/>
            </w:tcBorders>
            <w:shd w:val="clear" w:color="000000" w:fill="FFFFFF"/>
            <w:vAlign w:val="center"/>
            <w:hideMark/>
          </w:tcPr>
          <w:p w14:paraId="050BDEC9"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336E82C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Ultimaster</w:t>
            </w:r>
            <w:proofErr w:type="spellEnd"/>
          </w:p>
        </w:tc>
        <w:tc>
          <w:tcPr>
            <w:tcW w:w="118" w:type="pct"/>
            <w:tcBorders>
              <w:top w:val="nil"/>
              <w:left w:val="nil"/>
              <w:bottom w:val="single" w:sz="8" w:space="0" w:color="CCCCCC"/>
              <w:right w:val="nil"/>
            </w:tcBorders>
            <w:shd w:val="clear" w:color="000000" w:fill="FFFFFF"/>
          </w:tcPr>
          <w:p w14:paraId="6FD2C3D7"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319B4018" w14:textId="343EFF3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Thin-strut (80 µm) cobalt-chromium sirolimus-eluting stent</w:t>
            </w:r>
          </w:p>
        </w:tc>
        <w:tc>
          <w:tcPr>
            <w:tcW w:w="438" w:type="pct"/>
            <w:tcBorders>
              <w:top w:val="nil"/>
              <w:left w:val="nil"/>
              <w:bottom w:val="single" w:sz="8" w:space="0" w:color="CCCCCC"/>
              <w:right w:val="single" w:sz="8" w:space="0" w:color="CCCCCC"/>
            </w:tcBorders>
            <w:shd w:val="clear" w:color="000000" w:fill="FFFFFF"/>
            <w:vAlign w:val="center"/>
            <w:hideMark/>
          </w:tcPr>
          <w:p w14:paraId="2BF6969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3,832 (CR 1,800; ICR 2,032)</w:t>
            </w:r>
          </w:p>
        </w:tc>
        <w:tc>
          <w:tcPr>
            <w:tcW w:w="495" w:type="pct"/>
            <w:tcBorders>
              <w:top w:val="nil"/>
              <w:left w:val="nil"/>
              <w:bottom w:val="single" w:sz="8" w:space="0" w:color="CCCCCC"/>
              <w:right w:val="single" w:sz="8" w:space="0" w:color="CCCCCC"/>
            </w:tcBorders>
            <w:shd w:val="clear" w:color="000000" w:fill="FFFFFF"/>
            <w:vAlign w:val="center"/>
            <w:hideMark/>
          </w:tcPr>
          <w:p w14:paraId="2DFCB9D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Europe, Asia, Africa, Middle East, South America, Mexico</w:t>
            </w:r>
          </w:p>
        </w:tc>
        <w:tc>
          <w:tcPr>
            <w:tcW w:w="443" w:type="pct"/>
            <w:tcBorders>
              <w:top w:val="nil"/>
              <w:left w:val="nil"/>
              <w:bottom w:val="single" w:sz="8" w:space="0" w:color="CCCCCC"/>
              <w:right w:val="single" w:sz="8" w:space="0" w:color="CCCCCC"/>
            </w:tcBorders>
            <w:shd w:val="clear" w:color="000000" w:fill="FFFFFF"/>
            <w:vAlign w:val="center"/>
            <w:hideMark/>
          </w:tcPr>
          <w:p w14:paraId="537308EF"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NSTEMI (100%) with multivessel disease</w:t>
            </w:r>
          </w:p>
        </w:tc>
        <w:tc>
          <w:tcPr>
            <w:tcW w:w="411" w:type="pct"/>
            <w:tcBorders>
              <w:top w:val="nil"/>
              <w:left w:val="nil"/>
              <w:bottom w:val="single" w:sz="8" w:space="0" w:color="CCCCCC"/>
              <w:right w:val="single" w:sz="8" w:space="0" w:color="CCCCCC"/>
            </w:tcBorders>
            <w:shd w:val="clear" w:color="000000" w:fill="FFFFFF"/>
            <w:vAlign w:val="center"/>
            <w:hideMark/>
          </w:tcPr>
          <w:p w14:paraId="7F2A94C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 months and 1 year</w:t>
            </w:r>
          </w:p>
        </w:tc>
        <w:tc>
          <w:tcPr>
            <w:tcW w:w="571" w:type="pct"/>
            <w:tcBorders>
              <w:top w:val="nil"/>
              <w:left w:val="nil"/>
              <w:bottom w:val="single" w:sz="8" w:space="0" w:color="CCCCCC"/>
              <w:right w:val="single" w:sz="8" w:space="0" w:color="CCCCCC"/>
            </w:tcBorders>
            <w:shd w:val="clear" w:color="000000" w:fill="FFFFFF"/>
            <w:vAlign w:val="center"/>
            <w:hideMark/>
          </w:tcPr>
          <w:p w14:paraId="1F99D1D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c>
          <w:tcPr>
            <w:tcW w:w="522" w:type="pct"/>
            <w:tcBorders>
              <w:top w:val="nil"/>
              <w:left w:val="nil"/>
              <w:bottom w:val="single" w:sz="8" w:space="0" w:color="CCCCCC"/>
              <w:right w:val="single" w:sz="8" w:space="0" w:color="CCCCCC"/>
            </w:tcBorders>
            <w:shd w:val="clear" w:color="000000" w:fill="FFFFFF"/>
            <w:vAlign w:val="center"/>
            <w:hideMark/>
          </w:tcPr>
          <w:p w14:paraId="6B12CB7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w:t>
            </w:r>
          </w:p>
        </w:tc>
      </w:tr>
      <w:tr w:rsidR="003F77E0" w:rsidRPr="00FC08FE" w14:paraId="03B14422"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437CD3C0"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Maupas</w:t>
            </w:r>
            <w:proofErr w:type="spellEnd"/>
            <w:r w:rsidRPr="00FC08FE">
              <w:rPr>
                <w:rFonts w:ascii="Times New Roman" w:eastAsia="Times New Roman" w:hAnsi="Times New Roman" w:cs="Times New Roman"/>
                <w:b/>
                <w:bCs/>
                <w:sz w:val="20"/>
                <w:szCs w:val="20"/>
                <w:lang w:val="en" w:eastAsia="en-IN"/>
              </w:rPr>
              <w:t xml:space="preserve"> 2017</w:t>
            </w:r>
          </w:p>
        </w:tc>
        <w:tc>
          <w:tcPr>
            <w:tcW w:w="534" w:type="pct"/>
            <w:tcBorders>
              <w:top w:val="nil"/>
              <w:left w:val="nil"/>
              <w:bottom w:val="single" w:sz="8" w:space="0" w:color="CCCCCC"/>
              <w:right w:val="single" w:sz="8" w:space="0" w:color="CCCCCC"/>
            </w:tcBorders>
            <w:shd w:val="clear" w:color="000000" w:fill="FFFFFF"/>
            <w:vAlign w:val="center"/>
            <w:hideMark/>
          </w:tcPr>
          <w:p w14:paraId="26D445EB"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388B01B1"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Flex</w:t>
            </w:r>
          </w:p>
        </w:tc>
        <w:tc>
          <w:tcPr>
            <w:tcW w:w="118" w:type="pct"/>
            <w:tcBorders>
              <w:top w:val="nil"/>
              <w:left w:val="nil"/>
              <w:bottom w:val="single" w:sz="8" w:space="0" w:color="CCCCCC"/>
              <w:right w:val="nil"/>
            </w:tcBorders>
            <w:shd w:val="clear" w:color="000000" w:fill="FFFFFF"/>
          </w:tcPr>
          <w:p w14:paraId="427E5C2C"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47CCBB6B" w14:textId="43B2EEC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Drug-Eluting Stent – biodegradable polymer </w:t>
            </w:r>
            <w:proofErr w:type="spellStart"/>
            <w:r w:rsidRPr="00FC08FE">
              <w:rPr>
                <w:rFonts w:ascii="Times New Roman" w:eastAsia="Times New Roman" w:hAnsi="Times New Roman" w:cs="Times New Roman"/>
                <w:sz w:val="20"/>
                <w:szCs w:val="20"/>
                <w:lang w:val="en" w:eastAsia="en-IN"/>
              </w:rPr>
              <w:t>biolimus</w:t>
            </w:r>
            <w:proofErr w:type="spellEnd"/>
            <w:r w:rsidRPr="00FC08FE">
              <w:rPr>
                <w:rFonts w:ascii="Times New Roman" w:eastAsia="Times New Roman" w:hAnsi="Times New Roman" w:cs="Times New Roman"/>
                <w:sz w:val="20"/>
                <w:szCs w:val="20"/>
                <w:lang w:val="en" w:eastAsia="en-IN"/>
              </w:rPr>
              <w:t xml:space="preserve"> A9</w:t>
            </w:r>
          </w:p>
        </w:tc>
        <w:tc>
          <w:tcPr>
            <w:tcW w:w="438" w:type="pct"/>
            <w:tcBorders>
              <w:top w:val="nil"/>
              <w:left w:val="nil"/>
              <w:bottom w:val="single" w:sz="8" w:space="0" w:color="CCCCCC"/>
              <w:right w:val="single" w:sz="8" w:space="0" w:color="CCCCCC"/>
            </w:tcBorders>
            <w:shd w:val="clear" w:color="000000" w:fill="FFFFFF"/>
            <w:vAlign w:val="center"/>
            <w:hideMark/>
          </w:tcPr>
          <w:p w14:paraId="143EC2BA"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2,365</w:t>
            </w:r>
          </w:p>
        </w:tc>
        <w:tc>
          <w:tcPr>
            <w:tcW w:w="495" w:type="pct"/>
            <w:tcBorders>
              <w:top w:val="nil"/>
              <w:left w:val="nil"/>
              <w:bottom w:val="single" w:sz="8" w:space="0" w:color="CCCCCC"/>
              <w:right w:val="single" w:sz="8" w:space="0" w:color="CCCCCC"/>
            </w:tcBorders>
            <w:shd w:val="clear" w:color="000000" w:fill="FFFFFF"/>
            <w:vAlign w:val="center"/>
            <w:hideMark/>
          </w:tcPr>
          <w:p w14:paraId="46C11EA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France (42 centers)</w:t>
            </w:r>
          </w:p>
        </w:tc>
        <w:tc>
          <w:tcPr>
            <w:tcW w:w="443" w:type="pct"/>
            <w:tcBorders>
              <w:top w:val="nil"/>
              <w:left w:val="nil"/>
              <w:bottom w:val="single" w:sz="8" w:space="0" w:color="CCCCCC"/>
              <w:right w:val="single" w:sz="8" w:space="0" w:color="CCCCCC"/>
            </w:tcBorders>
            <w:shd w:val="clear" w:color="000000" w:fill="FFFFFF"/>
            <w:vAlign w:val="center"/>
            <w:hideMark/>
          </w:tcPr>
          <w:p w14:paraId="79C1D8A3"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Both (36.5% ACS [NSTEMI 28.7%, STEMI 7.8%]; remainder Stable CAD)</w:t>
            </w:r>
          </w:p>
        </w:tc>
        <w:tc>
          <w:tcPr>
            <w:tcW w:w="411" w:type="pct"/>
            <w:tcBorders>
              <w:top w:val="nil"/>
              <w:left w:val="nil"/>
              <w:bottom w:val="single" w:sz="8" w:space="0" w:color="CCCCCC"/>
              <w:right w:val="single" w:sz="8" w:space="0" w:color="CCCCCC"/>
            </w:tcBorders>
            <w:shd w:val="clear" w:color="000000" w:fill="FFFFFF"/>
            <w:vAlign w:val="center"/>
            <w:hideMark/>
          </w:tcPr>
          <w:p w14:paraId="1CA0DB9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24 months</w:t>
            </w:r>
          </w:p>
        </w:tc>
        <w:tc>
          <w:tcPr>
            <w:tcW w:w="571" w:type="pct"/>
            <w:tcBorders>
              <w:top w:val="nil"/>
              <w:left w:val="nil"/>
              <w:bottom w:val="single" w:sz="8" w:space="0" w:color="CCCCCC"/>
              <w:right w:val="single" w:sz="8" w:space="0" w:color="CCCCCC"/>
            </w:tcBorders>
            <w:shd w:val="clear" w:color="000000" w:fill="FFFFFF"/>
            <w:vAlign w:val="center"/>
            <w:hideMark/>
          </w:tcPr>
          <w:p w14:paraId="62157C7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 recommended (minimum 6 months)</w:t>
            </w:r>
          </w:p>
        </w:tc>
        <w:tc>
          <w:tcPr>
            <w:tcW w:w="522" w:type="pct"/>
            <w:tcBorders>
              <w:top w:val="nil"/>
              <w:left w:val="nil"/>
              <w:bottom w:val="single" w:sz="8" w:space="0" w:color="CCCCCC"/>
              <w:right w:val="single" w:sz="8" w:space="0" w:color="000000"/>
            </w:tcBorders>
            <w:shd w:val="clear" w:color="000000" w:fill="FFFFFF"/>
            <w:vAlign w:val="center"/>
            <w:hideMark/>
          </w:tcPr>
          <w:p w14:paraId="6D557D3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095E2974"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428F72CA"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lastRenderedPageBreak/>
              <w:t>Seth 2013</w:t>
            </w:r>
          </w:p>
        </w:tc>
        <w:tc>
          <w:tcPr>
            <w:tcW w:w="534" w:type="pct"/>
            <w:tcBorders>
              <w:top w:val="nil"/>
              <w:left w:val="nil"/>
              <w:bottom w:val="single" w:sz="8" w:space="0" w:color="CCCCCC"/>
              <w:right w:val="single" w:sz="8" w:space="0" w:color="CCCCCC"/>
            </w:tcBorders>
            <w:shd w:val="clear" w:color="000000" w:fill="FFFFFF"/>
            <w:vAlign w:val="center"/>
            <w:hideMark/>
          </w:tcPr>
          <w:p w14:paraId="14339031"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Prospective Cohort</w:t>
            </w:r>
          </w:p>
        </w:tc>
        <w:tc>
          <w:tcPr>
            <w:tcW w:w="419" w:type="pct"/>
            <w:tcBorders>
              <w:top w:val="nil"/>
              <w:left w:val="nil"/>
              <w:bottom w:val="single" w:sz="8" w:space="0" w:color="CCCCCC"/>
              <w:right w:val="single" w:sz="8" w:space="0" w:color="CCCCCC"/>
            </w:tcBorders>
            <w:shd w:val="clear" w:color="000000" w:fill="FFFFFF"/>
            <w:vAlign w:val="center"/>
            <w:hideMark/>
          </w:tcPr>
          <w:p w14:paraId="192F755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BioMatrix</w:t>
            </w:r>
            <w:proofErr w:type="spellEnd"/>
          </w:p>
        </w:tc>
        <w:tc>
          <w:tcPr>
            <w:tcW w:w="118" w:type="pct"/>
            <w:tcBorders>
              <w:top w:val="nil"/>
              <w:left w:val="nil"/>
              <w:bottom w:val="single" w:sz="8" w:space="0" w:color="CCCCCC"/>
              <w:right w:val="nil"/>
            </w:tcBorders>
            <w:shd w:val="clear" w:color="000000" w:fill="FFFFFF"/>
          </w:tcPr>
          <w:p w14:paraId="2E2C2DB8"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4CB5D775" w14:textId="25C5BE8F"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Drug-Eluting Stent – biodegradable polymer BES</w:t>
            </w:r>
          </w:p>
        </w:tc>
        <w:tc>
          <w:tcPr>
            <w:tcW w:w="438" w:type="pct"/>
            <w:tcBorders>
              <w:top w:val="nil"/>
              <w:left w:val="nil"/>
              <w:bottom w:val="single" w:sz="8" w:space="0" w:color="CCCCCC"/>
              <w:right w:val="single" w:sz="8" w:space="0" w:color="CCCCCC"/>
            </w:tcBorders>
            <w:shd w:val="clear" w:color="000000" w:fill="FFFFFF"/>
            <w:vAlign w:val="center"/>
            <w:hideMark/>
          </w:tcPr>
          <w:p w14:paraId="77179491" w14:textId="77777777" w:rsidR="003F77E0" w:rsidRPr="00FC08FE" w:rsidRDefault="003F77E0" w:rsidP="003F77E0">
            <w:pPr>
              <w:spacing w:after="0" w:line="240" w:lineRule="auto"/>
              <w:jc w:val="right"/>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334</w:t>
            </w:r>
          </w:p>
        </w:tc>
        <w:tc>
          <w:tcPr>
            <w:tcW w:w="495" w:type="pct"/>
            <w:tcBorders>
              <w:top w:val="nil"/>
              <w:left w:val="nil"/>
              <w:bottom w:val="single" w:sz="8" w:space="0" w:color="CCCCCC"/>
              <w:right w:val="single" w:sz="8" w:space="0" w:color="CCCCCC"/>
            </w:tcBorders>
            <w:shd w:val="clear" w:color="000000" w:fill="FFFFFF"/>
            <w:vAlign w:val="center"/>
            <w:hideMark/>
          </w:tcPr>
          <w:p w14:paraId="5EAB828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India</w:t>
            </w:r>
          </w:p>
        </w:tc>
        <w:tc>
          <w:tcPr>
            <w:tcW w:w="443" w:type="pct"/>
            <w:tcBorders>
              <w:top w:val="nil"/>
              <w:left w:val="nil"/>
              <w:bottom w:val="single" w:sz="8" w:space="0" w:color="CCCCCC"/>
              <w:right w:val="single" w:sz="8" w:space="0" w:color="CCCCCC"/>
            </w:tcBorders>
            <w:shd w:val="clear" w:color="000000" w:fill="FFFFFF"/>
            <w:vAlign w:val="center"/>
            <w:hideMark/>
          </w:tcPr>
          <w:p w14:paraId="74BC291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Both (59.1% ACS; remainder stable CAD)</w:t>
            </w:r>
          </w:p>
        </w:tc>
        <w:tc>
          <w:tcPr>
            <w:tcW w:w="411" w:type="pct"/>
            <w:tcBorders>
              <w:top w:val="nil"/>
              <w:left w:val="nil"/>
              <w:bottom w:val="single" w:sz="8" w:space="0" w:color="CCCCCC"/>
              <w:right w:val="single" w:sz="8" w:space="0" w:color="CCCCCC"/>
            </w:tcBorders>
            <w:shd w:val="clear" w:color="000000" w:fill="FFFFFF"/>
            <w:vAlign w:val="center"/>
            <w:hideMark/>
          </w:tcPr>
          <w:p w14:paraId="71808D2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24 months</w:t>
            </w:r>
          </w:p>
        </w:tc>
        <w:tc>
          <w:tcPr>
            <w:tcW w:w="571" w:type="pct"/>
            <w:tcBorders>
              <w:top w:val="nil"/>
              <w:left w:val="nil"/>
              <w:bottom w:val="single" w:sz="8" w:space="0" w:color="CCCCCC"/>
              <w:right w:val="single" w:sz="8" w:space="0" w:color="CCCCCC"/>
            </w:tcBorders>
            <w:shd w:val="clear" w:color="000000" w:fill="FFFFFF"/>
            <w:vAlign w:val="center"/>
            <w:hideMark/>
          </w:tcPr>
          <w:p w14:paraId="6BB4D81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 (minimum 6 months)</w:t>
            </w:r>
          </w:p>
        </w:tc>
        <w:tc>
          <w:tcPr>
            <w:tcW w:w="522" w:type="pct"/>
            <w:tcBorders>
              <w:top w:val="nil"/>
              <w:left w:val="nil"/>
              <w:bottom w:val="single" w:sz="8" w:space="0" w:color="CCCCCC"/>
              <w:right w:val="single" w:sz="8" w:space="0" w:color="000000"/>
            </w:tcBorders>
            <w:shd w:val="clear" w:color="000000" w:fill="FFFFFF"/>
            <w:vAlign w:val="center"/>
            <w:hideMark/>
          </w:tcPr>
          <w:p w14:paraId="13D2644A"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6AABB5EB" w14:textId="77777777" w:rsidTr="00FC08FE">
        <w:trPr>
          <w:trHeight w:val="65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7C68EDF3"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Lee 2019</w:t>
            </w:r>
          </w:p>
        </w:tc>
        <w:tc>
          <w:tcPr>
            <w:tcW w:w="534" w:type="pct"/>
            <w:tcBorders>
              <w:top w:val="nil"/>
              <w:left w:val="nil"/>
              <w:bottom w:val="single" w:sz="8" w:space="0" w:color="CCCCCC"/>
              <w:right w:val="single" w:sz="8" w:space="0" w:color="CCCCCC"/>
            </w:tcBorders>
            <w:shd w:val="clear" w:color="000000" w:fill="FFFFFF"/>
            <w:vAlign w:val="center"/>
            <w:hideMark/>
          </w:tcPr>
          <w:p w14:paraId="607D86ED"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4AAE117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vs </w:t>
            </w:r>
            <w:proofErr w:type="spellStart"/>
            <w:r w:rsidRPr="00FC08FE">
              <w:rPr>
                <w:rFonts w:ascii="Times New Roman" w:eastAsia="Times New Roman" w:hAnsi="Times New Roman" w:cs="Times New Roman"/>
                <w:sz w:val="20"/>
                <w:szCs w:val="20"/>
                <w:lang w:val="en" w:eastAsia="en-IN"/>
              </w:rPr>
              <w:t>Xience</w:t>
            </w:r>
            <w:proofErr w:type="spellEnd"/>
            <w:r w:rsidRPr="00FC08FE">
              <w:rPr>
                <w:rFonts w:ascii="Times New Roman" w:eastAsia="Times New Roman" w:hAnsi="Times New Roman" w:cs="Times New Roman"/>
                <w:sz w:val="20"/>
                <w:szCs w:val="20"/>
                <w:lang w:val="en" w:eastAsia="en-IN"/>
              </w:rPr>
              <w:t xml:space="preserve"> V</w:t>
            </w:r>
          </w:p>
        </w:tc>
        <w:tc>
          <w:tcPr>
            <w:tcW w:w="118" w:type="pct"/>
            <w:tcBorders>
              <w:top w:val="nil"/>
              <w:left w:val="nil"/>
              <w:bottom w:val="single" w:sz="8" w:space="0" w:color="CCCCCC"/>
              <w:right w:val="nil"/>
            </w:tcBorders>
            <w:shd w:val="clear" w:color="000000" w:fill="FFFFFF"/>
          </w:tcPr>
          <w:p w14:paraId="1F26E48E"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12E17E4B" w14:textId="6BB879D6"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Biodegradable polymer BES vs Durable polymer EES</w:t>
            </w:r>
          </w:p>
        </w:tc>
        <w:tc>
          <w:tcPr>
            <w:tcW w:w="438" w:type="pct"/>
            <w:tcBorders>
              <w:top w:val="nil"/>
              <w:left w:val="nil"/>
              <w:bottom w:val="single" w:sz="8" w:space="0" w:color="CCCCCC"/>
              <w:right w:val="single" w:sz="8" w:space="0" w:color="CCCCCC"/>
            </w:tcBorders>
            <w:shd w:val="clear" w:color="000000" w:fill="FFFFFF"/>
            <w:vAlign w:val="center"/>
            <w:hideMark/>
          </w:tcPr>
          <w:p w14:paraId="6FB6B838"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200 (100 per arm)</w:t>
            </w:r>
          </w:p>
        </w:tc>
        <w:tc>
          <w:tcPr>
            <w:tcW w:w="495" w:type="pct"/>
            <w:tcBorders>
              <w:top w:val="nil"/>
              <w:left w:val="nil"/>
              <w:bottom w:val="single" w:sz="8" w:space="0" w:color="CCCCCC"/>
              <w:right w:val="single" w:sz="8" w:space="0" w:color="CCCCCC"/>
            </w:tcBorders>
            <w:shd w:val="clear" w:color="000000" w:fill="FFFFFF"/>
            <w:vAlign w:val="center"/>
            <w:hideMark/>
          </w:tcPr>
          <w:p w14:paraId="4FC6264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Iran (Tabriz)</w:t>
            </w:r>
          </w:p>
        </w:tc>
        <w:tc>
          <w:tcPr>
            <w:tcW w:w="443" w:type="pct"/>
            <w:tcBorders>
              <w:top w:val="nil"/>
              <w:left w:val="nil"/>
              <w:bottom w:val="single" w:sz="8" w:space="0" w:color="CCCCCC"/>
              <w:right w:val="single" w:sz="8" w:space="0" w:color="CCCCCC"/>
            </w:tcBorders>
            <w:shd w:val="clear" w:color="000000" w:fill="FFFFFF"/>
            <w:vAlign w:val="center"/>
            <w:hideMark/>
          </w:tcPr>
          <w:p w14:paraId="7FB7DF1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De novo lesions (mix of stable and unstable)</w:t>
            </w:r>
          </w:p>
        </w:tc>
        <w:tc>
          <w:tcPr>
            <w:tcW w:w="411" w:type="pct"/>
            <w:tcBorders>
              <w:top w:val="nil"/>
              <w:left w:val="nil"/>
              <w:bottom w:val="single" w:sz="8" w:space="0" w:color="CCCCCC"/>
              <w:right w:val="single" w:sz="8" w:space="0" w:color="CCCCCC"/>
            </w:tcBorders>
            <w:shd w:val="clear" w:color="000000" w:fill="FFFFFF"/>
            <w:vAlign w:val="center"/>
            <w:hideMark/>
          </w:tcPr>
          <w:p w14:paraId="4BF65902"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w:t>
            </w:r>
          </w:p>
        </w:tc>
        <w:tc>
          <w:tcPr>
            <w:tcW w:w="571" w:type="pct"/>
            <w:tcBorders>
              <w:top w:val="nil"/>
              <w:left w:val="nil"/>
              <w:bottom w:val="single" w:sz="8" w:space="0" w:color="CCCCCC"/>
              <w:right w:val="single" w:sz="8" w:space="0" w:color="CCCCCC"/>
            </w:tcBorders>
            <w:shd w:val="clear" w:color="000000" w:fill="FFFFFF"/>
            <w:vAlign w:val="center"/>
            <w:hideMark/>
          </w:tcPr>
          <w:p w14:paraId="44C1920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12 months (aspirin + clopidogrel)</w:t>
            </w:r>
          </w:p>
        </w:tc>
        <w:tc>
          <w:tcPr>
            <w:tcW w:w="522" w:type="pct"/>
            <w:tcBorders>
              <w:top w:val="nil"/>
              <w:left w:val="nil"/>
              <w:bottom w:val="single" w:sz="8" w:space="0" w:color="CCCCCC"/>
              <w:right w:val="single" w:sz="8" w:space="0" w:color="000000"/>
            </w:tcBorders>
            <w:shd w:val="clear" w:color="000000" w:fill="FFFFFF"/>
            <w:vAlign w:val="center"/>
            <w:hideMark/>
          </w:tcPr>
          <w:p w14:paraId="510C948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59F26A40" w14:textId="77777777" w:rsidTr="00FC08FE">
        <w:trPr>
          <w:trHeight w:val="97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586EEA43"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proofErr w:type="spellStart"/>
            <w:r w:rsidRPr="00FC08FE">
              <w:rPr>
                <w:rFonts w:ascii="Times New Roman" w:eastAsia="Times New Roman" w:hAnsi="Times New Roman" w:cs="Times New Roman"/>
                <w:b/>
                <w:bCs/>
                <w:sz w:val="20"/>
                <w:szCs w:val="20"/>
                <w:lang w:val="en" w:eastAsia="en-IN"/>
              </w:rPr>
              <w:t>Separham</w:t>
            </w:r>
            <w:proofErr w:type="spellEnd"/>
            <w:r w:rsidRPr="00FC08FE">
              <w:rPr>
                <w:rFonts w:ascii="Times New Roman" w:eastAsia="Times New Roman" w:hAnsi="Times New Roman" w:cs="Times New Roman"/>
                <w:b/>
                <w:bCs/>
                <w:sz w:val="20"/>
                <w:szCs w:val="20"/>
                <w:lang w:val="en" w:eastAsia="en-IN"/>
              </w:rPr>
              <w:t xml:space="preserve"> 2011</w:t>
            </w:r>
          </w:p>
        </w:tc>
        <w:tc>
          <w:tcPr>
            <w:tcW w:w="534" w:type="pct"/>
            <w:tcBorders>
              <w:top w:val="nil"/>
              <w:left w:val="nil"/>
              <w:bottom w:val="single" w:sz="8" w:space="0" w:color="CCCCCC"/>
              <w:right w:val="single" w:sz="8" w:space="0" w:color="CCCCCC"/>
            </w:tcBorders>
            <w:shd w:val="clear" w:color="000000" w:fill="FFFFFF"/>
            <w:vAlign w:val="center"/>
            <w:hideMark/>
          </w:tcPr>
          <w:p w14:paraId="321DE9C7"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409E3E2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Flex vs </w:t>
            </w:r>
            <w:proofErr w:type="spellStart"/>
            <w:r w:rsidRPr="00FC08FE">
              <w:rPr>
                <w:rFonts w:ascii="Times New Roman" w:eastAsia="Times New Roman" w:hAnsi="Times New Roman" w:cs="Times New Roman"/>
                <w:sz w:val="20"/>
                <w:szCs w:val="20"/>
                <w:lang w:val="en" w:eastAsia="en-IN"/>
              </w:rPr>
              <w:t>Orsiro</w:t>
            </w:r>
            <w:proofErr w:type="spellEnd"/>
          </w:p>
        </w:tc>
        <w:tc>
          <w:tcPr>
            <w:tcW w:w="118" w:type="pct"/>
            <w:tcBorders>
              <w:top w:val="nil"/>
              <w:left w:val="nil"/>
              <w:bottom w:val="single" w:sz="8" w:space="0" w:color="CCCCCC"/>
              <w:right w:val="nil"/>
            </w:tcBorders>
            <w:shd w:val="clear" w:color="000000" w:fill="FFFFFF"/>
          </w:tcPr>
          <w:p w14:paraId="67DA31E6"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11C417BF" w14:textId="16FFA142"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Thick-strut biodegradable BES vs Thin-strut biodegradable SES</w:t>
            </w:r>
          </w:p>
        </w:tc>
        <w:tc>
          <w:tcPr>
            <w:tcW w:w="438" w:type="pct"/>
            <w:tcBorders>
              <w:top w:val="nil"/>
              <w:left w:val="nil"/>
              <w:bottom w:val="single" w:sz="8" w:space="0" w:color="CCCCCC"/>
              <w:right w:val="single" w:sz="8" w:space="0" w:color="CCCCCC"/>
            </w:tcBorders>
            <w:shd w:val="clear" w:color="000000" w:fill="FFFFFF"/>
            <w:vAlign w:val="center"/>
            <w:hideMark/>
          </w:tcPr>
          <w:p w14:paraId="2ACFB43C"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 xml:space="preserve">2,341 (1,166 </w:t>
            </w:r>
            <w:proofErr w:type="spellStart"/>
            <w:r w:rsidRPr="00FC08FE">
              <w:rPr>
                <w:rFonts w:ascii="Times New Roman" w:eastAsia="Times New Roman" w:hAnsi="Times New Roman" w:cs="Times New Roman"/>
                <w:sz w:val="20"/>
                <w:szCs w:val="20"/>
                <w:lang w:val="en" w:eastAsia="en-IN"/>
              </w:rPr>
              <w:t>BioMatrix</w:t>
            </w:r>
            <w:proofErr w:type="spellEnd"/>
            <w:r w:rsidRPr="00FC08FE">
              <w:rPr>
                <w:rFonts w:ascii="Times New Roman" w:eastAsia="Times New Roman" w:hAnsi="Times New Roman" w:cs="Times New Roman"/>
                <w:sz w:val="20"/>
                <w:szCs w:val="20"/>
                <w:lang w:val="en" w:eastAsia="en-IN"/>
              </w:rPr>
              <w:t xml:space="preserve">; 1,175 </w:t>
            </w:r>
            <w:proofErr w:type="spellStart"/>
            <w:r w:rsidRPr="00FC08FE">
              <w:rPr>
                <w:rFonts w:ascii="Times New Roman" w:eastAsia="Times New Roman" w:hAnsi="Times New Roman" w:cs="Times New Roman"/>
                <w:sz w:val="20"/>
                <w:szCs w:val="20"/>
                <w:lang w:val="en" w:eastAsia="en-IN"/>
              </w:rPr>
              <w:t>Orsiro</w:t>
            </w:r>
            <w:proofErr w:type="spellEnd"/>
            <w:r w:rsidRPr="00FC08FE">
              <w:rPr>
                <w:rFonts w:ascii="Times New Roman" w:eastAsia="Times New Roman" w:hAnsi="Times New Roman" w:cs="Times New Roman"/>
                <w:sz w:val="20"/>
                <w:szCs w:val="20"/>
                <w:lang w:val="en" w:eastAsia="en-IN"/>
              </w:rPr>
              <w:t>)</w:t>
            </w:r>
          </w:p>
        </w:tc>
        <w:tc>
          <w:tcPr>
            <w:tcW w:w="495" w:type="pct"/>
            <w:tcBorders>
              <w:top w:val="nil"/>
              <w:left w:val="nil"/>
              <w:bottom w:val="single" w:sz="8" w:space="0" w:color="CCCCCC"/>
              <w:right w:val="single" w:sz="8" w:space="0" w:color="CCCCCC"/>
            </w:tcBorders>
            <w:shd w:val="clear" w:color="000000" w:fill="FFFFFF"/>
            <w:vAlign w:val="center"/>
            <w:hideMark/>
          </w:tcPr>
          <w:p w14:paraId="7D421DF6"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International multicenter (South Korea-led)</w:t>
            </w:r>
          </w:p>
        </w:tc>
        <w:tc>
          <w:tcPr>
            <w:tcW w:w="443" w:type="pct"/>
            <w:tcBorders>
              <w:top w:val="nil"/>
              <w:left w:val="nil"/>
              <w:bottom w:val="single" w:sz="8" w:space="0" w:color="CCCCCC"/>
              <w:right w:val="single" w:sz="8" w:space="0" w:color="CCCCCC"/>
            </w:tcBorders>
            <w:shd w:val="clear" w:color="000000" w:fill="FFFFFF"/>
            <w:vAlign w:val="center"/>
            <w:hideMark/>
          </w:tcPr>
          <w:p w14:paraId="6C846119"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Both (67.3% ACS; 32.7% Stable CAD)</w:t>
            </w:r>
          </w:p>
        </w:tc>
        <w:tc>
          <w:tcPr>
            <w:tcW w:w="411" w:type="pct"/>
            <w:tcBorders>
              <w:top w:val="nil"/>
              <w:left w:val="nil"/>
              <w:bottom w:val="single" w:sz="8" w:space="0" w:color="CCCCCC"/>
              <w:right w:val="single" w:sz="8" w:space="0" w:color="CCCCCC"/>
            </w:tcBorders>
            <w:shd w:val="clear" w:color="000000" w:fill="FFFFFF"/>
            <w:vAlign w:val="center"/>
            <w:hideMark/>
          </w:tcPr>
          <w:p w14:paraId="2D8DEA4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18 months</w:t>
            </w:r>
          </w:p>
        </w:tc>
        <w:tc>
          <w:tcPr>
            <w:tcW w:w="571" w:type="pct"/>
            <w:tcBorders>
              <w:top w:val="nil"/>
              <w:left w:val="nil"/>
              <w:bottom w:val="single" w:sz="8" w:space="0" w:color="CCCCCC"/>
              <w:right w:val="single" w:sz="8" w:space="0" w:color="CCCCCC"/>
            </w:tcBorders>
            <w:shd w:val="clear" w:color="000000" w:fill="FFFFFF"/>
            <w:vAlign w:val="center"/>
            <w:hideMark/>
          </w:tcPr>
          <w:p w14:paraId="38626D4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Standard 12-month DAPT for ACS; shorter for stable</w:t>
            </w:r>
          </w:p>
        </w:tc>
        <w:tc>
          <w:tcPr>
            <w:tcW w:w="522" w:type="pct"/>
            <w:tcBorders>
              <w:top w:val="nil"/>
              <w:left w:val="nil"/>
              <w:bottom w:val="single" w:sz="8" w:space="0" w:color="CCCCCC"/>
              <w:right w:val="single" w:sz="8" w:space="0" w:color="000000"/>
            </w:tcBorders>
            <w:shd w:val="clear" w:color="000000" w:fill="FFFFFF"/>
            <w:vAlign w:val="center"/>
            <w:hideMark/>
          </w:tcPr>
          <w:p w14:paraId="3308214E"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Coronary angiography</w:t>
            </w:r>
          </w:p>
        </w:tc>
      </w:tr>
      <w:tr w:rsidR="003F77E0" w:rsidRPr="00FC08FE" w14:paraId="5272213C" w14:textId="77777777" w:rsidTr="00FC08FE">
        <w:trPr>
          <w:trHeight w:val="2090"/>
          <w:jc w:val="center"/>
        </w:trPr>
        <w:tc>
          <w:tcPr>
            <w:tcW w:w="490" w:type="pct"/>
            <w:tcBorders>
              <w:top w:val="nil"/>
              <w:left w:val="single" w:sz="8" w:space="0" w:color="CCCCCC"/>
              <w:bottom w:val="single" w:sz="8" w:space="0" w:color="CCCCCC"/>
              <w:right w:val="single" w:sz="8" w:space="0" w:color="CCCCCC"/>
            </w:tcBorders>
            <w:shd w:val="clear" w:color="000000" w:fill="FFFFFF"/>
            <w:vAlign w:val="center"/>
            <w:hideMark/>
          </w:tcPr>
          <w:p w14:paraId="43E30CF0" w14:textId="77777777" w:rsidR="003F77E0" w:rsidRPr="00FC08FE" w:rsidRDefault="003F77E0" w:rsidP="003F77E0">
            <w:pPr>
              <w:spacing w:after="0" w:line="240" w:lineRule="auto"/>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Eftekhari 2025</w:t>
            </w:r>
          </w:p>
        </w:tc>
        <w:tc>
          <w:tcPr>
            <w:tcW w:w="534" w:type="pct"/>
            <w:tcBorders>
              <w:top w:val="nil"/>
              <w:left w:val="nil"/>
              <w:bottom w:val="single" w:sz="8" w:space="0" w:color="CCCCCC"/>
              <w:right w:val="single" w:sz="8" w:space="0" w:color="CCCCCC"/>
            </w:tcBorders>
            <w:shd w:val="clear" w:color="000000" w:fill="FFFFFF"/>
            <w:vAlign w:val="center"/>
            <w:hideMark/>
          </w:tcPr>
          <w:p w14:paraId="78743E68" w14:textId="77777777" w:rsidR="003F77E0" w:rsidRPr="00FC08FE" w:rsidRDefault="003F77E0" w:rsidP="003F77E0">
            <w:pPr>
              <w:spacing w:after="0" w:line="240" w:lineRule="auto"/>
              <w:jc w:val="center"/>
              <w:rPr>
                <w:rFonts w:ascii="Times New Roman" w:eastAsia="Times New Roman" w:hAnsi="Times New Roman" w:cs="Times New Roman"/>
                <w:b/>
                <w:bCs/>
                <w:color w:val="000000"/>
                <w:sz w:val="20"/>
                <w:szCs w:val="20"/>
                <w:lang w:val="en-IN" w:eastAsia="en-IN"/>
              </w:rPr>
            </w:pPr>
            <w:r w:rsidRPr="00FC08FE">
              <w:rPr>
                <w:rFonts w:ascii="Times New Roman" w:eastAsia="Times New Roman" w:hAnsi="Times New Roman" w:cs="Times New Roman"/>
                <w:b/>
                <w:bCs/>
                <w:sz w:val="20"/>
                <w:szCs w:val="20"/>
                <w:lang w:val="en" w:eastAsia="en-IN"/>
              </w:rPr>
              <w:t>RCT</w:t>
            </w:r>
          </w:p>
        </w:tc>
        <w:tc>
          <w:tcPr>
            <w:tcW w:w="419" w:type="pct"/>
            <w:tcBorders>
              <w:top w:val="nil"/>
              <w:left w:val="nil"/>
              <w:bottom w:val="single" w:sz="8" w:space="0" w:color="CCCCCC"/>
              <w:right w:val="single" w:sz="8" w:space="0" w:color="CCCCCC"/>
            </w:tcBorders>
            <w:shd w:val="clear" w:color="000000" w:fill="FFFFFF"/>
            <w:vAlign w:val="center"/>
            <w:hideMark/>
          </w:tcPr>
          <w:p w14:paraId="1E8B1937"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Biomatrix Alpha (BES) vs Combo stent (DTS)</w:t>
            </w:r>
          </w:p>
        </w:tc>
        <w:tc>
          <w:tcPr>
            <w:tcW w:w="118" w:type="pct"/>
            <w:tcBorders>
              <w:top w:val="nil"/>
              <w:left w:val="nil"/>
              <w:bottom w:val="single" w:sz="8" w:space="0" w:color="CCCCCC"/>
              <w:right w:val="nil"/>
            </w:tcBorders>
            <w:shd w:val="clear" w:color="000000" w:fill="FFFFFF"/>
          </w:tcPr>
          <w:p w14:paraId="7D044D6A" w14:textId="77777777" w:rsidR="003F77E0" w:rsidRPr="00FC08FE" w:rsidRDefault="003F77E0" w:rsidP="003F77E0">
            <w:pPr>
              <w:spacing w:after="0" w:line="240" w:lineRule="auto"/>
              <w:rPr>
                <w:rFonts w:ascii="Times New Roman" w:eastAsia="Times New Roman" w:hAnsi="Times New Roman" w:cs="Times New Roman"/>
                <w:sz w:val="20"/>
                <w:szCs w:val="20"/>
                <w:lang w:val="en" w:eastAsia="en-IN"/>
              </w:rPr>
            </w:pPr>
          </w:p>
        </w:tc>
        <w:tc>
          <w:tcPr>
            <w:tcW w:w="558" w:type="pct"/>
            <w:tcBorders>
              <w:top w:val="nil"/>
              <w:left w:val="nil"/>
              <w:bottom w:val="single" w:sz="8" w:space="0" w:color="CCCCCC"/>
              <w:right w:val="single" w:sz="8" w:space="0" w:color="CCCCCC"/>
            </w:tcBorders>
            <w:shd w:val="clear" w:color="000000" w:fill="FFFFFF"/>
            <w:vAlign w:val="center"/>
            <w:hideMark/>
          </w:tcPr>
          <w:p w14:paraId="59530927" w14:textId="192D618E"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proofErr w:type="spellStart"/>
            <w:r w:rsidRPr="00FC08FE">
              <w:rPr>
                <w:rFonts w:ascii="Times New Roman" w:eastAsia="Times New Roman" w:hAnsi="Times New Roman" w:cs="Times New Roman"/>
                <w:sz w:val="20"/>
                <w:szCs w:val="20"/>
                <w:lang w:val="en" w:eastAsia="en-IN"/>
              </w:rPr>
              <w:t>Biolimus</w:t>
            </w:r>
            <w:proofErr w:type="spellEnd"/>
            <w:r w:rsidRPr="00FC08FE">
              <w:rPr>
                <w:rFonts w:ascii="Times New Roman" w:eastAsia="Times New Roman" w:hAnsi="Times New Roman" w:cs="Times New Roman"/>
                <w:sz w:val="20"/>
                <w:szCs w:val="20"/>
                <w:lang w:val="en" w:eastAsia="en-IN"/>
              </w:rPr>
              <w:t xml:space="preserve"> A9-eluting thin-strut CoCr stent with biodegradable polymer (BES) vs dual-therapy sirolimus-eluting + CD34+ antibody-coated endothelial progenitor cell-capturing stent (DTS)</w:t>
            </w:r>
          </w:p>
        </w:tc>
        <w:tc>
          <w:tcPr>
            <w:tcW w:w="438" w:type="pct"/>
            <w:tcBorders>
              <w:top w:val="nil"/>
              <w:left w:val="nil"/>
              <w:bottom w:val="single" w:sz="8" w:space="0" w:color="CCCCCC"/>
              <w:right w:val="single" w:sz="8" w:space="0" w:color="CCCCCC"/>
            </w:tcBorders>
            <w:shd w:val="clear" w:color="000000" w:fill="FFFFFF"/>
            <w:vAlign w:val="center"/>
            <w:hideMark/>
          </w:tcPr>
          <w:p w14:paraId="61930385"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3,136 (BES n=1,568; DTS n=1,568)</w:t>
            </w:r>
          </w:p>
        </w:tc>
        <w:tc>
          <w:tcPr>
            <w:tcW w:w="495" w:type="pct"/>
            <w:tcBorders>
              <w:top w:val="nil"/>
              <w:left w:val="nil"/>
              <w:bottom w:val="single" w:sz="8" w:space="0" w:color="CCCCCC"/>
              <w:right w:val="single" w:sz="8" w:space="0" w:color="CCCCCC"/>
            </w:tcBorders>
            <w:shd w:val="clear" w:color="000000" w:fill="FFFFFF"/>
            <w:vAlign w:val="center"/>
            <w:hideMark/>
          </w:tcPr>
          <w:p w14:paraId="5FFAE3CD"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Denmark (Aalborg, Aarhus, Odense)</w:t>
            </w:r>
          </w:p>
        </w:tc>
        <w:tc>
          <w:tcPr>
            <w:tcW w:w="443" w:type="pct"/>
            <w:tcBorders>
              <w:top w:val="nil"/>
              <w:left w:val="nil"/>
              <w:bottom w:val="single" w:sz="8" w:space="0" w:color="CCCCCC"/>
              <w:right w:val="single" w:sz="8" w:space="0" w:color="CCCCCC"/>
            </w:tcBorders>
            <w:shd w:val="clear" w:color="000000" w:fill="FFFFFF"/>
            <w:vAlign w:val="center"/>
            <w:hideMark/>
          </w:tcPr>
          <w:p w14:paraId="37020B3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All-comer (ACS and stable CAD)</w:t>
            </w:r>
          </w:p>
        </w:tc>
        <w:tc>
          <w:tcPr>
            <w:tcW w:w="411" w:type="pct"/>
            <w:tcBorders>
              <w:top w:val="nil"/>
              <w:left w:val="nil"/>
              <w:bottom w:val="single" w:sz="8" w:space="0" w:color="CCCCCC"/>
              <w:right w:val="single" w:sz="8" w:space="0" w:color="CCCCCC"/>
            </w:tcBorders>
            <w:shd w:val="clear" w:color="000000" w:fill="FFFFFF"/>
            <w:vAlign w:val="center"/>
            <w:hideMark/>
          </w:tcPr>
          <w:p w14:paraId="6473F080"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1 year (primary); 5 years planned</w:t>
            </w:r>
          </w:p>
        </w:tc>
        <w:tc>
          <w:tcPr>
            <w:tcW w:w="571" w:type="pct"/>
            <w:tcBorders>
              <w:top w:val="nil"/>
              <w:left w:val="nil"/>
              <w:bottom w:val="single" w:sz="8" w:space="0" w:color="CCCCCC"/>
              <w:right w:val="single" w:sz="8" w:space="0" w:color="CCCCCC"/>
            </w:tcBorders>
            <w:shd w:val="clear" w:color="000000" w:fill="FFFFFF"/>
            <w:vAlign w:val="center"/>
            <w:hideMark/>
          </w:tcPr>
          <w:p w14:paraId="4EDE43F4"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 (clinically driven event detection; no routine follow-up protocol)</w:t>
            </w:r>
          </w:p>
        </w:tc>
        <w:tc>
          <w:tcPr>
            <w:tcW w:w="522" w:type="pct"/>
            <w:tcBorders>
              <w:top w:val="nil"/>
              <w:left w:val="nil"/>
              <w:bottom w:val="single" w:sz="8" w:space="0" w:color="CCCCCC"/>
              <w:right w:val="single" w:sz="8" w:space="0" w:color="000000"/>
            </w:tcBorders>
            <w:shd w:val="clear" w:color="000000" w:fill="FFFFFF"/>
            <w:vAlign w:val="center"/>
            <w:hideMark/>
          </w:tcPr>
          <w:p w14:paraId="3FE1BF3B" w14:textId="77777777" w:rsidR="003F77E0" w:rsidRPr="00FC08FE" w:rsidRDefault="003F77E0" w:rsidP="003F77E0">
            <w:pPr>
              <w:spacing w:after="0" w:line="240" w:lineRule="auto"/>
              <w:rPr>
                <w:rFonts w:ascii="Times New Roman" w:eastAsia="Times New Roman" w:hAnsi="Times New Roman" w:cs="Times New Roman"/>
                <w:color w:val="000000"/>
                <w:sz w:val="20"/>
                <w:szCs w:val="20"/>
                <w:lang w:val="en-IN" w:eastAsia="en-IN"/>
              </w:rPr>
            </w:pPr>
            <w:r w:rsidRPr="00FC08FE">
              <w:rPr>
                <w:rFonts w:ascii="Times New Roman" w:eastAsia="Times New Roman" w:hAnsi="Times New Roman" w:cs="Times New Roman"/>
                <w:sz w:val="20"/>
                <w:szCs w:val="20"/>
                <w:lang w:val="en" w:eastAsia="en-IN"/>
              </w:rPr>
              <w:t>NR (angiography-guided; no routine intravascular imaging mandated)</w:t>
            </w:r>
          </w:p>
        </w:tc>
      </w:tr>
    </w:tbl>
    <w:p w14:paraId="072853F8" w14:textId="77777777" w:rsidR="00D0235C" w:rsidRDefault="00D0235C" w:rsidP="00FB7F00">
      <w:pPr>
        <w:widowControl w:val="0"/>
        <w:adjustRightInd w:val="0"/>
        <w:spacing w:after="0" w:line="360" w:lineRule="auto"/>
        <w:jc w:val="both"/>
        <w:rPr>
          <w:rFonts w:ascii="Times New Roman" w:hAnsi="Times New Roman" w:cs="Times New Roman"/>
          <w:sz w:val="20"/>
          <w:szCs w:val="20"/>
        </w:rPr>
      </w:pPr>
    </w:p>
    <w:p w14:paraId="5F776B12" w14:textId="6299D4F2" w:rsidR="00FC562A" w:rsidRDefault="002B3897" w:rsidP="00FB7F00">
      <w:pPr>
        <w:widowControl w:val="0"/>
        <w:adjustRightInd w:val="0"/>
        <w:spacing w:after="0" w:line="360" w:lineRule="auto"/>
        <w:jc w:val="both"/>
        <w:rPr>
          <w:rFonts w:ascii="Times New Roman" w:hAnsi="Times New Roman" w:cs="Times New Roman"/>
          <w:sz w:val="20"/>
          <w:szCs w:val="20"/>
        </w:rPr>
      </w:pPr>
      <w:r w:rsidRPr="00A7447A">
        <w:rPr>
          <w:rFonts w:ascii="Times New Roman" w:hAnsi="Times New Roman" w:cs="Times New Roman"/>
          <w:b/>
          <w:bCs/>
          <w:color w:val="0070C0"/>
          <w:sz w:val="20"/>
          <w:szCs w:val="20"/>
        </w:rPr>
        <w:t>Table 1</w:t>
      </w:r>
      <w:r w:rsidRPr="002B3897">
        <w:rPr>
          <w:rFonts w:ascii="Times New Roman" w:hAnsi="Times New Roman" w:cs="Times New Roman"/>
          <w:sz w:val="20"/>
          <w:szCs w:val="20"/>
        </w:rPr>
        <w:t>: Study characteristics table.</w:t>
      </w:r>
    </w:p>
    <w:p w14:paraId="0A827060" w14:textId="77777777" w:rsidR="005F35DC" w:rsidRDefault="005F35DC"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786"/>
        <w:gridCol w:w="457"/>
        <w:gridCol w:w="735"/>
        <w:gridCol w:w="792"/>
        <w:gridCol w:w="552"/>
        <w:gridCol w:w="552"/>
        <w:gridCol w:w="634"/>
        <w:gridCol w:w="875"/>
        <w:gridCol w:w="1040"/>
        <w:gridCol w:w="615"/>
        <w:gridCol w:w="476"/>
        <w:gridCol w:w="831"/>
        <w:gridCol w:w="995"/>
      </w:tblGrid>
      <w:tr w:rsidR="00412CAB" w:rsidRPr="00412CAB" w14:paraId="0AC55096" w14:textId="77777777" w:rsidTr="00412CAB">
        <w:trPr>
          <w:trHeight w:val="1310"/>
          <w:jc w:val="center"/>
        </w:trPr>
        <w:tc>
          <w:tcPr>
            <w:tcW w:w="426" w:type="pct"/>
            <w:tcBorders>
              <w:top w:val="single" w:sz="8" w:space="0" w:color="B8CCE4"/>
              <w:left w:val="single" w:sz="8" w:space="0" w:color="B8CCE4"/>
              <w:bottom w:val="single" w:sz="8" w:space="0" w:color="B8CCE4"/>
              <w:right w:val="single" w:sz="8" w:space="0" w:color="B8CCE4"/>
            </w:tcBorders>
            <w:shd w:val="clear" w:color="000000" w:fill="1F3864"/>
            <w:vAlign w:val="center"/>
            <w:hideMark/>
          </w:tcPr>
          <w:p w14:paraId="784C49BB"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lastRenderedPageBreak/>
              <w:t>Study ID</w:t>
            </w:r>
          </w:p>
        </w:tc>
        <w:tc>
          <w:tcPr>
            <w:tcW w:w="224" w:type="pct"/>
            <w:tcBorders>
              <w:top w:val="single" w:sz="8" w:space="0" w:color="B8CCE4"/>
              <w:left w:val="nil"/>
              <w:bottom w:val="single" w:sz="8" w:space="0" w:color="B8CCE4"/>
              <w:right w:val="single" w:sz="8" w:space="0" w:color="B8CCE4"/>
            </w:tcBorders>
            <w:shd w:val="clear" w:color="000000" w:fill="1F3864"/>
            <w:vAlign w:val="center"/>
            <w:hideMark/>
          </w:tcPr>
          <w:p w14:paraId="21B57E7A"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Year</w:t>
            </w:r>
          </w:p>
        </w:tc>
        <w:tc>
          <w:tcPr>
            <w:tcW w:w="395" w:type="pct"/>
            <w:tcBorders>
              <w:top w:val="single" w:sz="8" w:space="0" w:color="B8CCE4"/>
              <w:left w:val="nil"/>
              <w:bottom w:val="single" w:sz="8" w:space="0" w:color="B8CCE4"/>
              <w:right w:val="single" w:sz="8" w:space="0" w:color="B8CCE4"/>
            </w:tcBorders>
            <w:shd w:val="clear" w:color="000000" w:fill="1F3864"/>
            <w:vAlign w:val="center"/>
            <w:hideMark/>
          </w:tcPr>
          <w:p w14:paraId="4AC1C564"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N</w:t>
            </w:r>
          </w:p>
        </w:tc>
        <w:tc>
          <w:tcPr>
            <w:tcW w:w="430" w:type="pct"/>
            <w:tcBorders>
              <w:top w:val="single" w:sz="8" w:space="0" w:color="B8CCE4"/>
              <w:left w:val="nil"/>
              <w:bottom w:val="single" w:sz="8" w:space="0" w:color="B8CCE4"/>
              <w:right w:val="single" w:sz="8" w:space="0" w:color="B8CCE4"/>
            </w:tcBorders>
            <w:shd w:val="clear" w:color="000000" w:fill="1F3864"/>
            <w:vAlign w:val="center"/>
            <w:hideMark/>
          </w:tcPr>
          <w:p w14:paraId="06BE7A94"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Population / Inclusion Criteria</w:t>
            </w:r>
          </w:p>
        </w:tc>
        <w:tc>
          <w:tcPr>
            <w:tcW w:w="282" w:type="pct"/>
            <w:tcBorders>
              <w:top w:val="single" w:sz="8" w:space="0" w:color="B8CCE4"/>
              <w:left w:val="nil"/>
              <w:bottom w:val="single" w:sz="8" w:space="0" w:color="B8CCE4"/>
              <w:right w:val="single" w:sz="8" w:space="0" w:color="B8CCE4"/>
            </w:tcBorders>
            <w:shd w:val="clear" w:color="000000" w:fill="1F3864"/>
            <w:vAlign w:val="center"/>
            <w:hideMark/>
          </w:tcPr>
          <w:p w14:paraId="54712CCC"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Age (years)</w:t>
            </w:r>
          </w:p>
        </w:tc>
        <w:tc>
          <w:tcPr>
            <w:tcW w:w="282" w:type="pct"/>
            <w:tcBorders>
              <w:top w:val="single" w:sz="8" w:space="0" w:color="B8CCE4"/>
              <w:left w:val="nil"/>
              <w:bottom w:val="single" w:sz="8" w:space="0" w:color="B8CCE4"/>
              <w:right w:val="single" w:sz="8" w:space="0" w:color="B8CCE4"/>
            </w:tcBorders>
            <w:shd w:val="clear" w:color="000000" w:fill="1F3864"/>
            <w:vAlign w:val="center"/>
            <w:hideMark/>
          </w:tcPr>
          <w:p w14:paraId="14D06E52"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Male Sex (%)</w:t>
            </w:r>
          </w:p>
        </w:tc>
        <w:tc>
          <w:tcPr>
            <w:tcW w:w="333" w:type="pct"/>
            <w:tcBorders>
              <w:top w:val="single" w:sz="8" w:space="0" w:color="B8CCE4"/>
              <w:left w:val="nil"/>
              <w:bottom w:val="single" w:sz="8" w:space="0" w:color="B8CCE4"/>
              <w:right w:val="single" w:sz="8" w:space="0" w:color="B8CCE4"/>
            </w:tcBorders>
            <w:shd w:val="clear" w:color="000000" w:fill="1F3864"/>
            <w:vAlign w:val="center"/>
            <w:hideMark/>
          </w:tcPr>
          <w:p w14:paraId="1B24FBF6"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Diabetes Mellitus (%)</w:t>
            </w:r>
          </w:p>
        </w:tc>
        <w:tc>
          <w:tcPr>
            <w:tcW w:w="481" w:type="pct"/>
            <w:tcBorders>
              <w:top w:val="single" w:sz="8" w:space="0" w:color="B8CCE4"/>
              <w:left w:val="nil"/>
              <w:bottom w:val="single" w:sz="8" w:space="0" w:color="B8CCE4"/>
              <w:right w:val="single" w:sz="8" w:space="0" w:color="B8CCE4"/>
            </w:tcBorders>
            <w:shd w:val="clear" w:color="000000" w:fill="1F3864"/>
            <w:vAlign w:val="center"/>
            <w:hideMark/>
          </w:tcPr>
          <w:p w14:paraId="74E2BA5F"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Hypertension (%)</w:t>
            </w:r>
          </w:p>
        </w:tc>
        <w:tc>
          <w:tcPr>
            <w:tcW w:w="582" w:type="pct"/>
            <w:tcBorders>
              <w:top w:val="single" w:sz="8" w:space="0" w:color="B8CCE4"/>
              <w:left w:val="nil"/>
              <w:bottom w:val="single" w:sz="8" w:space="0" w:color="B8CCE4"/>
              <w:right w:val="single" w:sz="8" w:space="0" w:color="B8CCE4"/>
            </w:tcBorders>
            <w:shd w:val="clear" w:color="000000" w:fill="1F3864"/>
            <w:vAlign w:val="center"/>
            <w:hideMark/>
          </w:tcPr>
          <w:p w14:paraId="3914BC95"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proofErr w:type="spellStart"/>
            <w:r w:rsidRPr="00412CAB">
              <w:rPr>
                <w:rFonts w:ascii="Times New Roman" w:eastAsia="Times New Roman" w:hAnsi="Times New Roman" w:cs="Times New Roman"/>
                <w:b/>
                <w:bCs/>
                <w:color w:val="FFFFFF"/>
                <w:sz w:val="20"/>
                <w:szCs w:val="20"/>
                <w:lang w:val="en" w:eastAsia="en-IN"/>
              </w:rPr>
              <w:t>Dyslipidaemia</w:t>
            </w:r>
            <w:proofErr w:type="spellEnd"/>
            <w:r w:rsidRPr="00412CAB">
              <w:rPr>
                <w:rFonts w:ascii="Times New Roman" w:eastAsia="Times New Roman" w:hAnsi="Times New Roman" w:cs="Times New Roman"/>
                <w:b/>
                <w:bCs/>
                <w:color w:val="FFFFFF"/>
                <w:sz w:val="20"/>
                <w:szCs w:val="20"/>
                <w:lang w:val="en" w:eastAsia="en-IN"/>
              </w:rPr>
              <w:t xml:space="preserve"> / </w:t>
            </w:r>
            <w:proofErr w:type="spellStart"/>
            <w:r w:rsidRPr="00412CAB">
              <w:rPr>
                <w:rFonts w:ascii="Times New Roman" w:eastAsia="Times New Roman" w:hAnsi="Times New Roman" w:cs="Times New Roman"/>
                <w:b/>
                <w:bCs/>
                <w:color w:val="FFFFFF"/>
                <w:sz w:val="20"/>
                <w:szCs w:val="20"/>
                <w:lang w:val="en" w:eastAsia="en-IN"/>
              </w:rPr>
              <w:t>Hyperlipidaemia</w:t>
            </w:r>
            <w:proofErr w:type="spellEnd"/>
            <w:r w:rsidRPr="00412CAB">
              <w:rPr>
                <w:rFonts w:ascii="Times New Roman" w:eastAsia="Times New Roman" w:hAnsi="Times New Roman" w:cs="Times New Roman"/>
                <w:b/>
                <w:bCs/>
                <w:color w:val="FFFFFF"/>
                <w:sz w:val="20"/>
                <w:szCs w:val="20"/>
                <w:lang w:val="en" w:eastAsia="en-IN"/>
              </w:rPr>
              <w:t xml:space="preserve"> (%)</w:t>
            </w:r>
          </w:p>
        </w:tc>
        <w:tc>
          <w:tcPr>
            <w:tcW w:w="321" w:type="pct"/>
            <w:tcBorders>
              <w:top w:val="single" w:sz="8" w:space="0" w:color="B8CCE4"/>
              <w:left w:val="nil"/>
              <w:bottom w:val="single" w:sz="8" w:space="0" w:color="B8CCE4"/>
              <w:right w:val="single" w:sz="8" w:space="0" w:color="B8CCE4"/>
            </w:tcBorders>
            <w:shd w:val="clear" w:color="000000" w:fill="1F3864"/>
            <w:vAlign w:val="center"/>
            <w:hideMark/>
          </w:tcPr>
          <w:p w14:paraId="6B937386"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Current Smoker (%)</w:t>
            </w:r>
          </w:p>
        </w:tc>
        <w:tc>
          <w:tcPr>
            <w:tcW w:w="236" w:type="pct"/>
            <w:tcBorders>
              <w:top w:val="single" w:sz="8" w:space="0" w:color="B8CCE4"/>
              <w:left w:val="nil"/>
              <w:bottom w:val="single" w:sz="8" w:space="0" w:color="B8CCE4"/>
              <w:right w:val="single" w:sz="8" w:space="0" w:color="B8CCE4"/>
            </w:tcBorders>
            <w:shd w:val="clear" w:color="000000" w:fill="1F3864"/>
            <w:vAlign w:val="center"/>
            <w:hideMark/>
          </w:tcPr>
          <w:p w14:paraId="12C3BBE4"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Prior MI (%)</w:t>
            </w:r>
          </w:p>
        </w:tc>
        <w:tc>
          <w:tcPr>
            <w:tcW w:w="454" w:type="pct"/>
            <w:tcBorders>
              <w:top w:val="single" w:sz="8" w:space="0" w:color="B8CCE4"/>
              <w:left w:val="nil"/>
              <w:bottom w:val="single" w:sz="8" w:space="0" w:color="B8CCE4"/>
              <w:right w:val="single" w:sz="8" w:space="0" w:color="B8CCE4"/>
            </w:tcBorders>
            <w:shd w:val="clear" w:color="000000" w:fill="1F3864"/>
            <w:vAlign w:val="center"/>
            <w:hideMark/>
          </w:tcPr>
          <w:p w14:paraId="7A0BD5FE"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Clinical Presentation / Indication</w:t>
            </w:r>
          </w:p>
        </w:tc>
        <w:tc>
          <w:tcPr>
            <w:tcW w:w="555" w:type="pct"/>
            <w:tcBorders>
              <w:top w:val="single" w:sz="8" w:space="0" w:color="B8CCE4"/>
              <w:left w:val="nil"/>
              <w:bottom w:val="single" w:sz="8" w:space="0" w:color="B8CCE4"/>
              <w:right w:val="single" w:sz="8" w:space="0" w:color="000000"/>
            </w:tcBorders>
            <w:shd w:val="clear" w:color="000000" w:fill="1F3864"/>
            <w:vAlign w:val="center"/>
            <w:hideMark/>
          </w:tcPr>
          <w:p w14:paraId="331D6C02" w14:textId="77777777" w:rsidR="00412CAB" w:rsidRPr="00412CAB" w:rsidRDefault="00412CAB" w:rsidP="00412CAB">
            <w:pPr>
              <w:spacing w:after="0" w:line="240" w:lineRule="auto"/>
              <w:rPr>
                <w:rFonts w:ascii="Times New Roman" w:eastAsia="Times New Roman" w:hAnsi="Times New Roman" w:cs="Times New Roman"/>
                <w:b/>
                <w:bCs/>
                <w:color w:val="FFFFFF"/>
                <w:sz w:val="20"/>
                <w:szCs w:val="20"/>
                <w:lang w:val="en-IN" w:eastAsia="en-IN"/>
              </w:rPr>
            </w:pPr>
            <w:r w:rsidRPr="00412CAB">
              <w:rPr>
                <w:rFonts w:ascii="Times New Roman" w:eastAsia="Times New Roman" w:hAnsi="Times New Roman" w:cs="Times New Roman"/>
                <w:b/>
                <w:bCs/>
                <w:color w:val="FFFFFF"/>
                <w:sz w:val="20"/>
                <w:szCs w:val="20"/>
                <w:lang w:val="en" w:eastAsia="en-IN"/>
              </w:rPr>
              <w:t>Special Sub-population</w:t>
            </w:r>
          </w:p>
        </w:tc>
      </w:tr>
      <w:tr w:rsidR="00412CAB" w:rsidRPr="00412CAB" w14:paraId="0D6A688C"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4EB1456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Rola 2022</w:t>
            </w:r>
          </w:p>
        </w:tc>
        <w:tc>
          <w:tcPr>
            <w:tcW w:w="224" w:type="pct"/>
            <w:tcBorders>
              <w:top w:val="nil"/>
              <w:left w:val="nil"/>
              <w:bottom w:val="single" w:sz="8" w:space="0" w:color="B8CCE4"/>
              <w:right w:val="single" w:sz="8" w:space="0" w:color="B8CCE4"/>
            </w:tcBorders>
            <w:shd w:val="clear" w:color="000000" w:fill="DCE6F1"/>
            <w:vAlign w:val="center"/>
            <w:hideMark/>
          </w:tcPr>
          <w:p w14:paraId="01BFB7F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2022</w:t>
            </w:r>
          </w:p>
        </w:tc>
        <w:tc>
          <w:tcPr>
            <w:tcW w:w="395" w:type="pct"/>
            <w:tcBorders>
              <w:top w:val="nil"/>
              <w:left w:val="nil"/>
              <w:bottom w:val="single" w:sz="8" w:space="0" w:color="B8CCE4"/>
              <w:right w:val="single" w:sz="8" w:space="0" w:color="B8CCE4"/>
            </w:tcBorders>
            <w:shd w:val="clear" w:color="000000" w:fill="DCE6F1"/>
            <w:vAlign w:val="center"/>
            <w:hideMark/>
          </w:tcPr>
          <w:p w14:paraId="33013FC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w:t>
            </w:r>
          </w:p>
        </w:tc>
        <w:tc>
          <w:tcPr>
            <w:tcW w:w="430" w:type="pct"/>
            <w:tcBorders>
              <w:top w:val="nil"/>
              <w:left w:val="nil"/>
              <w:bottom w:val="single" w:sz="8" w:space="0" w:color="B8CCE4"/>
              <w:right w:val="single" w:sz="8" w:space="0" w:color="B8CCE4"/>
            </w:tcBorders>
            <w:shd w:val="clear" w:color="000000" w:fill="DCE6F1"/>
            <w:vAlign w:val="center"/>
            <w:hideMark/>
          </w:tcPr>
          <w:p w14:paraId="51F8358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 patients undergoing PCI</w:t>
            </w:r>
          </w:p>
        </w:tc>
        <w:tc>
          <w:tcPr>
            <w:tcW w:w="282" w:type="pct"/>
            <w:tcBorders>
              <w:top w:val="nil"/>
              <w:left w:val="nil"/>
              <w:bottom w:val="single" w:sz="8" w:space="0" w:color="B8CCE4"/>
              <w:right w:val="single" w:sz="8" w:space="0" w:color="B8CCE4"/>
            </w:tcBorders>
            <w:shd w:val="clear" w:color="000000" w:fill="DCE6F1"/>
            <w:vAlign w:val="center"/>
            <w:hideMark/>
          </w:tcPr>
          <w:p w14:paraId="3A2A0EB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DCE6F1"/>
            <w:vAlign w:val="center"/>
            <w:hideMark/>
          </w:tcPr>
          <w:p w14:paraId="7A82CBA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333" w:type="pct"/>
            <w:tcBorders>
              <w:top w:val="nil"/>
              <w:left w:val="nil"/>
              <w:bottom w:val="single" w:sz="8" w:space="0" w:color="B8CCE4"/>
              <w:right w:val="single" w:sz="8" w:space="0" w:color="B8CCE4"/>
            </w:tcBorders>
            <w:shd w:val="clear" w:color="000000" w:fill="DCE6F1"/>
            <w:vAlign w:val="center"/>
            <w:hideMark/>
          </w:tcPr>
          <w:p w14:paraId="06CAE13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37</w:t>
            </w:r>
          </w:p>
        </w:tc>
        <w:tc>
          <w:tcPr>
            <w:tcW w:w="481" w:type="pct"/>
            <w:tcBorders>
              <w:top w:val="nil"/>
              <w:left w:val="nil"/>
              <w:bottom w:val="single" w:sz="8" w:space="0" w:color="B8CCE4"/>
              <w:right w:val="single" w:sz="8" w:space="0" w:color="B8CCE4"/>
            </w:tcBorders>
            <w:shd w:val="clear" w:color="000000" w:fill="DCE6F1"/>
            <w:vAlign w:val="center"/>
            <w:hideMark/>
          </w:tcPr>
          <w:p w14:paraId="302DD87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DCE6F1"/>
            <w:vAlign w:val="center"/>
            <w:hideMark/>
          </w:tcPr>
          <w:p w14:paraId="69D6018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321" w:type="pct"/>
            <w:tcBorders>
              <w:top w:val="nil"/>
              <w:left w:val="nil"/>
              <w:bottom w:val="single" w:sz="8" w:space="0" w:color="B8CCE4"/>
              <w:right w:val="single" w:sz="8" w:space="0" w:color="B8CCE4"/>
            </w:tcBorders>
            <w:shd w:val="clear" w:color="000000" w:fill="DCE6F1"/>
            <w:vAlign w:val="center"/>
            <w:hideMark/>
          </w:tcPr>
          <w:p w14:paraId="5205900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DCE6F1"/>
            <w:vAlign w:val="center"/>
            <w:hideMark/>
          </w:tcPr>
          <w:p w14:paraId="3A7248C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21</w:t>
            </w:r>
          </w:p>
        </w:tc>
        <w:tc>
          <w:tcPr>
            <w:tcW w:w="454" w:type="pct"/>
            <w:tcBorders>
              <w:top w:val="nil"/>
              <w:left w:val="nil"/>
              <w:bottom w:val="single" w:sz="8" w:space="0" w:color="B8CCE4"/>
              <w:right w:val="single" w:sz="8" w:space="0" w:color="B8CCE4"/>
            </w:tcBorders>
            <w:shd w:val="clear" w:color="000000" w:fill="DCE6F1"/>
            <w:vAlign w:val="center"/>
            <w:hideMark/>
          </w:tcPr>
          <w:p w14:paraId="4D5F195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w:t>
            </w:r>
          </w:p>
        </w:tc>
        <w:tc>
          <w:tcPr>
            <w:tcW w:w="555" w:type="pct"/>
            <w:tcBorders>
              <w:top w:val="nil"/>
              <w:left w:val="nil"/>
              <w:bottom w:val="single" w:sz="8" w:space="0" w:color="B8CCE4"/>
              <w:right w:val="single" w:sz="8" w:space="0" w:color="B8CCE4"/>
            </w:tcBorders>
            <w:shd w:val="clear" w:color="000000" w:fill="DCE6F1"/>
            <w:vAlign w:val="center"/>
            <w:hideMark/>
          </w:tcPr>
          <w:p w14:paraId="545CF68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None</w:t>
            </w:r>
          </w:p>
        </w:tc>
      </w:tr>
      <w:tr w:rsidR="00412CAB" w:rsidRPr="00412CAB" w14:paraId="46F325C5"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46396B9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Włodarczak</w:t>
            </w:r>
            <w:proofErr w:type="spellEnd"/>
            <w:r w:rsidRPr="00412CAB">
              <w:rPr>
                <w:rFonts w:ascii="Times New Roman" w:eastAsia="Times New Roman" w:hAnsi="Times New Roman" w:cs="Times New Roman"/>
                <w:sz w:val="20"/>
                <w:szCs w:val="20"/>
                <w:lang w:val="en" w:eastAsia="en-IN"/>
              </w:rPr>
              <w:t xml:space="preserve"> 2021</w:t>
            </w:r>
          </w:p>
        </w:tc>
        <w:tc>
          <w:tcPr>
            <w:tcW w:w="224" w:type="pct"/>
            <w:tcBorders>
              <w:top w:val="nil"/>
              <w:left w:val="nil"/>
              <w:bottom w:val="single" w:sz="8" w:space="0" w:color="B8CCE4"/>
              <w:right w:val="single" w:sz="8" w:space="0" w:color="B8CCE4"/>
            </w:tcBorders>
            <w:shd w:val="clear" w:color="000000" w:fill="FFFFFF"/>
            <w:vAlign w:val="center"/>
            <w:hideMark/>
          </w:tcPr>
          <w:p w14:paraId="23E2856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tcBorders>
              <w:top w:val="nil"/>
              <w:left w:val="nil"/>
              <w:bottom w:val="single" w:sz="8" w:space="0" w:color="B8CCE4"/>
              <w:right w:val="single" w:sz="8" w:space="0" w:color="B8CCE4"/>
            </w:tcBorders>
            <w:shd w:val="clear" w:color="000000" w:fill="FFFFFF"/>
            <w:vAlign w:val="center"/>
            <w:hideMark/>
          </w:tcPr>
          <w:p w14:paraId="4424CE0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 (DM 72; non-DM 121)</w:t>
            </w:r>
          </w:p>
        </w:tc>
        <w:tc>
          <w:tcPr>
            <w:tcW w:w="430" w:type="pct"/>
            <w:tcBorders>
              <w:top w:val="nil"/>
              <w:left w:val="nil"/>
              <w:bottom w:val="single" w:sz="8" w:space="0" w:color="B8CCE4"/>
              <w:right w:val="single" w:sz="8" w:space="0" w:color="B8CCE4"/>
            </w:tcBorders>
            <w:shd w:val="clear" w:color="000000" w:fill="FFFFFF"/>
            <w:vAlign w:val="center"/>
            <w:hideMark/>
          </w:tcPr>
          <w:p w14:paraId="5300EE4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NSTE-ACS patients undergoing PCI with </w:t>
            </w:r>
            <w:proofErr w:type="spellStart"/>
            <w:r w:rsidRPr="00412CAB">
              <w:rPr>
                <w:rFonts w:ascii="Times New Roman" w:eastAsia="Times New Roman" w:hAnsi="Times New Roman" w:cs="Times New Roman"/>
                <w:sz w:val="20"/>
                <w:szCs w:val="20"/>
                <w:lang w:val="en" w:eastAsia="en-IN"/>
              </w:rPr>
              <w:t>Magmaris</w:t>
            </w:r>
            <w:proofErr w:type="spellEnd"/>
          </w:p>
        </w:tc>
        <w:tc>
          <w:tcPr>
            <w:tcW w:w="282" w:type="pct"/>
            <w:tcBorders>
              <w:top w:val="nil"/>
              <w:left w:val="nil"/>
              <w:bottom w:val="single" w:sz="8" w:space="0" w:color="B8CCE4"/>
              <w:right w:val="single" w:sz="8" w:space="0" w:color="B8CCE4"/>
            </w:tcBorders>
            <w:shd w:val="clear" w:color="000000" w:fill="FFFFFF"/>
            <w:vAlign w:val="center"/>
            <w:hideMark/>
          </w:tcPr>
          <w:p w14:paraId="65C2372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64.6 vs non-DM 61.5</w:t>
            </w:r>
          </w:p>
        </w:tc>
        <w:tc>
          <w:tcPr>
            <w:tcW w:w="282" w:type="pct"/>
            <w:tcBorders>
              <w:top w:val="nil"/>
              <w:left w:val="nil"/>
              <w:bottom w:val="single" w:sz="8" w:space="0" w:color="B8CCE4"/>
              <w:right w:val="single" w:sz="8" w:space="0" w:color="B8CCE4"/>
            </w:tcBorders>
            <w:shd w:val="clear" w:color="000000" w:fill="FFFFFF"/>
            <w:vAlign w:val="center"/>
            <w:hideMark/>
          </w:tcPr>
          <w:p w14:paraId="66CA4B0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80.2%</w:t>
            </w:r>
          </w:p>
        </w:tc>
        <w:tc>
          <w:tcPr>
            <w:tcW w:w="333" w:type="pct"/>
            <w:tcBorders>
              <w:top w:val="nil"/>
              <w:left w:val="nil"/>
              <w:bottom w:val="single" w:sz="8" w:space="0" w:color="B8CCE4"/>
              <w:right w:val="single" w:sz="8" w:space="0" w:color="B8CCE4"/>
            </w:tcBorders>
            <w:shd w:val="clear" w:color="000000" w:fill="FFFFFF"/>
            <w:vAlign w:val="center"/>
            <w:hideMark/>
          </w:tcPr>
          <w:p w14:paraId="79AC208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100% vs non-DM 0%</w:t>
            </w:r>
          </w:p>
        </w:tc>
        <w:tc>
          <w:tcPr>
            <w:tcW w:w="481" w:type="pct"/>
            <w:tcBorders>
              <w:top w:val="nil"/>
              <w:left w:val="nil"/>
              <w:bottom w:val="single" w:sz="8" w:space="0" w:color="B8CCE4"/>
              <w:right w:val="single" w:sz="8" w:space="0" w:color="B8CCE4"/>
            </w:tcBorders>
            <w:shd w:val="clear" w:color="000000" w:fill="FFFFFF"/>
            <w:vAlign w:val="center"/>
            <w:hideMark/>
          </w:tcPr>
          <w:p w14:paraId="5B69D47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72.2% vs non-DM 67.8%</w:t>
            </w:r>
          </w:p>
        </w:tc>
        <w:tc>
          <w:tcPr>
            <w:tcW w:w="582" w:type="pct"/>
            <w:tcBorders>
              <w:top w:val="nil"/>
              <w:left w:val="nil"/>
              <w:bottom w:val="single" w:sz="8" w:space="0" w:color="B8CCE4"/>
              <w:right w:val="single" w:sz="8" w:space="0" w:color="B8CCE4"/>
            </w:tcBorders>
            <w:shd w:val="clear" w:color="000000" w:fill="FFFFFF"/>
            <w:vAlign w:val="center"/>
            <w:hideMark/>
          </w:tcPr>
          <w:p w14:paraId="0608638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75.2%</w:t>
            </w:r>
          </w:p>
        </w:tc>
        <w:tc>
          <w:tcPr>
            <w:tcW w:w="321" w:type="pct"/>
            <w:tcBorders>
              <w:top w:val="nil"/>
              <w:left w:val="nil"/>
              <w:bottom w:val="single" w:sz="8" w:space="0" w:color="B8CCE4"/>
              <w:right w:val="single" w:sz="8" w:space="0" w:color="B8CCE4"/>
            </w:tcBorders>
            <w:shd w:val="clear" w:color="000000" w:fill="FFFFFF"/>
            <w:vAlign w:val="center"/>
            <w:hideMark/>
          </w:tcPr>
          <w:p w14:paraId="0ADDD48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15.3% vs non-DM 25.6%</w:t>
            </w:r>
          </w:p>
        </w:tc>
        <w:tc>
          <w:tcPr>
            <w:tcW w:w="236" w:type="pct"/>
            <w:tcBorders>
              <w:top w:val="nil"/>
              <w:left w:val="nil"/>
              <w:bottom w:val="single" w:sz="8" w:space="0" w:color="B8CCE4"/>
              <w:right w:val="single" w:sz="8" w:space="0" w:color="B8CCE4"/>
            </w:tcBorders>
            <w:shd w:val="clear" w:color="000000" w:fill="FFFFFF"/>
            <w:vAlign w:val="center"/>
            <w:hideMark/>
          </w:tcPr>
          <w:p w14:paraId="7B30281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0180139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Non-ST elevation ACS (NSTEMI)</w:t>
            </w:r>
          </w:p>
        </w:tc>
        <w:tc>
          <w:tcPr>
            <w:tcW w:w="555" w:type="pct"/>
            <w:tcBorders>
              <w:top w:val="nil"/>
              <w:left w:val="nil"/>
              <w:bottom w:val="single" w:sz="8" w:space="0" w:color="B8CCE4"/>
              <w:right w:val="single" w:sz="8" w:space="0" w:color="000000"/>
            </w:tcBorders>
            <w:shd w:val="clear" w:color="000000" w:fill="FFFFFF"/>
            <w:vAlign w:val="center"/>
            <w:hideMark/>
          </w:tcPr>
          <w:p w14:paraId="297D4CA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Diabetic vs non-diabetic subgroups</w:t>
            </w:r>
          </w:p>
        </w:tc>
      </w:tr>
      <w:tr w:rsidR="00412CAB" w:rsidRPr="00412CAB" w14:paraId="62B66867"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78FCE04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Truong 2023</w:t>
            </w:r>
          </w:p>
        </w:tc>
        <w:tc>
          <w:tcPr>
            <w:tcW w:w="224" w:type="pct"/>
            <w:tcBorders>
              <w:top w:val="nil"/>
              <w:left w:val="nil"/>
              <w:bottom w:val="single" w:sz="8" w:space="0" w:color="B8CCE4"/>
              <w:right w:val="single" w:sz="8" w:space="0" w:color="B8CCE4"/>
            </w:tcBorders>
            <w:shd w:val="clear" w:color="000000" w:fill="DCE6F1"/>
            <w:vAlign w:val="center"/>
            <w:hideMark/>
          </w:tcPr>
          <w:p w14:paraId="1833EC2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tcBorders>
              <w:top w:val="nil"/>
              <w:left w:val="nil"/>
              <w:bottom w:val="single" w:sz="8" w:space="0" w:color="B8CCE4"/>
              <w:right w:val="single" w:sz="8" w:space="0" w:color="B8CCE4"/>
            </w:tcBorders>
            <w:shd w:val="clear" w:color="000000" w:fill="DCE6F1"/>
            <w:vAlign w:val="center"/>
            <w:hideMark/>
          </w:tcPr>
          <w:p w14:paraId="1AF6E25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58</w:t>
            </w:r>
          </w:p>
        </w:tc>
        <w:tc>
          <w:tcPr>
            <w:tcW w:w="430" w:type="pct"/>
            <w:tcBorders>
              <w:top w:val="nil"/>
              <w:left w:val="nil"/>
              <w:bottom w:val="single" w:sz="8" w:space="0" w:color="B8CCE4"/>
              <w:right w:val="single" w:sz="8" w:space="0" w:color="B8CCE4"/>
            </w:tcBorders>
            <w:shd w:val="clear" w:color="000000" w:fill="DCE6F1"/>
            <w:vAlign w:val="center"/>
            <w:hideMark/>
          </w:tcPr>
          <w:p w14:paraId="0C56057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Hospitalized CAD patients</w:t>
            </w:r>
          </w:p>
        </w:tc>
        <w:tc>
          <w:tcPr>
            <w:tcW w:w="282" w:type="pct"/>
            <w:tcBorders>
              <w:top w:val="nil"/>
              <w:left w:val="nil"/>
              <w:bottom w:val="single" w:sz="8" w:space="0" w:color="B8CCE4"/>
              <w:right w:val="single" w:sz="8" w:space="0" w:color="B8CCE4"/>
            </w:tcBorders>
            <w:shd w:val="clear" w:color="000000" w:fill="DCE6F1"/>
            <w:vAlign w:val="center"/>
            <w:hideMark/>
          </w:tcPr>
          <w:p w14:paraId="5B1C623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62</w:t>
            </w:r>
          </w:p>
        </w:tc>
        <w:tc>
          <w:tcPr>
            <w:tcW w:w="282" w:type="pct"/>
            <w:tcBorders>
              <w:top w:val="nil"/>
              <w:left w:val="nil"/>
              <w:bottom w:val="single" w:sz="8" w:space="0" w:color="B8CCE4"/>
              <w:right w:val="single" w:sz="8" w:space="0" w:color="B8CCE4"/>
            </w:tcBorders>
            <w:shd w:val="clear" w:color="000000" w:fill="DCE6F1"/>
            <w:vAlign w:val="center"/>
            <w:hideMark/>
          </w:tcPr>
          <w:p w14:paraId="6AF1F7A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79</w:t>
            </w:r>
          </w:p>
        </w:tc>
        <w:tc>
          <w:tcPr>
            <w:tcW w:w="333" w:type="pct"/>
            <w:tcBorders>
              <w:top w:val="nil"/>
              <w:left w:val="nil"/>
              <w:bottom w:val="single" w:sz="8" w:space="0" w:color="B8CCE4"/>
              <w:right w:val="single" w:sz="8" w:space="0" w:color="B8CCE4"/>
            </w:tcBorders>
            <w:shd w:val="clear" w:color="000000" w:fill="DCE6F1"/>
            <w:vAlign w:val="center"/>
            <w:hideMark/>
          </w:tcPr>
          <w:p w14:paraId="5FB7C48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38</w:t>
            </w:r>
          </w:p>
        </w:tc>
        <w:tc>
          <w:tcPr>
            <w:tcW w:w="481" w:type="pct"/>
            <w:tcBorders>
              <w:top w:val="nil"/>
              <w:left w:val="nil"/>
              <w:bottom w:val="single" w:sz="8" w:space="0" w:color="B8CCE4"/>
              <w:right w:val="single" w:sz="8" w:space="0" w:color="B8CCE4"/>
            </w:tcBorders>
            <w:shd w:val="clear" w:color="000000" w:fill="DCE6F1"/>
            <w:vAlign w:val="center"/>
            <w:hideMark/>
          </w:tcPr>
          <w:p w14:paraId="27FB1B5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67</w:t>
            </w:r>
          </w:p>
        </w:tc>
        <w:tc>
          <w:tcPr>
            <w:tcW w:w="582" w:type="pct"/>
            <w:tcBorders>
              <w:top w:val="nil"/>
              <w:left w:val="nil"/>
              <w:bottom w:val="single" w:sz="8" w:space="0" w:color="B8CCE4"/>
              <w:right w:val="single" w:sz="8" w:space="0" w:color="B8CCE4"/>
            </w:tcBorders>
            <w:shd w:val="clear" w:color="000000" w:fill="DCE6F1"/>
            <w:vAlign w:val="center"/>
            <w:hideMark/>
          </w:tcPr>
          <w:p w14:paraId="6754266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55</w:t>
            </w:r>
          </w:p>
        </w:tc>
        <w:tc>
          <w:tcPr>
            <w:tcW w:w="321" w:type="pct"/>
            <w:tcBorders>
              <w:top w:val="nil"/>
              <w:left w:val="nil"/>
              <w:bottom w:val="single" w:sz="8" w:space="0" w:color="B8CCE4"/>
              <w:right w:val="single" w:sz="8" w:space="0" w:color="B8CCE4"/>
            </w:tcBorders>
            <w:shd w:val="clear" w:color="000000" w:fill="DCE6F1"/>
            <w:vAlign w:val="center"/>
            <w:hideMark/>
          </w:tcPr>
          <w:p w14:paraId="225222C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16</w:t>
            </w:r>
          </w:p>
        </w:tc>
        <w:tc>
          <w:tcPr>
            <w:tcW w:w="236" w:type="pct"/>
            <w:tcBorders>
              <w:top w:val="nil"/>
              <w:left w:val="nil"/>
              <w:bottom w:val="single" w:sz="8" w:space="0" w:color="B8CCE4"/>
              <w:right w:val="single" w:sz="8" w:space="0" w:color="B8CCE4"/>
            </w:tcBorders>
            <w:shd w:val="clear" w:color="000000" w:fill="DCE6F1"/>
            <w:vAlign w:val="center"/>
            <w:hideMark/>
          </w:tcPr>
          <w:p w14:paraId="440DBCB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5E0E3C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Non-STEMI 67%, STEMI 10%, CCS 22.4%</w:t>
            </w:r>
          </w:p>
        </w:tc>
        <w:tc>
          <w:tcPr>
            <w:tcW w:w="555" w:type="pct"/>
            <w:tcBorders>
              <w:top w:val="nil"/>
              <w:left w:val="nil"/>
              <w:bottom w:val="single" w:sz="8" w:space="0" w:color="B8CCE4"/>
              <w:right w:val="single" w:sz="8" w:space="0" w:color="000000"/>
            </w:tcBorders>
            <w:shd w:val="clear" w:color="000000" w:fill="DCE6F1"/>
            <w:vAlign w:val="center"/>
            <w:hideMark/>
          </w:tcPr>
          <w:p w14:paraId="63417F1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First Vietnamese </w:t>
            </w:r>
            <w:proofErr w:type="spellStart"/>
            <w:r w:rsidRPr="00412CAB">
              <w:rPr>
                <w:rFonts w:ascii="Times New Roman" w:eastAsia="Times New Roman" w:hAnsi="Times New Roman" w:cs="Times New Roman"/>
                <w:sz w:val="20"/>
                <w:szCs w:val="20"/>
                <w:lang w:val="en" w:eastAsia="en-IN"/>
              </w:rPr>
              <w:t>Magmaris</w:t>
            </w:r>
            <w:proofErr w:type="spellEnd"/>
            <w:r w:rsidRPr="00412CAB">
              <w:rPr>
                <w:rFonts w:ascii="Times New Roman" w:eastAsia="Times New Roman" w:hAnsi="Times New Roman" w:cs="Times New Roman"/>
                <w:sz w:val="20"/>
                <w:szCs w:val="20"/>
                <w:lang w:val="en" w:eastAsia="en-IN"/>
              </w:rPr>
              <w:t xml:space="preserve"> cohort</w:t>
            </w:r>
          </w:p>
        </w:tc>
      </w:tr>
      <w:tr w:rsidR="00412CAB" w:rsidRPr="00412CAB" w14:paraId="1F9FAC8E" w14:textId="77777777" w:rsidTr="00412CAB">
        <w:trPr>
          <w:trHeight w:val="520"/>
          <w:jc w:val="center"/>
        </w:trPr>
        <w:tc>
          <w:tcPr>
            <w:tcW w:w="426" w:type="pct"/>
            <w:tcBorders>
              <w:top w:val="nil"/>
              <w:left w:val="single" w:sz="8" w:space="0" w:color="B8CCE4"/>
              <w:bottom w:val="nil"/>
              <w:right w:val="single" w:sz="8" w:space="0" w:color="B8CCE4"/>
            </w:tcBorders>
            <w:shd w:val="clear" w:color="000000" w:fill="FFFFFF"/>
            <w:vAlign w:val="center"/>
            <w:hideMark/>
          </w:tcPr>
          <w:p w14:paraId="0AD034B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Włodarczak</w:t>
            </w:r>
            <w:proofErr w:type="spellEnd"/>
            <w:r w:rsidRPr="00412CAB">
              <w:rPr>
                <w:rFonts w:ascii="Times New Roman" w:eastAsia="Times New Roman" w:hAnsi="Times New Roman" w:cs="Times New Roman"/>
                <w:sz w:val="20"/>
                <w:szCs w:val="20"/>
                <w:lang w:val="en" w:eastAsia="en-IN"/>
              </w:rPr>
              <w:t xml:space="preserve"> 2023</w:t>
            </w:r>
          </w:p>
        </w:tc>
        <w:tc>
          <w:tcPr>
            <w:tcW w:w="224"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7082857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5A4779F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 (DM 72; non-DM 121)</w:t>
            </w:r>
          </w:p>
        </w:tc>
        <w:tc>
          <w:tcPr>
            <w:tcW w:w="430"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031F51F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patients – diabetic vs non-diabetic comparison</w:t>
            </w:r>
          </w:p>
        </w:tc>
        <w:tc>
          <w:tcPr>
            <w:tcW w:w="2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6397A0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64.6 vs non-DM 61.5</w:t>
            </w:r>
          </w:p>
        </w:tc>
        <w:tc>
          <w:tcPr>
            <w:tcW w:w="2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B02D9A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80.2%</w:t>
            </w:r>
          </w:p>
        </w:tc>
        <w:tc>
          <w:tcPr>
            <w:tcW w:w="333"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764182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100% vs non-DM 0%</w:t>
            </w:r>
          </w:p>
        </w:tc>
        <w:tc>
          <w:tcPr>
            <w:tcW w:w="481"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65FF9D7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72.2% vs non-DM 67.8%</w:t>
            </w:r>
          </w:p>
        </w:tc>
        <w:tc>
          <w:tcPr>
            <w:tcW w:w="5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1A49678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75.2%</w:t>
            </w:r>
          </w:p>
        </w:tc>
        <w:tc>
          <w:tcPr>
            <w:tcW w:w="321"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0D166D5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15.3% vs non-DM 25.6%</w:t>
            </w:r>
          </w:p>
        </w:tc>
        <w:tc>
          <w:tcPr>
            <w:tcW w:w="236"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306D18F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64629ED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w:t>
            </w:r>
          </w:p>
        </w:tc>
        <w:tc>
          <w:tcPr>
            <w:tcW w:w="555" w:type="pct"/>
            <w:vMerge w:val="restart"/>
            <w:tcBorders>
              <w:top w:val="nil"/>
              <w:left w:val="single" w:sz="8" w:space="0" w:color="B8CCE4"/>
              <w:bottom w:val="single" w:sz="8" w:space="0" w:color="B8CCE4"/>
              <w:right w:val="single" w:sz="8" w:space="0" w:color="000000"/>
            </w:tcBorders>
            <w:shd w:val="clear" w:color="000000" w:fill="FFFFFF"/>
            <w:vAlign w:val="center"/>
            <w:hideMark/>
          </w:tcPr>
          <w:p w14:paraId="36741D9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2-year outcomes in diabetics</w:t>
            </w:r>
          </w:p>
        </w:tc>
      </w:tr>
      <w:tr w:rsidR="00412CAB" w:rsidRPr="00412CAB" w14:paraId="5721E602" w14:textId="77777777" w:rsidTr="00412CAB">
        <w:trPr>
          <w:trHeight w:val="79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4BAB8BB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(Diabetic vs </w:t>
            </w:r>
            <w:proofErr w:type="gramStart"/>
            <w:r w:rsidRPr="00412CAB">
              <w:rPr>
                <w:rFonts w:ascii="Times New Roman" w:eastAsia="Times New Roman" w:hAnsi="Times New Roman" w:cs="Times New Roman"/>
                <w:sz w:val="20"/>
                <w:szCs w:val="20"/>
                <w:lang w:val="en" w:eastAsia="en-IN"/>
              </w:rPr>
              <w:t>Non-DM</w:t>
            </w:r>
            <w:proofErr w:type="gramEnd"/>
            <w:r w:rsidRPr="00412CAB">
              <w:rPr>
                <w:rFonts w:ascii="Times New Roman" w:eastAsia="Times New Roman" w:hAnsi="Times New Roman" w:cs="Times New Roman"/>
                <w:sz w:val="20"/>
                <w:szCs w:val="20"/>
                <w:lang w:val="en" w:eastAsia="en-IN"/>
              </w:rPr>
              <w:t>)</w:t>
            </w:r>
          </w:p>
        </w:tc>
        <w:tc>
          <w:tcPr>
            <w:tcW w:w="224" w:type="pct"/>
            <w:vMerge/>
            <w:tcBorders>
              <w:top w:val="nil"/>
              <w:left w:val="single" w:sz="8" w:space="0" w:color="B8CCE4"/>
              <w:bottom w:val="single" w:sz="8" w:space="0" w:color="B8CCE4"/>
              <w:right w:val="single" w:sz="8" w:space="0" w:color="B8CCE4"/>
            </w:tcBorders>
            <w:vAlign w:val="center"/>
            <w:hideMark/>
          </w:tcPr>
          <w:p w14:paraId="0F1CCEC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95" w:type="pct"/>
            <w:vMerge/>
            <w:tcBorders>
              <w:top w:val="nil"/>
              <w:left w:val="single" w:sz="8" w:space="0" w:color="B8CCE4"/>
              <w:bottom w:val="single" w:sz="8" w:space="0" w:color="B8CCE4"/>
              <w:right w:val="single" w:sz="8" w:space="0" w:color="B8CCE4"/>
            </w:tcBorders>
            <w:vAlign w:val="center"/>
            <w:hideMark/>
          </w:tcPr>
          <w:p w14:paraId="5F36024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30" w:type="pct"/>
            <w:vMerge/>
            <w:tcBorders>
              <w:top w:val="nil"/>
              <w:left w:val="single" w:sz="8" w:space="0" w:color="B8CCE4"/>
              <w:bottom w:val="single" w:sz="8" w:space="0" w:color="B8CCE4"/>
              <w:right w:val="single" w:sz="8" w:space="0" w:color="B8CCE4"/>
            </w:tcBorders>
            <w:vAlign w:val="center"/>
            <w:hideMark/>
          </w:tcPr>
          <w:p w14:paraId="360186E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82" w:type="pct"/>
            <w:vMerge/>
            <w:tcBorders>
              <w:top w:val="nil"/>
              <w:left w:val="single" w:sz="8" w:space="0" w:color="B8CCE4"/>
              <w:bottom w:val="single" w:sz="8" w:space="0" w:color="B8CCE4"/>
              <w:right w:val="single" w:sz="8" w:space="0" w:color="B8CCE4"/>
            </w:tcBorders>
            <w:vAlign w:val="center"/>
            <w:hideMark/>
          </w:tcPr>
          <w:p w14:paraId="73A0249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82" w:type="pct"/>
            <w:vMerge/>
            <w:tcBorders>
              <w:top w:val="nil"/>
              <w:left w:val="single" w:sz="8" w:space="0" w:color="B8CCE4"/>
              <w:bottom w:val="single" w:sz="8" w:space="0" w:color="B8CCE4"/>
              <w:right w:val="single" w:sz="8" w:space="0" w:color="B8CCE4"/>
            </w:tcBorders>
            <w:vAlign w:val="center"/>
            <w:hideMark/>
          </w:tcPr>
          <w:p w14:paraId="61A910F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33" w:type="pct"/>
            <w:vMerge/>
            <w:tcBorders>
              <w:top w:val="nil"/>
              <w:left w:val="single" w:sz="8" w:space="0" w:color="B8CCE4"/>
              <w:bottom w:val="single" w:sz="8" w:space="0" w:color="B8CCE4"/>
              <w:right w:val="single" w:sz="8" w:space="0" w:color="B8CCE4"/>
            </w:tcBorders>
            <w:vAlign w:val="center"/>
            <w:hideMark/>
          </w:tcPr>
          <w:p w14:paraId="2DFDD39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81" w:type="pct"/>
            <w:vMerge/>
            <w:tcBorders>
              <w:top w:val="nil"/>
              <w:left w:val="single" w:sz="8" w:space="0" w:color="B8CCE4"/>
              <w:bottom w:val="single" w:sz="8" w:space="0" w:color="B8CCE4"/>
              <w:right w:val="single" w:sz="8" w:space="0" w:color="B8CCE4"/>
            </w:tcBorders>
            <w:vAlign w:val="center"/>
            <w:hideMark/>
          </w:tcPr>
          <w:p w14:paraId="7DAB103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582" w:type="pct"/>
            <w:vMerge/>
            <w:tcBorders>
              <w:top w:val="nil"/>
              <w:left w:val="single" w:sz="8" w:space="0" w:color="B8CCE4"/>
              <w:bottom w:val="single" w:sz="8" w:space="0" w:color="B8CCE4"/>
              <w:right w:val="single" w:sz="8" w:space="0" w:color="B8CCE4"/>
            </w:tcBorders>
            <w:vAlign w:val="center"/>
            <w:hideMark/>
          </w:tcPr>
          <w:p w14:paraId="269AB97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21" w:type="pct"/>
            <w:vMerge/>
            <w:tcBorders>
              <w:top w:val="nil"/>
              <w:left w:val="single" w:sz="8" w:space="0" w:color="B8CCE4"/>
              <w:bottom w:val="single" w:sz="8" w:space="0" w:color="B8CCE4"/>
              <w:right w:val="single" w:sz="8" w:space="0" w:color="B8CCE4"/>
            </w:tcBorders>
            <w:vAlign w:val="center"/>
            <w:hideMark/>
          </w:tcPr>
          <w:p w14:paraId="18CA0B2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36" w:type="pct"/>
            <w:vMerge/>
            <w:tcBorders>
              <w:top w:val="nil"/>
              <w:left w:val="single" w:sz="8" w:space="0" w:color="B8CCE4"/>
              <w:bottom w:val="single" w:sz="8" w:space="0" w:color="B8CCE4"/>
              <w:right w:val="single" w:sz="8" w:space="0" w:color="B8CCE4"/>
            </w:tcBorders>
            <w:vAlign w:val="center"/>
            <w:hideMark/>
          </w:tcPr>
          <w:p w14:paraId="1A1BD4B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54" w:type="pct"/>
            <w:vMerge/>
            <w:tcBorders>
              <w:top w:val="nil"/>
              <w:left w:val="single" w:sz="8" w:space="0" w:color="B8CCE4"/>
              <w:bottom w:val="single" w:sz="8" w:space="0" w:color="B8CCE4"/>
              <w:right w:val="single" w:sz="8" w:space="0" w:color="B8CCE4"/>
            </w:tcBorders>
            <w:vAlign w:val="center"/>
            <w:hideMark/>
          </w:tcPr>
          <w:p w14:paraId="38BBD3E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555" w:type="pct"/>
            <w:vMerge/>
            <w:tcBorders>
              <w:top w:val="nil"/>
              <w:left w:val="single" w:sz="8" w:space="0" w:color="B8CCE4"/>
              <w:bottom w:val="single" w:sz="8" w:space="0" w:color="B8CCE4"/>
              <w:right w:val="single" w:sz="8" w:space="0" w:color="000000"/>
            </w:tcBorders>
            <w:vAlign w:val="center"/>
            <w:hideMark/>
          </w:tcPr>
          <w:p w14:paraId="18BE49C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r>
      <w:tr w:rsidR="00412CAB" w:rsidRPr="00412CAB" w14:paraId="5FA293BD"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4A81BED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Rola 2023</w:t>
            </w:r>
          </w:p>
        </w:tc>
        <w:tc>
          <w:tcPr>
            <w:tcW w:w="224" w:type="pct"/>
            <w:tcBorders>
              <w:top w:val="nil"/>
              <w:left w:val="nil"/>
              <w:bottom w:val="single" w:sz="8" w:space="0" w:color="B8CCE4"/>
              <w:right w:val="single" w:sz="8" w:space="0" w:color="B8CCE4"/>
            </w:tcBorders>
            <w:shd w:val="clear" w:color="000000" w:fill="DCE6F1"/>
            <w:vAlign w:val="center"/>
            <w:hideMark/>
          </w:tcPr>
          <w:p w14:paraId="6E82BEA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tcBorders>
              <w:top w:val="nil"/>
              <w:left w:val="nil"/>
              <w:bottom w:val="single" w:sz="8" w:space="0" w:color="B8CCE4"/>
              <w:right w:val="single" w:sz="8" w:space="0" w:color="B8CCE4"/>
            </w:tcBorders>
            <w:shd w:val="clear" w:color="000000" w:fill="DCE6F1"/>
            <w:vAlign w:val="center"/>
            <w:hideMark/>
          </w:tcPr>
          <w:p w14:paraId="28D80AB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w:t>
            </w:r>
          </w:p>
        </w:tc>
        <w:tc>
          <w:tcPr>
            <w:tcW w:w="430" w:type="pct"/>
            <w:tcBorders>
              <w:top w:val="nil"/>
              <w:left w:val="nil"/>
              <w:bottom w:val="single" w:sz="8" w:space="0" w:color="B8CCE4"/>
              <w:right w:val="single" w:sz="8" w:space="0" w:color="B8CCE4"/>
            </w:tcBorders>
            <w:shd w:val="clear" w:color="000000" w:fill="DCE6F1"/>
            <w:vAlign w:val="center"/>
            <w:hideMark/>
          </w:tcPr>
          <w:p w14:paraId="0320F65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patients (UA or NSTEMI) for PCI</w:t>
            </w:r>
          </w:p>
        </w:tc>
        <w:tc>
          <w:tcPr>
            <w:tcW w:w="282" w:type="pct"/>
            <w:tcBorders>
              <w:top w:val="nil"/>
              <w:left w:val="nil"/>
              <w:bottom w:val="single" w:sz="8" w:space="0" w:color="B8CCE4"/>
              <w:right w:val="single" w:sz="8" w:space="0" w:color="B8CCE4"/>
            </w:tcBorders>
            <w:shd w:val="clear" w:color="000000" w:fill="DCE6F1"/>
            <w:vAlign w:val="center"/>
            <w:hideMark/>
          </w:tcPr>
          <w:p w14:paraId="2298115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DCE6F1"/>
            <w:vAlign w:val="center"/>
            <w:hideMark/>
          </w:tcPr>
          <w:p w14:paraId="3EDF3D3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77</w:t>
            </w:r>
          </w:p>
        </w:tc>
        <w:tc>
          <w:tcPr>
            <w:tcW w:w="333" w:type="pct"/>
            <w:tcBorders>
              <w:top w:val="nil"/>
              <w:left w:val="nil"/>
              <w:bottom w:val="single" w:sz="8" w:space="0" w:color="B8CCE4"/>
              <w:right w:val="single" w:sz="8" w:space="0" w:color="B8CCE4"/>
            </w:tcBorders>
            <w:shd w:val="clear" w:color="000000" w:fill="DCE6F1"/>
            <w:vAlign w:val="center"/>
            <w:hideMark/>
          </w:tcPr>
          <w:p w14:paraId="153C06F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37</w:t>
            </w:r>
          </w:p>
        </w:tc>
        <w:tc>
          <w:tcPr>
            <w:tcW w:w="481" w:type="pct"/>
            <w:tcBorders>
              <w:top w:val="nil"/>
              <w:left w:val="nil"/>
              <w:bottom w:val="single" w:sz="8" w:space="0" w:color="B8CCE4"/>
              <w:right w:val="single" w:sz="8" w:space="0" w:color="B8CCE4"/>
            </w:tcBorders>
            <w:shd w:val="clear" w:color="000000" w:fill="DCE6F1"/>
            <w:vAlign w:val="center"/>
            <w:hideMark/>
          </w:tcPr>
          <w:p w14:paraId="3AE46DC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DCE6F1"/>
            <w:vAlign w:val="center"/>
            <w:hideMark/>
          </w:tcPr>
          <w:p w14:paraId="6855282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321" w:type="pct"/>
            <w:tcBorders>
              <w:top w:val="nil"/>
              <w:left w:val="nil"/>
              <w:bottom w:val="single" w:sz="8" w:space="0" w:color="B8CCE4"/>
              <w:right w:val="single" w:sz="8" w:space="0" w:color="B8CCE4"/>
            </w:tcBorders>
            <w:shd w:val="clear" w:color="000000" w:fill="DCE6F1"/>
            <w:vAlign w:val="center"/>
            <w:hideMark/>
          </w:tcPr>
          <w:p w14:paraId="25F2B32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DCE6F1"/>
            <w:vAlign w:val="center"/>
            <w:hideMark/>
          </w:tcPr>
          <w:p w14:paraId="6AD03F4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21</w:t>
            </w:r>
          </w:p>
        </w:tc>
        <w:tc>
          <w:tcPr>
            <w:tcW w:w="454" w:type="pct"/>
            <w:tcBorders>
              <w:top w:val="nil"/>
              <w:left w:val="nil"/>
              <w:bottom w:val="single" w:sz="8" w:space="0" w:color="B8CCE4"/>
              <w:right w:val="single" w:sz="8" w:space="0" w:color="B8CCE4"/>
            </w:tcBorders>
            <w:shd w:val="clear" w:color="000000" w:fill="DCE6F1"/>
            <w:vAlign w:val="center"/>
            <w:hideMark/>
          </w:tcPr>
          <w:p w14:paraId="52186BA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(unstable angina or NSTEMI)</w:t>
            </w:r>
          </w:p>
        </w:tc>
        <w:tc>
          <w:tcPr>
            <w:tcW w:w="555" w:type="pct"/>
            <w:tcBorders>
              <w:top w:val="nil"/>
              <w:left w:val="nil"/>
              <w:bottom w:val="single" w:sz="8" w:space="0" w:color="B8CCE4"/>
              <w:right w:val="single" w:sz="8" w:space="0" w:color="000000"/>
            </w:tcBorders>
            <w:shd w:val="clear" w:color="000000" w:fill="DCE6F1"/>
            <w:vAlign w:val="center"/>
            <w:hideMark/>
          </w:tcPr>
          <w:p w14:paraId="0DE685A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Sex subgroup analysis</w:t>
            </w:r>
          </w:p>
        </w:tc>
      </w:tr>
      <w:tr w:rsidR="00412CAB" w:rsidRPr="00412CAB" w14:paraId="183CC9A0" w14:textId="77777777" w:rsidTr="00412CAB">
        <w:trPr>
          <w:trHeight w:val="183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7B0A905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lastRenderedPageBreak/>
              <w:t>Sequeiros 2020</w:t>
            </w:r>
          </w:p>
        </w:tc>
        <w:tc>
          <w:tcPr>
            <w:tcW w:w="224" w:type="pct"/>
            <w:tcBorders>
              <w:top w:val="nil"/>
              <w:left w:val="nil"/>
              <w:bottom w:val="single" w:sz="8" w:space="0" w:color="B8CCE4"/>
              <w:right w:val="single" w:sz="8" w:space="0" w:color="B8CCE4"/>
            </w:tcBorders>
            <w:shd w:val="clear" w:color="000000" w:fill="FFFFFF"/>
            <w:vAlign w:val="center"/>
            <w:hideMark/>
          </w:tcPr>
          <w:p w14:paraId="5F50AC9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2020</w:t>
            </w:r>
          </w:p>
        </w:tc>
        <w:tc>
          <w:tcPr>
            <w:tcW w:w="395" w:type="pct"/>
            <w:tcBorders>
              <w:top w:val="nil"/>
              <w:left w:val="nil"/>
              <w:bottom w:val="single" w:sz="8" w:space="0" w:color="B8CCE4"/>
              <w:right w:val="single" w:sz="8" w:space="0" w:color="B8CCE4"/>
            </w:tcBorders>
            <w:shd w:val="clear" w:color="000000" w:fill="FFFFFF"/>
            <w:vAlign w:val="center"/>
            <w:hideMark/>
          </w:tcPr>
          <w:p w14:paraId="34FA7CF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42</w:t>
            </w:r>
          </w:p>
        </w:tc>
        <w:tc>
          <w:tcPr>
            <w:tcW w:w="430" w:type="pct"/>
            <w:tcBorders>
              <w:top w:val="nil"/>
              <w:left w:val="nil"/>
              <w:bottom w:val="single" w:sz="8" w:space="0" w:color="B8CCE4"/>
              <w:right w:val="single" w:sz="8" w:space="0" w:color="B8CCE4"/>
            </w:tcBorders>
            <w:shd w:val="clear" w:color="000000" w:fill="FFFFFF"/>
            <w:vAlign w:val="center"/>
            <w:hideMark/>
          </w:tcPr>
          <w:p w14:paraId="0898F49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Real-world PCI cohort</w:t>
            </w:r>
          </w:p>
        </w:tc>
        <w:tc>
          <w:tcPr>
            <w:tcW w:w="282" w:type="pct"/>
            <w:tcBorders>
              <w:top w:val="nil"/>
              <w:left w:val="nil"/>
              <w:bottom w:val="single" w:sz="8" w:space="0" w:color="B8CCE4"/>
              <w:right w:val="single" w:sz="8" w:space="0" w:color="B8CCE4"/>
            </w:tcBorders>
            <w:shd w:val="clear" w:color="000000" w:fill="FFFFFF"/>
            <w:vAlign w:val="center"/>
            <w:hideMark/>
          </w:tcPr>
          <w:p w14:paraId="6EEBE4B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FFFFFF"/>
            <w:vAlign w:val="center"/>
            <w:hideMark/>
          </w:tcPr>
          <w:p w14:paraId="6AB1886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74</w:t>
            </w:r>
          </w:p>
        </w:tc>
        <w:tc>
          <w:tcPr>
            <w:tcW w:w="333" w:type="pct"/>
            <w:tcBorders>
              <w:top w:val="nil"/>
              <w:left w:val="nil"/>
              <w:bottom w:val="single" w:sz="8" w:space="0" w:color="B8CCE4"/>
              <w:right w:val="single" w:sz="8" w:space="0" w:color="B8CCE4"/>
            </w:tcBorders>
            <w:shd w:val="clear" w:color="000000" w:fill="FFFFFF"/>
            <w:vAlign w:val="center"/>
            <w:hideMark/>
          </w:tcPr>
          <w:p w14:paraId="37CBE94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29</w:t>
            </w:r>
          </w:p>
        </w:tc>
        <w:tc>
          <w:tcPr>
            <w:tcW w:w="481" w:type="pct"/>
            <w:tcBorders>
              <w:top w:val="nil"/>
              <w:left w:val="nil"/>
              <w:bottom w:val="single" w:sz="8" w:space="0" w:color="B8CCE4"/>
              <w:right w:val="single" w:sz="8" w:space="0" w:color="B8CCE4"/>
            </w:tcBorders>
            <w:shd w:val="clear" w:color="000000" w:fill="FFFFFF"/>
            <w:vAlign w:val="center"/>
            <w:hideMark/>
          </w:tcPr>
          <w:p w14:paraId="24C0682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582" w:type="pct"/>
            <w:tcBorders>
              <w:top w:val="nil"/>
              <w:left w:val="nil"/>
              <w:bottom w:val="single" w:sz="8" w:space="0" w:color="B8CCE4"/>
              <w:right w:val="single" w:sz="8" w:space="0" w:color="B8CCE4"/>
            </w:tcBorders>
            <w:shd w:val="clear" w:color="000000" w:fill="FFFFFF"/>
            <w:vAlign w:val="center"/>
            <w:hideMark/>
          </w:tcPr>
          <w:p w14:paraId="0467D46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57</w:t>
            </w:r>
          </w:p>
        </w:tc>
        <w:tc>
          <w:tcPr>
            <w:tcW w:w="321" w:type="pct"/>
            <w:tcBorders>
              <w:top w:val="nil"/>
              <w:left w:val="nil"/>
              <w:bottom w:val="single" w:sz="8" w:space="0" w:color="B8CCE4"/>
              <w:right w:val="single" w:sz="8" w:space="0" w:color="B8CCE4"/>
            </w:tcBorders>
            <w:shd w:val="clear" w:color="000000" w:fill="FFFFFF"/>
            <w:vAlign w:val="center"/>
            <w:hideMark/>
          </w:tcPr>
          <w:p w14:paraId="1E4CCE3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w:t>
            </w:r>
          </w:p>
        </w:tc>
        <w:tc>
          <w:tcPr>
            <w:tcW w:w="236" w:type="pct"/>
            <w:tcBorders>
              <w:top w:val="nil"/>
              <w:left w:val="nil"/>
              <w:bottom w:val="single" w:sz="8" w:space="0" w:color="B8CCE4"/>
              <w:right w:val="single" w:sz="8" w:space="0" w:color="B8CCE4"/>
            </w:tcBorders>
            <w:shd w:val="clear" w:color="000000" w:fill="FFFFFF"/>
            <w:vAlign w:val="center"/>
            <w:hideMark/>
          </w:tcPr>
          <w:p w14:paraId="038FB01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3A62CD8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NSTEMI 52.4%, STEMI 2.4%, Effort Angina 45.2%</w:t>
            </w:r>
          </w:p>
        </w:tc>
        <w:tc>
          <w:tcPr>
            <w:tcW w:w="555" w:type="pct"/>
            <w:tcBorders>
              <w:top w:val="nil"/>
              <w:left w:val="nil"/>
              <w:bottom w:val="single" w:sz="8" w:space="0" w:color="B8CCE4"/>
              <w:right w:val="single" w:sz="8" w:space="0" w:color="B8CCE4"/>
            </w:tcBorders>
            <w:shd w:val="clear" w:color="000000" w:fill="FFFFFF"/>
            <w:vAlign w:val="center"/>
            <w:hideMark/>
          </w:tcPr>
          <w:p w14:paraId="7B737AD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None</w:t>
            </w:r>
          </w:p>
        </w:tc>
      </w:tr>
      <w:tr w:rsidR="00412CAB" w:rsidRPr="00412CAB" w14:paraId="7240E76E"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6F0FBD1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Włodarcza</w:t>
            </w:r>
            <w:proofErr w:type="spellEnd"/>
            <w:r w:rsidRPr="00412CAB">
              <w:rPr>
                <w:rFonts w:ascii="Times New Roman" w:eastAsia="Times New Roman" w:hAnsi="Times New Roman" w:cs="Times New Roman"/>
                <w:sz w:val="20"/>
                <w:szCs w:val="20"/>
                <w:lang w:val="en" w:eastAsia="en-IN"/>
              </w:rPr>
              <w:t xml:space="preserve"> 2024</w:t>
            </w:r>
          </w:p>
        </w:tc>
        <w:tc>
          <w:tcPr>
            <w:tcW w:w="224" w:type="pct"/>
            <w:tcBorders>
              <w:top w:val="nil"/>
              <w:left w:val="nil"/>
              <w:bottom w:val="single" w:sz="8" w:space="0" w:color="B8CCE4"/>
              <w:right w:val="single" w:sz="8" w:space="0" w:color="B8CCE4"/>
            </w:tcBorders>
            <w:shd w:val="clear" w:color="000000" w:fill="DCE6F1"/>
            <w:vAlign w:val="center"/>
            <w:hideMark/>
          </w:tcPr>
          <w:p w14:paraId="49D5FD8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2024</w:t>
            </w:r>
          </w:p>
        </w:tc>
        <w:tc>
          <w:tcPr>
            <w:tcW w:w="395" w:type="pct"/>
            <w:tcBorders>
              <w:top w:val="nil"/>
              <w:left w:val="nil"/>
              <w:bottom w:val="single" w:sz="8" w:space="0" w:color="B8CCE4"/>
              <w:right w:val="single" w:sz="8" w:space="0" w:color="B8CCE4"/>
            </w:tcBorders>
            <w:shd w:val="clear" w:color="000000" w:fill="DCE6F1"/>
            <w:vAlign w:val="center"/>
            <w:hideMark/>
          </w:tcPr>
          <w:p w14:paraId="316B62A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w:t>
            </w:r>
          </w:p>
        </w:tc>
        <w:tc>
          <w:tcPr>
            <w:tcW w:w="430" w:type="pct"/>
            <w:tcBorders>
              <w:top w:val="nil"/>
              <w:left w:val="nil"/>
              <w:bottom w:val="single" w:sz="8" w:space="0" w:color="B8CCE4"/>
              <w:right w:val="single" w:sz="8" w:space="0" w:color="B8CCE4"/>
            </w:tcBorders>
            <w:shd w:val="clear" w:color="000000" w:fill="DCE6F1"/>
            <w:vAlign w:val="center"/>
            <w:hideMark/>
          </w:tcPr>
          <w:p w14:paraId="7FB3A4B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 patients</w:t>
            </w:r>
          </w:p>
        </w:tc>
        <w:tc>
          <w:tcPr>
            <w:tcW w:w="282" w:type="pct"/>
            <w:tcBorders>
              <w:top w:val="nil"/>
              <w:left w:val="nil"/>
              <w:bottom w:val="single" w:sz="8" w:space="0" w:color="B8CCE4"/>
              <w:right w:val="single" w:sz="8" w:space="0" w:color="B8CCE4"/>
            </w:tcBorders>
            <w:shd w:val="clear" w:color="000000" w:fill="DCE6F1"/>
            <w:vAlign w:val="center"/>
            <w:hideMark/>
          </w:tcPr>
          <w:p w14:paraId="29C3AFD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DCE6F1"/>
            <w:vAlign w:val="center"/>
            <w:hideMark/>
          </w:tcPr>
          <w:p w14:paraId="533E9CF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333" w:type="pct"/>
            <w:tcBorders>
              <w:top w:val="nil"/>
              <w:left w:val="nil"/>
              <w:bottom w:val="single" w:sz="8" w:space="0" w:color="B8CCE4"/>
              <w:right w:val="single" w:sz="8" w:space="0" w:color="B8CCE4"/>
            </w:tcBorders>
            <w:shd w:val="clear" w:color="000000" w:fill="DCE6F1"/>
            <w:vAlign w:val="center"/>
            <w:hideMark/>
          </w:tcPr>
          <w:p w14:paraId="24183D8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37</w:t>
            </w:r>
          </w:p>
        </w:tc>
        <w:tc>
          <w:tcPr>
            <w:tcW w:w="481" w:type="pct"/>
            <w:tcBorders>
              <w:top w:val="nil"/>
              <w:left w:val="nil"/>
              <w:bottom w:val="single" w:sz="8" w:space="0" w:color="B8CCE4"/>
              <w:right w:val="single" w:sz="8" w:space="0" w:color="B8CCE4"/>
            </w:tcBorders>
            <w:shd w:val="clear" w:color="000000" w:fill="DCE6F1"/>
            <w:vAlign w:val="center"/>
            <w:hideMark/>
          </w:tcPr>
          <w:p w14:paraId="50FCDAF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DCE6F1"/>
            <w:vAlign w:val="center"/>
            <w:hideMark/>
          </w:tcPr>
          <w:p w14:paraId="0F69837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321" w:type="pct"/>
            <w:tcBorders>
              <w:top w:val="nil"/>
              <w:left w:val="nil"/>
              <w:bottom w:val="single" w:sz="8" w:space="0" w:color="B8CCE4"/>
              <w:right w:val="single" w:sz="8" w:space="0" w:color="B8CCE4"/>
            </w:tcBorders>
            <w:shd w:val="clear" w:color="000000" w:fill="DCE6F1"/>
            <w:vAlign w:val="center"/>
            <w:hideMark/>
          </w:tcPr>
          <w:p w14:paraId="5DE5FDA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DCE6F1"/>
            <w:vAlign w:val="center"/>
            <w:hideMark/>
          </w:tcPr>
          <w:p w14:paraId="5B40755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52E3432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w:t>
            </w:r>
          </w:p>
        </w:tc>
        <w:tc>
          <w:tcPr>
            <w:tcW w:w="555" w:type="pct"/>
            <w:tcBorders>
              <w:top w:val="nil"/>
              <w:left w:val="nil"/>
              <w:bottom w:val="single" w:sz="8" w:space="0" w:color="B8CCE4"/>
              <w:right w:val="single" w:sz="8" w:space="0" w:color="000000"/>
            </w:tcBorders>
            <w:shd w:val="clear" w:color="000000" w:fill="DCE6F1"/>
            <w:vAlign w:val="center"/>
            <w:hideMark/>
          </w:tcPr>
          <w:p w14:paraId="73933AB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2-year outcomes; large-vessel lesions</w:t>
            </w:r>
          </w:p>
        </w:tc>
      </w:tr>
      <w:tr w:rsidR="00412CAB" w:rsidRPr="00412CAB" w14:paraId="7EA4EB33"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3EFB5C8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Verheye</w:t>
            </w:r>
            <w:proofErr w:type="spellEnd"/>
            <w:r w:rsidRPr="00412CAB">
              <w:rPr>
                <w:rFonts w:ascii="Times New Roman" w:eastAsia="Times New Roman" w:hAnsi="Times New Roman" w:cs="Times New Roman"/>
                <w:sz w:val="20"/>
                <w:szCs w:val="20"/>
                <w:lang w:val="en" w:eastAsia="en-IN"/>
              </w:rPr>
              <w:t xml:space="preserve"> 2021</w:t>
            </w:r>
          </w:p>
        </w:tc>
        <w:tc>
          <w:tcPr>
            <w:tcW w:w="224" w:type="pct"/>
            <w:tcBorders>
              <w:top w:val="nil"/>
              <w:left w:val="nil"/>
              <w:bottom w:val="single" w:sz="8" w:space="0" w:color="B8CCE4"/>
              <w:right w:val="single" w:sz="8" w:space="0" w:color="B8CCE4"/>
            </w:tcBorders>
            <w:shd w:val="clear" w:color="000000" w:fill="FFFFFF"/>
            <w:vAlign w:val="center"/>
            <w:hideMark/>
          </w:tcPr>
          <w:p w14:paraId="4C195A5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tcBorders>
              <w:top w:val="nil"/>
              <w:left w:val="nil"/>
              <w:bottom w:val="single" w:sz="8" w:space="0" w:color="B8CCE4"/>
              <w:right w:val="single" w:sz="8" w:space="0" w:color="B8CCE4"/>
            </w:tcBorders>
            <w:shd w:val="clear" w:color="000000" w:fill="FFFFFF"/>
            <w:vAlign w:val="center"/>
            <w:hideMark/>
          </w:tcPr>
          <w:p w14:paraId="03ACB24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1,075</w:t>
            </w:r>
          </w:p>
        </w:tc>
        <w:tc>
          <w:tcPr>
            <w:tcW w:w="430" w:type="pct"/>
            <w:tcBorders>
              <w:top w:val="nil"/>
              <w:left w:val="nil"/>
              <w:bottom w:val="single" w:sz="8" w:space="0" w:color="B8CCE4"/>
              <w:right w:val="single" w:sz="8" w:space="0" w:color="B8CCE4"/>
            </w:tcBorders>
            <w:shd w:val="clear" w:color="000000" w:fill="FFFFFF"/>
            <w:vAlign w:val="center"/>
            <w:hideMark/>
          </w:tcPr>
          <w:p w14:paraId="133EFC8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Patients with ≤2 single de novo lesions</w:t>
            </w:r>
          </w:p>
        </w:tc>
        <w:tc>
          <w:tcPr>
            <w:tcW w:w="282" w:type="pct"/>
            <w:tcBorders>
              <w:top w:val="nil"/>
              <w:left w:val="nil"/>
              <w:bottom w:val="single" w:sz="8" w:space="0" w:color="B8CCE4"/>
              <w:right w:val="single" w:sz="8" w:space="0" w:color="B8CCE4"/>
            </w:tcBorders>
            <w:shd w:val="clear" w:color="000000" w:fill="FFFFFF"/>
            <w:vAlign w:val="center"/>
            <w:hideMark/>
          </w:tcPr>
          <w:p w14:paraId="726A47C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FFFFFF"/>
            <w:vAlign w:val="center"/>
            <w:hideMark/>
          </w:tcPr>
          <w:p w14:paraId="7251098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333" w:type="pct"/>
            <w:tcBorders>
              <w:top w:val="nil"/>
              <w:left w:val="nil"/>
              <w:bottom w:val="single" w:sz="8" w:space="0" w:color="B8CCE4"/>
              <w:right w:val="single" w:sz="8" w:space="0" w:color="B8CCE4"/>
            </w:tcBorders>
            <w:shd w:val="clear" w:color="000000" w:fill="FFFFFF"/>
            <w:vAlign w:val="center"/>
            <w:hideMark/>
          </w:tcPr>
          <w:p w14:paraId="29E7E86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w:t>
            </w:r>
          </w:p>
        </w:tc>
        <w:tc>
          <w:tcPr>
            <w:tcW w:w="481" w:type="pct"/>
            <w:tcBorders>
              <w:top w:val="nil"/>
              <w:left w:val="nil"/>
              <w:bottom w:val="single" w:sz="8" w:space="0" w:color="B8CCE4"/>
              <w:right w:val="single" w:sz="8" w:space="0" w:color="B8CCE4"/>
            </w:tcBorders>
            <w:shd w:val="clear" w:color="000000" w:fill="FFFFFF"/>
            <w:vAlign w:val="center"/>
            <w:hideMark/>
          </w:tcPr>
          <w:p w14:paraId="40CB4ED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FFFFFF"/>
            <w:vAlign w:val="center"/>
            <w:hideMark/>
          </w:tcPr>
          <w:p w14:paraId="529D953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321" w:type="pct"/>
            <w:tcBorders>
              <w:top w:val="nil"/>
              <w:left w:val="nil"/>
              <w:bottom w:val="single" w:sz="8" w:space="0" w:color="B8CCE4"/>
              <w:right w:val="single" w:sz="8" w:space="0" w:color="B8CCE4"/>
            </w:tcBorders>
            <w:shd w:val="clear" w:color="000000" w:fill="FFFFFF"/>
            <w:vAlign w:val="center"/>
            <w:hideMark/>
          </w:tcPr>
          <w:p w14:paraId="0272D89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w:t>
            </w:r>
          </w:p>
        </w:tc>
        <w:tc>
          <w:tcPr>
            <w:tcW w:w="236" w:type="pct"/>
            <w:tcBorders>
              <w:top w:val="nil"/>
              <w:left w:val="nil"/>
              <w:bottom w:val="single" w:sz="8" w:space="0" w:color="B8CCE4"/>
              <w:right w:val="single" w:sz="8" w:space="0" w:color="B8CCE4"/>
            </w:tcBorders>
            <w:shd w:val="clear" w:color="000000" w:fill="FFFFFF"/>
            <w:vAlign w:val="center"/>
            <w:hideMark/>
          </w:tcPr>
          <w:p w14:paraId="0AEB0E3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11</w:t>
            </w:r>
          </w:p>
        </w:tc>
        <w:tc>
          <w:tcPr>
            <w:tcW w:w="454" w:type="pct"/>
            <w:tcBorders>
              <w:top w:val="nil"/>
              <w:left w:val="nil"/>
              <w:bottom w:val="single" w:sz="8" w:space="0" w:color="B8CCE4"/>
              <w:right w:val="single" w:sz="8" w:space="0" w:color="B8CCE4"/>
            </w:tcBorders>
            <w:shd w:val="clear" w:color="000000" w:fill="FFFFFF"/>
            <w:vAlign w:val="center"/>
            <w:hideMark/>
          </w:tcPr>
          <w:p w14:paraId="768E12A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NSTEMI 19.2%, remainder stable CAD</w:t>
            </w:r>
          </w:p>
        </w:tc>
        <w:tc>
          <w:tcPr>
            <w:tcW w:w="555" w:type="pct"/>
            <w:tcBorders>
              <w:top w:val="nil"/>
              <w:left w:val="nil"/>
              <w:bottom w:val="single" w:sz="8" w:space="0" w:color="B8CCE4"/>
              <w:right w:val="single" w:sz="8" w:space="0" w:color="000000"/>
            </w:tcBorders>
            <w:shd w:val="clear" w:color="000000" w:fill="FFFFFF"/>
            <w:vAlign w:val="center"/>
            <w:hideMark/>
          </w:tcPr>
          <w:p w14:paraId="436E6EF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Multicenter global registry (BIOSOLVE-IV)</w:t>
            </w:r>
          </w:p>
        </w:tc>
      </w:tr>
      <w:tr w:rsidR="00412CAB" w:rsidRPr="00412CAB" w14:paraId="04C18E3E" w14:textId="77777777" w:rsidTr="00412CAB">
        <w:trPr>
          <w:trHeight w:val="183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17DFF71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Wlodarczak</w:t>
            </w:r>
            <w:proofErr w:type="spellEnd"/>
            <w:r w:rsidRPr="00412CAB">
              <w:rPr>
                <w:rFonts w:ascii="Times New Roman" w:eastAsia="Times New Roman" w:hAnsi="Times New Roman" w:cs="Times New Roman"/>
                <w:sz w:val="20"/>
                <w:szCs w:val="20"/>
                <w:lang w:val="en" w:eastAsia="en-IN"/>
              </w:rPr>
              <w:t xml:space="preserve"> 2023</w:t>
            </w:r>
          </w:p>
        </w:tc>
        <w:tc>
          <w:tcPr>
            <w:tcW w:w="224" w:type="pct"/>
            <w:tcBorders>
              <w:top w:val="nil"/>
              <w:left w:val="nil"/>
              <w:bottom w:val="single" w:sz="8" w:space="0" w:color="B8CCE4"/>
              <w:right w:val="single" w:sz="8" w:space="0" w:color="B8CCE4"/>
            </w:tcBorders>
            <w:shd w:val="clear" w:color="000000" w:fill="DCE6F1"/>
            <w:vAlign w:val="center"/>
            <w:hideMark/>
          </w:tcPr>
          <w:p w14:paraId="0616249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tcBorders>
              <w:top w:val="nil"/>
              <w:left w:val="nil"/>
              <w:bottom w:val="single" w:sz="8" w:space="0" w:color="B8CCE4"/>
              <w:right w:val="single" w:sz="8" w:space="0" w:color="B8CCE4"/>
            </w:tcBorders>
            <w:shd w:val="clear" w:color="000000" w:fill="DCE6F1"/>
            <w:vAlign w:val="center"/>
            <w:hideMark/>
          </w:tcPr>
          <w:p w14:paraId="1A8761E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2,066</w:t>
            </w:r>
          </w:p>
        </w:tc>
        <w:tc>
          <w:tcPr>
            <w:tcW w:w="430" w:type="pct"/>
            <w:tcBorders>
              <w:top w:val="nil"/>
              <w:left w:val="nil"/>
              <w:bottom w:val="single" w:sz="8" w:space="0" w:color="B8CCE4"/>
              <w:right w:val="single" w:sz="8" w:space="0" w:color="B8CCE4"/>
            </w:tcBorders>
            <w:shd w:val="clear" w:color="000000" w:fill="DCE6F1"/>
            <w:vAlign w:val="center"/>
            <w:hideMark/>
          </w:tcPr>
          <w:p w14:paraId="56C447C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Patients with ≤2 de novo lesions in ≥2 epicardial vessels</w:t>
            </w:r>
          </w:p>
        </w:tc>
        <w:tc>
          <w:tcPr>
            <w:tcW w:w="282" w:type="pct"/>
            <w:tcBorders>
              <w:top w:val="nil"/>
              <w:left w:val="nil"/>
              <w:bottom w:val="single" w:sz="8" w:space="0" w:color="B8CCE4"/>
              <w:right w:val="single" w:sz="8" w:space="0" w:color="B8CCE4"/>
            </w:tcBorders>
            <w:shd w:val="clear" w:color="000000" w:fill="DCE6F1"/>
            <w:vAlign w:val="center"/>
            <w:hideMark/>
          </w:tcPr>
          <w:p w14:paraId="43020A6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DCE6F1"/>
            <w:vAlign w:val="center"/>
            <w:hideMark/>
          </w:tcPr>
          <w:p w14:paraId="405640A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75</w:t>
            </w:r>
          </w:p>
        </w:tc>
        <w:tc>
          <w:tcPr>
            <w:tcW w:w="333" w:type="pct"/>
            <w:tcBorders>
              <w:top w:val="nil"/>
              <w:left w:val="nil"/>
              <w:bottom w:val="single" w:sz="8" w:space="0" w:color="B8CCE4"/>
              <w:right w:val="single" w:sz="8" w:space="0" w:color="B8CCE4"/>
            </w:tcBorders>
            <w:shd w:val="clear" w:color="000000" w:fill="DCE6F1"/>
            <w:vAlign w:val="center"/>
            <w:hideMark/>
          </w:tcPr>
          <w:p w14:paraId="47FC013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w:t>
            </w:r>
          </w:p>
        </w:tc>
        <w:tc>
          <w:tcPr>
            <w:tcW w:w="481" w:type="pct"/>
            <w:tcBorders>
              <w:top w:val="nil"/>
              <w:left w:val="nil"/>
              <w:bottom w:val="single" w:sz="8" w:space="0" w:color="B8CCE4"/>
              <w:right w:val="single" w:sz="8" w:space="0" w:color="B8CCE4"/>
            </w:tcBorders>
            <w:shd w:val="clear" w:color="000000" w:fill="DCE6F1"/>
            <w:vAlign w:val="center"/>
            <w:hideMark/>
          </w:tcPr>
          <w:p w14:paraId="29C7890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582" w:type="pct"/>
            <w:tcBorders>
              <w:top w:val="nil"/>
              <w:left w:val="nil"/>
              <w:bottom w:val="single" w:sz="8" w:space="0" w:color="B8CCE4"/>
              <w:right w:val="single" w:sz="8" w:space="0" w:color="B8CCE4"/>
            </w:tcBorders>
            <w:shd w:val="clear" w:color="000000" w:fill="DCE6F1"/>
            <w:vAlign w:val="center"/>
            <w:hideMark/>
          </w:tcPr>
          <w:p w14:paraId="66E18B0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321" w:type="pct"/>
            <w:tcBorders>
              <w:top w:val="nil"/>
              <w:left w:val="nil"/>
              <w:bottom w:val="single" w:sz="8" w:space="0" w:color="B8CCE4"/>
              <w:right w:val="single" w:sz="8" w:space="0" w:color="B8CCE4"/>
            </w:tcBorders>
            <w:shd w:val="clear" w:color="000000" w:fill="DCE6F1"/>
            <w:vAlign w:val="center"/>
            <w:hideMark/>
          </w:tcPr>
          <w:p w14:paraId="759FFE3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w:t>
            </w:r>
          </w:p>
        </w:tc>
        <w:tc>
          <w:tcPr>
            <w:tcW w:w="236" w:type="pct"/>
            <w:tcBorders>
              <w:top w:val="nil"/>
              <w:left w:val="nil"/>
              <w:bottom w:val="single" w:sz="8" w:space="0" w:color="B8CCE4"/>
              <w:right w:val="single" w:sz="8" w:space="0" w:color="B8CCE4"/>
            </w:tcBorders>
            <w:shd w:val="clear" w:color="000000" w:fill="DCE6F1"/>
            <w:vAlign w:val="center"/>
            <w:hideMark/>
          </w:tcPr>
          <w:p w14:paraId="15E92A7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w:t>
            </w:r>
          </w:p>
        </w:tc>
        <w:tc>
          <w:tcPr>
            <w:tcW w:w="454" w:type="pct"/>
            <w:tcBorders>
              <w:top w:val="nil"/>
              <w:left w:val="nil"/>
              <w:bottom w:val="single" w:sz="8" w:space="0" w:color="B8CCE4"/>
              <w:right w:val="single" w:sz="8" w:space="0" w:color="B8CCE4"/>
            </w:tcBorders>
            <w:shd w:val="clear" w:color="000000" w:fill="DCE6F1"/>
            <w:vAlign w:val="center"/>
            <w:hideMark/>
          </w:tcPr>
          <w:p w14:paraId="2D0E51E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NSTEMI 18.5%, STEMI 0.4%, Stable 48.3%, UA 17.3%</w:t>
            </w:r>
          </w:p>
        </w:tc>
        <w:tc>
          <w:tcPr>
            <w:tcW w:w="555" w:type="pct"/>
            <w:tcBorders>
              <w:top w:val="nil"/>
              <w:left w:val="nil"/>
              <w:bottom w:val="single" w:sz="8" w:space="0" w:color="B8CCE4"/>
              <w:right w:val="single" w:sz="8" w:space="0" w:color="000000"/>
            </w:tcBorders>
            <w:shd w:val="clear" w:color="000000" w:fill="DCE6F1"/>
            <w:vAlign w:val="center"/>
            <w:hideMark/>
          </w:tcPr>
          <w:p w14:paraId="1969A3E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Largest </w:t>
            </w:r>
            <w:proofErr w:type="spellStart"/>
            <w:r w:rsidRPr="00412CAB">
              <w:rPr>
                <w:rFonts w:ascii="Times New Roman" w:eastAsia="Times New Roman" w:hAnsi="Times New Roman" w:cs="Times New Roman"/>
                <w:sz w:val="20"/>
                <w:szCs w:val="20"/>
                <w:lang w:val="en" w:eastAsia="en-IN"/>
              </w:rPr>
              <w:t>Magmaris</w:t>
            </w:r>
            <w:proofErr w:type="spellEnd"/>
            <w:r w:rsidRPr="00412CAB">
              <w:rPr>
                <w:rFonts w:ascii="Times New Roman" w:eastAsia="Times New Roman" w:hAnsi="Times New Roman" w:cs="Times New Roman"/>
                <w:sz w:val="20"/>
                <w:szCs w:val="20"/>
                <w:lang w:val="en" w:eastAsia="en-IN"/>
              </w:rPr>
              <w:t xml:space="preserve"> registry</w:t>
            </w:r>
          </w:p>
        </w:tc>
      </w:tr>
      <w:tr w:rsidR="00412CAB" w:rsidRPr="00412CAB" w14:paraId="7A343504" w14:textId="77777777" w:rsidTr="00412CAB">
        <w:trPr>
          <w:trHeight w:val="520"/>
          <w:jc w:val="center"/>
        </w:trPr>
        <w:tc>
          <w:tcPr>
            <w:tcW w:w="426" w:type="pct"/>
            <w:tcBorders>
              <w:top w:val="nil"/>
              <w:left w:val="single" w:sz="8" w:space="0" w:color="B8CCE4"/>
              <w:bottom w:val="nil"/>
              <w:right w:val="single" w:sz="8" w:space="0" w:color="B8CCE4"/>
            </w:tcBorders>
            <w:shd w:val="clear" w:color="000000" w:fill="FFFFFF"/>
            <w:vAlign w:val="center"/>
            <w:hideMark/>
          </w:tcPr>
          <w:p w14:paraId="107A924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Włodarczak</w:t>
            </w:r>
            <w:proofErr w:type="spellEnd"/>
            <w:r w:rsidRPr="00412CAB">
              <w:rPr>
                <w:rFonts w:ascii="Times New Roman" w:eastAsia="Times New Roman" w:hAnsi="Times New Roman" w:cs="Times New Roman"/>
                <w:sz w:val="20"/>
                <w:szCs w:val="20"/>
                <w:lang w:val="en" w:eastAsia="en-IN"/>
              </w:rPr>
              <w:t xml:space="preserve"> 2021</w:t>
            </w:r>
          </w:p>
        </w:tc>
        <w:tc>
          <w:tcPr>
            <w:tcW w:w="224"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94A78A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9033D6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 (Male 150; Female 43)</w:t>
            </w:r>
          </w:p>
        </w:tc>
        <w:tc>
          <w:tcPr>
            <w:tcW w:w="430"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1C56EAF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patients – sex comparison</w:t>
            </w:r>
          </w:p>
        </w:tc>
        <w:tc>
          <w:tcPr>
            <w:tcW w:w="2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D7FC93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62 vs Female 67</w:t>
            </w:r>
          </w:p>
        </w:tc>
        <w:tc>
          <w:tcPr>
            <w:tcW w:w="2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3A56F62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100% vs Female 0%</w:t>
            </w:r>
          </w:p>
        </w:tc>
        <w:tc>
          <w:tcPr>
            <w:tcW w:w="333"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352E38B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33% vs Female 51%</w:t>
            </w:r>
          </w:p>
        </w:tc>
        <w:tc>
          <w:tcPr>
            <w:tcW w:w="481"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4941C82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68% vs Female 77%</w:t>
            </w:r>
          </w:p>
        </w:tc>
        <w:tc>
          <w:tcPr>
            <w:tcW w:w="582"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7BA9331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66% vs Female 72%</w:t>
            </w:r>
          </w:p>
        </w:tc>
        <w:tc>
          <w:tcPr>
            <w:tcW w:w="321"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251939B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Male 22% vs Female 9%</w:t>
            </w:r>
          </w:p>
        </w:tc>
        <w:tc>
          <w:tcPr>
            <w:tcW w:w="236"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53C8FFC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vMerge w:val="restart"/>
            <w:tcBorders>
              <w:top w:val="nil"/>
              <w:left w:val="single" w:sz="8" w:space="0" w:color="B8CCE4"/>
              <w:bottom w:val="single" w:sz="8" w:space="0" w:color="B8CCE4"/>
              <w:right w:val="single" w:sz="8" w:space="0" w:color="B8CCE4"/>
            </w:tcBorders>
            <w:shd w:val="clear" w:color="000000" w:fill="FFFFFF"/>
            <w:vAlign w:val="center"/>
            <w:hideMark/>
          </w:tcPr>
          <w:p w14:paraId="610908E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w:t>
            </w:r>
          </w:p>
        </w:tc>
        <w:tc>
          <w:tcPr>
            <w:tcW w:w="555" w:type="pct"/>
            <w:vMerge w:val="restart"/>
            <w:tcBorders>
              <w:top w:val="nil"/>
              <w:left w:val="single" w:sz="8" w:space="0" w:color="B8CCE4"/>
              <w:bottom w:val="single" w:sz="8" w:space="0" w:color="B8CCE4"/>
              <w:right w:val="single" w:sz="8" w:space="0" w:color="000000"/>
            </w:tcBorders>
            <w:shd w:val="clear" w:color="000000" w:fill="FFFFFF"/>
            <w:vAlign w:val="center"/>
            <w:hideMark/>
          </w:tcPr>
          <w:p w14:paraId="32A8363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Sex-based subgroup</w:t>
            </w:r>
          </w:p>
        </w:tc>
      </w:tr>
      <w:tr w:rsidR="00412CAB" w:rsidRPr="00412CAB" w14:paraId="234EB0F4" w14:textId="77777777" w:rsidTr="00412CAB">
        <w:trPr>
          <w:trHeight w:val="79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3FE2C94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(Sex comparison)</w:t>
            </w:r>
          </w:p>
        </w:tc>
        <w:tc>
          <w:tcPr>
            <w:tcW w:w="224" w:type="pct"/>
            <w:vMerge/>
            <w:tcBorders>
              <w:top w:val="nil"/>
              <w:left w:val="single" w:sz="8" w:space="0" w:color="B8CCE4"/>
              <w:bottom w:val="single" w:sz="8" w:space="0" w:color="B8CCE4"/>
              <w:right w:val="single" w:sz="8" w:space="0" w:color="B8CCE4"/>
            </w:tcBorders>
            <w:vAlign w:val="center"/>
            <w:hideMark/>
          </w:tcPr>
          <w:p w14:paraId="7A504EC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95" w:type="pct"/>
            <w:vMerge/>
            <w:tcBorders>
              <w:top w:val="nil"/>
              <w:left w:val="single" w:sz="8" w:space="0" w:color="B8CCE4"/>
              <w:bottom w:val="single" w:sz="8" w:space="0" w:color="B8CCE4"/>
              <w:right w:val="single" w:sz="8" w:space="0" w:color="B8CCE4"/>
            </w:tcBorders>
            <w:vAlign w:val="center"/>
            <w:hideMark/>
          </w:tcPr>
          <w:p w14:paraId="75EB2C0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30" w:type="pct"/>
            <w:vMerge/>
            <w:tcBorders>
              <w:top w:val="nil"/>
              <w:left w:val="single" w:sz="8" w:space="0" w:color="B8CCE4"/>
              <w:bottom w:val="single" w:sz="8" w:space="0" w:color="B8CCE4"/>
              <w:right w:val="single" w:sz="8" w:space="0" w:color="B8CCE4"/>
            </w:tcBorders>
            <w:vAlign w:val="center"/>
            <w:hideMark/>
          </w:tcPr>
          <w:p w14:paraId="5A047BE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82" w:type="pct"/>
            <w:vMerge/>
            <w:tcBorders>
              <w:top w:val="nil"/>
              <w:left w:val="single" w:sz="8" w:space="0" w:color="B8CCE4"/>
              <w:bottom w:val="single" w:sz="8" w:space="0" w:color="B8CCE4"/>
              <w:right w:val="single" w:sz="8" w:space="0" w:color="B8CCE4"/>
            </w:tcBorders>
            <w:vAlign w:val="center"/>
            <w:hideMark/>
          </w:tcPr>
          <w:p w14:paraId="79114C4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82" w:type="pct"/>
            <w:vMerge/>
            <w:tcBorders>
              <w:top w:val="nil"/>
              <w:left w:val="single" w:sz="8" w:space="0" w:color="B8CCE4"/>
              <w:bottom w:val="single" w:sz="8" w:space="0" w:color="B8CCE4"/>
              <w:right w:val="single" w:sz="8" w:space="0" w:color="B8CCE4"/>
            </w:tcBorders>
            <w:vAlign w:val="center"/>
            <w:hideMark/>
          </w:tcPr>
          <w:p w14:paraId="27A7AB4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33" w:type="pct"/>
            <w:vMerge/>
            <w:tcBorders>
              <w:top w:val="nil"/>
              <w:left w:val="single" w:sz="8" w:space="0" w:color="B8CCE4"/>
              <w:bottom w:val="single" w:sz="8" w:space="0" w:color="B8CCE4"/>
              <w:right w:val="single" w:sz="8" w:space="0" w:color="B8CCE4"/>
            </w:tcBorders>
            <w:vAlign w:val="center"/>
            <w:hideMark/>
          </w:tcPr>
          <w:p w14:paraId="66620C2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81" w:type="pct"/>
            <w:vMerge/>
            <w:tcBorders>
              <w:top w:val="nil"/>
              <w:left w:val="single" w:sz="8" w:space="0" w:color="B8CCE4"/>
              <w:bottom w:val="single" w:sz="8" w:space="0" w:color="B8CCE4"/>
              <w:right w:val="single" w:sz="8" w:space="0" w:color="B8CCE4"/>
            </w:tcBorders>
            <w:vAlign w:val="center"/>
            <w:hideMark/>
          </w:tcPr>
          <w:p w14:paraId="5A79BDD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582" w:type="pct"/>
            <w:vMerge/>
            <w:tcBorders>
              <w:top w:val="nil"/>
              <w:left w:val="single" w:sz="8" w:space="0" w:color="B8CCE4"/>
              <w:bottom w:val="single" w:sz="8" w:space="0" w:color="B8CCE4"/>
              <w:right w:val="single" w:sz="8" w:space="0" w:color="B8CCE4"/>
            </w:tcBorders>
            <w:vAlign w:val="center"/>
            <w:hideMark/>
          </w:tcPr>
          <w:p w14:paraId="0B75A4E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321" w:type="pct"/>
            <w:vMerge/>
            <w:tcBorders>
              <w:top w:val="nil"/>
              <w:left w:val="single" w:sz="8" w:space="0" w:color="B8CCE4"/>
              <w:bottom w:val="single" w:sz="8" w:space="0" w:color="B8CCE4"/>
              <w:right w:val="single" w:sz="8" w:space="0" w:color="B8CCE4"/>
            </w:tcBorders>
            <w:vAlign w:val="center"/>
            <w:hideMark/>
          </w:tcPr>
          <w:p w14:paraId="3B42D3D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236" w:type="pct"/>
            <w:vMerge/>
            <w:tcBorders>
              <w:top w:val="nil"/>
              <w:left w:val="single" w:sz="8" w:space="0" w:color="B8CCE4"/>
              <w:bottom w:val="single" w:sz="8" w:space="0" w:color="B8CCE4"/>
              <w:right w:val="single" w:sz="8" w:space="0" w:color="B8CCE4"/>
            </w:tcBorders>
            <w:vAlign w:val="center"/>
            <w:hideMark/>
          </w:tcPr>
          <w:p w14:paraId="0DC55D8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454" w:type="pct"/>
            <w:vMerge/>
            <w:tcBorders>
              <w:top w:val="nil"/>
              <w:left w:val="single" w:sz="8" w:space="0" w:color="B8CCE4"/>
              <w:bottom w:val="single" w:sz="8" w:space="0" w:color="B8CCE4"/>
              <w:right w:val="single" w:sz="8" w:space="0" w:color="B8CCE4"/>
            </w:tcBorders>
            <w:vAlign w:val="center"/>
            <w:hideMark/>
          </w:tcPr>
          <w:p w14:paraId="67A20B5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c>
          <w:tcPr>
            <w:tcW w:w="555" w:type="pct"/>
            <w:vMerge/>
            <w:tcBorders>
              <w:top w:val="nil"/>
              <w:left w:val="single" w:sz="8" w:space="0" w:color="B8CCE4"/>
              <w:bottom w:val="single" w:sz="8" w:space="0" w:color="B8CCE4"/>
              <w:right w:val="single" w:sz="8" w:space="0" w:color="000000"/>
            </w:tcBorders>
            <w:vAlign w:val="center"/>
            <w:hideMark/>
          </w:tcPr>
          <w:p w14:paraId="4E9ACA4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
        </w:tc>
      </w:tr>
      <w:tr w:rsidR="00412CAB" w:rsidRPr="00412CAB" w14:paraId="1AAEC5BA"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1CE74C1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Rola 2021</w:t>
            </w:r>
          </w:p>
        </w:tc>
        <w:tc>
          <w:tcPr>
            <w:tcW w:w="224" w:type="pct"/>
            <w:tcBorders>
              <w:top w:val="nil"/>
              <w:left w:val="nil"/>
              <w:bottom w:val="single" w:sz="8" w:space="0" w:color="B8CCE4"/>
              <w:right w:val="single" w:sz="8" w:space="0" w:color="B8CCE4"/>
            </w:tcBorders>
            <w:shd w:val="clear" w:color="000000" w:fill="DCE6F1"/>
            <w:vAlign w:val="center"/>
            <w:hideMark/>
          </w:tcPr>
          <w:p w14:paraId="705F0B2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tcBorders>
              <w:top w:val="nil"/>
              <w:left w:val="nil"/>
              <w:bottom w:val="single" w:sz="8" w:space="0" w:color="B8CCE4"/>
              <w:right w:val="single" w:sz="8" w:space="0" w:color="B8CCE4"/>
            </w:tcBorders>
            <w:shd w:val="clear" w:color="000000" w:fill="DCE6F1"/>
            <w:vAlign w:val="center"/>
            <w:hideMark/>
          </w:tcPr>
          <w:p w14:paraId="093CFB7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193 (DM 72; non-DM 121)</w:t>
            </w:r>
          </w:p>
        </w:tc>
        <w:tc>
          <w:tcPr>
            <w:tcW w:w="430" w:type="pct"/>
            <w:tcBorders>
              <w:top w:val="nil"/>
              <w:left w:val="nil"/>
              <w:bottom w:val="single" w:sz="8" w:space="0" w:color="B8CCE4"/>
              <w:right w:val="single" w:sz="8" w:space="0" w:color="B8CCE4"/>
            </w:tcBorders>
            <w:shd w:val="clear" w:color="000000" w:fill="DCE6F1"/>
            <w:vAlign w:val="center"/>
            <w:hideMark/>
          </w:tcPr>
          <w:p w14:paraId="0386F12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Diabetic and non-diabetic NSTE-ACS patients</w:t>
            </w:r>
          </w:p>
        </w:tc>
        <w:tc>
          <w:tcPr>
            <w:tcW w:w="282" w:type="pct"/>
            <w:tcBorders>
              <w:top w:val="nil"/>
              <w:left w:val="nil"/>
              <w:bottom w:val="single" w:sz="8" w:space="0" w:color="B8CCE4"/>
              <w:right w:val="single" w:sz="8" w:space="0" w:color="B8CCE4"/>
            </w:tcBorders>
            <w:shd w:val="clear" w:color="000000" w:fill="DCE6F1"/>
            <w:vAlign w:val="center"/>
            <w:hideMark/>
          </w:tcPr>
          <w:p w14:paraId="6ADE032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64.6 vs non-DM 61.5</w:t>
            </w:r>
          </w:p>
        </w:tc>
        <w:tc>
          <w:tcPr>
            <w:tcW w:w="282" w:type="pct"/>
            <w:tcBorders>
              <w:top w:val="nil"/>
              <w:left w:val="nil"/>
              <w:bottom w:val="single" w:sz="8" w:space="0" w:color="B8CCE4"/>
              <w:right w:val="single" w:sz="8" w:space="0" w:color="B8CCE4"/>
            </w:tcBorders>
            <w:shd w:val="clear" w:color="000000" w:fill="DCE6F1"/>
            <w:vAlign w:val="center"/>
            <w:hideMark/>
          </w:tcPr>
          <w:p w14:paraId="622B48B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80.2%</w:t>
            </w:r>
          </w:p>
        </w:tc>
        <w:tc>
          <w:tcPr>
            <w:tcW w:w="333" w:type="pct"/>
            <w:tcBorders>
              <w:top w:val="nil"/>
              <w:left w:val="nil"/>
              <w:bottom w:val="single" w:sz="8" w:space="0" w:color="B8CCE4"/>
              <w:right w:val="single" w:sz="8" w:space="0" w:color="B8CCE4"/>
            </w:tcBorders>
            <w:shd w:val="clear" w:color="000000" w:fill="DCE6F1"/>
            <w:vAlign w:val="center"/>
            <w:hideMark/>
          </w:tcPr>
          <w:p w14:paraId="319200E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100% vs non-DM 0%</w:t>
            </w:r>
          </w:p>
        </w:tc>
        <w:tc>
          <w:tcPr>
            <w:tcW w:w="481" w:type="pct"/>
            <w:tcBorders>
              <w:top w:val="nil"/>
              <w:left w:val="nil"/>
              <w:bottom w:val="single" w:sz="8" w:space="0" w:color="B8CCE4"/>
              <w:right w:val="single" w:sz="8" w:space="0" w:color="B8CCE4"/>
            </w:tcBorders>
            <w:shd w:val="clear" w:color="000000" w:fill="DCE6F1"/>
            <w:vAlign w:val="center"/>
            <w:hideMark/>
          </w:tcPr>
          <w:p w14:paraId="4938948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72.2% vs non-DM 67.8%</w:t>
            </w:r>
          </w:p>
        </w:tc>
        <w:tc>
          <w:tcPr>
            <w:tcW w:w="582" w:type="pct"/>
            <w:tcBorders>
              <w:top w:val="nil"/>
              <w:left w:val="nil"/>
              <w:bottom w:val="single" w:sz="8" w:space="0" w:color="B8CCE4"/>
              <w:right w:val="single" w:sz="8" w:space="0" w:color="B8CCE4"/>
            </w:tcBorders>
            <w:shd w:val="clear" w:color="000000" w:fill="DCE6F1"/>
            <w:vAlign w:val="center"/>
            <w:hideMark/>
          </w:tcPr>
          <w:p w14:paraId="1AA5C76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76.4% vs non-DM 75.2%</w:t>
            </w:r>
          </w:p>
        </w:tc>
        <w:tc>
          <w:tcPr>
            <w:tcW w:w="321" w:type="pct"/>
            <w:tcBorders>
              <w:top w:val="nil"/>
              <w:left w:val="nil"/>
              <w:bottom w:val="single" w:sz="8" w:space="0" w:color="B8CCE4"/>
              <w:right w:val="single" w:sz="8" w:space="0" w:color="B8CCE4"/>
            </w:tcBorders>
            <w:shd w:val="clear" w:color="000000" w:fill="DCE6F1"/>
            <w:vAlign w:val="center"/>
            <w:hideMark/>
          </w:tcPr>
          <w:p w14:paraId="64DF3FD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DM 15.3% vs non-DM 25.6%</w:t>
            </w:r>
          </w:p>
        </w:tc>
        <w:tc>
          <w:tcPr>
            <w:tcW w:w="236" w:type="pct"/>
            <w:tcBorders>
              <w:top w:val="nil"/>
              <w:left w:val="nil"/>
              <w:bottom w:val="single" w:sz="8" w:space="0" w:color="B8CCE4"/>
              <w:right w:val="single" w:sz="8" w:space="0" w:color="B8CCE4"/>
            </w:tcBorders>
            <w:shd w:val="clear" w:color="000000" w:fill="DCE6F1"/>
            <w:vAlign w:val="center"/>
            <w:hideMark/>
          </w:tcPr>
          <w:p w14:paraId="639FEB6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091683E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(NSTE-ACS)</w:t>
            </w:r>
          </w:p>
        </w:tc>
        <w:tc>
          <w:tcPr>
            <w:tcW w:w="555" w:type="pct"/>
            <w:tcBorders>
              <w:top w:val="nil"/>
              <w:left w:val="nil"/>
              <w:bottom w:val="single" w:sz="8" w:space="0" w:color="B8CCE4"/>
              <w:right w:val="single" w:sz="8" w:space="0" w:color="000000"/>
            </w:tcBorders>
            <w:shd w:val="clear" w:color="000000" w:fill="DCE6F1"/>
            <w:vAlign w:val="center"/>
            <w:hideMark/>
          </w:tcPr>
          <w:p w14:paraId="3FCF9C5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1-year diabetic vs non-diabetic outcomes</w:t>
            </w:r>
          </w:p>
        </w:tc>
      </w:tr>
      <w:tr w:rsidR="00412CAB" w:rsidRPr="00412CAB" w14:paraId="5AB81F61" w14:textId="77777777" w:rsidTr="00412CAB">
        <w:trPr>
          <w:trHeight w:val="105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3DE4228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Gall 2022</w:t>
            </w:r>
          </w:p>
        </w:tc>
        <w:tc>
          <w:tcPr>
            <w:tcW w:w="224" w:type="pct"/>
            <w:tcBorders>
              <w:top w:val="nil"/>
              <w:left w:val="nil"/>
              <w:bottom w:val="single" w:sz="8" w:space="0" w:color="B8CCE4"/>
              <w:right w:val="single" w:sz="8" w:space="0" w:color="B8CCE4"/>
            </w:tcBorders>
            <w:shd w:val="clear" w:color="000000" w:fill="DCE6F1"/>
            <w:vAlign w:val="center"/>
            <w:hideMark/>
          </w:tcPr>
          <w:p w14:paraId="740E349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2022</w:t>
            </w:r>
          </w:p>
        </w:tc>
        <w:tc>
          <w:tcPr>
            <w:tcW w:w="395" w:type="pct"/>
            <w:tcBorders>
              <w:top w:val="nil"/>
              <w:left w:val="nil"/>
              <w:bottom w:val="single" w:sz="8" w:space="0" w:color="B8CCE4"/>
              <w:right w:val="single" w:sz="8" w:space="0" w:color="B8CCE4"/>
            </w:tcBorders>
            <w:shd w:val="clear" w:color="000000" w:fill="DCE6F1"/>
            <w:vAlign w:val="center"/>
            <w:hideMark/>
          </w:tcPr>
          <w:p w14:paraId="6005707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207</w:t>
            </w:r>
          </w:p>
        </w:tc>
        <w:tc>
          <w:tcPr>
            <w:tcW w:w="430" w:type="pct"/>
            <w:tcBorders>
              <w:top w:val="nil"/>
              <w:left w:val="nil"/>
              <w:bottom w:val="single" w:sz="8" w:space="0" w:color="B8CCE4"/>
              <w:right w:val="single" w:sz="8" w:space="0" w:color="B8CCE4"/>
            </w:tcBorders>
            <w:shd w:val="clear" w:color="000000" w:fill="DCE6F1"/>
            <w:vAlign w:val="center"/>
            <w:hideMark/>
          </w:tcPr>
          <w:p w14:paraId="4BB90B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Suitable </w:t>
            </w:r>
            <w:proofErr w:type="gramStart"/>
            <w:r w:rsidRPr="00412CAB">
              <w:rPr>
                <w:rFonts w:ascii="Times New Roman" w:eastAsia="Times New Roman" w:hAnsi="Times New Roman" w:cs="Times New Roman"/>
                <w:sz w:val="20"/>
                <w:szCs w:val="20"/>
                <w:lang w:val="en" w:eastAsia="en-IN"/>
              </w:rPr>
              <w:t>lesions</w:t>
            </w:r>
            <w:proofErr w:type="gramEnd"/>
            <w:r w:rsidRPr="00412CAB">
              <w:rPr>
                <w:rFonts w:ascii="Times New Roman" w:eastAsia="Times New Roman" w:hAnsi="Times New Roman" w:cs="Times New Roman"/>
                <w:sz w:val="20"/>
                <w:szCs w:val="20"/>
                <w:lang w:val="en" w:eastAsia="en-IN"/>
              </w:rPr>
              <w:t xml:space="preserve"> for MRS platform</w:t>
            </w:r>
          </w:p>
        </w:tc>
        <w:tc>
          <w:tcPr>
            <w:tcW w:w="282" w:type="pct"/>
            <w:tcBorders>
              <w:top w:val="nil"/>
              <w:left w:val="nil"/>
              <w:bottom w:val="single" w:sz="8" w:space="0" w:color="B8CCE4"/>
              <w:right w:val="single" w:sz="8" w:space="0" w:color="B8CCE4"/>
            </w:tcBorders>
            <w:shd w:val="clear" w:color="000000" w:fill="DCE6F1"/>
            <w:vAlign w:val="center"/>
            <w:hideMark/>
          </w:tcPr>
          <w:p w14:paraId="15089CF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282" w:type="pct"/>
            <w:tcBorders>
              <w:top w:val="nil"/>
              <w:left w:val="nil"/>
              <w:bottom w:val="single" w:sz="8" w:space="0" w:color="B8CCE4"/>
              <w:right w:val="single" w:sz="8" w:space="0" w:color="B8CCE4"/>
            </w:tcBorders>
            <w:shd w:val="clear" w:color="000000" w:fill="DCE6F1"/>
            <w:vAlign w:val="center"/>
            <w:hideMark/>
          </w:tcPr>
          <w:p w14:paraId="067B53E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333" w:type="pct"/>
            <w:tcBorders>
              <w:top w:val="nil"/>
              <w:left w:val="nil"/>
              <w:bottom w:val="single" w:sz="8" w:space="0" w:color="B8CCE4"/>
              <w:right w:val="single" w:sz="8" w:space="0" w:color="B8CCE4"/>
            </w:tcBorders>
            <w:shd w:val="clear" w:color="000000" w:fill="DCE6F1"/>
            <w:vAlign w:val="center"/>
            <w:hideMark/>
          </w:tcPr>
          <w:p w14:paraId="444D9A8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25</w:t>
            </w:r>
          </w:p>
        </w:tc>
        <w:tc>
          <w:tcPr>
            <w:tcW w:w="481" w:type="pct"/>
            <w:tcBorders>
              <w:top w:val="nil"/>
              <w:left w:val="nil"/>
              <w:bottom w:val="single" w:sz="8" w:space="0" w:color="B8CCE4"/>
              <w:right w:val="single" w:sz="8" w:space="0" w:color="B8CCE4"/>
            </w:tcBorders>
            <w:shd w:val="clear" w:color="000000" w:fill="DCE6F1"/>
            <w:vAlign w:val="center"/>
            <w:hideMark/>
          </w:tcPr>
          <w:p w14:paraId="702E2B4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72</w:t>
            </w:r>
          </w:p>
        </w:tc>
        <w:tc>
          <w:tcPr>
            <w:tcW w:w="582" w:type="pct"/>
            <w:tcBorders>
              <w:top w:val="nil"/>
              <w:left w:val="nil"/>
              <w:bottom w:val="single" w:sz="8" w:space="0" w:color="B8CCE4"/>
              <w:right w:val="single" w:sz="8" w:space="0" w:color="B8CCE4"/>
            </w:tcBorders>
            <w:shd w:val="clear" w:color="000000" w:fill="DCE6F1"/>
            <w:vAlign w:val="center"/>
            <w:hideMark/>
          </w:tcPr>
          <w:p w14:paraId="363FDEE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321" w:type="pct"/>
            <w:tcBorders>
              <w:top w:val="nil"/>
              <w:left w:val="nil"/>
              <w:bottom w:val="single" w:sz="8" w:space="0" w:color="B8CCE4"/>
              <w:right w:val="single" w:sz="8" w:space="0" w:color="B8CCE4"/>
            </w:tcBorders>
            <w:shd w:val="clear" w:color="000000" w:fill="DCE6F1"/>
            <w:vAlign w:val="center"/>
            <w:hideMark/>
          </w:tcPr>
          <w:p w14:paraId="4B57D52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15</w:t>
            </w:r>
          </w:p>
        </w:tc>
        <w:tc>
          <w:tcPr>
            <w:tcW w:w="236" w:type="pct"/>
            <w:tcBorders>
              <w:top w:val="nil"/>
              <w:left w:val="nil"/>
              <w:bottom w:val="single" w:sz="8" w:space="0" w:color="B8CCE4"/>
              <w:right w:val="single" w:sz="8" w:space="0" w:color="B8CCE4"/>
            </w:tcBorders>
            <w:shd w:val="clear" w:color="000000" w:fill="DCE6F1"/>
            <w:vAlign w:val="center"/>
            <w:hideMark/>
          </w:tcPr>
          <w:p w14:paraId="039A309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4D45B88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Stable </w:t>
            </w:r>
            <w:proofErr w:type="gramStart"/>
            <w:r w:rsidRPr="00412CAB">
              <w:rPr>
                <w:rFonts w:ascii="Times New Roman" w:eastAsia="Times New Roman" w:hAnsi="Times New Roman" w:cs="Times New Roman"/>
                <w:sz w:val="20"/>
                <w:szCs w:val="20"/>
                <w:lang w:val="en" w:eastAsia="en-IN"/>
              </w:rPr>
              <w:t>angina</w:t>
            </w:r>
            <w:proofErr w:type="gramEnd"/>
            <w:r w:rsidRPr="00412CAB">
              <w:rPr>
                <w:rFonts w:ascii="Times New Roman" w:eastAsia="Times New Roman" w:hAnsi="Times New Roman" w:cs="Times New Roman"/>
                <w:sz w:val="20"/>
                <w:szCs w:val="20"/>
                <w:lang w:val="en" w:eastAsia="en-IN"/>
              </w:rPr>
              <w:t xml:space="preserve"> and ACS</w:t>
            </w:r>
          </w:p>
        </w:tc>
        <w:tc>
          <w:tcPr>
            <w:tcW w:w="555" w:type="pct"/>
            <w:tcBorders>
              <w:top w:val="nil"/>
              <w:left w:val="nil"/>
              <w:bottom w:val="single" w:sz="8" w:space="0" w:color="B8CCE4"/>
              <w:right w:val="single" w:sz="8" w:space="0" w:color="000000"/>
            </w:tcBorders>
            <w:shd w:val="clear" w:color="000000" w:fill="DCE6F1"/>
            <w:vAlign w:val="center"/>
            <w:hideMark/>
          </w:tcPr>
          <w:p w14:paraId="06C550C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 and 2-year follow-up</w:t>
            </w:r>
          </w:p>
        </w:tc>
      </w:tr>
      <w:tr w:rsidR="00412CAB" w:rsidRPr="00412CAB" w14:paraId="783821DB"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6498C49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lastRenderedPageBreak/>
              <w:t>Galli 2023</w:t>
            </w:r>
          </w:p>
        </w:tc>
        <w:tc>
          <w:tcPr>
            <w:tcW w:w="224" w:type="pct"/>
            <w:tcBorders>
              <w:top w:val="nil"/>
              <w:left w:val="nil"/>
              <w:bottom w:val="single" w:sz="8" w:space="0" w:color="B8CCE4"/>
              <w:right w:val="single" w:sz="8" w:space="0" w:color="B8CCE4"/>
            </w:tcBorders>
            <w:shd w:val="clear" w:color="000000" w:fill="FFFFFF"/>
            <w:vAlign w:val="center"/>
            <w:hideMark/>
          </w:tcPr>
          <w:p w14:paraId="53BA0A4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tcBorders>
              <w:top w:val="nil"/>
              <w:left w:val="nil"/>
              <w:bottom w:val="single" w:sz="8" w:space="0" w:color="B8CCE4"/>
              <w:right w:val="single" w:sz="8" w:space="0" w:color="B8CCE4"/>
            </w:tcBorders>
            <w:shd w:val="clear" w:color="000000" w:fill="FFFFFF"/>
            <w:vAlign w:val="center"/>
            <w:hideMark/>
          </w:tcPr>
          <w:p w14:paraId="232A101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207</w:t>
            </w:r>
          </w:p>
        </w:tc>
        <w:tc>
          <w:tcPr>
            <w:tcW w:w="430" w:type="pct"/>
            <w:tcBorders>
              <w:top w:val="nil"/>
              <w:left w:val="nil"/>
              <w:bottom w:val="single" w:sz="8" w:space="0" w:color="B8CCE4"/>
              <w:right w:val="single" w:sz="8" w:space="0" w:color="B8CCE4"/>
            </w:tcBorders>
            <w:shd w:val="clear" w:color="000000" w:fill="FFFFFF"/>
            <w:vAlign w:val="center"/>
            <w:hideMark/>
          </w:tcPr>
          <w:p w14:paraId="1FB79C8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CAD and ACS patients</w:t>
            </w:r>
          </w:p>
        </w:tc>
        <w:tc>
          <w:tcPr>
            <w:tcW w:w="282" w:type="pct"/>
            <w:tcBorders>
              <w:top w:val="nil"/>
              <w:left w:val="nil"/>
              <w:bottom w:val="single" w:sz="8" w:space="0" w:color="B8CCE4"/>
              <w:right w:val="single" w:sz="8" w:space="0" w:color="B8CCE4"/>
            </w:tcBorders>
            <w:shd w:val="clear" w:color="000000" w:fill="FFFFFF"/>
            <w:vAlign w:val="center"/>
            <w:hideMark/>
          </w:tcPr>
          <w:p w14:paraId="61FC583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282" w:type="pct"/>
            <w:tcBorders>
              <w:top w:val="nil"/>
              <w:left w:val="nil"/>
              <w:bottom w:val="single" w:sz="8" w:space="0" w:color="B8CCE4"/>
              <w:right w:val="single" w:sz="8" w:space="0" w:color="B8CCE4"/>
            </w:tcBorders>
            <w:shd w:val="clear" w:color="000000" w:fill="FFFFFF"/>
            <w:vAlign w:val="center"/>
            <w:hideMark/>
          </w:tcPr>
          <w:p w14:paraId="28D0C47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333" w:type="pct"/>
            <w:tcBorders>
              <w:top w:val="nil"/>
              <w:left w:val="nil"/>
              <w:bottom w:val="single" w:sz="8" w:space="0" w:color="B8CCE4"/>
              <w:right w:val="single" w:sz="8" w:space="0" w:color="B8CCE4"/>
            </w:tcBorders>
            <w:shd w:val="clear" w:color="000000" w:fill="FFFFFF"/>
            <w:vAlign w:val="center"/>
            <w:hideMark/>
          </w:tcPr>
          <w:p w14:paraId="6C0CFF0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25</w:t>
            </w:r>
          </w:p>
        </w:tc>
        <w:tc>
          <w:tcPr>
            <w:tcW w:w="481" w:type="pct"/>
            <w:tcBorders>
              <w:top w:val="nil"/>
              <w:left w:val="nil"/>
              <w:bottom w:val="single" w:sz="8" w:space="0" w:color="B8CCE4"/>
              <w:right w:val="single" w:sz="8" w:space="0" w:color="B8CCE4"/>
            </w:tcBorders>
            <w:shd w:val="clear" w:color="000000" w:fill="FFFFFF"/>
            <w:vAlign w:val="center"/>
            <w:hideMark/>
          </w:tcPr>
          <w:p w14:paraId="49A1E4C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72</w:t>
            </w:r>
          </w:p>
        </w:tc>
        <w:tc>
          <w:tcPr>
            <w:tcW w:w="582" w:type="pct"/>
            <w:tcBorders>
              <w:top w:val="nil"/>
              <w:left w:val="nil"/>
              <w:bottom w:val="single" w:sz="8" w:space="0" w:color="B8CCE4"/>
              <w:right w:val="single" w:sz="8" w:space="0" w:color="B8CCE4"/>
            </w:tcBorders>
            <w:shd w:val="clear" w:color="000000" w:fill="FFFFFF"/>
            <w:vAlign w:val="center"/>
            <w:hideMark/>
          </w:tcPr>
          <w:p w14:paraId="62D16EC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321" w:type="pct"/>
            <w:tcBorders>
              <w:top w:val="nil"/>
              <w:left w:val="nil"/>
              <w:bottom w:val="single" w:sz="8" w:space="0" w:color="B8CCE4"/>
              <w:right w:val="single" w:sz="8" w:space="0" w:color="B8CCE4"/>
            </w:tcBorders>
            <w:shd w:val="clear" w:color="000000" w:fill="FFFFFF"/>
            <w:vAlign w:val="center"/>
            <w:hideMark/>
          </w:tcPr>
          <w:p w14:paraId="179441C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15</w:t>
            </w:r>
          </w:p>
        </w:tc>
        <w:tc>
          <w:tcPr>
            <w:tcW w:w="236" w:type="pct"/>
            <w:tcBorders>
              <w:top w:val="nil"/>
              <w:left w:val="nil"/>
              <w:bottom w:val="single" w:sz="8" w:space="0" w:color="B8CCE4"/>
              <w:right w:val="single" w:sz="8" w:space="0" w:color="B8CCE4"/>
            </w:tcBorders>
            <w:shd w:val="clear" w:color="000000" w:fill="FFFFFF"/>
            <w:vAlign w:val="center"/>
            <w:hideMark/>
          </w:tcPr>
          <w:p w14:paraId="2DAD506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6CF3689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CAD (n=145) and ACS (n=62)</w:t>
            </w:r>
          </w:p>
        </w:tc>
        <w:tc>
          <w:tcPr>
            <w:tcW w:w="555" w:type="pct"/>
            <w:tcBorders>
              <w:top w:val="nil"/>
              <w:left w:val="nil"/>
              <w:bottom w:val="single" w:sz="8" w:space="0" w:color="B8CCE4"/>
              <w:right w:val="single" w:sz="8" w:space="0" w:color="000000"/>
            </w:tcBorders>
            <w:shd w:val="clear" w:color="000000" w:fill="FFFFFF"/>
            <w:vAlign w:val="center"/>
            <w:hideMark/>
          </w:tcPr>
          <w:p w14:paraId="50FF965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Updated 2-year outcomes of same cohort</w:t>
            </w:r>
          </w:p>
        </w:tc>
      </w:tr>
      <w:tr w:rsidR="00412CAB" w:rsidRPr="00412CAB" w14:paraId="604A256D" w14:textId="77777777" w:rsidTr="00412CAB">
        <w:trPr>
          <w:trHeight w:val="105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1C77D7F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Wlodarczak</w:t>
            </w:r>
            <w:proofErr w:type="spellEnd"/>
            <w:r w:rsidRPr="00412CAB">
              <w:rPr>
                <w:rFonts w:ascii="Times New Roman" w:eastAsia="Times New Roman" w:hAnsi="Times New Roman" w:cs="Times New Roman"/>
                <w:sz w:val="20"/>
                <w:szCs w:val="20"/>
                <w:lang w:val="en" w:eastAsia="en-IN"/>
              </w:rPr>
              <w:t xml:space="preserve"> 2018</w:t>
            </w:r>
          </w:p>
        </w:tc>
        <w:tc>
          <w:tcPr>
            <w:tcW w:w="224" w:type="pct"/>
            <w:tcBorders>
              <w:top w:val="nil"/>
              <w:left w:val="nil"/>
              <w:bottom w:val="single" w:sz="8" w:space="0" w:color="B8CCE4"/>
              <w:right w:val="single" w:sz="8" w:space="0" w:color="B8CCE4"/>
            </w:tcBorders>
            <w:shd w:val="clear" w:color="000000" w:fill="DCE6F1"/>
            <w:vAlign w:val="center"/>
            <w:hideMark/>
          </w:tcPr>
          <w:p w14:paraId="3CA570C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2018</w:t>
            </w:r>
          </w:p>
        </w:tc>
        <w:tc>
          <w:tcPr>
            <w:tcW w:w="395" w:type="pct"/>
            <w:tcBorders>
              <w:top w:val="nil"/>
              <w:left w:val="nil"/>
              <w:bottom w:val="single" w:sz="8" w:space="0" w:color="B8CCE4"/>
              <w:right w:val="single" w:sz="8" w:space="0" w:color="B8CCE4"/>
            </w:tcBorders>
            <w:shd w:val="clear" w:color="000000" w:fill="DCE6F1"/>
            <w:vAlign w:val="center"/>
            <w:hideMark/>
          </w:tcPr>
          <w:p w14:paraId="31E37B4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50</w:t>
            </w:r>
          </w:p>
        </w:tc>
        <w:tc>
          <w:tcPr>
            <w:tcW w:w="430" w:type="pct"/>
            <w:tcBorders>
              <w:top w:val="nil"/>
              <w:left w:val="nil"/>
              <w:bottom w:val="single" w:sz="8" w:space="0" w:color="B8CCE4"/>
              <w:right w:val="single" w:sz="8" w:space="0" w:color="B8CCE4"/>
            </w:tcBorders>
            <w:shd w:val="clear" w:color="000000" w:fill="DCE6F1"/>
            <w:vAlign w:val="center"/>
            <w:hideMark/>
          </w:tcPr>
          <w:p w14:paraId="7EFCFA2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Non-ST elevation ACS patients</w:t>
            </w:r>
          </w:p>
        </w:tc>
        <w:tc>
          <w:tcPr>
            <w:tcW w:w="282" w:type="pct"/>
            <w:tcBorders>
              <w:top w:val="nil"/>
              <w:left w:val="nil"/>
              <w:bottom w:val="single" w:sz="8" w:space="0" w:color="B8CCE4"/>
              <w:right w:val="single" w:sz="8" w:space="0" w:color="B8CCE4"/>
            </w:tcBorders>
            <w:shd w:val="clear" w:color="000000" w:fill="DCE6F1"/>
            <w:vAlign w:val="center"/>
            <w:hideMark/>
          </w:tcPr>
          <w:p w14:paraId="4A14ABB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DCE6F1"/>
            <w:vAlign w:val="center"/>
            <w:hideMark/>
          </w:tcPr>
          <w:p w14:paraId="160B67C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78</w:t>
            </w:r>
          </w:p>
        </w:tc>
        <w:tc>
          <w:tcPr>
            <w:tcW w:w="333" w:type="pct"/>
            <w:tcBorders>
              <w:top w:val="nil"/>
              <w:left w:val="nil"/>
              <w:bottom w:val="single" w:sz="8" w:space="0" w:color="B8CCE4"/>
              <w:right w:val="single" w:sz="8" w:space="0" w:color="B8CCE4"/>
            </w:tcBorders>
            <w:shd w:val="clear" w:color="000000" w:fill="DCE6F1"/>
            <w:vAlign w:val="center"/>
            <w:hideMark/>
          </w:tcPr>
          <w:p w14:paraId="4E98821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36</w:t>
            </w:r>
          </w:p>
        </w:tc>
        <w:tc>
          <w:tcPr>
            <w:tcW w:w="481" w:type="pct"/>
            <w:tcBorders>
              <w:top w:val="nil"/>
              <w:left w:val="nil"/>
              <w:bottom w:val="single" w:sz="8" w:space="0" w:color="B8CCE4"/>
              <w:right w:val="single" w:sz="8" w:space="0" w:color="B8CCE4"/>
            </w:tcBorders>
            <w:shd w:val="clear" w:color="000000" w:fill="DCE6F1"/>
            <w:vAlign w:val="center"/>
            <w:hideMark/>
          </w:tcPr>
          <w:p w14:paraId="4BC3E64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DCE6F1"/>
            <w:vAlign w:val="center"/>
            <w:hideMark/>
          </w:tcPr>
          <w:p w14:paraId="3565180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66</w:t>
            </w:r>
          </w:p>
        </w:tc>
        <w:tc>
          <w:tcPr>
            <w:tcW w:w="321" w:type="pct"/>
            <w:tcBorders>
              <w:top w:val="nil"/>
              <w:left w:val="nil"/>
              <w:bottom w:val="single" w:sz="8" w:space="0" w:color="B8CCE4"/>
              <w:right w:val="single" w:sz="8" w:space="0" w:color="B8CCE4"/>
            </w:tcBorders>
            <w:shd w:val="clear" w:color="000000" w:fill="DCE6F1"/>
            <w:vAlign w:val="center"/>
            <w:hideMark/>
          </w:tcPr>
          <w:p w14:paraId="02581BF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18</w:t>
            </w:r>
          </w:p>
        </w:tc>
        <w:tc>
          <w:tcPr>
            <w:tcW w:w="236" w:type="pct"/>
            <w:tcBorders>
              <w:top w:val="nil"/>
              <w:left w:val="nil"/>
              <w:bottom w:val="single" w:sz="8" w:space="0" w:color="B8CCE4"/>
              <w:right w:val="single" w:sz="8" w:space="0" w:color="B8CCE4"/>
            </w:tcBorders>
            <w:shd w:val="clear" w:color="000000" w:fill="DCE6F1"/>
            <w:vAlign w:val="center"/>
            <w:hideMark/>
          </w:tcPr>
          <w:p w14:paraId="09358E8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66A9829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(NSTE-ACS)</w:t>
            </w:r>
          </w:p>
        </w:tc>
        <w:tc>
          <w:tcPr>
            <w:tcW w:w="555" w:type="pct"/>
            <w:tcBorders>
              <w:top w:val="nil"/>
              <w:left w:val="nil"/>
              <w:bottom w:val="single" w:sz="8" w:space="0" w:color="B8CCE4"/>
              <w:right w:val="single" w:sz="8" w:space="0" w:color="000000"/>
            </w:tcBorders>
            <w:shd w:val="clear" w:color="000000" w:fill="DCE6F1"/>
            <w:vAlign w:val="center"/>
            <w:hideMark/>
          </w:tcPr>
          <w:p w14:paraId="10030E5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Early feasibility study</w:t>
            </w:r>
          </w:p>
        </w:tc>
      </w:tr>
      <w:tr w:rsidR="00412CAB" w:rsidRPr="00412CAB" w14:paraId="0ABE01BD"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178AB02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Hemptinne</w:t>
            </w:r>
            <w:proofErr w:type="spellEnd"/>
            <w:r w:rsidRPr="00412CAB">
              <w:rPr>
                <w:rFonts w:ascii="Times New Roman" w:eastAsia="Times New Roman" w:hAnsi="Times New Roman" w:cs="Times New Roman"/>
                <w:sz w:val="20"/>
                <w:szCs w:val="20"/>
                <w:lang w:val="en" w:eastAsia="en-IN"/>
              </w:rPr>
              <w:t xml:space="preserve"> 2022</w:t>
            </w:r>
          </w:p>
        </w:tc>
        <w:tc>
          <w:tcPr>
            <w:tcW w:w="224" w:type="pct"/>
            <w:tcBorders>
              <w:top w:val="nil"/>
              <w:left w:val="nil"/>
              <w:bottom w:val="single" w:sz="8" w:space="0" w:color="B8CCE4"/>
              <w:right w:val="single" w:sz="8" w:space="0" w:color="B8CCE4"/>
            </w:tcBorders>
            <w:shd w:val="clear" w:color="000000" w:fill="FFFFFF"/>
            <w:vAlign w:val="center"/>
            <w:hideMark/>
          </w:tcPr>
          <w:p w14:paraId="3E955F3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2022</w:t>
            </w:r>
          </w:p>
        </w:tc>
        <w:tc>
          <w:tcPr>
            <w:tcW w:w="395" w:type="pct"/>
            <w:tcBorders>
              <w:top w:val="nil"/>
              <w:left w:val="nil"/>
              <w:bottom w:val="single" w:sz="8" w:space="0" w:color="B8CCE4"/>
              <w:right w:val="single" w:sz="8" w:space="0" w:color="B8CCE4"/>
            </w:tcBorders>
            <w:shd w:val="clear" w:color="000000" w:fill="FFFFFF"/>
            <w:vAlign w:val="center"/>
            <w:hideMark/>
          </w:tcPr>
          <w:p w14:paraId="037211D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30</w:t>
            </w:r>
          </w:p>
        </w:tc>
        <w:tc>
          <w:tcPr>
            <w:tcW w:w="430" w:type="pct"/>
            <w:tcBorders>
              <w:top w:val="nil"/>
              <w:left w:val="nil"/>
              <w:bottom w:val="single" w:sz="8" w:space="0" w:color="B8CCE4"/>
              <w:right w:val="single" w:sz="8" w:space="0" w:color="B8CCE4"/>
            </w:tcBorders>
            <w:shd w:val="clear" w:color="000000" w:fill="FFFFFF"/>
            <w:vAlign w:val="center"/>
            <w:hideMark/>
          </w:tcPr>
          <w:p w14:paraId="4A23A85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STEMI patients undergoing primary PCI</w:t>
            </w:r>
          </w:p>
        </w:tc>
        <w:tc>
          <w:tcPr>
            <w:tcW w:w="282" w:type="pct"/>
            <w:tcBorders>
              <w:top w:val="nil"/>
              <w:left w:val="nil"/>
              <w:bottom w:val="single" w:sz="8" w:space="0" w:color="B8CCE4"/>
              <w:right w:val="single" w:sz="8" w:space="0" w:color="B8CCE4"/>
            </w:tcBorders>
            <w:shd w:val="clear" w:color="000000" w:fill="FFFFFF"/>
            <w:vAlign w:val="center"/>
            <w:hideMark/>
          </w:tcPr>
          <w:p w14:paraId="54FF05A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59</w:t>
            </w:r>
          </w:p>
        </w:tc>
        <w:tc>
          <w:tcPr>
            <w:tcW w:w="282" w:type="pct"/>
            <w:tcBorders>
              <w:top w:val="nil"/>
              <w:left w:val="nil"/>
              <w:bottom w:val="single" w:sz="8" w:space="0" w:color="B8CCE4"/>
              <w:right w:val="single" w:sz="8" w:space="0" w:color="B8CCE4"/>
            </w:tcBorders>
            <w:shd w:val="clear" w:color="000000" w:fill="FFFFFF"/>
            <w:vAlign w:val="center"/>
            <w:hideMark/>
          </w:tcPr>
          <w:p w14:paraId="56879F0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83</w:t>
            </w:r>
          </w:p>
        </w:tc>
        <w:tc>
          <w:tcPr>
            <w:tcW w:w="333" w:type="pct"/>
            <w:tcBorders>
              <w:top w:val="nil"/>
              <w:left w:val="nil"/>
              <w:bottom w:val="single" w:sz="8" w:space="0" w:color="B8CCE4"/>
              <w:right w:val="single" w:sz="8" w:space="0" w:color="B8CCE4"/>
            </w:tcBorders>
            <w:shd w:val="clear" w:color="000000" w:fill="FFFFFF"/>
            <w:vAlign w:val="center"/>
            <w:hideMark/>
          </w:tcPr>
          <w:p w14:paraId="2BED539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w:t>
            </w:r>
          </w:p>
        </w:tc>
        <w:tc>
          <w:tcPr>
            <w:tcW w:w="481" w:type="pct"/>
            <w:tcBorders>
              <w:top w:val="nil"/>
              <w:left w:val="nil"/>
              <w:bottom w:val="single" w:sz="8" w:space="0" w:color="B8CCE4"/>
              <w:right w:val="single" w:sz="8" w:space="0" w:color="B8CCE4"/>
            </w:tcBorders>
            <w:shd w:val="clear" w:color="000000" w:fill="FFFFFF"/>
            <w:vAlign w:val="center"/>
            <w:hideMark/>
          </w:tcPr>
          <w:p w14:paraId="4AADC07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582" w:type="pct"/>
            <w:tcBorders>
              <w:top w:val="nil"/>
              <w:left w:val="nil"/>
              <w:bottom w:val="single" w:sz="8" w:space="0" w:color="B8CCE4"/>
              <w:right w:val="single" w:sz="8" w:space="0" w:color="B8CCE4"/>
            </w:tcBorders>
            <w:shd w:val="clear" w:color="000000" w:fill="FFFFFF"/>
            <w:vAlign w:val="center"/>
            <w:hideMark/>
          </w:tcPr>
          <w:p w14:paraId="06BCAC6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50</w:t>
            </w:r>
          </w:p>
        </w:tc>
        <w:tc>
          <w:tcPr>
            <w:tcW w:w="321" w:type="pct"/>
            <w:tcBorders>
              <w:top w:val="nil"/>
              <w:left w:val="nil"/>
              <w:bottom w:val="single" w:sz="8" w:space="0" w:color="B8CCE4"/>
              <w:right w:val="single" w:sz="8" w:space="0" w:color="B8CCE4"/>
            </w:tcBorders>
            <w:shd w:val="clear" w:color="000000" w:fill="FFFFFF"/>
            <w:vAlign w:val="center"/>
            <w:hideMark/>
          </w:tcPr>
          <w:p w14:paraId="0F2EE73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27</w:t>
            </w:r>
          </w:p>
        </w:tc>
        <w:tc>
          <w:tcPr>
            <w:tcW w:w="236" w:type="pct"/>
            <w:tcBorders>
              <w:top w:val="nil"/>
              <w:left w:val="nil"/>
              <w:bottom w:val="single" w:sz="8" w:space="0" w:color="B8CCE4"/>
              <w:right w:val="single" w:sz="8" w:space="0" w:color="B8CCE4"/>
            </w:tcBorders>
            <w:shd w:val="clear" w:color="000000" w:fill="FFFFFF"/>
            <w:vAlign w:val="center"/>
            <w:hideMark/>
          </w:tcPr>
          <w:p w14:paraId="15686C1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6206882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STEMI</w:t>
            </w:r>
          </w:p>
        </w:tc>
        <w:tc>
          <w:tcPr>
            <w:tcW w:w="555" w:type="pct"/>
            <w:tcBorders>
              <w:top w:val="nil"/>
              <w:left w:val="nil"/>
              <w:bottom w:val="single" w:sz="8" w:space="0" w:color="B8CCE4"/>
              <w:right w:val="single" w:sz="8" w:space="0" w:color="000000"/>
            </w:tcBorders>
            <w:shd w:val="clear" w:color="000000" w:fill="FFFFFF"/>
            <w:vAlign w:val="center"/>
            <w:hideMark/>
          </w:tcPr>
          <w:p w14:paraId="2FA291B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STEMI-specific </w:t>
            </w:r>
            <w:proofErr w:type="spellStart"/>
            <w:r w:rsidRPr="00412CAB">
              <w:rPr>
                <w:rFonts w:ascii="Times New Roman" w:eastAsia="Times New Roman" w:hAnsi="Times New Roman" w:cs="Times New Roman"/>
                <w:sz w:val="20"/>
                <w:szCs w:val="20"/>
                <w:lang w:val="en" w:eastAsia="en-IN"/>
              </w:rPr>
              <w:t>Magmaris</w:t>
            </w:r>
            <w:proofErr w:type="spellEnd"/>
            <w:r w:rsidRPr="00412CAB">
              <w:rPr>
                <w:rFonts w:ascii="Times New Roman" w:eastAsia="Times New Roman" w:hAnsi="Times New Roman" w:cs="Times New Roman"/>
                <w:sz w:val="20"/>
                <w:szCs w:val="20"/>
                <w:lang w:val="en" w:eastAsia="en-IN"/>
              </w:rPr>
              <w:t xml:space="preserve"> study</w:t>
            </w:r>
          </w:p>
        </w:tc>
      </w:tr>
      <w:tr w:rsidR="00412CAB" w:rsidRPr="00412CAB" w14:paraId="30CEC45A"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36556FB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Yoon 2023</w:t>
            </w:r>
          </w:p>
        </w:tc>
        <w:tc>
          <w:tcPr>
            <w:tcW w:w="224" w:type="pct"/>
            <w:tcBorders>
              <w:top w:val="nil"/>
              <w:left w:val="nil"/>
              <w:bottom w:val="single" w:sz="8" w:space="0" w:color="B8CCE4"/>
              <w:right w:val="single" w:sz="8" w:space="0" w:color="B8CCE4"/>
            </w:tcBorders>
            <w:shd w:val="clear" w:color="000000" w:fill="DCE6F1"/>
            <w:vAlign w:val="center"/>
            <w:hideMark/>
          </w:tcPr>
          <w:p w14:paraId="06ABF1A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2023</w:t>
            </w:r>
          </w:p>
        </w:tc>
        <w:tc>
          <w:tcPr>
            <w:tcW w:w="395" w:type="pct"/>
            <w:tcBorders>
              <w:top w:val="nil"/>
              <w:left w:val="nil"/>
              <w:bottom w:val="single" w:sz="8" w:space="0" w:color="B8CCE4"/>
              <w:right w:val="single" w:sz="8" w:space="0" w:color="B8CCE4"/>
            </w:tcBorders>
            <w:shd w:val="clear" w:color="000000" w:fill="DCE6F1"/>
            <w:vAlign w:val="center"/>
            <w:hideMark/>
          </w:tcPr>
          <w:p w14:paraId="0D62B7F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2,341 (BP-SES 1,175; BP-BES 1,166)</w:t>
            </w:r>
          </w:p>
        </w:tc>
        <w:tc>
          <w:tcPr>
            <w:tcW w:w="430" w:type="pct"/>
            <w:tcBorders>
              <w:top w:val="nil"/>
              <w:left w:val="nil"/>
              <w:bottom w:val="single" w:sz="8" w:space="0" w:color="B8CCE4"/>
              <w:right w:val="single" w:sz="8" w:space="0" w:color="B8CCE4"/>
            </w:tcBorders>
            <w:shd w:val="clear" w:color="000000" w:fill="DCE6F1"/>
            <w:vAlign w:val="center"/>
            <w:hideMark/>
          </w:tcPr>
          <w:p w14:paraId="1F39255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PCI patients requiring DES implantation</w:t>
            </w:r>
          </w:p>
        </w:tc>
        <w:tc>
          <w:tcPr>
            <w:tcW w:w="282" w:type="pct"/>
            <w:tcBorders>
              <w:top w:val="nil"/>
              <w:left w:val="nil"/>
              <w:bottom w:val="single" w:sz="8" w:space="0" w:color="B8CCE4"/>
              <w:right w:val="single" w:sz="8" w:space="0" w:color="B8CCE4"/>
            </w:tcBorders>
            <w:shd w:val="clear" w:color="000000" w:fill="DCE6F1"/>
            <w:vAlign w:val="center"/>
            <w:hideMark/>
          </w:tcPr>
          <w:p w14:paraId="6E5AA94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63.5 vs BP-BES 63.5</w:t>
            </w:r>
          </w:p>
        </w:tc>
        <w:tc>
          <w:tcPr>
            <w:tcW w:w="282" w:type="pct"/>
            <w:tcBorders>
              <w:top w:val="nil"/>
              <w:left w:val="nil"/>
              <w:bottom w:val="single" w:sz="8" w:space="0" w:color="B8CCE4"/>
              <w:right w:val="single" w:sz="8" w:space="0" w:color="B8CCE4"/>
            </w:tcBorders>
            <w:shd w:val="clear" w:color="000000" w:fill="DCE6F1"/>
            <w:vAlign w:val="center"/>
            <w:hideMark/>
          </w:tcPr>
          <w:p w14:paraId="271C58B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73% vs BP-BES 72%</w:t>
            </w:r>
          </w:p>
        </w:tc>
        <w:tc>
          <w:tcPr>
            <w:tcW w:w="333" w:type="pct"/>
            <w:tcBorders>
              <w:top w:val="nil"/>
              <w:left w:val="nil"/>
              <w:bottom w:val="single" w:sz="8" w:space="0" w:color="B8CCE4"/>
              <w:right w:val="single" w:sz="8" w:space="0" w:color="B8CCE4"/>
            </w:tcBorders>
            <w:shd w:val="clear" w:color="000000" w:fill="DCE6F1"/>
            <w:vAlign w:val="center"/>
            <w:hideMark/>
          </w:tcPr>
          <w:p w14:paraId="058340C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32% vs BP-BES 31%</w:t>
            </w:r>
          </w:p>
        </w:tc>
        <w:tc>
          <w:tcPr>
            <w:tcW w:w="481" w:type="pct"/>
            <w:tcBorders>
              <w:top w:val="nil"/>
              <w:left w:val="nil"/>
              <w:bottom w:val="single" w:sz="8" w:space="0" w:color="B8CCE4"/>
              <w:right w:val="single" w:sz="8" w:space="0" w:color="B8CCE4"/>
            </w:tcBorders>
            <w:shd w:val="clear" w:color="000000" w:fill="DCE6F1"/>
            <w:vAlign w:val="center"/>
            <w:hideMark/>
          </w:tcPr>
          <w:p w14:paraId="1758571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60% vs BP-BES 60%</w:t>
            </w:r>
          </w:p>
        </w:tc>
        <w:tc>
          <w:tcPr>
            <w:tcW w:w="582" w:type="pct"/>
            <w:tcBorders>
              <w:top w:val="nil"/>
              <w:left w:val="nil"/>
              <w:bottom w:val="single" w:sz="8" w:space="0" w:color="B8CCE4"/>
              <w:right w:val="single" w:sz="8" w:space="0" w:color="B8CCE4"/>
            </w:tcBorders>
            <w:shd w:val="clear" w:color="000000" w:fill="DCE6F1"/>
            <w:vAlign w:val="center"/>
            <w:hideMark/>
          </w:tcPr>
          <w:p w14:paraId="3312474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56% vs BP-BES 55%</w:t>
            </w:r>
          </w:p>
        </w:tc>
        <w:tc>
          <w:tcPr>
            <w:tcW w:w="321" w:type="pct"/>
            <w:tcBorders>
              <w:top w:val="nil"/>
              <w:left w:val="nil"/>
              <w:bottom w:val="single" w:sz="8" w:space="0" w:color="B8CCE4"/>
              <w:right w:val="single" w:sz="8" w:space="0" w:color="B8CCE4"/>
            </w:tcBorders>
            <w:shd w:val="clear" w:color="000000" w:fill="DCE6F1"/>
            <w:vAlign w:val="center"/>
            <w:hideMark/>
          </w:tcPr>
          <w:p w14:paraId="5F44550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20% vs BP-BES 21%</w:t>
            </w:r>
          </w:p>
        </w:tc>
        <w:tc>
          <w:tcPr>
            <w:tcW w:w="236" w:type="pct"/>
            <w:tcBorders>
              <w:top w:val="nil"/>
              <w:left w:val="nil"/>
              <w:bottom w:val="single" w:sz="8" w:space="0" w:color="B8CCE4"/>
              <w:right w:val="single" w:sz="8" w:space="0" w:color="B8CCE4"/>
            </w:tcBorders>
            <w:shd w:val="clear" w:color="000000" w:fill="DCE6F1"/>
            <w:vAlign w:val="center"/>
            <w:hideMark/>
          </w:tcPr>
          <w:p w14:paraId="5B7F44F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3C85738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Mixed: ACS 67.3%, Stable CAD 27.6%</w:t>
            </w:r>
          </w:p>
        </w:tc>
        <w:tc>
          <w:tcPr>
            <w:tcW w:w="555" w:type="pct"/>
            <w:tcBorders>
              <w:top w:val="nil"/>
              <w:left w:val="nil"/>
              <w:bottom w:val="single" w:sz="8" w:space="0" w:color="B8CCE4"/>
              <w:right w:val="single" w:sz="8" w:space="0" w:color="000000"/>
            </w:tcBorders>
            <w:shd w:val="clear" w:color="000000" w:fill="DCE6F1"/>
            <w:vAlign w:val="center"/>
            <w:hideMark/>
          </w:tcPr>
          <w:p w14:paraId="66ADB39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3-year RCT; </w:t>
            </w:r>
            <w:proofErr w:type="spellStart"/>
            <w:r w:rsidRPr="00412CAB">
              <w:rPr>
                <w:rFonts w:ascii="Times New Roman" w:eastAsia="Times New Roman" w:hAnsi="Times New Roman" w:cs="Times New Roman"/>
                <w:sz w:val="20"/>
                <w:szCs w:val="20"/>
                <w:lang w:val="en" w:eastAsia="en-IN"/>
              </w:rPr>
              <w:t>Orsiro</w:t>
            </w:r>
            <w:proofErr w:type="spellEnd"/>
            <w:r w:rsidRPr="00412CAB">
              <w:rPr>
                <w:rFonts w:ascii="Times New Roman" w:eastAsia="Times New Roman" w:hAnsi="Times New Roman" w:cs="Times New Roman"/>
                <w:sz w:val="20"/>
                <w:szCs w:val="20"/>
                <w:lang w:val="en" w:eastAsia="en-IN"/>
              </w:rPr>
              <w:t xml:space="preserve"> superior</w:t>
            </w:r>
          </w:p>
        </w:tc>
      </w:tr>
      <w:tr w:rsidR="00412CAB" w:rsidRPr="00412CAB" w14:paraId="45485D36"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074F822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Yoon 2021</w:t>
            </w:r>
          </w:p>
        </w:tc>
        <w:tc>
          <w:tcPr>
            <w:tcW w:w="224" w:type="pct"/>
            <w:tcBorders>
              <w:top w:val="nil"/>
              <w:left w:val="nil"/>
              <w:bottom w:val="single" w:sz="8" w:space="0" w:color="B8CCE4"/>
              <w:right w:val="single" w:sz="8" w:space="0" w:color="B8CCE4"/>
            </w:tcBorders>
            <w:shd w:val="clear" w:color="000000" w:fill="FFFFFF"/>
            <w:vAlign w:val="center"/>
            <w:hideMark/>
          </w:tcPr>
          <w:p w14:paraId="104089E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tcBorders>
              <w:top w:val="nil"/>
              <w:left w:val="nil"/>
              <w:bottom w:val="single" w:sz="8" w:space="0" w:color="B8CCE4"/>
              <w:right w:val="single" w:sz="8" w:space="0" w:color="B8CCE4"/>
            </w:tcBorders>
            <w:shd w:val="clear" w:color="000000" w:fill="FFFFFF"/>
            <w:vAlign w:val="center"/>
            <w:hideMark/>
          </w:tcPr>
          <w:p w14:paraId="16F823B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2,341 (</w:t>
            </w:r>
            <w:proofErr w:type="spellStart"/>
            <w:r w:rsidRPr="00412CAB">
              <w:rPr>
                <w:rFonts w:ascii="Times New Roman" w:eastAsia="Times New Roman" w:hAnsi="Times New Roman" w:cs="Times New Roman"/>
                <w:sz w:val="20"/>
                <w:szCs w:val="20"/>
                <w:lang w:val="en" w:eastAsia="en-IN"/>
              </w:rPr>
              <w:t>BioMatrix</w:t>
            </w:r>
            <w:proofErr w:type="spellEnd"/>
            <w:r w:rsidRPr="00412CAB">
              <w:rPr>
                <w:rFonts w:ascii="Times New Roman" w:eastAsia="Times New Roman" w:hAnsi="Times New Roman" w:cs="Times New Roman"/>
                <w:sz w:val="20"/>
                <w:szCs w:val="20"/>
                <w:lang w:val="en" w:eastAsia="en-IN"/>
              </w:rPr>
              <w:t xml:space="preserve"> 1,166; </w:t>
            </w:r>
            <w:proofErr w:type="spellStart"/>
            <w:r w:rsidRPr="00412CAB">
              <w:rPr>
                <w:rFonts w:ascii="Times New Roman" w:eastAsia="Times New Roman" w:hAnsi="Times New Roman" w:cs="Times New Roman"/>
                <w:sz w:val="20"/>
                <w:szCs w:val="20"/>
                <w:lang w:val="en" w:eastAsia="en-IN"/>
              </w:rPr>
              <w:t>Orsiro</w:t>
            </w:r>
            <w:proofErr w:type="spellEnd"/>
            <w:r w:rsidRPr="00412CAB">
              <w:rPr>
                <w:rFonts w:ascii="Times New Roman" w:eastAsia="Times New Roman" w:hAnsi="Times New Roman" w:cs="Times New Roman"/>
                <w:sz w:val="20"/>
                <w:szCs w:val="20"/>
                <w:lang w:val="en" w:eastAsia="en-IN"/>
              </w:rPr>
              <w:t xml:space="preserve"> 1,175)</w:t>
            </w:r>
          </w:p>
        </w:tc>
        <w:tc>
          <w:tcPr>
            <w:tcW w:w="430" w:type="pct"/>
            <w:tcBorders>
              <w:top w:val="nil"/>
              <w:left w:val="nil"/>
              <w:bottom w:val="single" w:sz="8" w:space="0" w:color="B8CCE4"/>
              <w:right w:val="single" w:sz="8" w:space="0" w:color="B8CCE4"/>
            </w:tcBorders>
            <w:shd w:val="clear" w:color="000000" w:fill="FFFFFF"/>
            <w:vAlign w:val="center"/>
            <w:hideMark/>
          </w:tcPr>
          <w:p w14:paraId="487DE19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Chronic stable CAD and ACS patients</w:t>
            </w:r>
          </w:p>
        </w:tc>
        <w:tc>
          <w:tcPr>
            <w:tcW w:w="282" w:type="pct"/>
            <w:tcBorders>
              <w:top w:val="nil"/>
              <w:left w:val="nil"/>
              <w:bottom w:val="single" w:sz="8" w:space="0" w:color="B8CCE4"/>
              <w:right w:val="single" w:sz="8" w:space="0" w:color="B8CCE4"/>
            </w:tcBorders>
            <w:shd w:val="clear" w:color="000000" w:fill="FFFFFF"/>
            <w:vAlign w:val="center"/>
            <w:hideMark/>
          </w:tcPr>
          <w:p w14:paraId="20434E3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FFFFFF"/>
            <w:vAlign w:val="center"/>
            <w:hideMark/>
          </w:tcPr>
          <w:p w14:paraId="511C8C5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73</w:t>
            </w:r>
          </w:p>
        </w:tc>
        <w:tc>
          <w:tcPr>
            <w:tcW w:w="333" w:type="pct"/>
            <w:tcBorders>
              <w:top w:val="nil"/>
              <w:left w:val="nil"/>
              <w:bottom w:val="single" w:sz="8" w:space="0" w:color="B8CCE4"/>
              <w:right w:val="single" w:sz="8" w:space="0" w:color="B8CCE4"/>
            </w:tcBorders>
            <w:shd w:val="clear" w:color="000000" w:fill="FFFFFF"/>
            <w:vAlign w:val="center"/>
            <w:hideMark/>
          </w:tcPr>
          <w:p w14:paraId="4F3FCE5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31%</w:t>
            </w:r>
          </w:p>
        </w:tc>
        <w:tc>
          <w:tcPr>
            <w:tcW w:w="481" w:type="pct"/>
            <w:tcBorders>
              <w:top w:val="nil"/>
              <w:left w:val="nil"/>
              <w:bottom w:val="single" w:sz="8" w:space="0" w:color="B8CCE4"/>
              <w:right w:val="single" w:sz="8" w:space="0" w:color="B8CCE4"/>
            </w:tcBorders>
            <w:shd w:val="clear" w:color="000000" w:fill="FFFFFF"/>
            <w:vAlign w:val="center"/>
            <w:hideMark/>
          </w:tcPr>
          <w:p w14:paraId="5DDB2A4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582" w:type="pct"/>
            <w:tcBorders>
              <w:top w:val="nil"/>
              <w:left w:val="nil"/>
              <w:bottom w:val="single" w:sz="8" w:space="0" w:color="B8CCE4"/>
              <w:right w:val="single" w:sz="8" w:space="0" w:color="B8CCE4"/>
            </w:tcBorders>
            <w:shd w:val="clear" w:color="000000" w:fill="FFFFFF"/>
            <w:vAlign w:val="center"/>
            <w:hideMark/>
          </w:tcPr>
          <w:p w14:paraId="3BF0F33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56%</w:t>
            </w:r>
          </w:p>
        </w:tc>
        <w:tc>
          <w:tcPr>
            <w:tcW w:w="321" w:type="pct"/>
            <w:tcBorders>
              <w:top w:val="nil"/>
              <w:left w:val="nil"/>
              <w:bottom w:val="single" w:sz="8" w:space="0" w:color="B8CCE4"/>
              <w:right w:val="single" w:sz="8" w:space="0" w:color="B8CCE4"/>
            </w:tcBorders>
            <w:shd w:val="clear" w:color="000000" w:fill="FFFFFF"/>
            <w:vAlign w:val="center"/>
            <w:hideMark/>
          </w:tcPr>
          <w:p w14:paraId="25AFDC5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w:t>
            </w:r>
          </w:p>
        </w:tc>
        <w:tc>
          <w:tcPr>
            <w:tcW w:w="236" w:type="pct"/>
            <w:tcBorders>
              <w:top w:val="nil"/>
              <w:left w:val="nil"/>
              <w:bottom w:val="single" w:sz="8" w:space="0" w:color="B8CCE4"/>
              <w:right w:val="single" w:sz="8" w:space="0" w:color="B8CCE4"/>
            </w:tcBorders>
            <w:shd w:val="clear" w:color="000000" w:fill="FFFFFF"/>
            <w:vAlign w:val="center"/>
            <w:hideMark/>
          </w:tcPr>
          <w:p w14:paraId="66A4375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44EBE09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67.3%, Stable CAD 32.7%</w:t>
            </w:r>
          </w:p>
        </w:tc>
        <w:tc>
          <w:tcPr>
            <w:tcW w:w="555" w:type="pct"/>
            <w:tcBorders>
              <w:top w:val="nil"/>
              <w:left w:val="nil"/>
              <w:bottom w:val="single" w:sz="8" w:space="0" w:color="B8CCE4"/>
              <w:right w:val="single" w:sz="8" w:space="0" w:color="000000"/>
            </w:tcBorders>
            <w:shd w:val="clear" w:color="000000" w:fill="FFFFFF"/>
            <w:vAlign w:val="center"/>
            <w:hideMark/>
          </w:tcPr>
          <w:p w14:paraId="2814E95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18-month non-inferiority RCT</w:t>
            </w:r>
          </w:p>
        </w:tc>
      </w:tr>
      <w:tr w:rsidR="00412CAB" w:rsidRPr="00412CAB" w14:paraId="786B008B"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042CB9B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De Marzo 2020</w:t>
            </w:r>
          </w:p>
        </w:tc>
        <w:tc>
          <w:tcPr>
            <w:tcW w:w="224" w:type="pct"/>
            <w:tcBorders>
              <w:top w:val="nil"/>
              <w:left w:val="nil"/>
              <w:bottom w:val="single" w:sz="8" w:space="0" w:color="B8CCE4"/>
              <w:right w:val="single" w:sz="8" w:space="0" w:color="B8CCE4"/>
            </w:tcBorders>
            <w:shd w:val="clear" w:color="000000" w:fill="DCE6F1"/>
            <w:vAlign w:val="center"/>
            <w:hideMark/>
          </w:tcPr>
          <w:p w14:paraId="42DD2D7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2020</w:t>
            </w:r>
          </w:p>
        </w:tc>
        <w:tc>
          <w:tcPr>
            <w:tcW w:w="395" w:type="pct"/>
            <w:tcBorders>
              <w:top w:val="nil"/>
              <w:left w:val="nil"/>
              <w:bottom w:val="single" w:sz="8" w:space="0" w:color="B8CCE4"/>
              <w:right w:val="single" w:sz="8" w:space="0" w:color="B8CCE4"/>
            </w:tcBorders>
            <w:shd w:val="clear" w:color="000000" w:fill="DCE6F1"/>
            <w:vAlign w:val="center"/>
            <w:hideMark/>
          </w:tcPr>
          <w:p w14:paraId="3A2630D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353</w:t>
            </w:r>
          </w:p>
        </w:tc>
        <w:tc>
          <w:tcPr>
            <w:tcW w:w="430" w:type="pct"/>
            <w:tcBorders>
              <w:top w:val="nil"/>
              <w:left w:val="nil"/>
              <w:bottom w:val="single" w:sz="8" w:space="0" w:color="B8CCE4"/>
              <w:right w:val="single" w:sz="8" w:space="0" w:color="B8CCE4"/>
            </w:tcBorders>
            <w:shd w:val="clear" w:color="000000" w:fill="DCE6F1"/>
            <w:vAlign w:val="center"/>
            <w:hideMark/>
          </w:tcPr>
          <w:p w14:paraId="662C25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STEMI patients receiving </w:t>
            </w:r>
            <w:proofErr w:type="spellStart"/>
            <w:r w:rsidRPr="00412CAB">
              <w:rPr>
                <w:rFonts w:ascii="Times New Roman" w:eastAsia="Times New Roman" w:hAnsi="Times New Roman" w:cs="Times New Roman"/>
                <w:sz w:val="20"/>
                <w:szCs w:val="20"/>
                <w:lang w:val="en" w:eastAsia="en-IN"/>
              </w:rPr>
              <w:t>Orsiro</w:t>
            </w:r>
            <w:proofErr w:type="spellEnd"/>
            <w:r w:rsidRPr="00412CAB">
              <w:rPr>
                <w:rFonts w:ascii="Times New Roman" w:eastAsia="Times New Roman" w:hAnsi="Times New Roman" w:cs="Times New Roman"/>
                <w:sz w:val="20"/>
                <w:szCs w:val="20"/>
                <w:lang w:val="en" w:eastAsia="en-IN"/>
              </w:rPr>
              <w:t xml:space="preserve"> in target vessel</w:t>
            </w:r>
          </w:p>
        </w:tc>
        <w:tc>
          <w:tcPr>
            <w:tcW w:w="282" w:type="pct"/>
            <w:tcBorders>
              <w:top w:val="nil"/>
              <w:left w:val="nil"/>
              <w:bottom w:val="single" w:sz="8" w:space="0" w:color="B8CCE4"/>
              <w:right w:val="single" w:sz="8" w:space="0" w:color="B8CCE4"/>
            </w:tcBorders>
            <w:shd w:val="clear" w:color="000000" w:fill="DCE6F1"/>
            <w:vAlign w:val="center"/>
            <w:hideMark/>
          </w:tcPr>
          <w:p w14:paraId="46B5318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62</w:t>
            </w:r>
          </w:p>
        </w:tc>
        <w:tc>
          <w:tcPr>
            <w:tcW w:w="282" w:type="pct"/>
            <w:tcBorders>
              <w:top w:val="nil"/>
              <w:left w:val="nil"/>
              <w:bottom w:val="single" w:sz="8" w:space="0" w:color="B8CCE4"/>
              <w:right w:val="single" w:sz="8" w:space="0" w:color="B8CCE4"/>
            </w:tcBorders>
            <w:shd w:val="clear" w:color="000000" w:fill="DCE6F1"/>
            <w:vAlign w:val="center"/>
            <w:hideMark/>
          </w:tcPr>
          <w:p w14:paraId="3039E24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77</w:t>
            </w:r>
          </w:p>
        </w:tc>
        <w:tc>
          <w:tcPr>
            <w:tcW w:w="333" w:type="pct"/>
            <w:tcBorders>
              <w:top w:val="nil"/>
              <w:left w:val="nil"/>
              <w:bottom w:val="single" w:sz="8" w:space="0" w:color="B8CCE4"/>
              <w:right w:val="single" w:sz="8" w:space="0" w:color="B8CCE4"/>
            </w:tcBorders>
            <w:shd w:val="clear" w:color="000000" w:fill="DCE6F1"/>
            <w:vAlign w:val="center"/>
            <w:hideMark/>
          </w:tcPr>
          <w:p w14:paraId="37A9CC2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w:t>
            </w:r>
          </w:p>
        </w:tc>
        <w:tc>
          <w:tcPr>
            <w:tcW w:w="481" w:type="pct"/>
            <w:tcBorders>
              <w:top w:val="nil"/>
              <w:left w:val="nil"/>
              <w:bottom w:val="single" w:sz="8" w:space="0" w:color="B8CCE4"/>
              <w:right w:val="single" w:sz="8" w:space="0" w:color="B8CCE4"/>
            </w:tcBorders>
            <w:shd w:val="clear" w:color="000000" w:fill="DCE6F1"/>
            <w:vAlign w:val="center"/>
            <w:hideMark/>
          </w:tcPr>
          <w:p w14:paraId="0808D2C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58%</w:t>
            </w:r>
          </w:p>
        </w:tc>
        <w:tc>
          <w:tcPr>
            <w:tcW w:w="582" w:type="pct"/>
            <w:tcBorders>
              <w:top w:val="nil"/>
              <w:left w:val="nil"/>
              <w:bottom w:val="single" w:sz="8" w:space="0" w:color="B8CCE4"/>
              <w:right w:val="single" w:sz="8" w:space="0" w:color="B8CCE4"/>
            </w:tcBorders>
            <w:shd w:val="clear" w:color="000000" w:fill="DCE6F1"/>
            <w:vAlign w:val="center"/>
            <w:hideMark/>
          </w:tcPr>
          <w:p w14:paraId="558AC60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53%</w:t>
            </w:r>
          </w:p>
        </w:tc>
        <w:tc>
          <w:tcPr>
            <w:tcW w:w="321" w:type="pct"/>
            <w:tcBorders>
              <w:top w:val="nil"/>
              <w:left w:val="nil"/>
              <w:bottom w:val="single" w:sz="8" w:space="0" w:color="B8CCE4"/>
              <w:right w:val="single" w:sz="8" w:space="0" w:color="B8CCE4"/>
            </w:tcBorders>
            <w:shd w:val="clear" w:color="000000" w:fill="DCE6F1"/>
            <w:vAlign w:val="center"/>
            <w:hideMark/>
          </w:tcPr>
          <w:p w14:paraId="47DBDB0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30%</w:t>
            </w:r>
          </w:p>
        </w:tc>
        <w:tc>
          <w:tcPr>
            <w:tcW w:w="236" w:type="pct"/>
            <w:tcBorders>
              <w:top w:val="nil"/>
              <w:left w:val="nil"/>
              <w:bottom w:val="single" w:sz="8" w:space="0" w:color="B8CCE4"/>
              <w:right w:val="single" w:sz="8" w:space="0" w:color="B8CCE4"/>
            </w:tcBorders>
            <w:shd w:val="clear" w:color="000000" w:fill="DCE6F1"/>
            <w:vAlign w:val="center"/>
            <w:hideMark/>
          </w:tcPr>
          <w:p w14:paraId="586F59C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w:t>
            </w:r>
          </w:p>
        </w:tc>
        <w:tc>
          <w:tcPr>
            <w:tcW w:w="454" w:type="pct"/>
            <w:tcBorders>
              <w:top w:val="nil"/>
              <w:left w:val="nil"/>
              <w:bottom w:val="single" w:sz="8" w:space="0" w:color="B8CCE4"/>
              <w:right w:val="single" w:sz="8" w:space="0" w:color="B8CCE4"/>
            </w:tcBorders>
            <w:shd w:val="clear" w:color="000000" w:fill="DCE6F1"/>
            <w:vAlign w:val="center"/>
            <w:hideMark/>
          </w:tcPr>
          <w:p w14:paraId="42D3781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STEMI (100% ACS)</w:t>
            </w:r>
          </w:p>
        </w:tc>
        <w:tc>
          <w:tcPr>
            <w:tcW w:w="555" w:type="pct"/>
            <w:tcBorders>
              <w:top w:val="nil"/>
              <w:left w:val="nil"/>
              <w:bottom w:val="single" w:sz="8" w:space="0" w:color="B8CCE4"/>
              <w:right w:val="single" w:sz="8" w:space="0" w:color="000000"/>
            </w:tcBorders>
            <w:shd w:val="clear" w:color="000000" w:fill="DCE6F1"/>
            <w:vAlign w:val="center"/>
            <w:hideMark/>
          </w:tcPr>
          <w:p w14:paraId="45B2D38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STEMI-only cohort; retrospective registry</w:t>
            </w:r>
          </w:p>
        </w:tc>
      </w:tr>
      <w:tr w:rsidR="00412CAB" w:rsidRPr="00412CAB" w14:paraId="30ACCF6B" w14:textId="77777777" w:rsidTr="00412CAB">
        <w:trPr>
          <w:trHeight w:val="235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3C00CE6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lastRenderedPageBreak/>
              <w:t>Bartorelli</w:t>
            </w:r>
            <w:proofErr w:type="spellEnd"/>
            <w:r w:rsidRPr="00412CAB">
              <w:rPr>
                <w:rFonts w:ascii="Times New Roman" w:eastAsia="Times New Roman" w:hAnsi="Times New Roman" w:cs="Times New Roman"/>
                <w:sz w:val="20"/>
                <w:szCs w:val="20"/>
                <w:lang w:val="en" w:eastAsia="en-IN"/>
              </w:rPr>
              <w:t xml:space="preserve"> 2019</w:t>
            </w:r>
          </w:p>
        </w:tc>
        <w:tc>
          <w:tcPr>
            <w:tcW w:w="224" w:type="pct"/>
            <w:tcBorders>
              <w:top w:val="nil"/>
              <w:left w:val="nil"/>
              <w:bottom w:val="single" w:sz="8" w:space="0" w:color="B8CCE4"/>
              <w:right w:val="single" w:sz="8" w:space="0" w:color="B8CCE4"/>
            </w:tcBorders>
            <w:shd w:val="clear" w:color="000000" w:fill="FFFFFF"/>
            <w:vAlign w:val="center"/>
            <w:hideMark/>
          </w:tcPr>
          <w:p w14:paraId="05FB33A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2019</w:t>
            </w:r>
          </w:p>
        </w:tc>
        <w:tc>
          <w:tcPr>
            <w:tcW w:w="395" w:type="pct"/>
            <w:tcBorders>
              <w:top w:val="nil"/>
              <w:left w:val="nil"/>
              <w:bottom w:val="single" w:sz="8" w:space="0" w:color="B8CCE4"/>
              <w:right w:val="single" w:sz="8" w:space="0" w:color="B8CCE4"/>
            </w:tcBorders>
            <w:shd w:val="clear" w:color="000000" w:fill="FFFFFF"/>
            <w:vAlign w:val="center"/>
            <w:hideMark/>
          </w:tcPr>
          <w:p w14:paraId="10F8D57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601</w:t>
            </w:r>
          </w:p>
        </w:tc>
        <w:tc>
          <w:tcPr>
            <w:tcW w:w="430" w:type="pct"/>
            <w:tcBorders>
              <w:top w:val="nil"/>
              <w:left w:val="nil"/>
              <w:bottom w:val="single" w:sz="8" w:space="0" w:color="B8CCE4"/>
              <w:right w:val="single" w:sz="8" w:space="0" w:color="B8CCE4"/>
            </w:tcBorders>
            <w:shd w:val="clear" w:color="000000" w:fill="FFFFFF"/>
            <w:vAlign w:val="center"/>
            <w:hideMark/>
          </w:tcPr>
          <w:p w14:paraId="352253F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All-comer population including high-risk subgroups</w:t>
            </w:r>
          </w:p>
        </w:tc>
        <w:tc>
          <w:tcPr>
            <w:tcW w:w="282" w:type="pct"/>
            <w:tcBorders>
              <w:top w:val="nil"/>
              <w:left w:val="nil"/>
              <w:bottom w:val="single" w:sz="8" w:space="0" w:color="B8CCE4"/>
              <w:right w:val="single" w:sz="8" w:space="0" w:color="B8CCE4"/>
            </w:tcBorders>
            <w:shd w:val="clear" w:color="000000" w:fill="FFFFFF"/>
            <w:vAlign w:val="center"/>
            <w:hideMark/>
          </w:tcPr>
          <w:p w14:paraId="00FB9F0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282" w:type="pct"/>
            <w:tcBorders>
              <w:top w:val="nil"/>
              <w:left w:val="nil"/>
              <w:bottom w:val="single" w:sz="8" w:space="0" w:color="B8CCE4"/>
              <w:right w:val="single" w:sz="8" w:space="0" w:color="B8CCE4"/>
            </w:tcBorders>
            <w:shd w:val="clear" w:color="000000" w:fill="FFFFFF"/>
            <w:vAlign w:val="center"/>
            <w:hideMark/>
          </w:tcPr>
          <w:p w14:paraId="501135F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74</w:t>
            </w:r>
          </w:p>
        </w:tc>
        <w:tc>
          <w:tcPr>
            <w:tcW w:w="333" w:type="pct"/>
            <w:tcBorders>
              <w:top w:val="nil"/>
              <w:left w:val="nil"/>
              <w:bottom w:val="single" w:sz="8" w:space="0" w:color="B8CCE4"/>
              <w:right w:val="single" w:sz="8" w:space="0" w:color="B8CCE4"/>
            </w:tcBorders>
            <w:shd w:val="clear" w:color="000000" w:fill="FFFFFF"/>
            <w:vAlign w:val="center"/>
            <w:hideMark/>
          </w:tcPr>
          <w:p w14:paraId="3F4F73A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w:t>
            </w:r>
          </w:p>
        </w:tc>
        <w:tc>
          <w:tcPr>
            <w:tcW w:w="481" w:type="pct"/>
            <w:tcBorders>
              <w:top w:val="nil"/>
              <w:left w:val="nil"/>
              <w:bottom w:val="single" w:sz="8" w:space="0" w:color="B8CCE4"/>
              <w:right w:val="single" w:sz="8" w:space="0" w:color="B8CCE4"/>
            </w:tcBorders>
            <w:shd w:val="clear" w:color="000000" w:fill="FFFFFF"/>
            <w:vAlign w:val="center"/>
            <w:hideMark/>
          </w:tcPr>
          <w:p w14:paraId="6614EB2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66%</w:t>
            </w:r>
          </w:p>
        </w:tc>
        <w:tc>
          <w:tcPr>
            <w:tcW w:w="582" w:type="pct"/>
            <w:tcBorders>
              <w:top w:val="nil"/>
              <w:left w:val="nil"/>
              <w:bottom w:val="single" w:sz="8" w:space="0" w:color="B8CCE4"/>
              <w:right w:val="single" w:sz="8" w:space="0" w:color="B8CCE4"/>
            </w:tcBorders>
            <w:shd w:val="clear" w:color="000000" w:fill="FFFFFF"/>
            <w:vAlign w:val="center"/>
            <w:hideMark/>
          </w:tcPr>
          <w:p w14:paraId="4B8EA31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321" w:type="pct"/>
            <w:tcBorders>
              <w:top w:val="nil"/>
              <w:left w:val="nil"/>
              <w:bottom w:val="single" w:sz="8" w:space="0" w:color="B8CCE4"/>
              <w:right w:val="single" w:sz="8" w:space="0" w:color="B8CCE4"/>
            </w:tcBorders>
            <w:shd w:val="clear" w:color="000000" w:fill="FFFFFF"/>
            <w:vAlign w:val="center"/>
            <w:hideMark/>
          </w:tcPr>
          <w:p w14:paraId="3A148F3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FFFFFF"/>
            <w:vAlign w:val="center"/>
            <w:hideMark/>
          </w:tcPr>
          <w:p w14:paraId="41C6F83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w:t>
            </w:r>
          </w:p>
        </w:tc>
        <w:tc>
          <w:tcPr>
            <w:tcW w:w="454" w:type="pct"/>
            <w:tcBorders>
              <w:top w:val="nil"/>
              <w:left w:val="nil"/>
              <w:bottom w:val="single" w:sz="8" w:space="0" w:color="B8CCE4"/>
              <w:right w:val="single" w:sz="8" w:space="0" w:color="B8CCE4"/>
            </w:tcBorders>
            <w:shd w:val="clear" w:color="000000" w:fill="FFFFFF"/>
            <w:vAlign w:val="center"/>
            <w:hideMark/>
          </w:tcPr>
          <w:p w14:paraId="092E0C0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STEMI 16%, NSTEMI 18%, UA 17.5%, Stable 33.4%, Silent </w:t>
            </w:r>
            <w:proofErr w:type="spellStart"/>
            <w:r w:rsidRPr="00412CAB">
              <w:rPr>
                <w:rFonts w:ascii="Times New Roman" w:eastAsia="Times New Roman" w:hAnsi="Times New Roman" w:cs="Times New Roman"/>
                <w:sz w:val="20"/>
                <w:szCs w:val="20"/>
                <w:lang w:val="en" w:eastAsia="en-IN"/>
              </w:rPr>
              <w:t>isch</w:t>
            </w:r>
            <w:proofErr w:type="spellEnd"/>
            <w:r w:rsidRPr="00412CAB">
              <w:rPr>
                <w:rFonts w:ascii="Times New Roman" w:eastAsia="Times New Roman" w:hAnsi="Times New Roman" w:cs="Times New Roman"/>
                <w:sz w:val="20"/>
                <w:szCs w:val="20"/>
                <w:lang w:val="en" w:eastAsia="en-IN"/>
              </w:rPr>
              <w:t xml:space="preserve"> 14.5%</w:t>
            </w:r>
          </w:p>
        </w:tc>
        <w:tc>
          <w:tcPr>
            <w:tcW w:w="555" w:type="pct"/>
            <w:tcBorders>
              <w:top w:val="nil"/>
              <w:left w:val="nil"/>
              <w:bottom w:val="single" w:sz="8" w:space="0" w:color="B8CCE4"/>
              <w:right w:val="single" w:sz="8" w:space="0" w:color="000000"/>
            </w:tcBorders>
            <w:shd w:val="clear" w:color="000000" w:fill="FFFFFF"/>
            <w:vAlign w:val="center"/>
            <w:hideMark/>
          </w:tcPr>
          <w:p w14:paraId="469080D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Nationwide Italian registry</w:t>
            </w:r>
          </w:p>
        </w:tc>
      </w:tr>
      <w:tr w:rsidR="00412CAB" w:rsidRPr="00412CAB" w14:paraId="11BBD1C6" w14:textId="77777777" w:rsidTr="00412CAB">
        <w:trPr>
          <w:trHeight w:val="235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709DFEA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Windecker 2015</w:t>
            </w:r>
          </w:p>
        </w:tc>
        <w:tc>
          <w:tcPr>
            <w:tcW w:w="224" w:type="pct"/>
            <w:tcBorders>
              <w:top w:val="nil"/>
              <w:left w:val="nil"/>
              <w:bottom w:val="single" w:sz="8" w:space="0" w:color="B8CCE4"/>
              <w:right w:val="single" w:sz="8" w:space="0" w:color="B8CCE4"/>
            </w:tcBorders>
            <w:shd w:val="clear" w:color="000000" w:fill="DCE6F1"/>
            <w:vAlign w:val="center"/>
            <w:hideMark/>
          </w:tcPr>
          <w:p w14:paraId="783E609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2015</w:t>
            </w:r>
          </w:p>
        </w:tc>
        <w:tc>
          <w:tcPr>
            <w:tcW w:w="395" w:type="pct"/>
            <w:tcBorders>
              <w:top w:val="nil"/>
              <w:left w:val="nil"/>
              <w:bottom w:val="single" w:sz="8" w:space="0" w:color="B8CCE4"/>
              <w:right w:val="single" w:sz="8" w:space="0" w:color="B8CCE4"/>
            </w:tcBorders>
            <w:shd w:val="clear" w:color="000000" w:fill="DCE6F1"/>
            <w:vAlign w:val="center"/>
            <w:hideMark/>
          </w:tcPr>
          <w:p w14:paraId="0C0D909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452 (O-SES 298; X-EES 154)</w:t>
            </w:r>
          </w:p>
        </w:tc>
        <w:tc>
          <w:tcPr>
            <w:tcW w:w="430" w:type="pct"/>
            <w:tcBorders>
              <w:top w:val="nil"/>
              <w:left w:val="nil"/>
              <w:bottom w:val="single" w:sz="8" w:space="0" w:color="B8CCE4"/>
              <w:right w:val="single" w:sz="8" w:space="0" w:color="B8CCE4"/>
            </w:tcBorders>
            <w:shd w:val="clear" w:color="000000" w:fill="DCE6F1"/>
            <w:vAlign w:val="center"/>
            <w:hideMark/>
          </w:tcPr>
          <w:p w14:paraId="7F71198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or unstable angina / silent ischemia patients with de novo lesions</w:t>
            </w:r>
          </w:p>
        </w:tc>
        <w:tc>
          <w:tcPr>
            <w:tcW w:w="282" w:type="pct"/>
            <w:tcBorders>
              <w:top w:val="nil"/>
              <w:left w:val="nil"/>
              <w:bottom w:val="single" w:sz="8" w:space="0" w:color="B8CCE4"/>
              <w:right w:val="single" w:sz="8" w:space="0" w:color="B8CCE4"/>
            </w:tcBorders>
            <w:shd w:val="clear" w:color="000000" w:fill="DCE6F1"/>
            <w:vAlign w:val="center"/>
            <w:hideMark/>
          </w:tcPr>
          <w:p w14:paraId="30ECD84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63 vs X-EES 64</w:t>
            </w:r>
          </w:p>
        </w:tc>
        <w:tc>
          <w:tcPr>
            <w:tcW w:w="282" w:type="pct"/>
            <w:tcBorders>
              <w:top w:val="nil"/>
              <w:left w:val="nil"/>
              <w:bottom w:val="single" w:sz="8" w:space="0" w:color="B8CCE4"/>
              <w:right w:val="single" w:sz="8" w:space="0" w:color="B8CCE4"/>
            </w:tcBorders>
            <w:shd w:val="clear" w:color="000000" w:fill="DCE6F1"/>
            <w:vAlign w:val="center"/>
            <w:hideMark/>
          </w:tcPr>
          <w:p w14:paraId="093241C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74% vs X-EES 78</w:t>
            </w:r>
          </w:p>
        </w:tc>
        <w:tc>
          <w:tcPr>
            <w:tcW w:w="333" w:type="pct"/>
            <w:tcBorders>
              <w:top w:val="nil"/>
              <w:left w:val="nil"/>
              <w:bottom w:val="single" w:sz="8" w:space="0" w:color="B8CCE4"/>
              <w:right w:val="single" w:sz="8" w:space="0" w:color="B8CCE4"/>
            </w:tcBorders>
            <w:shd w:val="clear" w:color="000000" w:fill="DCE6F1"/>
            <w:vAlign w:val="center"/>
            <w:hideMark/>
          </w:tcPr>
          <w:p w14:paraId="6811962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22% vs X-EES 26%</w:t>
            </w:r>
          </w:p>
        </w:tc>
        <w:tc>
          <w:tcPr>
            <w:tcW w:w="481" w:type="pct"/>
            <w:tcBorders>
              <w:top w:val="nil"/>
              <w:left w:val="nil"/>
              <w:bottom w:val="single" w:sz="8" w:space="0" w:color="B8CCE4"/>
              <w:right w:val="single" w:sz="8" w:space="0" w:color="B8CCE4"/>
            </w:tcBorders>
            <w:shd w:val="clear" w:color="000000" w:fill="DCE6F1"/>
            <w:vAlign w:val="center"/>
            <w:hideMark/>
          </w:tcPr>
          <w:p w14:paraId="05B943F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62% vs X-EES 66%</w:t>
            </w:r>
          </w:p>
        </w:tc>
        <w:tc>
          <w:tcPr>
            <w:tcW w:w="582" w:type="pct"/>
            <w:tcBorders>
              <w:top w:val="nil"/>
              <w:left w:val="nil"/>
              <w:bottom w:val="single" w:sz="8" w:space="0" w:color="B8CCE4"/>
              <w:right w:val="single" w:sz="8" w:space="0" w:color="B8CCE4"/>
            </w:tcBorders>
            <w:shd w:val="clear" w:color="000000" w:fill="DCE6F1"/>
            <w:vAlign w:val="center"/>
            <w:hideMark/>
          </w:tcPr>
          <w:p w14:paraId="2F71E5C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58% vs X-EES 57%</w:t>
            </w:r>
          </w:p>
        </w:tc>
        <w:tc>
          <w:tcPr>
            <w:tcW w:w="321" w:type="pct"/>
            <w:tcBorders>
              <w:top w:val="nil"/>
              <w:left w:val="nil"/>
              <w:bottom w:val="single" w:sz="8" w:space="0" w:color="B8CCE4"/>
              <w:right w:val="single" w:sz="8" w:space="0" w:color="B8CCE4"/>
            </w:tcBorders>
            <w:shd w:val="clear" w:color="000000" w:fill="DCE6F1"/>
            <w:vAlign w:val="center"/>
            <w:hideMark/>
          </w:tcPr>
          <w:p w14:paraId="3F88C4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O-SES 22% vs X-EES 18%</w:t>
            </w:r>
          </w:p>
        </w:tc>
        <w:tc>
          <w:tcPr>
            <w:tcW w:w="236" w:type="pct"/>
            <w:tcBorders>
              <w:top w:val="nil"/>
              <w:left w:val="nil"/>
              <w:bottom w:val="single" w:sz="8" w:space="0" w:color="B8CCE4"/>
              <w:right w:val="single" w:sz="8" w:space="0" w:color="B8CCE4"/>
            </w:tcBorders>
            <w:shd w:val="clear" w:color="000000" w:fill="DCE6F1"/>
            <w:vAlign w:val="center"/>
            <w:hideMark/>
          </w:tcPr>
          <w:p w14:paraId="7CF4DCE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58CC41F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CAD (100%)</w:t>
            </w:r>
          </w:p>
        </w:tc>
        <w:tc>
          <w:tcPr>
            <w:tcW w:w="555" w:type="pct"/>
            <w:tcBorders>
              <w:top w:val="nil"/>
              <w:left w:val="nil"/>
              <w:bottom w:val="single" w:sz="8" w:space="0" w:color="B8CCE4"/>
              <w:right w:val="single" w:sz="8" w:space="0" w:color="000000"/>
            </w:tcBorders>
            <w:shd w:val="clear" w:color="000000" w:fill="DCE6F1"/>
            <w:vAlign w:val="center"/>
            <w:hideMark/>
          </w:tcPr>
          <w:p w14:paraId="2F0C9BA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Non-inferiority vs </w:t>
            </w:r>
            <w:proofErr w:type="spellStart"/>
            <w:r w:rsidRPr="00412CAB">
              <w:rPr>
                <w:rFonts w:ascii="Times New Roman" w:eastAsia="Times New Roman" w:hAnsi="Times New Roman" w:cs="Times New Roman"/>
                <w:sz w:val="20"/>
                <w:szCs w:val="20"/>
                <w:lang w:val="en" w:eastAsia="en-IN"/>
              </w:rPr>
              <w:t>Xience</w:t>
            </w:r>
            <w:proofErr w:type="spellEnd"/>
            <w:r w:rsidRPr="00412CAB">
              <w:rPr>
                <w:rFonts w:ascii="Times New Roman" w:eastAsia="Times New Roman" w:hAnsi="Times New Roman" w:cs="Times New Roman"/>
                <w:sz w:val="20"/>
                <w:szCs w:val="20"/>
                <w:lang w:val="en" w:eastAsia="en-IN"/>
              </w:rPr>
              <w:t>; 9-month primary endpoint</w:t>
            </w:r>
          </w:p>
        </w:tc>
      </w:tr>
      <w:tr w:rsidR="00412CAB" w:rsidRPr="00412CAB" w14:paraId="611BC69A" w14:textId="77777777" w:rsidTr="00412CAB">
        <w:trPr>
          <w:trHeight w:val="183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6D6B61A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Ploumen 2024</w:t>
            </w:r>
          </w:p>
        </w:tc>
        <w:tc>
          <w:tcPr>
            <w:tcW w:w="224" w:type="pct"/>
            <w:tcBorders>
              <w:top w:val="nil"/>
              <w:left w:val="nil"/>
              <w:bottom w:val="single" w:sz="8" w:space="0" w:color="B8CCE4"/>
              <w:right w:val="single" w:sz="8" w:space="0" w:color="B8CCE4"/>
            </w:tcBorders>
            <w:shd w:val="clear" w:color="000000" w:fill="FFFFFF"/>
            <w:vAlign w:val="center"/>
            <w:hideMark/>
          </w:tcPr>
          <w:p w14:paraId="4B8F5EB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2024</w:t>
            </w:r>
          </w:p>
        </w:tc>
        <w:tc>
          <w:tcPr>
            <w:tcW w:w="395" w:type="pct"/>
            <w:tcBorders>
              <w:top w:val="nil"/>
              <w:left w:val="nil"/>
              <w:bottom w:val="single" w:sz="8" w:space="0" w:color="B8CCE4"/>
              <w:right w:val="single" w:sz="8" w:space="0" w:color="B8CCE4"/>
            </w:tcBorders>
            <w:shd w:val="clear" w:color="000000" w:fill="FFFFFF"/>
            <w:vAlign w:val="center"/>
            <w:hideMark/>
          </w:tcPr>
          <w:p w14:paraId="5631CBA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3,514 (SES 1,169; EES 1,172; ZES 1,173)</w:t>
            </w:r>
          </w:p>
        </w:tc>
        <w:tc>
          <w:tcPr>
            <w:tcW w:w="430" w:type="pct"/>
            <w:tcBorders>
              <w:top w:val="nil"/>
              <w:left w:val="nil"/>
              <w:bottom w:val="single" w:sz="8" w:space="0" w:color="B8CCE4"/>
              <w:right w:val="single" w:sz="8" w:space="0" w:color="B8CCE4"/>
            </w:tcBorders>
            <w:shd w:val="clear" w:color="000000" w:fill="FFFFFF"/>
            <w:vAlign w:val="center"/>
            <w:hideMark/>
          </w:tcPr>
          <w:p w14:paraId="4F5DB2F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All-comer PCI patients</w:t>
            </w:r>
          </w:p>
        </w:tc>
        <w:tc>
          <w:tcPr>
            <w:tcW w:w="282" w:type="pct"/>
            <w:tcBorders>
              <w:top w:val="nil"/>
              <w:left w:val="nil"/>
              <w:bottom w:val="single" w:sz="8" w:space="0" w:color="B8CCE4"/>
              <w:right w:val="single" w:sz="8" w:space="0" w:color="B8CCE4"/>
            </w:tcBorders>
            <w:shd w:val="clear" w:color="000000" w:fill="FFFFFF"/>
            <w:vAlign w:val="center"/>
            <w:hideMark/>
          </w:tcPr>
          <w:p w14:paraId="58A7482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FFFFFF"/>
            <w:vAlign w:val="center"/>
            <w:hideMark/>
          </w:tcPr>
          <w:p w14:paraId="2488EB1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73</w:t>
            </w:r>
          </w:p>
        </w:tc>
        <w:tc>
          <w:tcPr>
            <w:tcW w:w="333" w:type="pct"/>
            <w:tcBorders>
              <w:top w:val="nil"/>
              <w:left w:val="nil"/>
              <w:bottom w:val="single" w:sz="8" w:space="0" w:color="B8CCE4"/>
              <w:right w:val="single" w:sz="8" w:space="0" w:color="B8CCE4"/>
            </w:tcBorders>
            <w:shd w:val="clear" w:color="000000" w:fill="FFFFFF"/>
            <w:vAlign w:val="center"/>
            <w:hideMark/>
          </w:tcPr>
          <w:p w14:paraId="33B0D90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w:t>
            </w:r>
          </w:p>
        </w:tc>
        <w:tc>
          <w:tcPr>
            <w:tcW w:w="481" w:type="pct"/>
            <w:tcBorders>
              <w:top w:val="nil"/>
              <w:left w:val="nil"/>
              <w:bottom w:val="single" w:sz="8" w:space="0" w:color="B8CCE4"/>
              <w:right w:val="single" w:sz="8" w:space="0" w:color="B8CCE4"/>
            </w:tcBorders>
            <w:shd w:val="clear" w:color="000000" w:fill="FFFFFF"/>
            <w:vAlign w:val="center"/>
            <w:hideMark/>
          </w:tcPr>
          <w:p w14:paraId="2281E5E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66</w:t>
            </w:r>
          </w:p>
        </w:tc>
        <w:tc>
          <w:tcPr>
            <w:tcW w:w="582" w:type="pct"/>
            <w:tcBorders>
              <w:top w:val="nil"/>
              <w:left w:val="nil"/>
              <w:bottom w:val="single" w:sz="8" w:space="0" w:color="B8CCE4"/>
              <w:right w:val="single" w:sz="8" w:space="0" w:color="B8CCE4"/>
            </w:tcBorders>
            <w:shd w:val="clear" w:color="000000" w:fill="FFFFFF"/>
            <w:vAlign w:val="center"/>
            <w:hideMark/>
          </w:tcPr>
          <w:p w14:paraId="6C5E00B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321" w:type="pct"/>
            <w:tcBorders>
              <w:top w:val="nil"/>
              <w:left w:val="nil"/>
              <w:bottom w:val="single" w:sz="8" w:space="0" w:color="B8CCE4"/>
              <w:right w:val="single" w:sz="8" w:space="0" w:color="B8CCE4"/>
            </w:tcBorders>
            <w:shd w:val="clear" w:color="000000" w:fill="FFFFFF"/>
            <w:vAlign w:val="center"/>
            <w:hideMark/>
          </w:tcPr>
          <w:p w14:paraId="6D4E945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FFFFFF"/>
            <w:vAlign w:val="center"/>
            <w:hideMark/>
          </w:tcPr>
          <w:p w14:paraId="7A9CE2D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6FB6E58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Mixed</w:t>
            </w:r>
          </w:p>
        </w:tc>
        <w:tc>
          <w:tcPr>
            <w:tcW w:w="555" w:type="pct"/>
            <w:tcBorders>
              <w:top w:val="nil"/>
              <w:left w:val="nil"/>
              <w:bottom w:val="single" w:sz="8" w:space="0" w:color="B8CCE4"/>
              <w:right w:val="single" w:sz="8" w:space="0" w:color="000000"/>
            </w:tcBorders>
            <w:shd w:val="clear" w:color="000000" w:fill="FFFFFF"/>
            <w:vAlign w:val="center"/>
            <w:hideMark/>
          </w:tcPr>
          <w:p w14:paraId="568FAE3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Cost-effectiveness analysis at 3 years</w:t>
            </w:r>
          </w:p>
        </w:tc>
      </w:tr>
      <w:tr w:rsidR="00412CAB" w:rsidRPr="00412CAB" w14:paraId="6C8D2469"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019EF27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Buiten 2020</w:t>
            </w:r>
          </w:p>
        </w:tc>
        <w:tc>
          <w:tcPr>
            <w:tcW w:w="224" w:type="pct"/>
            <w:tcBorders>
              <w:top w:val="nil"/>
              <w:left w:val="nil"/>
              <w:bottom w:val="single" w:sz="8" w:space="0" w:color="B8CCE4"/>
              <w:right w:val="single" w:sz="8" w:space="0" w:color="B8CCE4"/>
            </w:tcBorders>
            <w:shd w:val="clear" w:color="000000" w:fill="DCE6F1"/>
            <w:vAlign w:val="center"/>
            <w:hideMark/>
          </w:tcPr>
          <w:p w14:paraId="49C9788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2020</w:t>
            </w:r>
          </w:p>
        </w:tc>
        <w:tc>
          <w:tcPr>
            <w:tcW w:w="395" w:type="pct"/>
            <w:tcBorders>
              <w:top w:val="nil"/>
              <w:left w:val="nil"/>
              <w:bottom w:val="single" w:sz="8" w:space="0" w:color="B8CCE4"/>
              <w:right w:val="single" w:sz="8" w:space="0" w:color="B8CCE4"/>
            </w:tcBorders>
            <w:shd w:val="clear" w:color="000000" w:fill="DCE6F1"/>
            <w:vAlign w:val="center"/>
            <w:hideMark/>
          </w:tcPr>
          <w:p w14:paraId="5120D79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738 (EES 252; ZES 265; SES 266)</w:t>
            </w:r>
          </w:p>
        </w:tc>
        <w:tc>
          <w:tcPr>
            <w:tcW w:w="430" w:type="pct"/>
            <w:tcBorders>
              <w:top w:val="nil"/>
              <w:left w:val="nil"/>
              <w:bottom w:val="single" w:sz="8" w:space="0" w:color="B8CCE4"/>
              <w:right w:val="single" w:sz="8" w:space="0" w:color="B8CCE4"/>
            </w:tcBorders>
            <w:shd w:val="clear" w:color="000000" w:fill="DCE6F1"/>
            <w:vAlign w:val="center"/>
            <w:hideMark/>
          </w:tcPr>
          <w:p w14:paraId="73FA876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All-comer PCI patients</w:t>
            </w:r>
          </w:p>
        </w:tc>
        <w:tc>
          <w:tcPr>
            <w:tcW w:w="282" w:type="pct"/>
            <w:tcBorders>
              <w:top w:val="nil"/>
              <w:left w:val="nil"/>
              <w:bottom w:val="single" w:sz="8" w:space="0" w:color="B8CCE4"/>
              <w:right w:val="single" w:sz="8" w:space="0" w:color="B8CCE4"/>
            </w:tcBorders>
            <w:shd w:val="clear" w:color="000000" w:fill="DCE6F1"/>
            <w:vAlign w:val="center"/>
            <w:hideMark/>
          </w:tcPr>
          <w:p w14:paraId="6D2A51D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DCE6F1"/>
            <w:vAlign w:val="center"/>
            <w:hideMark/>
          </w:tcPr>
          <w:p w14:paraId="0B91841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73</w:t>
            </w:r>
          </w:p>
        </w:tc>
        <w:tc>
          <w:tcPr>
            <w:tcW w:w="333" w:type="pct"/>
            <w:tcBorders>
              <w:top w:val="nil"/>
              <w:left w:val="nil"/>
              <w:bottom w:val="single" w:sz="8" w:space="0" w:color="B8CCE4"/>
              <w:right w:val="single" w:sz="8" w:space="0" w:color="B8CCE4"/>
            </w:tcBorders>
            <w:shd w:val="clear" w:color="000000" w:fill="DCE6F1"/>
            <w:vAlign w:val="center"/>
            <w:hideMark/>
          </w:tcPr>
          <w:p w14:paraId="68850CA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23</w:t>
            </w:r>
          </w:p>
        </w:tc>
        <w:tc>
          <w:tcPr>
            <w:tcW w:w="481" w:type="pct"/>
            <w:tcBorders>
              <w:top w:val="nil"/>
              <w:left w:val="nil"/>
              <w:bottom w:val="single" w:sz="8" w:space="0" w:color="B8CCE4"/>
              <w:right w:val="single" w:sz="8" w:space="0" w:color="B8CCE4"/>
            </w:tcBorders>
            <w:shd w:val="clear" w:color="000000" w:fill="DCE6F1"/>
            <w:vAlign w:val="center"/>
            <w:hideMark/>
          </w:tcPr>
          <w:p w14:paraId="5342E8D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66</w:t>
            </w:r>
          </w:p>
        </w:tc>
        <w:tc>
          <w:tcPr>
            <w:tcW w:w="582" w:type="pct"/>
            <w:tcBorders>
              <w:top w:val="nil"/>
              <w:left w:val="nil"/>
              <w:bottom w:val="single" w:sz="8" w:space="0" w:color="B8CCE4"/>
              <w:right w:val="single" w:sz="8" w:space="0" w:color="B8CCE4"/>
            </w:tcBorders>
            <w:shd w:val="clear" w:color="000000" w:fill="DCE6F1"/>
            <w:vAlign w:val="center"/>
            <w:hideMark/>
          </w:tcPr>
          <w:p w14:paraId="48EA495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58</w:t>
            </w:r>
          </w:p>
        </w:tc>
        <w:tc>
          <w:tcPr>
            <w:tcW w:w="321" w:type="pct"/>
            <w:tcBorders>
              <w:top w:val="nil"/>
              <w:left w:val="nil"/>
              <w:bottom w:val="single" w:sz="8" w:space="0" w:color="B8CCE4"/>
              <w:right w:val="single" w:sz="8" w:space="0" w:color="B8CCE4"/>
            </w:tcBorders>
            <w:shd w:val="clear" w:color="000000" w:fill="DCE6F1"/>
            <w:vAlign w:val="center"/>
            <w:hideMark/>
          </w:tcPr>
          <w:p w14:paraId="5F0D011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w:t>
            </w:r>
          </w:p>
        </w:tc>
        <w:tc>
          <w:tcPr>
            <w:tcW w:w="236" w:type="pct"/>
            <w:tcBorders>
              <w:top w:val="nil"/>
              <w:left w:val="nil"/>
              <w:bottom w:val="single" w:sz="8" w:space="0" w:color="B8CCE4"/>
              <w:right w:val="single" w:sz="8" w:space="0" w:color="B8CCE4"/>
            </w:tcBorders>
            <w:shd w:val="clear" w:color="000000" w:fill="DCE6F1"/>
            <w:vAlign w:val="center"/>
            <w:hideMark/>
          </w:tcPr>
          <w:p w14:paraId="10EF07A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3D054BA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Mixed (ACS 62%, Stable CAD 38%)</w:t>
            </w:r>
          </w:p>
        </w:tc>
        <w:tc>
          <w:tcPr>
            <w:tcW w:w="555" w:type="pct"/>
            <w:tcBorders>
              <w:top w:val="nil"/>
              <w:left w:val="nil"/>
              <w:bottom w:val="single" w:sz="8" w:space="0" w:color="B8CCE4"/>
              <w:right w:val="single" w:sz="8" w:space="0" w:color="000000"/>
            </w:tcBorders>
            <w:shd w:val="clear" w:color="000000" w:fill="DCE6F1"/>
            <w:vAlign w:val="center"/>
            <w:hideMark/>
          </w:tcPr>
          <w:p w14:paraId="0F3482D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BIO-RESORT; ZES higher TVR</w:t>
            </w:r>
          </w:p>
        </w:tc>
      </w:tr>
      <w:tr w:rsidR="00412CAB" w:rsidRPr="00412CAB" w14:paraId="4D9A58D8" w14:textId="77777777" w:rsidTr="00412CAB">
        <w:trPr>
          <w:trHeight w:val="183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7DBABEF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Smits 2024</w:t>
            </w:r>
          </w:p>
        </w:tc>
        <w:tc>
          <w:tcPr>
            <w:tcW w:w="224" w:type="pct"/>
            <w:tcBorders>
              <w:top w:val="nil"/>
              <w:left w:val="nil"/>
              <w:bottom w:val="single" w:sz="8" w:space="0" w:color="B8CCE4"/>
              <w:right w:val="single" w:sz="8" w:space="0" w:color="B8CCE4"/>
            </w:tcBorders>
            <w:shd w:val="clear" w:color="000000" w:fill="DCE6F1"/>
            <w:vAlign w:val="center"/>
            <w:hideMark/>
          </w:tcPr>
          <w:p w14:paraId="003CD61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2024</w:t>
            </w:r>
          </w:p>
        </w:tc>
        <w:tc>
          <w:tcPr>
            <w:tcW w:w="395" w:type="pct"/>
            <w:tcBorders>
              <w:top w:val="nil"/>
              <w:left w:val="nil"/>
              <w:bottom w:val="single" w:sz="8" w:space="0" w:color="B8CCE4"/>
              <w:right w:val="single" w:sz="8" w:space="0" w:color="B8CCE4"/>
            </w:tcBorders>
            <w:shd w:val="clear" w:color="000000" w:fill="DCE6F1"/>
            <w:vAlign w:val="center"/>
            <w:hideMark/>
          </w:tcPr>
          <w:p w14:paraId="38EDC11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364</w:t>
            </w:r>
          </w:p>
        </w:tc>
        <w:tc>
          <w:tcPr>
            <w:tcW w:w="430" w:type="pct"/>
            <w:tcBorders>
              <w:top w:val="nil"/>
              <w:left w:val="nil"/>
              <w:bottom w:val="single" w:sz="8" w:space="0" w:color="B8CCE4"/>
              <w:right w:val="single" w:sz="8" w:space="0" w:color="B8CCE4"/>
            </w:tcBorders>
            <w:shd w:val="clear" w:color="000000" w:fill="DCE6F1"/>
            <w:vAlign w:val="center"/>
            <w:hideMark/>
          </w:tcPr>
          <w:p w14:paraId="1414701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High bleeding risk (HBR) patients undergoing PCI</w:t>
            </w:r>
          </w:p>
        </w:tc>
        <w:tc>
          <w:tcPr>
            <w:tcW w:w="282" w:type="pct"/>
            <w:tcBorders>
              <w:top w:val="nil"/>
              <w:left w:val="nil"/>
              <w:bottom w:val="single" w:sz="8" w:space="0" w:color="B8CCE4"/>
              <w:right w:val="single" w:sz="8" w:space="0" w:color="B8CCE4"/>
            </w:tcBorders>
            <w:shd w:val="clear" w:color="000000" w:fill="DCE6F1"/>
            <w:vAlign w:val="center"/>
            <w:hideMark/>
          </w:tcPr>
          <w:p w14:paraId="6F1BD13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282" w:type="pct"/>
            <w:tcBorders>
              <w:top w:val="nil"/>
              <w:left w:val="nil"/>
              <w:bottom w:val="single" w:sz="8" w:space="0" w:color="B8CCE4"/>
              <w:right w:val="single" w:sz="8" w:space="0" w:color="B8CCE4"/>
            </w:tcBorders>
            <w:shd w:val="clear" w:color="000000" w:fill="DCE6F1"/>
            <w:vAlign w:val="center"/>
            <w:hideMark/>
          </w:tcPr>
          <w:p w14:paraId="19369FD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67</w:t>
            </w:r>
          </w:p>
        </w:tc>
        <w:tc>
          <w:tcPr>
            <w:tcW w:w="333" w:type="pct"/>
            <w:tcBorders>
              <w:top w:val="nil"/>
              <w:left w:val="nil"/>
              <w:bottom w:val="single" w:sz="8" w:space="0" w:color="B8CCE4"/>
              <w:right w:val="single" w:sz="8" w:space="0" w:color="B8CCE4"/>
            </w:tcBorders>
            <w:shd w:val="clear" w:color="000000" w:fill="DCE6F1"/>
            <w:vAlign w:val="center"/>
            <w:hideMark/>
          </w:tcPr>
          <w:p w14:paraId="5F9F126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38</w:t>
            </w:r>
          </w:p>
        </w:tc>
        <w:tc>
          <w:tcPr>
            <w:tcW w:w="481" w:type="pct"/>
            <w:tcBorders>
              <w:top w:val="nil"/>
              <w:left w:val="nil"/>
              <w:bottom w:val="single" w:sz="8" w:space="0" w:color="B8CCE4"/>
              <w:right w:val="single" w:sz="8" w:space="0" w:color="B8CCE4"/>
            </w:tcBorders>
            <w:shd w:val="clear" w:color="000000" w:fill="DCE6F1"/>
            <w:vAlign w:val="center"/>
            <w:hideMark/>
          </w:tcPr>
          <w:p w14:paraId="74912F8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82</w:t>
            </w:r>
          </w:p>
        </w:tc>
        <w:tc>
          <w:tcPr>
            <w:tcW w:w="582" w:type="pct"/>
            <w:tcBorders>
              <w:top w:val="nil"/>
              <w:left w:val="nil"/>
              <w:bottom w:val="single" w:sz="8" w:space="0" w:color="B8CCE4"/>
              <w:right w:val="single" w:sz="8" w:space="0" w:color="B8CCE4"/>
            </w:tcBorders>
            <w:shd w:val="clear" w:color="000000" w:fill="DCE6F1"/>
            <w:vAlign w:val="center"/>
            <w:hideMark/>
          </w:tcPr>
          <w:p w14:paraId="00D9973B"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321" w:type="pct"/>
            <w:tcBorders>
              <w:top w:val="nil"/>
              <w:left w:val="nil"/>
              <w:bottom w:val="single" w:sz="8" w:space="0" w:color="B8CCE4"/>
              <w:right w:val="single" w:sz="8" w:space="0" w:color="B8CCE4"/>
            </w:tcBorders>
            <w:shd w:val="clear" w:color="000000" w:fill="DCE6F1"/>
            <w:vAlign w:val="center"/>
            <w:hideMark/>
          </w:tcPr>
          <w:p w14:paraId="368B5AA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w:t>
            </w:r>
          </w:p>
        </w:tc>
        <w:tc>
          <w:tcPr>
            <w:tcW w:w="236" w:type="pct"/>
            <w:tcBorders>
              <w:top w:val="nil"/>
              <w:left w:val="nil"/>
              <w:bottom w:val="single" w:sz="8" w:space="0" w:color="B8CCE4"/>
              <w:right w:val="single" w:sz="8" w:space="0" w:color="B8CCE4"/>
            </w:tcBorders>
            <w:shd w:val="clear" w:color="000000" w:fill="DCE6F1"/>
            <w:vAlign w:val="center"/>
            <w:hideMark/>
          </w:tcPr>
          <w:p w14:paraId="1B2240B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w:t>
            </w:r>
          </w:p>
        </w:tc>
        <w:tc>
          <w:tcPr>
            <w:tcW w:w="454" w:type="pct"/>
            <w:tcBorders>
              <w:top w:val="nil"/>
              <w:left w:val="nil"/>
              <w:bottom w:val="single" w:sz="8" w:space="0" w:color="B8CCE4"/>
              <w:right w:val="single" w:sz="8" w:space="0" w:color="B8CCE4"/>
            </w:tcBorders>
            <w:shd w:val="clear" w:color="000000" w:fill="DCE6F1"/>
            <w:vAlign w:val="center"/>
            <w:hideMark/>
          </w:tcPr>
          <w:p w14:paraId="0C1995A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 stable CAD, 30% ACS</w:t>
            </w:r>
          </w:p>
        </w:tc>
        <w:tc>
          <w:tcPr>
            <w:tcW w:w="555" w:type="pct"/>
            <w:tcBorders>
              <w:top w:val="nil"/>
              <w:left w:val="nil"/>
              <w:bottom w:val="single" w:sz="8" w:space="0" w:color="B8CCE4"/>
              <w:right w:val="single" w:sz="8" w:space="0" w:color="000000"/>
            </w:tcBorders>
            <w:shd w:val="clear" w:color="000000" w:fill="DCE6F1"/>
            <w:vAlign w:val="center"/>
            <w:hideMark/>
          </w:tcPr>
          <w:p w14:paraId="4C900EF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HBR; very short DAPT (median 30 days)</w:t>
            </w:r>
          </w:p>
        </w:tc>
      </w:tr>
      <w:tr w:rsidR="00412CAB" w:rsidRPr="00412CAB" w14:paraId="6E5BF8AF" w14:textId="77777777" w:rsidTr="00412CAB">
        <w:trPr>
          <w:trHeight w:val="105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354F24C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Saito 2014</w:t>
            </w:r>
          </w:p>
        </w:tc>
        <w:tc>
          <w:tcPr>
            <w:tcW w:w="224" w:type="pct"/>
            <w:tcBorders>
              <w:top w:val="nil"/>
              <w:left w:val="nil"/>
              <w:bottom w:val="single" w:sz="8" w:space="0" w:color="B8CCE4"/>
              <w:right w:val="single" w:sz="8" w:space="0" w:color="B8CCE4"/>
            </w:tcBorders>
            <w:shd w:val="clear" w:color="000000" w:fill="FFFFFF"/>
            <w:vAlign w:val="center"/>
            <w:hideMark/>
          </w:tcPr>
          <w:p w14:paraId="38426C4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2014</w:t>
            </w:r>
          </w:p>
        </w:tc>
        <w:tc>
          <w:tcPr>
            <w:tcW w:w="395" w:type="pct"/>
            <w:tcBorders>
              <w:top w:val="nil"/>
              <w:left w:val="nil"/>
              <w:bottom w:val="single" w:sz="8" w:space="0" w:color="B8CCE4"/>
              <w:right w:val="single" w:sz="8" w:space="0" w:color="B8CCE4"/>
            </w:tcBorders>
            <w:shd w:val="clear" w:color="000000" w:fill="FFFFFF"/>
            <w:vAlign w:val="center"/>
            <w:hideMark/>
          </w:tcPr>
          <w:p w14:paraId="67411AB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551</w:t>
            </w:r>
          </w:p>
        </w:tc>
        <w:tc>
          <w:tcPr>
            <w:tcW w:w="430" w:type="pct"/>
            <w:tcBorders>
              <w:top w:val="nil"/>
              <w:left w:val="nil"/>
              <w:bottom w:val="single" w:sz="8" w:space="0" w:color="B8CCE4"/>
              <w:right w:val="single" w:sz="8" w:space="0" w:color="B8CCE4"/>
            </w:tcBorders>
            <w:shd w:val="clear" w:color="000000" w:fill="FFFFFF"/>
            <w:vAlign w:val="center"/>
            <w:hideMark/>
          </w:tcPr>
          <w:p w14:paraId="47ABA5E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CAD patients undergoing PCI</w:t>
            </w:r>
          </w:p>
        </w:tc>
        <w:tc>
          <w:tcPr>
            <w:tcW w:w="282" w:type="pct"/>
            <w:tcBorders>
              <w:top w:val="nil"/>
              <w:left w:val="nil"/>
              <w:bottom w:val="single" w:sz="8" w:space="0" w:color="B8CCE4"/>
              <w:right w:val="single" w:sz="8" w:space="0" w:color="B8CCE4"/>
            </w:tcBorders>
            <w:shd w:val="clear" w:color="000000" w:fill="FFFFFF"/>
            <w:vAlign w:val="center"/>
            <w:hideMark/>
          </w:tcPr>
          <w:p w14:paraId="1F08F95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282" w:type="pct"/>
            <w:tcBorders>
              <w:top w:val="nil"/>
              <w:left w:val="nil"/>
              <w:bottom w:val="single" w:sz="8" w:space="0" w:color="B8CCE4"/>
              <w:right w:val="single" w:sz="8" w:space="0" w:color="B8CCE4"/>
            </w:tcBorders>
            <w:shd w:val="clear" w:color="000000" w:fill="FFFFFF"/>
            <w:vAlign w:val="center"/>
            <w:hideMark/>
          </w:tcPr>
          <w:p w14:paraId="3653728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79</w:t>
            </w:r>
          </w:p>
        </w:tc>
        <w:tc>
          <w:tcPr>
            <w:tcW w:w="333" w:type="pct"/>
            <w:tcBorders>
              <w:top w:val="nil"/>
              <w:left w:val="nil"/>
              <w:bottom w:val="single" w:sz="8" w:space="0" w:color="B8CCE4"/>
              <w:right w:val="single" w:sz="8" w:space="0" w:color="B8CCE4"/>
            </w:tcBorders>
            <w:shd w:val="clear" w:color="000000" w:fill="FFFFFF"/>
            <w:vAlign w:val="center"/>
            <w:hideMark/>
          </w:tcPr>
          <w:p w14:paraId="3A5E582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27</w:t>
            </w:r>
          </w:p>
        </w:tc>
        <w:tc>
          <w:tcPr>
            <w:tcW w:w="481" w:type="pct"/>
            <w:tcBorders>
              <w:top w:val="nil"/>
              <w:left w:val="nil"/>
              <w:bottom w:val="single" w:sz="8" w:space="0" w:color="B8CCE4"/>
              <w:right w:val="single" w:sz="8" w:space="0" w:color="B8CCE4"/>
            </w:tcBorders>
            <w:shd w:val="clear" w:color="000000" w:fill="FFFFFF"/>
            <w:vAlign w:val="center"/>
            <w:hideMark/>
          </w:tcPr>
          <w:p w14:paraId="50697EB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67</w:t>
            </w:r>
          </w:p>
        </w:tc>
        <w:tc>
          <w:tcPr>
            <w:tcW w:w="582" w:type="pct"/>
            <w:tcBorders>
              <w:top w:val="nil"/>
              <w:left w:val="nil"/>
              <w:bottom w:val="single" w:sz="8" w:space="0" w:color="B8CCE4"/>
              <w:right w:val="single" w:sz="8" w:space="0" w:color="B8CCE4"/>
            </w:tcBorders>
            <w:shd w:val="clear" w:color="000000" w:fill="FFFFFF"/>
            <w:vAlign w:val="center"/>
            <w:hideMark/>
          </w:tcPr>
          <w:p w14:paraId="7A2F913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321" w:type="pct"/>
            <w:tcBorders>
              <w:top w:val="nil"/>
              <w:left w:val="nil"/>
              <w:bottom w:val="single" w:sz="8" w:space="0" w:color="B8CCE4"/>
              <w:right w:val="single" w:sz="8" w:space="0" w:color="B8CCE4"/>
            </w:tcBorders>
            <w:shd w:val="clear" w:color="000000" w:fill="FFFFFF"/>
            <w:vAlign w:val="center"/>
            <w:hideMark/>
          </w:tcPr>
          <w:p w14:paraId="0DE3D20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18</w:t>
            </w:r>
          </w:p>
        </w:tc>
        <w:tc>
          <w:tcPr>
            <w:tcW w:w="236" w:type="pct"/>
            <w:tcBorders>
              <w:top w:val="nil"/>
              <w:left w:val="nil"/>
              <w:bottom w:val="single" w:sz="8" w:space="0" w:color="B8CCE4"/>
              <w:right w:val="single" w:sz="8" w:space="0" w:color="B8CCE4"/>
            </w:tcBorders>
            <w:shd w:val="clear" w:color="000000" w:fill="FFFFFF"/>
            <w:vAlign w:val="center"/>
            <w:hideMark/>
          </w:tcPr>
          <w:p w14:paraId="77FD8D4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11%</w:t>
            </w:r>
          </w:p>
        </w:tc>
        <w:tc>
          <w:tcPr>
            <w:tcW w:w="454" w:type="pct"/>
            <w:tcBorders>
              <w:top w:val="nil"/>
              <w:left w:val="nil"/>
              <w:bottom w:val="single" w:sz="8" w:space="0" w:color="B8CCE4"/>
              <w:right w:val="single" w:sz="8" w:space="0" w:color="B8CCE4"/>
            </w:tcBorders>
            <w:shd w:val="clear" w:color="000000" w:fill="FFFFFF"/>
            <w:vAlign w:val="center"/>
            <w:hideMark/>
          </w:tcPr>
          <w:p w14:paraId="552250E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36%, stable CAD 64%</w:t>
            </w:r>
          </w:p>
        </w:tc>
        <w:tc>
          <w:tcPr>
            <w:tcW w:w="555" w:type="pct"/>
            <w:tcBorders>
              <w:top w:val="nil"/>
              <w:left w:val="nil"/>
              <w:bottom w:val="single" w:sz="8" w:space="0" w:color="B8CCE4"/>
              <w:right w:val="single" w:sz="8" w:space="0" w:color="000000"/>
            </w:tcBorders>
            <w:shd w:val="clear" w:color="000000" w:fill="FFFFFF"/>
            <w:vAlign w:val="center"/>
            <w:hideMark/>
          </w:tcPr>
          <w:p w14:paraId="2086CC65"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Pivotal </w:t>
            </w:r>
            <w:proofErr w:type="spellStart"/>
            <w:r w:rsidRPr="00412CAB">
              <w:rPr>
                <w:rFonts w:ascii="Times New Roman" w:eastAsia="Times New Roman" w:hAnsi="Times New Roman" w:cs="Times New Roman"/>
                <w:sz w:val="20"/>
                <w:szCs w:val="20"/>
                <w:lang w:val="en" w:eastAsia="en-IN"/>
              </w:rPr>
              <w:t>Ultimaster</w:t>
            </w:r>
            <w:proofErr w:type="spellEnd"/>
            <w:r w:rsidRPr="00412CAB">
              <w:rPr>
                <w:rFonts w:ascii="Times New Roman" w:eastAsia="Times New Roman" w:hAnsi="Times New Roman" w:cs="Times New Roman"/>
                <w:sz w:val="20"/>
                <w:szCs w:val="20"/>
                <w:lang w:val="en" w:eastAsia="en-IN"/>
              </w:rPr>
              <w:t xml:space="preserve"> trial</w:t>
            </w:r>
          </w:p>
        </w:tc>
      </w:tr>
      <w:tr w:rsidR="00412CAB" w:rsidRPr="00412CAB" w14:paraId="0533F5D7" w14:textId="77777777" w:rsidTr="00412CAB">
        <w:trPr>
          <w:trHeight w:val="157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5960420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lastRenderedPageBreak/>
              <w:t>Ishida 2024</w:t>
            </w:r>
          </w:p>
        </w:tc>
        <w:tc>
          <w:tcPr>
            <w:tcW w:w="224" w:type="pct"/>
            <w:tcBorders>
              <w:top w:val="nil"/>
              <w:left w:val="nil"/>
              <w:bottom w:val="single" w:sz="8" w:space="0" w:color="B8CCE4"/>
              <w:right w:val="single" w:sz="8" w:space="0" w:color="B8CCE4"/>
            </w:tcBorders>
            <w:shd w:val="clear" w:color="000000" w:fill="DCE6F1"/>
            <w:vAlign w:val="center"/>
            <w:hideMark/>
          </w:tcPr>
          <w:p w14:paraId="5CD26C3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2024</w:t>
            </w:r>
          </w:p>
        </w:tc>
        <w:tc>
          <w:tcPr>
            <w:tcW w:w="395" w:type="pct"/>
            <w:tcBorders>
              <w:top w:val="nil"/>
              <w:left w:val="nil"/>
              <w:bottom w:val="single" w:sz="8" w:space="0" w:color="B8CCE4"/>
              <w:right w:val="single" w:sz="8" w:space="0" w:color="B8CCE4"/>
            </w:tcBorders>
            <w:shd w:val="clear" w:color="000000" w:fill="DCE6F1"/>
            <w:vAlign w:val="center"/>
            <w:hideMark/>
          </w:tcPr>
          <w:p w14:paraId="0F8DAFF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1,202</w:t>
            </w:r>
          </w:p>
        </w:tc>
        <w:tc>
          <w:tcPr>
            <w:tcW w:w="430" w:type="pct"/>
            <w:tcBorders>
              <w:top w:val="nil"/>
              <w:left w:val="nil"/>
              <w:bottom w:val="single" w:sz="8" w:space="0" w:color="B8CCE4"/>
              <w:right w:val="single" w:sz="8" w:space="0" w:color="B8CCE4"/>
            </w:tcBorders>
            <w:shd w:val="clear" w:color="000000" w:fill="DCE6F1"/>
            <w:vAlign w:val="center"/>
            <w:hideMark/>
          </w:tcPr>
          <w:p w14:paraId="49A3EBC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Japanese patients undergoing PCI with BP-DES</w:t>
            </w:r>
          </w:p>
        </w:tc>
        <w:tc>
          <w:tcPr>
            <w:tcW w:w="282" w:type="pct"/>
            <w:tcBorders>
              <w:top w:val="nil"/>
              <w:left w:val="nil"/>
              <w:bottom w:val="single" w:sz="8" w:space="0" w:color="B8CCE4"/>
              <w:right w:val="single" w:sz="8" w:space="0" w:color="B8CCE4"/>
            </w:tcBorders>
            <w:shd w:val="clear" w:color="000000" w:fill="DCE6F1"/>
            <w:vAlign w:val="center"/>
            <w:hideMark/>
          </w:tcPr>
          <w:p w14:paraId="3099C7E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71</w:t>
            </w:r>
          </w:p>
        </w:tc>
        <w:tc>
          <w:tcPr>
            <w:tcW w:w="282" w:type="pct"/>
            <w:tcBorders>
              <w:top w:val="nil"/>
              <w:left w:val="nil"/>
              <w:bottom w:val="single" w:sz="8" w:space="0" w:color="B8CCE4"/>
              <w:right w:val="single" w:sz="8" w:space="0" w:color="B8CCE4"/>
            </w:tcBorders>
            <w:shd w:val="clear" w:color="000000" w:fill="DCE6F1"/>
            <w:vAlign w:val="center"/>
            <w:hideMark/>
          </w:tcPr>
          <w:p w14:paraId="1695C34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75</w:t>
            </w:r>
          </w:p>
        </w:tc>
        <w:tc>
          <w:tcPr>
            <w:tcW w:w="333" w:type="pct"/>
            <w:tcBorders>
              <w:top w:val="nil"/>
              <w:left w:val="nil"/>
              <w:bottom w:val="single" w:sz="8" w:space="0" w:color="B8CCE4"/>
              <w:right w:val="single" w:sz="8" w:space="0" w:color="B8CCE4"/>
            </w:tcBorders>
            <w:shd w:val="clear" w:color="000000" w:fill="DCE6F1"/>
            <w:vAlign w:val="center"/>
            <w:hideMark/>
          </w:tcPr>
          <w:p w14:paraId="0A70572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38</w:t>
            </w:r>
          </w:p>
        </w:tc>
        <w:tc>
          <w:tcPr>
            <w:tcW w:w="481" w:type="pct"/>
            <w:tcBorders>
              <w:top w:val="nil"/>
              <w:left w:val="nil"/>
              <w:bottom w:val="single" w:sz="8" w:space="0" w:color="B8CCE4"/>
              <w:right w:val="single" w:sz="8" w:space="0" w:color="B8CCE4"/>
            </w:tcBorders>
            <w:shd w:val="clear" w:color="000000" w:fill="DCE6F1"/>
            <w:vAlign w:val="center"/>
            <w:hideMark/>
          </w:tcPr>
          <w:p w14:paraId="12CC3209"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76</w:t>
            </w:r>
          </w:p>
        </w:tc>
        <w:tc>
          <w:tcPr>
            <w:tcW w:w="582" w:type="pct"/>
            <w:tcBorders>
              <w:top w:val="nil"/>
              <w:left w:val="nil"/>
              <w:bottom w:val="single" w:sz="8" w:space="0" w:color="B8CCE4"/>
              <w:right w:val="single" w:sz="8" w:space="0" w:color="B8CCE4"/>
            </w:tcBorders>
            <w:shd w:val="clear" w:color="000000" w:fill="DCE6F1"/>
            <w:vAlign w:val="center"/>
            <w:hideMark/>
          </w:tcPr>
          <w:p w14:paraId="3EA845F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321" w:type="pct"/>
            <w:tcBorders>
              <w:top w:val="nil"/>
              <w:left w:val="nil"/>
              <w:bottom w:val="single" w:sz="8" w:space="0" w:color="B8CCE4"/>
              <w:right w:val="single" w:sz="8" w:space="0" w:color="B8CCE4"/>
            </w:tcBorders>
            <w:shd w:val="clear" w:color="000000" w:fill="DCE6F1"/>
            <w:vAlign w:val="center"/>
            <w:hideMark/>
          </w:tcPr>
          <w:p w14:paraId="589094C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15</w:t>
            </w:r>
          </w:p>
        </w:tc>
        <w:tc>
          <w:tcPr>
            <w:tcW w:w="236" w:type="pct"/>
            <w:tcBorders>
              <w:top w:val="nil"/>
              <w:left w:val="nil"/>
              <w:bottom w:val="single" w:sz="8" w:space="0" w:color="B8CCE4"/>
              <w:right w:val="single" w:sz="8" w:space="0" w:color="B8CCE4"/>
            </w:tcBorders>
            <w:shd w:val="clear" w:color="000000" w:fill="DCE6F1"/>
            <w:vAlign w:val="center"/>
            <w:hideMark/>
          </w:tcPr>
          <w:p w14:paraId="3DA983A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16%</w:t>
            </w:r>
          </w:p>
        </w:tc>
        <w:tc>
          <w:tcPr>
            <w:tcW w:w="454" w:type="pct"/>
            <w:tcBorders>
              <w:top w:val="nil"/>
              <w:left w:val="nil"/>
              <w:bottom w:val="single" w:sz="8" w:space="0" w:color="B8CCE4"/>
              <w:right w:val="single" w:sz="8" w:space="0" w:color="B8CCE4"/>
            </w:tcBorders>
            <w:shd w:val="clear" w:color="000000" w:fill="DCE6F1"/>
            <w:vAlign w:val="center"/>
            <w:hideMark/>
          </w:tcPr>
          <w:p w14:paraId="2B2C1E7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43% ACS, 57% CCS</w:t>
            </w:r>
          </w:p>
        </w:tc>
        <w:tc>
          <w:tcPr>
            <w:tcW w:w="555" w:type="pct"/>
            <w:tcBorders>
              <w:top w:val="nil"/>
              <w:left w:val="nil"/>
              <w:bottom w:val="single" w:sz="8" w:space="0" w:color="B8CCE4"/>
              <w:right w:val="single" w:sz="8" w:space="0" w:color="000000"/>
            </w:tcBorders>
            <w:shd w:val="clear" w:color="000000" w:fill="DCE6F1"/>
            <w:vAlign w:val="center"/>
            <w:hideMark/>
          </w:tcPr>
          <w:p w14:paraId="569AA18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Real-world Japanese registry; ultra-short DAPT</w:t>
            </w:r>
          </w:p>
        </w:tc>
      </w:tr>
      <w:tr w:rsidR="00412CAB" w:rsidRPr="00412CAB" w14:paraId="1BA01B20" w14:textId="77777777" w:rsidTr="00412CAB">
        <w:trPr>
          <w:trHeight w:val="209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356AF04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Iñiguez 2020</w:t>
            </w:r>
          </w:p>
        </w:tc>
        <w:tc>
          <w:tcPr>
            <w:tcW w:w="224" w:type="pct"/>
            <w:tcBorders>
              <w:top w:val="nil"/>
              <w:left w:val="nil"/>
              <w:bottom w:val="single" w:sz="8" w:space="0" w:color="B8CCE4"/>
              <w:right w:val="single" w:sz="8" w:space="0" w:color="B8CCE4"/>
            </w:tcBorders>
            <w:shd w:val="clear" w:color="000000" w:fill="FFFFFF"/>
            <w:vAlign w:val="center"/>
            <w:hideMark/>
          </w:tcPr>
          <w:p w14:paraId="628FBB76"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2020</w:t>
            </w:r>
          </w:p>
        </w:tc>
        <w:tc>
          <w:tcPr>
            <w:tcW w:w="395" w:type="pct"/>
            <w:tcBorders>
              <w:top w:val="nil"/>
              <w:left w:val="nil"/>
              <w:bottom w:val="single" w:sz="8" w:space="0" w:color="B8CCE4"/>
              <w:right w:val="single" w:sz="8" w:space="0" w:color="B8CCE4"/>
            </w:tcBorders>
            <w:shd w:val="clear" w:color="000000" w:fill="FFFFFF"/>
            <w:vAlign w:val="center"/>
            <w:hideMark/>
          </w:tcPr>
          <w:p w14:paraId="3F17938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225</w:t>
            </w:r>
          </w:p>
        </w:tc>
        <w:tc>
          <w:tcPr>
            <w:tcW w:w="430" w:type="pct"/>
            <w:tcBorders>
              <w:top w:val="nil"/>
              <w:left w:val="nil"/>
              <w:bottom w:val="single" w:sz="8" w:space="0" w:color="B8CCE4"/>
              <w:right w:val="single" w:sz="8" w:space="0" w:color="B8CCE4"/>
            </w:tcBorders>
            <w:shd w:val="clear" w:color="000000" w:fill="FFFFFF"/>
            <w:vAlign w:val="center"/>
            <w:hideMark/>
          </w:tcPr>
          <w:p w14:paraId="06829C7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Multivessel CAD patients undergoing PCI</w:t>
            </w:r>
          </w:p>
        </w:tc>
        <w:tc>
          <w:tcPr>
            <w:tcW w:w="282" w:type="pct"/>
            <w:tcBorders>
              <w:top w:val="nil"/>
              <w:left w:val="nil"/>
              <w:bottom w:val="single" w:sz="8" w:space="0" w:color="B8CCE4"/>
              <w:right w:val="single" w:sz="8" w:space="0" w:color="B8CCE4"/>
            </w:tcBorders>
            <w:shd w:val="clear" w:color="000000" w:fill="FFFFFF"/>
            <w:vAlign w:val="center"/>
            <w:hideMark/>
          </w:tcPr>
          <w:p w14:paraId="5BB8A06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FFFFFF"/>
            <w:vAlign w:val="center"/>
            <w:hideMark/>
          </w:tcPr>
          <w:p w14:paraId="54EF355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75</w:t>
            </w:r>
          </w:p>
        </w:tc>
        <w:tc>
          <w:tcPr>
            <w:tcW w:w="333" w:type="pct"/>
            <w:tcBorders>
              <w:top w:val="nil"/>
              <w:left w:val="nil"/>
              <w:bottom w:val="single" w:sz="8" w:space="0" w:color="B8CCE4"/>
              <w:right w:val="single" w:sz="8" w:space="0" w:color="B8CCE4"/>
            </w:tcBorders>
            <w:shd w:val="clear" w:color="000000" w:fill="FFFFFF"/>
            <w:vAlign w:val="center"/>
            <w:hideMark/>
          </w:tcPr>
          <w:p w14:paraId="77DEFA5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25</w:t>
            </w:r>
          </w:p>
        </w:tc>
        <w:tc>
          <w:tcPr>
            <w:tcW w:w="481" w:type="pct"/>
            <w:tcBorders>
              <w:top w:val="nil"/>
              <w:left w:val="nil"/>
              <w:bottom w:val="single" w:sz="8" w:space="0" w:color="B8CCE4"/>
              <w:right w:val="single" w:sz="8" w:space="0" w:color="B8CCE4"/>
            </w:tcBorders>
            <w:shd w:val="clear" w:color="000000" w:fill="FFFFFF"/>
            <w:vAlign w:val="center"/>
            <w:hideMark/>
          </w:tcPr>
          <w:p w14:paraId="4037A9D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70</w:t>
            </w:r>
          </w:p>
        </w:tc>
        <w:tc>
          <w:tcPr>
            <w:tcW w:w="582" w:type="pct"/>
            <w:tcBorders>
              <w:top w:val="nil"/>
              <w:left w:val="nil"/>
              <w:bottom w:val="single" w:sz="8" w:space="0" w:color="B8CCE4"/>
              <w:right w:val="single" w:sz="8" w:space="0" w:color="B8CCE4"/>
            </w:tcBorders>
            <w:shd w:val="clear" w:color="000000" w:fill="FFFFFF"/>
            <w:vAlign w:val="center"/>
            <w:hideMark/>
          </w:tcPr>
          <w:p w14:paraId="327C424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60</w:t>
            </w:r>
          </w:p>
        </w:tc>
        <w:tc>
          <w:tcPr>
            <w:tcW w:w="321" w:type="pct"/>
            <w:tcBorders>
              <w:top w:val="nil"/>
              <w:left w:val="nil"/>
              <w:bottom w:val="single" w:sz="8" w:space="0" w:color="B8CCE4"/>
              <w:right w:val="single" w:sz="8" w:space="0" w:color="B8CCE4"/>
            </w:tcBorders>
            <w:shd w:val="clear" w:color="000000" w:fill="FFFFFF"/>
            <w:vAlign w:val="center"/>
            <w:hideMark/>
          </w:tcPr>
          <w:p w14:paraId="6408549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19</w:t>
            </w:r>
          </w:p>
        </w:tc>
        <w:tc>
          <w:tcPr>
            <w:tcW w:w="236" w:type="pct"/>
            <w:tcBorders>
              <w:top w:val="nil"/>
              <w:left w:val="nil"/>
              <w:bottom w:val="single" w:sz="8" w:space="0" w:color="B8CCE4"/>
              <w:right w:val="single" w:sz="8" w:space="0" w:color="B8CCE4"/>
            </w:tcBorders>
            <w:shd w:val="clear" w:color="000000" w:fill="FFFFFF"/>
            <w:vAlign w:val="center"/>
            <w:hideMark/>
          </w:tcPr>
          <w:p w14:paraId="2EA2362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w:t>
            </w:r>
          </w:p>
        </w:tc>
        <w:tc>
          <w:tcPr>
            <w:tcW w:w="454" w:type="pct"/>
            <w:tcBorders>
              <w:top w:val="nil"/>
              <w:left w:val="nil"/>
              <w:bottom w:val="single" w:sz="8" w:space="0" w:color="B8CCE4"/>
              <w:right w:val="single" w:sz="8" w:space="0" w:color="B8CCE4"/>
            </w:tcBorders>
            <w:shd w:val="clear" w:color="000000" w:fill="FFFFFF"/>
            <w:vAlign w:val="center"/>
            <w:hideMark/>
          </w:tcPr>
          <w:p w14:paraId="2003E4A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48.9%, UA 12.0%, STEMI 4.9%, NSTEMI 17.8%</w:t>
            </w:r>
          </w:p>
        </w:tc>
        <w:tc>
          <w:tcPr>
            <w:tcW w:w="555" w:type="pct"/>
            <w:tcBorders>
              <w:top w:val="nil"/>
              <w:left w:val="nil"/>
              <w:bottom w:val="single" w:sz="8" w:space="0" w:color="B8CCE4"/>
              <w:right w:val="single" w:sz="8" w:space="0" w:color="000000"/>
            </w:tcBorders>
            <w:shd w:val="clear" w:color="000000" w:fill="FFFFFF"/>
            <w:vAlign w:val="center"/>
            <w:hideMark/>
          </w:tcPr>
          <w:p w14:paraId="506707B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Multivessel disease; 1-year and 5-year data</w:t>
            </w:r>
          </w:p>
        </w:tc>
      </w:tr>
      <w:tr w:rsidR="00412CAB" w:rsidRPr="00412CAB" w14:paraId="72EF17A9" w14:textId="77777777" w:rsidTr="00412CAB">
        <w:trPr>
          <w:trHeight w:val="209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683D691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Lesiak 2016</w:t>
            </w:r>
          </w:p>
        </w:tc>
        <w:tc>
          <w:tcPr>
            <w:tcW w:w="224" w:type="pct"/>
            <w:tcBorders>
              <w:top w:val="nil"/>
              <w:left w:val="nil"/>
              <w:bottom w:val="single" w:sz="8" w:space="0" w:color="B8CCE4"/>
              <w:right w:val="single" w:sz="8" w:space="0" w:color="B8CCE4"/>
            </w:tcBorders>
            <w:shd w:val="clear" w:color="000000" w:fill="DCE6F1"/>
            <w:vAlign w:val="center"/>
            <w:hideMark/>
          </w:tcPr>
          <w:p w14:paraId="16F4DE9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2016</w:t>
            </w:r>
          </w:p>
        </w:tc>
        <w:tc>
          <w:tcPr>
            <w:tcW w:w="395" w:type="pct"/>
            <w:tcBorders>
              <w:top w:val="nil"/>
              <w:left w:val="nil"/>
              <w:bottom w:val="single" w:sz="8" w:space="0" w:color="B8CCE4"/>
              <w:right w:val="single" w:sz="8" w:space="0" w:color="B8CCE4"/>
            </w:tcBorders>
            <w:shd w:val="clear" w:color="000000" w:fill="DCE6F1"/>
            <w:vAlign w:val="center"/>
            <w:hideMark/>
          </w:tcPr>
          <w:p w14:paraId="4B0AF9E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101</w:t>
            </w:r>
          </w:p>
        </w:tc>
        <w:tc>
          <w:tcPr>
            <w:tcW w:w="430" w:type="pct"/>
            <w:tcBorders>
              <w:top w:val="nil"/>
              <w:left w:val="nil"/>
              <w:bottom w:val="single" w:sz="8" w:space="0" w:color="B8CCE4"/>
              <w:right w:val="single" w:sz="8" w:space="0" w:color="B8CCE4"/>
            </w:tcBorders>
            <w:shd w:val="clear" w:color="000000" w:fill="DCE6F1"/>
            <w:vAlign w:val="center"/>
            <w:hideMark/>
          </w:tcPr>
          <w:p w14:paraId="7F22DB1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Patients with long coronary lesions</w:t>
            </w:r>
          </w:p>
        </w:tc>
        <w:tc>
          <w:tcPr>
            <w:tcW w:w="282" w:type="pct"/>
            <w:tcBorders>
              <w:top w:val="nil"/>
              <w:left w:val="nil"/>
              <w:bottom w:val="single" w:sz="8" w:space="0" w:color="B8CCE4"/>
              <w:right w:val="single" w:sz="8" w:space="0" w:color="B8CCE4"/>
            </w:tcBorders>
            <w:shd w:val="clear" w:color="000000" w:fill="DCE6F1"/>
            <w:vAlign w:val="center"/>
            <w:hideMark/>
          </w:tcPr>
          <w:p w14:paraId="773C64C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64</w:t>
            </w:r>
          </w:p>
        </w:tc>
        <w:tc>
          <w:tcPr>
            <w:tcW w:w="282" w:type="pct"/>
            <w:tcBorders>
              <w:top w:val="nil"/>
              <w:left w:val="nil"/>
              <w:bottom w:val="single" w:sz="8" w:space="0" w:color="B8CCE4"/>
              <w:right w:val="single" w:sz="8" w:space="0" w:color="B8CCE4"/>
            </w:tcBorders>
            <w:shd w:val="clear" w:color="000000" w:fill="DCE6F1"/>
            <w:vAlign w:val="center"/>
            <w:hideMark/>
          </w:tcPr>
          <w:p w14:paraId="62F2717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77</w:t>
            </w:r>
          </w:p>
        </w:tc>
        <w:tc>
          <w:tcPr>
            <w:tcW w:w="333" w:type="pct"/>
            <w:tcBorders>
              <w:top w:val="nil"/>
              <w:left w:val="nil"/>
              <w:bottom w:val="single" w:sz="8" w:space="0" w:color="B8CCE4"/>
              <w:right w:val="single" w:sz="8" w:space="0" w:color="B8CCE4"/>
            </w:tcBorders>
            <w:shd w:val="clear" w:color="000000" w:fill="DCE6F1"/>
            <w:vAlign w:val="center"/>
            <w:hideMark/>
          </w:tcPr>
          <w:p w14:paraId="09F7E05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26</w:t>
            </w:r>
          </w:p>
        </w:tc>
        <w:tc>
          <w:tcPr>
            <w:tcW w:w="481" w:type="pct"/>
            <w:tcBorders>
              <w:top w:val="nil"/>
              <w:left w:val="nil"/>
              <w:bottom w:val="single" w:sz="8" w:space="0" w:color="B8CCE4"/>
              <w:right w:val="single" w:sz="8" w:space="0" w:color="B8CCE4"/>
            </w:tcBorders>
            <w:shd w:val="clear" w:color="000000" w:fill="DCE6F1"/>
            <w:vAlign w:val="center"/>
            <w:hideMark/>
          </w:tcPr>
          <w:p w14:paraId="0566119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582" w:type="pct"/>
            <w:tcBorders>
              <w:top w:val="nil"/>
              <w:left w:val="nil"/>
              <w:bottom w:val="single" w:sz="8" w:space="0" w:color="B8CCE4"/>
              <w:right w:val="single" w:sz="8" w:space="0" w:color="B8CCE4"/>
            </w:tcBorders>
            <w:shd w:val="clear" w:color="000000" w:fill="DCE6F1"/>
            <w:vAlign w:val="center"/>
            <w:hideMark/>
          </w:tcPr>
          <w:p w14:paraId="37BEB417"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56</w:t>
            </w:r>
          </w:p>
        </w:tc>
        <w:tc>
          <w:tcPr>
            <w:tcW w:w="321" w:type="pct"/>
            <w:tcBorders>
              <w:top w:val="nil"/>
              <w:left w:val="nil"/>
              <w:bottom w:val="single" w:sz="8" w:space="0" w:color="B8CCE4"/>
              <w:right w:val="single" w:sz="8" w:space="0" w:color="B8CCE4"/>
            </w:tcBorders>
            <w:shd w:val="clear" w:color="000000" w:fill="DCE6F1"/>
            <w:vAlign w:val="center"/>
            <w:hideMark/>
          </w:tcPr>
          <w:p w14:paraId="2A0F9A1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w:t>
            </w:r>
          </w:p>
        </w:tc>
        <w:tc>
          <w:tcPr>
            <w:tcW w:w="236" w:type="pct"/>
            <w:tcBorders>
              <w:top w:val="nil"/>
              <w:left w:val="nil"/>
              <w:bottom w:val="single" w:sz="8" w:space="0" w:color="B8CCE4"/>
              <w:right w:val="single" w:sz="8" w:space="0" w:color="B8CCE4"/>
            </w:tcBorders>
            <w:shd w:val="clear" w:color="000000" w:fill="DCE6F1"/>
            <w:vAlign w:val="center"/>
            <w:hideMark/>
          </w:tcPr>
          <w:p w14:paraId="339745F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4D64C86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42.6%, UA 13.9%, STEMI 6.9%, NSTEMI 19.8%</w:t>
            </w:r>
          </w:p>
        </w:tc>
        <w:tc>
          <w:tcPr>
            <w:tcW w:w="555" w:type="pct"/>
            <w:tcBorders>
              <w:top w:val="nil"/>
              <w:left w:val="nil"/>
              <w:bottom w:val="single" w:sz="8" w:space="0" w:color="B8CCE4"/>
              <w:right w:val="single" w:sz="8" w:space="0" w:color="000000"/>
            </w:tcBorders>
            <w:shd w:val="clear" w:color="000000" w:fill="DCE6F1"/>
            <w:vAlign w:val="center"/>
            <w:hideMark/>
          </w:tcPr>
          <w:p w14:paraId="2E6850C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Long </w:t>
            </w:r>
            <w:proofErr w:type="gramStart"/>
            <w:r w:rsidRPr="00412CAB">
              <w:rPr>
                <w:rFonts w:ascii="Times New Roman" w:eastAsia="Times New Roman" w:hAnsi="Times New Roman" w:cs="Times New Roman"/>
                <w:sz w:val="20"/>
                <w:szCs w:val="20"/>
                <w:lang w:val="en" w:eastAsia="en-IN"/>
              </w:rPr>
              <w:t>lesion</w:t>
            </w:r>
            <w:proofErr w:type="gramEnd"/>
            <w:r w:rsidRPr="00412CAB">
              <w:rPr>
                <w:rFonts w:ascii="Times New Roman" w:eastAsia="Times New Roman" w:hAnsi="Times New Roman" w:cs="Times New Roman"/>
                <w:sz w:val="20"/>
                <w:szCs w:val="20"/>
                <w:lang w:val="en" w:eastAsia="en-IN"/>
              </w:rPr>
              <w:t xml:space="preserve"> population</w:t>
            </w:r>
          </w:p>
        </w:tc>
      </w:tr>
      <w:tr w:rsidR="00412CAB" w:rsidRPr="00412CAB" w14:paraId="49105F4D" w14:textId="77777777" w:rsidTr="00412CAB">
        <w:trPr>
          <w:trHeight w:val="209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596BB1E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proofErr w:type="spellStart"/>
            <w:r w:rsidRPr="00412CAB">
              <w:rPr>
                <w:rFonts w:ascii="Times New Roman" w:eastAsia="Times New Roman" w:hAnsi="Times New Roman" w:cs="Times New Roman"/>
                <w:sz w:val="20"/>
                <w:szCs w:val="20"/>
                <w:lang w:val="en" w:eastAsia="en-IN"/>
              </w:rPr>
              <w:t>Wijns</w:t>
            </w:r>
            <w:proofErr w:type="spellEnd"/>
            <w:r w:rsidRPr="00412CAB">
              <w:rPr>
                <w:rFonts w:ascii="Times New Roman" w:eastAsia="Times New Roman" w:hAnsi="Times New Roman" w:cs="Times New Roman"/>
                <w:sz w:val="20"/>
                <w:szCs w:val="20"/>
                <w:lang w:val="en" w:eastAsia="en-IN"/>
              </w:rPr>
              <w:t xml:space="preserve"> 2018</w:t>
            </w:r>
          </w:p>
        </w:tc>
        <w:tc>
          <w:tcPr>
            <w:tcW w:w="224" w:type="pct"/>
            <w:tcBorders>
              <w:top w:val="nil"/>
              <w:left w:val="nil"/>
              <w:bottom w:val="single" w:sz="8" w:space="0" w:color="B8CCE4"/>
              <w:right w:val="single" w:sz="8" w:space="0" w:color="B8CCE4"/>
            </w:tcBorders>
            <w:shd w:val="clear" w:color="000000" w:fill="FFFFFF"/>
            <w:vAlign w:val="center"/>
            <w:hideMark/>
          </w:tcPr>
          <w:p w14:paraId="13946FA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2018</w:t>
            </w:r>
          </w:p>
        </w:tc>
        <w:tc>
          <w:tcPr>
            <w:tcW w:w="395" w:type="pct"/>
            <w:tcBorders>
              <w:top w:val="nil"/>
              <w:left w:val="nil"/>
              <w:bottom w:val="single" w:sz="8" w:space="0" w:color="B8CCE4"/>
              <w:right w:val="single" w:sz="8" w:space="0" w:color="B8CCE4"/>
            </w:tcBorders>
            <w:shd w:val="clear" w:color="000000" w:fill="FFFFFF"/>
            <w:vAlign w:val="center"/>
            <w:hideMark/>
          </w:tcPr>
          <w:p w14:paraId="408BAB1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1,101 (BP-SES 551; PP-EES 550)</w:t>
            </w:r>
          </w:p>
        </w:tc>
        <w:tc>
          <w:tcPr>
            <w:tcW w:w="430" w:type="pct"/>
            <w:tcBorders>
              <w:top w:val="nil"/>
              <w:left w:val="nil"/>
              <w:bottom w:val="single" w:sz="8" w:space="0" w:color="B8CCE4"/>
              <w:right w:val="single" w:sz="8" w:space="0" w:color="B8CCE4"/>
            </w:tcBorders>
            <w:shd w:val="clear" w:color="000000" w:fill="FFFFFF"/>
            <w:vAlign w:val="center"/>
            <w:hideMark/>
          </w:tcPr>
          <w:p w14:paraId="492E5F6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CAD or ACS patients</w:t>
            </w:r>
          </w:p>
        </w:tc>
        <w:tc>
          <w:tcPr>
            <w:tcW w:w="282" w:type="pct"/>
            <w:tcBorders>
              <w:top w:val="nil"/>
              <w:left w:val="nil"/>
              <w:bottom w:val="single" w:sz="8" w:space="0" w:color="B8CCE4"/>
              <w:right w:val="single" w:sz="8" w:space="0" w:color="B8CCE4"/>
            </w:tcBorders>
            <w:shd w:val="clear" w:color="000000" w:fill="FFFFFF"/>
            <w:vAlign w:val="center"/>
            <w:hideMark/>
          </w:tcPr>
          <w:p w14:paraId="130EBD0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64 vs PP-EES 63</w:t>
            </w:r>
          </w:p>
        </w:tc>
        <w:tc>
          <w:tcPr>
            <w:tcW w:w="282" w:type="pct"/>
            <w:tcBorders>
              <w:top w:val="nil"/>
              <w:left w:val="nil"/>
              <w:bottom w:val="single" w:sz="8" w:space="0" w:color="B8CCE4"/>
              <w:right w:val="single" w:sz="8" w:space="0" w:color="B8CCE4"/>
            </w:tcBorders>
            <w:shd w:val="clear" w:color="000000" w:fill="FFFFFF"/>
            <w:vAlign w:val="center"/>
            <w:hideMark/>
          </w:tcPr>
          <w:p w14:paraId="37774BE7"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76% vs PP-EES 75%</w:t>
            </w:r>
          </w:p>
        </w:tc>
        <w:tc>
          <w:tcPr>
            <w:tcW w:w="333" w:type="pct"/>
            <w:tcBorders>
              <w:top w:val="nil"/>
              <w:left w:val="nil"/>
              <w:bottom w:val="single" w:sz="8" w:space="0" w:color="B8CCE4"/>
              <w:right w:val="single" w:sz="8" w:space="0" w:color="B8CCE4"/>
            </w:tcBorders>
            <w:shd w:val="clear" w:color="000000" w:fill="FFFFFF"/>
            <w:vAlign w:val="center"/>
            <w:hideMark/>
          </w:tcPr>
          <w:p w14:paraId="76A7AEE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22% vs PP-EES 23%</w:t>
            </w:r>
          </w:p>
        </w:tc>
        <w:tc>
          <w:tcPr>
            <w:tcW w:w="481" w:type="pct"/>
            <w:tcBorders>
              <w:top w:val="nil"/>
              <w:left w:val="nil"/>
              <w:bottom w:val="single" w:sz="8" w:space="0" w:color="B8CCE4"/>
              <w:right w:val="single" w:sz="8" w:space="0" w:color="B8CCE4"/>
            </w:tcBorders>
            <w:shd w:val="clear" w:color="000000" w:fill="FFFFFF"/>
            <w:vAlign w:val="center"/>
            <w:hideMark/>
          </w:tcPr>
          <w:p w14:paraId="19ED2FB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65% vs PP-EES 63%</w:t>
            </w:r>
          </w:p>
        </w:tc>
        <w:tc>
          <w:tcPr>
            <w:tcW w:w="582" w:type="pct"/>
            <w:tcBorders>
              <w:top w:val="nil"/>
              <w:left w:val="nil"/>
              <w:bottom w:val="single" w:sz="8" w:space="0" w:color="B8CCE4"/>
              <w:right w:val="single" w:sz="8" w:space="0" w:color="B8CCE4"/>
            </w:tcBorders>
            <w:shd w:val="clear" w:color="000000" w:fill="FFFFFF"/>
            <w:vAlign w:val="center"/>
            <w:hideMark/>
          </w:tcPr>
          <w:p w14:paraId="3B4CD6C0"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60% vs PP-EES 61%</w:t>
            </w:r>
          </w:p>
        </w:tc>
        <w:tc>
          <w:tcPr>
            <w:tcW w:w="321" w:type="pct"/>
            <w:tcBorders>
              <w:top w:val="nil"/>
              <w:left w:val="nil"/>
              <w:bottom w:val="single" w:sz="8" w:space="0" w:color="B8CCE4"/>
              <w:right w:val="single" w:sz="8" w:space="0" w:color="B8CCE4"/>
            </w:tcBorders>
            <w:shd w:val="clear" w:color="000000" w:fill="FFFFFF"/>
            <w:vAlign w:val="center"/>
            <w:hideMark/>
          </w:tcPr>
          <w:p w14:paraId="0DD757F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17% vs PP-EES 19%</w:t>
            </w:r>
          </w:p>
        </w:tc>
        <w:tc>
          <w:tcPr>
            <w:tcW w:w="236" w:type="pct"/>
            <w:tcBorders>
              <w:top w:val="nil"/>
              <w:left w:val="nil"/>
              <w:bottom w:val="single" w:sz="8" w:space="0" w:color="B8CCE4"/>
              <w:right w:val="single" w:sz="8" w:space="0" w:color="B8CCE4"/>
            </w:tcBorders>
            <w:shd w:val="clear" w:color="000000" w:fill="FFFFFF"/>
            <w:vAlign w:val="center"/>
            <w:hideMark/>
          </w:tcPr>
          <w:p w14:paraId="1956A53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FFFFFF"/>
            <w:vAlign w:val="center"/>
            <w:hideMark/>
          </w:tcPr>
          <w:p w14:paraId="2C0D7DA2"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BP-SES: Stable 49%, UA 13.6%, STEMI 5.3%, NSTEMI 17.2%</w:t>
            </w:r>
          </w:p>
        </w:tc>
        <w:tc>
          <w:tcPr>
            <w:tcW w:w="555" w:type="pct"/>
            <w:tcBorders>
              <w:top w:val="nil"/>
              <w:left w:val="nil"/>
              <w:bottom w:val="single" w:sz="8" w:space="0" w:color="B8CCE4"/>
              <w:right w:val="single" w:sz="8" w:space="0" w:color="000000"/>
            </w:tcBorders>
            <w:shd w:val="clear" w:color="000000" w:fill="FFFFFF"/>
            <w:vAlign w:val="center"/>
            <w:hideMark/>
          </w:tcPr>
          <w:p w14:paraId="1C99885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Non-inferiority RCT; 5-year follow-up</w:t>
            </w:r>
          </w:p>
        </w:tc>
      </w:tr>
      <w:tr w:rsidR="00412CAB" w:rsidRPr="00412CAB" w14:paraId="4F4902CE" w14:textId="77777777" w:rsidTr="00412CAB">
        <w:trPr>
          <w:trHeight w:val="131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1424E3D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Godino 2019</w:t>
            </w:r>
          </w:p>
        </w:tc>
        <w:tc>
          <w:tcPr>
            <w:tcW w:w="224" w:type="pct"/>
            <w:tcBorders>
              <w:top w:val="nil"/>
              <w:left w:val="nil"/>
              <w:bottom w:val="single" w:sz="8" w:space="0" w:color="B8CCE4"/>
              <w:right w:val="single" w:sz="8" w:space="0" w:color="B8CCE4"/>
            </w:tcBorders>
            <w:shd w:val="clear" w:color="000000" w:fill="DCE6F1"/>
            <w:vAlign w:val="center"/>
            <w:hideMark/>
          </w:tcPr>
          <w:p w14:paraId="66449068"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2019</w:t>
            </w:r>
          </w:p>
        </w:tc>
        <w:tc>
          <w:tcPr>
            <w:tcW w:w="395" w:type="pct"/>
            <w:tcBorders>
              <w:top w:val="nil"/>
              <w:left w:val="nil"/>
              <w:bottom w:val="single" w:sz="8" w:space="0" w:color="B8CCE4"/>
              <w:right w:val="single" w:sz="8" w:space="0" w:color="B8CCE4"/>
            </w:tcBorders>
            <w:shd w:val="clear" w:color="000000" w:fill="DCE6F1"/>
            <w:vAlign w:val="center"/>
            <w:hideMark/>
          </w:tcPr>
          <w:p w14:paraId="6F64CA8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1,660</w:t>
            </w:r>
          </w:p>
        </w:tc>
        <w:tc>
          <w:tcPr>
            <w:tcW w:w="430" w:type="pct"/>
            <w:tcBorders>
              <w:top w:val="nil"/>
              <w:left w:val="nil"/>
              <w:bottom w:val="single" w:sz="8" w:space="0" w:color="B8CCE4"/>
              <w:right w:val="single" w:sz="8" w:space="0" w:color="B8CCE4"/>
            </w:tcBorders>
            <w:shd w:val="clear" w:color="000000" w:fill="DCE6F1"/>
            <w:vAlign w:val="center"/>
            <w:hideMark/>
          </w:tcPr>
          <w:p w14:paraId="08BBB58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"All-comers" PCI population</w:t>
            </w:r>
          </w:p>
        </w:tc>
        <w:tc>
          <w:tcPr>
            <w:tcW w:w="282" w:type="pct"/>
            <w:tcBorders>
              <w:top w:val="nil"/>
              <w:left w:val="nil"/>
              <w:bottom w:val="single" w:sz="8" w:space="0" w:color="B8CCE4"/>
              <w:right w:val="single" w:sz="8" w:space="0" w:color="B8CCE4"/>
            </w:tcBorders>
            <w:shd w:val="clear" w:color="000000" w:fill="DCE6F1"/>
            <w:vAlign w:val="center"/>
            <w:hideMark/>
          </w:tcPr>
          <w:p w14:paraId="2430C7C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65</w:t>
            </w:r>
          </w:p>
        </w:tc>
        <w:tc>
          <w:tcPr>
            <w:tcW w:w="282" w:type="pct"/>
            <w:tcBorders>
              <w:top w:val="nil"/>
              <w:left w:val="nil"/>
              <w:bottom w:val="single" w:sz="8" w:space="0" w:color="B8CCE4"/>
              <w:right w:val="single" w:sz="8" w:space="0" w:color="B8CCE4"/>
            </w:tcBorders>
            <w:shd w:val="clear" w:color="000000" w:fill="DCE6F1"/>
            <w:vAlign w:val="center"/>
            <w:hideMark/>
          </w:tcPr>
          <w:p w14:paraId="7E6BEF4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74%</w:t>
            </w:r>
          </w:p>
        </w:tc>
        <w:tc>
          <w:tcPr>
            <w:tcW w:w="333" w:type="pct"/>
            <w:tcBorders>
              <w:top w:val="nil"/>
              <w:left w:val="nil"/>
              <w:bottom w:val="single" w:sz="8" w:space="0" w:color="B8CCE4"/>
              <w:right w:val="single" w:sz="8" w:space="0" w:color="B8CCE4"/>
            </w:tcBorders>
            <w:shd w:val="clear" w:color="000000" w:fill="DCE6F1"/>
            <w:vAlign w:val="center"/>
            <w:hideMark/>
          </w:tcPr>
          <w:p w14:paraId="0DC88C6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24%</w:t>
            </w:r>
          </w:p>
        </w:tc>
        <w:tc>
          <w:tcPr>
            <w:tcW w:w="481" w:type="pct"/>
            <w:tcBorders>
              <w:top w:val="nil"/>
              <w:left w:val="nil"/>
              <w:bottom w:val="single" w:sz="8" w:space="0" w:color="B8CCE4"/>
              <w:right w:val="single" w:sz="8" w:space="0" w:color="B8CCE4"/>
            </w:tcBorders>
            <w:shd w:val="clear" w:color="000000" w:fill="DCE6F1"/>
            <w:vAlign w:val="center"/>
            <w:hideMark/>
          </w:tcPr>
          <w:p w14:paraId="61BE479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69%</w:t>
            </w:r>
          </w:p>
        </w:tc>
        <w:tc>
          <w:tcPr>
            <w:tcW w:w="582" w:type="pct"/>
            <w:tcBorders>
              <w:top w:val="nil"/>
              <w:left w:val="nil"/>
              <w:bottom w:val="single" w:sz="8" w:space="0" w:color="B8CCE4"/>
              <w:right w:val="single" w:sz="8" w:space="0" w:color="B8CCE4"/>
            </w:tcBorders>
            <w:shd w:val="clear" w:color="000000" w:fill="DCE6F1"/>
            <w:vAlign w:val="center"/>
            <w:hideMark/>
          </w:tcPr>
          <w:p w14:paraId="5BCE6531"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61%</w:t>
            </w:r>
          </w:p>
        </w:tc>
        <w:tc>
          <w:tcPr>
            <w:tcW w:w="321" w:type="pct"/>
            <w:tcBorders>
              <w:top w:val="nil"/>
              <w:left w:val="nil"/>
              <w:bottom w:val="single" w:sz="8" w:space="0" w:color="B8CCE4"/>
              <w:right w:val="single" w:sz="8" w:space="0" w:color="B8CCE4"/>
            </w:tcBorders>
            <w:shd w:val="clear" w:color="000000" w:fill="DCE6F1"/>
            <w:vAlign w:val="center"/>
            <w:hideMark/>
          </w:tcPr>
          <w:p w14:paraId="180CFF1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w:t>
            </w:r>
          </w:p>
        </w:tc>
        <w:tc>
          <w:tcPr>
            <w:tcW w:w="236" w:type="pct"/>
            <w:tcBorders>
              <w:top w:val="nil"/>
              <w:left w:val="nil"/>
              <w:bottom w:val="single" w:sz="8" w:space="0" w:color="B8CCE4"/>
              <w:right w:val="single" w:sz="8" w:space="0" w:color="B8CCE4"/>
            </w:tcBorders>
            <w:shd w:val="clear" w:color="000000" w:fill="DCE6F1"/>
            <w:vAlign w:val="center"/>
            <w:hideMark/>
          </w:tcPr>
          <w:p w14:paraId="45A3CE1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3826C21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ACS 37%, Stable </w:t>
            </w:r>
            <w:proofErr w:type="gramStart"/>
            <w:r w:rsidRPr="00412CAB">
              <w:rPr>
                <w:rFonts w:ascii="Times New Roman" w:eastAsia="Times New Roman" w:hAnsi="Times New Roman" w:cs="Times New Roman"/>
                <w:sz w:val="20"/>
                <w:szCs w:val="20"/>
                <w:lang w:val="en" w:eastAsia="en-IN"/>
              </w:rPr>
              <w:t>angina</w:t>
            </w:r>
            <w:proofErr w:type="gramEnd"/>
            <w:r w:rsidRPr="00412CAB">
              <w:rPr>
                <w:rFonts w:ascii="Times New Roman" w:eastAsia="Times New Roman" w:hAnsi="Times New Roman" w:cs="Times New Roman"/>
                <w:sz w:val="20"/>
                <w:szCs w:val="20"/>
                <w:lang w:val="en" w:eastAsia="en-IN"/>
              </w:rPr>
              <w:t xml:space="preserve"> 52%</w:t>
            </w:r>
          </w:p>
        </w:tc>
        <w:tc>
          <w:tcPr>
            <w:tcW w:w="555" w:type="pct"/>
            <w:tcBorders>
              <w:top w:val="nil"/>
              <w:left w:val="nil"/>
              <w:bottom w:val="single" w:sz="8" w:space="0" w:color="B8CCE4"/>
              <w:right w:val="single" w:sz="8" w:space="0" w:color="000000"/>
            </w:tcBorders>
            <w:shd w:val="clear" w:color="000000" w:fill="DCE6F1"/>
            <w:vAlign w:val="center"/>
            <w:hideMark/>
          </w:tcPr>
          <w:p w14:paraId="41F0D5D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Short vs recommended DAPT comparison</w:t>
            </w:r>
          </w:p>
        </w:tc>
      </w:tr>
      <w:tr w:rsidR="00412CAB" w:rsidRPr="00412CAB" w14:paraId="6EB309EE" w14:textId="77777777" w:rsidTr="00412CAB">
        <w:trPr>
          <w:trHeight w:val="235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3EFD8748"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lastRenderedPageBreak/>
              <w:t>Rola 2021 (</w:t>
            </w:r>
            <w:proofErr w:type="spellStart"/>
            <w:r w:rsidRPr="00412CAB">
              <w:rPr>
                <w:rFonts w:ascii="Times New Roman" w:eastAsia="Times New Roman" w:hAnsi="Times New Roman" w:cs="Times New Roman"/>
                <w:sz w:val="20"/>
                <w:szCs w:val="20"/>
                <w:lang w:val="en" w:eastAsia="en-IN"/>
              </w:rPr>
              <w:t>Ultimaster</w:t>
            </w:r>
            <w:proofErr w:type="spellEnd"/>
            <w:r w:rsidRPr="00412CAB">
              <w:rPr>
                <w:rFonts w:ascii="Times New Roman" w:eastAsia="Times New Roman" w:hAnsi="Times New Roman" w:cs="Times New Roman"/>
                <w:sz w:val="20"/>
                <w:szCs w:val="20"/>
                <w:lang w:val="en" w:eastAsia="en-IN"/>
              </w:rPr>
              <w:t>)</w:t>
            </w:r>
          </w:p>
        </w:tc>
        <w:tc>
          <w:tcPr>
            <w:tcW w:w="224" w:type="pct"/>
            <w:tcBorders>
              <w:top w:val="nil"/>
              <w:left w:val="nil"/>
              <w:bottom w:val="single" w:sz="8" w:space="0" w:color="B8CCE4"/>
              <w:right w:val="single" w:sz="8" w:space="0" w:color="B8CCE4"/>
            </w:tcBorders>
            <w:shd w:val="clear" w:color="000000" w:fill="DCE6F1"/>
            <w:vAlign w:val="center"/>
            <w:hideMark/>
          </w:tcPr>
          <w:p w14:paraId="1F3BA4F5"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2021</w:t>
            </w:r>
          </w:p>
        </w:tc>
        <w:tc>
          <w:tcPr>
            <w:tcW w:w="395" w:type="pct"/>
            <w:tcBorders>
              <w:top w:val="nil"/>
              <w:left w:val="nil"/>
              <w:bottom w:val="single" w:sz="8" w:space="0" w:color="B8CCE4"/>
              <w:right w:val="single" w:sz="8" w:space="0" w:color="B8CCE4"/>
            </w:tcBorders>
            <w:shd w:val="clear" w:color="000000" w:fill="DCE6F1"/>
            <w:vAlign w:val="center"/>
            <w:hideMark/>
          </w:tcPr>
          <w:p w14:paraId="4E340FA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169 (</w:t>
            </w:r>
            <w:proofErr w:type="spellStart"/>
            <w:r w:rsidRPr="00412CAB">
              <w:rPr>
                <w:rFonts w:ascii="Times New Roman" w:eastAsia="Times New Roman" w:hAnsi="Times New Roman" w:cs="Times New Roman"/>
                <w:sz w:val="20"/>
                <w:szCs w:val="20"/>
                <w:lang w:val="en" w:eastAsia="en-IN"/>
              </w:rPr>
              <w:t>Ultimaster</w:t>
            </w:r>
            <w:proofErr w:type="spellEnd"/>
            <w:r w:rsidRPr="00412CAB">
              <w:rPr>
                <w:rFonts w:ascii="Times New Roman" w:eastAsia="Times New Roman" w:hAnsi="Times New Roman" w:cs="Times New Roman"/>
                <w:sz w:val="20"/>
                <w:szCs w:val="20"/>
                <w:lang w:val="en" w:eastAsia="en-IN"/>
              </w:rPr>
              <w:t xml:space="preserve"> arm)</w:t>
            </w:r>
          </w:p>
        </w:tc>
        <w:tc>
          <w:tcPr>
            <w:tcW w:w="430" w:type="pct"/>
            <w:tcBorders>
              <w:top w:val="nil"/>
              <w:left w:val="nil"/>
              <w:bottom w:val="single" w:sz="8" w:space="0" w:color="B8CCE4"/>
              <w:right w:val="single" w:sz="8" w:space="0" w:color="B8CCE4"/>
            </w:tcBorders>
            <w:shd w:val="clear" w:color="000000" w:fill="DCE6F1"/>
            <w:vAlign w:val="center"/>
            <w:hideMark/>
          </w:tcPr>
          <w:p w14:paraId="3E48C8B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NSTE-ACS patients (</w:t>
            </w:r>
            <w:proofErr w:type="spellStart"/>
            <w:r w:rsidRPr="00412CAB">
              <w:rPr>
                <w:rFonts w:ascii="Times New Roman" w:eastAsia="Times New Roman" w:hAnsi="Times New Roman" w:cs="Times New Roman"/>
                <w:sz w:val="20"/>
                <w:szCs w:val="20"/>
                <w:lang w:val="en" w:eastAsia="en-IN"/>
              </w:rPr>
              <w:t>Ultimaster</w:t>
            </w:r>
            <w:proofErr w:type="spellEnd"/>
            <w:r w:rsidRPr="00412CAB">
              <w:rPr>
                <w:rFonts w:ascii="Times New Roman" w:eastAsia="Times New Roman" w:hAnsi="Times New Roman" w:cs="Times New Roman"/>
                <w:sz w:val="20"/>
                <w:szCs w:val="20"/>
                <w:lang w:val="en" w:eastAsia="en-IN"/>
              </w:rPr>
              <w:t xml:space="preserve"> arm of </w:t>
            </w:r>
            <w:proofErr w:type="spellStart"/>
            <w:r w:rsidRPr="00412CAB">
              <w:rPr>
                <w:rFonts w:ascii="Times New Roman" w:eastAsia="Times New Roman" w:hAnsi="Times New Roman" w:cs="Times New Roman"/>
                <w:sz w:val="20"/>
                <w:szCs w:val="20"/>
                <w:lang w:val="en" w:eastAsia="en-IN"/>
              </w:rPr>
              <w:t>Magmaris</w:t>
            </w:r>
            <w:proofErr w:type="spellEnd"/>
            <w:r w:rsidRPr="00412CAB">
              <w:rPr>
                <w:rFonts w:ascii="Times New Roman" w:eastAsia="Times New Roman" w:hAnsi="Times New Roman" w:cs="Times New Roman"/>
                <w:sz w:val="20"/>
                <w:szCs w:val="20"/>
                <w:lang w:val="en" w:eastAsia="en-IN"/>
              </w:rPr>
              <w:t xml:space="preserve"> vs </w:t>
            </w:r>
            <w:proofErr w:type="spellStart"/>
            <w:r w:rsidRPr="00412CAB">
              <w:rPr>
                <w:rFonts w:ascii="Times New Roman" w:eastAsia="Times New Roman" w:hAnsi="Times New Roman" w:cs="Times New Roman"/>
                <w:sz w:val="20"/>
                <w:szCs w:val="20"/>
                <w:lang w:val="en" w:eastAsia="en-IN"/>
              </w:rPr>
              <w:t>Ultimaster</w:t>
            </w:r>
            <w:proofErr w:type="spellEnd"/>
            <w:r w:rsidRPr="00412CAB">
              <w:rPr>
                <w:rFonts w:ascii="Times New Roman" w:eastAsia="Times New Roman" w:hAnsi="Times New Roman" w:cs="Times New Roman"/>
                <w:sz w:val="20"/>
                <w:szCs w:val="20"/>
                <w:lang w:val="en" w:eastAsia="en-IN"/>
              </w:rPr>
              <w:t xml:space="preserve"> study)</w:t>
            </w:r>
          </w:p>
        </w:tc>
        <w:tc>
          <w:tcPr>
            <w:tcW w:w="282" w:type="pct"/>
            <w:tcBorders>
              <w:top w:val="nil"/>
              <w:left w:val="nil"/>
              <w:bottom w:val="single" w:sz="8" w:space="0" w:color="B8CCE4"/>
              <w:right w:val="single" w:sz="8" w:space="0" w:color="B8CCE4"/>
            </w:tcBorders>
            <w:shd w:val="clear" w:color="000000" w:fill="DCE6F1"/>
            <w:vAlign w:val="center"/>
            <w:hideMark/>
          </w:tcPr>
          <w:p w14:paraId="0949E36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63</w:t>
            </w:r>
          </w:p>
        </w:tc>
        <w:tc>
          <w:tcPr>
            <w:tcW w:w="282" w:type="pct"/>
            <w:tcBorders>
              <w:top w:val="nil"/>
              <w:left w:val="nil"/>
              <w:bottom w:val="single" w:sz="8" w:space="0" w:color="B8CCE4"/>
              <w:right w:val="single" w:sz="8" w:space="0" w:color="B8CCE4"/>
            </w:tcBorders>
            <w:shd w:val="clear" w:color="000000" w:fill="DCE6F1"/>
            <w:vAlign w:val="center"/>
            <w:hideMark/>
          </w:tcPr>
          <w:p w14:paraId="72A60A6F"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78%</w:t>
            </w:r>
          </w:p>
        </w:tc>
        <w:tc>
          <w:tcPr>
            <w:tcW w:w="333" w:type="pct"/>
            <w:tcBorders>
              <w:top w:val="nil"/>
              <w:left w:val="nil"/>
              <w:bottom w:val="single" w:sz="8" w:space="0" w:color="B8CCE4"/>
              <w:right w:val="single" w:sz="8" w:space="0" w:color="B8CCE4"/>
            </w:tcBorders>
            <w:shd w:val="clear" w:color="000000" w:fill="DCE6F1"/>
            <w:vAlign w:val="center"/>
            <w:hideMark/>
          </w:tcPr>
          <w:p w14:paraId="66EB359D"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35%</w:t>
            </w:r>
          </w:p>
        </w:tc>
        <w:tc>
          <w:tcPr>
            <w:tcW w:w="481" w:type="pct"/>
            <w:tcBorders>
              <w:top w:val="nil"/>
              <w:left w:val="nil"/>
              <w:bottom w:val="single" w:sz="8" w:space="0" w:color="B8CCE4"/>
              <w:right w:val="single" w:sz="8" w:space="0" w:color="B8CCE4"/>
            </w:tcBorders>
            <w:shd w:val="clear" w:color="000000" w:fill="DCE6F1"/>
            <w:vAlign w:val="center"/>
            <w:hideMark/>
          </w:tcPr>
          <w:p w14:paraId="6874BA7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582" w:type="pct"/>
            <w:tcBorders>
              <w:top w:val="nil"/>
              <w:left w:val="nil"/>
              <w:bottom w:val="single" w:sz="8" w:space="0" w:color="B8CCE4"/>
              <w:right w:val="single" w:sz="8" w:space="0" w:color="B8CCE4"/>
            </w:tcBorders>
            <w:shd w:val="clear" w:color="000000" w:fill="DCE6F1"/>
            <w:vAlign w:val="center"/>
            <w:hideMark/>
          </w:tcPr>
          <w:p w14:paraId="6121B5A0"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66%</w:t>
            </w:r>
          </w:p>
        </w:tc>
        <w:tc>
          <w:tcPr>
            <w:tcW w:w="321" w:type="pct"/>
            <w:tcBorders>
              <w:top w:val="nil"/>
              <w:left w:val="nil"/>
              <w:bottom w:val="single" w:sz="8" w:space="0" w:color="B8CCE4"/>
              <w:right w:val="single" w:sz="8" w:space="0" w:color="B8CCE4"/>
            </w:tcBorders>
            <w:shd w:val="clear" w:color="000000" w:fill="DCE6F1"/>
            <w:vAlign w:val="center"/>
            <w:hideMark/>
          </w:tcPr>
          <w:p w14:paraId="6541B1E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16%</w:t>
            </w:r>
          </w:p>
        </w:tc>
        <w:tc>
          <w:tcPr>
            <w:tcW w:w="236" w:type="pct"/>
            <w:tcBorders>
              <w:top w:val="nil"/>
              <w:left w:val="nil"/>
              <w:bottom w:val="single" w:sz="8" w:space="0" w:color="B8CCE4"/>
              <w:right w:val="single" w:sz="8" w:space="0" w:color="B8CCE4"/>
            </w:tcBorders>
            <w:shd w:val="clear" w:color="000000" w:fill="DCE6F1"/>
            <w:vAlign w:val="center"/>
            <w:hideMark/>
          </w:tcPr>
          <w:p w14:paraId="2452277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7EC1879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ACS only – NSTE-ACS (NSTEMI + UA); STEMI excluded</w:t>
            </w:r>
          </w:p>
        </w:tc>
        <w:tc>
          <w:tcPr>
            <w:tcW w:w="555" w:type="pct"/>
            <w:tcBorders>
              <w:top w:val="nil"/>
              <w:left w:val="nil"/>
              <w:bottom w:val="single" w:sz="8" w:space="0" w:color="B8CCE4"/>
              <w:right w:val="single" w:sz="8" w:space="0" w:color="000000"/>
            </w:tcBorders>
            <w:shd w:val="clear" w:color="000000" w:fill="DCE6F1"/>
            <w:vAlign w:val="center"/>
            <w:hideMark/>
          </w:tcPr>
          <w:p w14:paraId="617C0AB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Diabetic vs non-diabetic subgroup; Czech Republic</w:t>
            </w:r>
          </w:p>
        </w:tc>
      </w:tr>
      <w:tr w:rsidR="00412CAB" w:rsidRPr="00412CAB" w14:paraId="0DAF5D82" w14:textId="77777777" w:rsidTr="00412CAB">
        <w:trPr>
          <w:trHeight w:val="2090"/>
          <w:jc w:val="center"/>
        </w:trPr>
        <w:tc>
          <w:tcPr>
            <w:tcW w:w="426" w:type="pct"/>
            <w:tcBorders>
              <w:top w:val="nil"/>
              <w:left w:val="single" w:sz="8" w:space="0" w:color="B8CCE4"/>
              <w:bottom w:val="single" w:sz="8" w:space="0" w:color="B8CCE4"/>
              <w:right w:val="single" w:sz="8" w:space="0" w:color="B8CCE4"/>
            </w:tcBorders>
            <w:shd w:val="clear" w:color="000000" w:fill="FFFFFF"/>
            <w:vAlign w:val="center"/>
            <w:hideMark/>
          </w:tcPr>
          <w:p w14:paraId="6590E34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Tadano 2018</w:t>
            </w:r>
          </w:p>
        </w:tc>
        <w:tc>
          <w:tcPr>
            <w:tcW w:w="224" w:type="pct"/>
            <w:tcBorders>
              <w:top w:val="nil"/>
              <w:left w:val="nil"/>
              <w:bottom w:val="single" w:sz="8" w:space="0" w:color="B8CCE4"/>
              <w:right w:val="single" w:sz="8" w:space="0" w:color="B8CCE4"/>
            </w:tcBorders>
            <w:shd w:val="clear" w:color="000000" w:fill="FFFFFF"/>
            <w:vAlign w:val="center"/>
            <w:hideMark/>
          </w:tcPr>
          <w:p w14:paraId="026CD3E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2018</w:t>
            </w:r>
          </w:p>
        </w:tc>
        <w:tc>
          <w:tcPr>
            <w:tcW w:w="395" w:type="pct"/>
            <w:tcBorders>
              <w:top w:val="nil"/>
              <w:left w:val="nil"/>
              <w:bottom w:val="single" w:sz="8" w:space="0" w:color="B8CCE4"/>
              <w:right w:val="single" w:sz="8" w:space="0" w:color="B8CCE4"/>
            </w:tcBorders>
            <w:shd w:val="clear" w:color="000000" w:fill="FFFFFF"/>
            <w:vAlign w:val="center"/>
            <w:hideMark/>
          </w:tcPr>
          <w:p w14:paraId="240ABB22"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1,727</w:t>
            </w:r>
          </w:p>
        </w:tc>
        <w:tc>
          <w:tcPr>
            <w:tcW w:w="430" w:type="pct"/>
            <w:tcBorders>
              <w:top w:val="nil"/>
              <w:left w:val="nil"/>
              <w:bottom w:val="single" w:sz="8" w:space="0" w:color="B8CCE4"/>
              <w:right w:val="single" w:sz="8" w:space="0" w:color="B8CCE4"/>
            </w:tcBorders>
            <w:shd w:val="clear" w:color="000000" w:fill="FFFFFF"/>
            <w:vAlign w:val="center"/>
            <w:hideMark/>
          </w:tcPr>
          <w:p w14:paraId="4AB9DC3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All-comer PCI patients with BP-SES</w:t>
            </w:r>
          </w:p>
        </w:tc>
        <w:tc>
          <w:tcPr>
            <w:tcW w:w="282" w:type="pct"/>
            <w:tcBorders>
              <w:top w:val="nil"/>
              <w:left w:val="nil"/>
              <w:bottom w:val="single" w:sz="8" w:space="0" w:color="B8CCE4"/>
              <w:right w:val="single" w:sz="8" w:space="0" w:color="B8CCE4"/>
            </w:tcBorders>
            <w:shd w:val="clear" w:color="000000" w:fill="FFFFFF"/>
            <w:vAlign w:val="center"/>
            <w:hideMark/>
          </w:tcPr>
          <w:p w14:paraId="5743460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68</w:t>
            </w:r>
          </w:p>
        </w:tc>
        <w:tc>
          <w:tcPr>
            <w:tcW w:w="282" w:type="pct"/>
            <w:tcBorders>
              <w:top w:val="nil"/>
              <w:left w:val="nil"/>
              <w:bottom w:val="single" w:sz="8" w:space="0" w:color="B8CCE4"/>
              <w:right w:val="single" w:sz="8" w:space="0" w:color="B8CCE4"/>
            </w:tcBorders>
            <w:shd w:val="clear" w:color="000000" w:fill="FFFFFF"/>
            <w:vAlign w:val="center"/>
            <w:hideMark/>
          </w:tcPr>
          <w:p w14:paraId="4AE1B4D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74%</w:t>
            </w:r>
          </w:p>
        </w:tc>
        <w:tc>
          <w:tcPr>
            <w:tcW w:w="333" w:type="pct"/>
            <w:tcBorders>
              <w:top w:val="nil"/>
              <w:left w:val="nil"/>
              <w:bottom w:val="single" w:sz="8" w:space="0" w:color="B8CCE4"/>
              <w:right w:val="single" w:sz="8" w:space="0" w:color="B8CCE4"/>
            </w:tcBorders>
            <w:shd w:val="clear" w:color="000000" w:fill="FFFFFF"/>
            <w:vAlign w:val="center"/>
            <w:hideMark/>
          </w:tcPr>
          <w:p w14:paraId="4FE4389C"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35%</w:t>
            </w:r>
          </w:p>
        </w:tc>
        <w:tc>
          <w:tcPr>
            <w:tcW w:w="481" w:type="pct"/>
            <w:tcBorders>
              <w:top w:val="nil"/>
              <w:left w:val="nil"/>
              <w:bottom w:val="single" w:sz="8" w:space="0" w:color="B8CCE4"/>
              <w:right w:val="single" w:sz="8" w:space="0" w:color="B8CCE4"/>
            </w:tcBorders>
            <w:shd w:val="clear" w:color="000000" w:fill="FFFFFF"/>
            <w:vAlign w:val="center"/>
            <w:hideMark/>
          </w:tcPr>
          <w:p w14:paraId="015C869A"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73%</w:t>
            </w:r>
          </w:p>
        </w:tc>
        <w:tc>
          <w:tcPr>
            <w:tcW w:w="582" w:type="pct"/>
            <w:tcBorders>
              <w:top w:val="nil"/>
              <w:left w:val="nil"/>
              <w:bottom w:val="single" w:sz="8" w:space="0" w:color="B8CCE4"/>
              <w:right w:val="single" w:sz="8" w:space="0" w:color="B8CCE4"/>
            </w:tcBorders>
            <w:shd w:val="clear" w:color="000000" w:fill="FFFFFF"/>
            <w:vAlign w:val="center"/>
            <w:hideMark/>
          </w:tcPr>
          <w:p w14:paraId="55A471D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61%</w:t>
            </w:r>
          </w:p>
        </w:tc>
        <w:tc>
          <w:tcPr>
            <w:tcW w:w="321" w:type="pct"/>
            <w:tcBorders>
              <w:top w:val="nil"/>
              <w:left w:val="nil"/>
              <w:bottom w:val="single" w:sz="8" w:space="0" w:color="B8CCE4"/>
              <w:right w:val="single" w:sz="8" w:space="0" w:color="B8CCE4"/>
            </w:tcBorders>
            <w:shd w:val="clear" w:color="000000" w:fill="FFFFFF"/>
            <w:vAlign w:val="center"/>
            <w:hideMark/>
          </w:tcPr>
          <w:p w14:paraId="20AF881E"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14%</w:t>
            </w:r>
          </w:p>
        </w:tc>
        <w:tc>
          <w:tcPr>
            <w:tcW w:w="236" w:type="pct"/>
            <w:tcBorders>
              <w:top w:val="nil"/>
              <w:left w:val="nil"/>
              <w:bottom w:val="single" w:sz="8" w:space="0" w:color="B8CCE4"/>
              <w:right w:val="single" w:sz="8" w:space="0" w:color="B8CCE4"/>
            </w:tcBorders>
            <w:shd w:val="clear" w:color="000000" w:fill="FFFFFF"/>
            <w:vAlign w:val="center"/>
            <w:hideMark/>
          </w:tcPr>
          <w:p w14:paraId="0905AB63"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13%</w:t>
            </w:r>
          </w:p>
        </w:tc>
        <w:tc>
          <w:tcPr>
            <w:tcW w:w="454" w:type="pct"/>
            <w:tcBorders>
              <w:top w:val="nil"/>
              <w:left w:val="nil"/>
              <w:bottom w:val="single" w:sz="8" w:space="0" w:color="B8CCE4"/>
              <w:right w:val="single" w:sz="8" w:space="0" w:color="B8CCE4"/>
            </w:tcBorders>
            <w:shd w:val="clear" w:color="000000" w:fill="FFFFFF"/>
            <w:vAlign w:val="center"/>
            <w:hideMark/>
          </w:tcPr>
          <w:p w14:paraId="398CA931"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Stable angina 89%, UA 7%, NSTEMI 1%, STEMI 3%</w:t>
            </w:r>
          </w:p>
        </w:tc>
        <w:tc>
          <w:tcPr>
            <w:tcW w:w="555" w:type="pct"/>
            <w:tcBorders>
              <w:top w:val="nil"/>
              <w:left w:val="nil"/>
              <w:bottom w:val="single" w:sz="8" w:space="0" w:color="B8CCE4"/>
              <w:right w:val="single" w:sz="8" w:space="0" w:color="000000"/>
            </w:tcBorders>
            <w:shd w:val="clear" w:color="000000" w:fill="FFFFFF"/>
            <w:vAlign w:val="center"/>
            <w:hideMark/>
          </w:tcPr>
          <w:p w14:paraId="6443876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IVUS 100%; real-world Japanese registry</w:t>
            </w:r>
          </w:p>
        </w:tc>
      </w:tr>
      <w:tr w:rsidR="00412CAB" w:rsidRPr="00412CAB" w14:paraId="3002DEDD" w14:textId="77777777" w:rsidTr="00412CAB">
        <w:trPr>
          <w:trHeight w:val="1830"/>
          <w:jc w:val="center"/>
        </w:trPr>
        <w:tc>
          <w:tcPr>
            <w:tcW w:w="426" w:type="pct"/>
            <w:tcBorders>
              <w:top w:val="nil"/>
              <w:left w:val="single" w:sz="8" w:space="0" w:color="B8CCE4"/>
              <w:bottom w:val="single" w:sz="8" w:space="0" w:color="B8CCE4"/>
              <w:right w:val="single" w:sz="8" w:space="0" w:color="B8CCE4"/>
            </w:tcBorders>
            <w:shd w:val="clear" w:color="000000" w:fill="DCE6F1"/>
            <w:vAlign w:val="center"/>
            <w:hideMark/>
          </w:tcPr>
          <w:p w14:paraId="1BA2EFD6"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Jiménez Díaz 2024</w:t>
            </w:r>
          </w:p>
        </w:tc>
        <w:tc>
          <w:tcPr>
            <w:tcW w:w="224" w:type="pct"/>
            <w:tcBorders>
              <w:top w:val="nil"/>
              <w:left w:val="nil"/>
              <w:bottom w:val="single" w:sz="8" w:space="0" w:color="B8CCE4"/>
              <w:right w:val="single" w:sz="8" w:space="0" w:color="B8CCE4"/>
            </w:tcBorders>
            <w:shd w:val="clear" w:color="000000" w:fill="DCE6F1"/>
            <w:vAlign w:val="center"/>
            <w:hideMark/>
          </w:tcPr>
          <w:p w14:paraId="54D7B3A4" w14:textId="77777777" w:rsidR="00412CAB" w:rsidRPr="00412CAB" w:rsidRDefault="00412CAB" w:rsidP="00412CAB">
            <w:pPr>
              <w:spacing w:after="0" w:line="240" w:lineRule="auto"/>
              <w:jc w:val="right"/>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2024</w:t>
            </w:r>
          </w:p>
        </w:tc>
        <w:tc>
          <w:tcPr>
            <w:tcW w:w="395" w:type="pct"/>
            <w:tcBorders>
              <w:top w:val="nil"/>
              <w:left w:val="nil"/>
              <w:bottom w:val="single" w:sz="8" w:space="0" w:color="B8CCE4"/>
              <w:right w:val="single" w:sz="8" w:space="0" w:color="B8CCE4"/>
            </w:tcBorders>
            <w:shd w:val="clear" w:color="000000" w:fill="DCE6F1"/>
            <w:vAlign w:val="center"/>
            <w:hideMark/>
          </w:tcPr>
          <w:p w14:paraId="72137EA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3,832 (CR 1,800; ICR 2,032)</w:t>
            </w:r>
          </w:p>
        </w:tc>
        <w:tc>
          <w:tcPr>
            <w:tcW w:w="430" w:type="pct"/>
            <w:tcBorders>
              <w:top w:val="nil"/>
              <w:left w:val="nil"/>
              <w:bottom w:val="single" w:sz="8" w:space="0" w:color="B8CCE4"/>
              <w:right w:val="single" w:sz="8" w:space="0" w:color="B8CCE4"/>
            </w:tcBorders>
            <w:shd w:val="clear" w:color="000000" w:fill="DCE6F1"/>
            <w:vAlign w:val="center"/>
            <w:hideMark/>
          </w:tcPr>
          <w:p w14:paraId="70EFCCD3"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 xml:space="preserve">NSTEMI with multivessel disease treated with </w:t>
            </w:r>
            <w:proofErr w:type="spellStart"/>
            <w:r w:rsidRPr="00412CAB">
              <w:rPr>
                <w:rFonts w:ascii="Times New Roman" w:eastAsia="Times New Roman" w:hAnsi="Times New Roman" w:cs="Times New Roman"/>
                <w:sz w:val="20"/>
                <w:szCs w:val="20"/>
                <w:lang w:val="en" w:eastAsia="en-IN"/>
              </w:rPr>
              <w:t>Ultimaster</w:t>
            </w:r>
            <w:proofErr w:type="spellEnd"/>
          </w:p>
        </w:tc>
        <w:tc>
          <w:tcPr>
            <w:tcW w:w="282" w:type="pct"/>
            <w:tcBorders>
              <w:top w:val="nil"/>
              <w:left w:val="nil"/>
              <w:bottom w:val="single" w:sz="8" w:space="0" w:color="B8CCE4"/>
              <w:right w:val="single" w:sz="8" w:space="0" w:color="B8CCE4"/>
            </w:tcBorders>
            <w:shd w:val="clear" w:color="000000" w:fill="DCE6F1"/>
            <w:vAlign w:val="center"/>
            <w:hideMark/>
          </w:tcPr>
          <w:p w14:paraId="3A919EF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65 vs ICR 66</w:t>
            </w:r>
          </w:p>
        </w:tc>
        <w:tc>
          <w:tcPr>
            <w:tcW w:w="282" w:type="pct"/>
            <w:tcBorders>
              <w:top w:val="nil"/>
              <w:left w:val="nil"/>
              <w:bottom w:val="single" w:sz="8" w:space="0" w:color="B8CCE4"/>
              <w:right w:val="single" w:sz="8" w:space="0" w:color="B8CCE4"/>
            </w:tcBorders>
            <w:shd w:val="clear" w:color="000000" w:fill="DCE6F1"/>
            <w:vAlign w:val="center"/>
            <w:hideMark/>
          </w:tcPr>
          <w:p w14:paraId="7F8CE569"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74% vs ICR 73%</w:t>
            </w:r>
          </w:p>
        </w:tc>
        <w:tc>
          <w:tcPr>
            <w:tcW w:w="333" w:type="pct"/>
            <w:tcBorders>
              <w:top w:val="nil"/>
              <w:left w:val="nil"/>
              <w:bottom w:val="single" w:sz="8" w:space="0" w:color="B8CCE4"/>
              <w:right w:val="single" w:sz="8" w:space="0" w:color="B8CCE4"/>
            </w:tcBorders>
            <w:shd w:val="clear" w:color="000000" w:fill="DCE6F1"/>
            <w:vAlign w:val="center"/>
            <w:hideMark/>
          </w:tcPr>
          <w:p w14:paraId="5B49F25E"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28% vs ICR 30%</w:t>
            </w:r>
          </w:p>
        </w:tc>
        <w:tc>
          <w:tcPr>
            <w:tcW w:w="481" w:type="pct"/>
            <w:tcBorders>
              <w:top w:val="nil"/>
              <w:left w:val="nil"/>
              <w:bottom w:val="single" w:sz="8" w:space="0" w:color="B8CCE4"/>
              <w:right w:val="single" w:sz="8" w:space="0" w:color="B8CCE4"/>
            </w:tcBorders>
            <w:shd w:val="clear" w:color="000000" w:fill="DCE6F1"/>
            <w:vAlign w:val="center"/>
            <w:hideMark/>
          </w:tcPr>
          <w:p w14:paraId="3EE3D87D"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70% vs ICR 72%</w:t>
            </w:r>
          </w:p>
        </w:tc>
        <w:tc>
          <w:tcPr>
            <w:tcW w:w="582" w:type="pct"/>
            <w:tcBorders>
              <w:top w:val="nil"/>
              <w:left w:val="nil"/>
              <w:bottom w:val="single" w:sz="8" w:space="0" w:color="B8CCE4"/>
              <w:right w:val="single" w:sz="8" w:space="0" w:color="B8CCE4"/>
            </w:tcBorders>
            <w:shd w:val="clear" w:color="000000" w:fill="DCE6F1"/>
            <w:vAlign w:val="center"/>
            <w:hideMark/>
          </w:tcPr>
          <w:p w14:paraId="45F5132B"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60% vs ICR 62%</w:t>
            </w:r>
          </w:p>
        </w:tc>
        <w:tc>
          <w:tcPr>
            <w:tcW w:w="321" w:type="pct"/>
            <w:tcBorders>
              <w:top w:val="nil"/>
              <w:left w:val="nil"/>
              <w:bottom w:val="single" w:sz="8" w:space="0" w:color="B8CCE4"/>
              <w:right w:val="single" w:sz="8" w:space="0" w:color="B8CCE4"/>
            </w:tcBorders>
            <w:shd w:val="clear" w:color="000000" w:fill="DCE6F1"/>
            <w:vAlign w:val="center"/>
            <w:hideMark/>
          </w:tcPr>
          <w:p w14:paraId="65ED37B4"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CR 17% vs ICR 18%</w:t>
            </w:r>
          </w:p>
        </w:tc>
        <w:tc>
          <w:tcPr>
            <w:tcW w:w="236" w:type="pct"/>
            <w:tcBorders>
              <w:top w:val="nil"/>
              <w:left w:val="nil"/>
              <w:bottom w:val="single" w:sz="8" w:space="0" w:color="B8CCE4"/>
              <w:right w:val="single" w:sz="8" w:space="0" w:color="B8CCE4"/>
            </w:tcBorders>
            <w:shd w:val="clear" w:color="000000" w:fill="DCE6F1"/>
            <w:vAlign w:val="center"/>
            <w:hideMark/>
          </w:tcPr>
          <w:p w14:paraId="587EE17C"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NR</w:t>
            </w:r>
          </w:p>
        </w:tc>
        <w:tc>
          <w:tcPr>
            <w:tcW w:w="454" w:type="pct"/>
            <w:tcBorders>
              <w:top w:val="nil"/>
              <w:left w:val="nil"/>
              <w:bottom w:val="single" w:sz="8" w:space="0" w:color="B8CCE4"/>
              <w:right w:val="single" w:sz="8" w:space="0" w:color="B8CCE4"/>
            </w:tcBorders>
            <w:shd w:val="clear" w:color="000000" w:fill="DCE6F1"/>
            <w:vAlign w:val="center"/>
            <w:hideMark/>
          </w:tcPr>
          <w:p w14:paraId="169D3DDF"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NSTEMI (100%)</w:t>
            </w:r>
          </w:p>
        </w:tc>
        <w:tc>
          <w:tcPr>
            <w:tcW w:w="555" w:type="pct"/>
            <w:tcBorders>
              <w:top w:val="nil"/>
              <w:left w:val="nil"/>
              <w:bottom w:val="single" w:sz="8" w:space="0" w:color="B8CCE4"/>
              <w:right w:val="single" w:sz="8" w:space="0" w:color="000000"/>
            </w:tcBorders>
            <w:shd w:val="clear" w:color="000000" w:fill="DCE6F1"/>
            <w:vAlign w:val="center"/>
            <w:hideMark/>
          </w:tcPr>
          <w:p w14:paraId="295B561A" w14:textId="77777777" w:rsidR="00412CAB" w:rsidRPr="00412CAB" w:rsidRDefault="00412CAB" w:rsidP="00412CAB">
            <w:pPr>
              <w:spacing w:after="0" w:line="240" w:lineRule="auto"/>
              <w:rPr>
                <w:rFonts w:ascii="Times New Roman" w:eastAsia="Times New Roman" w:hAnsi="Times New Roman" w:cs="Times New Roman"/>
                <w:color w:val="000000"/>
                <w:sz w:val="20"/>
                <w:szCs w:val="20"/>
                <w:lang w:val="en-IN" w:eastAsia="en-IN"/>
              </w:rPr>
            </w:pPr>
            <w:r w:rsidRPr="00412CAB">
              <w:rPr>
                <w:rFonts w:ascii="Times New Roman" w:eastAsia="Times New Roman" w:hAnsi="Times New Roman" w:cs="Times New Roman"/>
                <w:sz w:val="20"/>
                <w:szCs w:val="20"/>
                <w:lang w:val="en" w:eastAsia="en-IN"/>
              </w:rPr>
              <w:t>Complete vs incomplete revascularization comparison</w:t>
            </w:r>
          </w:p>
        </w:tc>
      </w:tr>
    </w:tbl>
    <w:p w14:paraId="195D1931" w14:textId="77777777" w:rsidR="005F35DC" w:rsidRDefault="005F35DC" w:rsidP="00FB7F00">
      <w:pPr>
        <w:widowControl w:val="0"/>
        <w:adjustRightInd w:val="0"/>
        <w:spacing w:after="0" w:line="360" w:lineRule="auto"/>
        <w:jc w:val="both"/>
        <w:rPr>
          <w:rFonts w:ascii="Times New Roman" w:hAnsi="Times New Roman" w:cs="Times New Roman"/>
          <w:sz w:val="20"/>
          <w:szCs w:val="20"/>
        </w:rPr>
      </w:pPr>
    </w:p>
    <w:p w14:paraId="4005FA9D" w14:textId="361F6530" w:rsidR="00B242E2" w:rsidRPr="002B3897" w:rsidRDefault="00E260B0" w:rsidP="00FB7F00">
      <w:pPr>
        <w:widowControl w:val="0"/>
        <w:adjustRightInd w:val="0"/>
        <w:spacing w:after="0" w:line="360" w:lineRule="auto"/>
        <w:jc w:val="both"/>
        <w:rPr>
          <w:rFonts w:ascii="Times New Roman" w:hAnsi="Times New Roman" w:cs="Times New Roman"/>
          <w:sz w:val="20"/>
          <w:szCs w:val="20"/>
        </w:rPr>
      </w:pPr>
      <w:r w:rsidRPr="00E260B0">
        <w:rPr>
          <w:rFonts w:ascii="Times New Roman" w:hAnsi="Times New Roman" w:cs="Times New Roman"/>
          <w:b/>
          <w:bCs/>
          <w:color w:val="0070C0"/>
          <w:sz w:val="20"/>
          <w:szCs w:val="20"/>
        </w:rPr>
        <w:t>Table 2</w:t>
      </w:r>
      <w:r>
        <w:rPr>
          <w:rFonts w:ascii="Times New Roman" w:hAnsi="Times New Roman" w:cs="Times New Roman"/>
          <w:sz w:val="20"/>
          <w:szCs w:val="20"/>
        </w:rPr>
        <w:t>:</w:t>
      </w:r>
      <w:r w:rsidRPr="00E260B0">
        <w:rPr>
          <w:rFonts w:ascii="Times New Roman" w:hAnsi="Times New Roman" w:cs="Times New Roman"/>
          <w:sz w:val="20"/>
          <w:szCs w:val="20"/>
        </w:rPr>
        <w:t xml:space="preserve"> Patient characteristics table</w:t>
      </w:r>
      <w:r>
        <w:rPr>
          <w:rFonts w:ascii="Times New Roman" w:hAnsi="Times New Roman" w:cs="Times New Roman"/>
          <w:sz w:val="20"/>
          <w:szCs w:val="20"/>
        </w:rPr>
        <w:t>.</w:t>
      </w:r>
    </w:p>
    <w:p w14:paraId="52B1DDFC"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0C9DE33E" w14:textId="515B2128" w:rsidR="00FB7F00" w:rsidRPr="00710ABD" w:rsidRDefault="00FB7F00" w:rsidP="00FB7F00">
      <w:pPr>
        <w:widowControl w:val="0"/>
        <w:adjustRightInd w:val="0"/>
        <w:spacing w:after="0" w:line="360" w:lineRule="auto"/>
        <w:jc w:val="both"/>
        <w:rPr>
          <w:rFonts w:ascii="Times New Roman" w:hAnsi="Times New Roman" w:cs="Times New Roman"/>
          <w:b/>
          <w:bCs/>
          <w:sz w:val="20"/>
          <w:szCs w:val="20"/>
        </w:rPr>
      </w:pPr>
      <w:r w:rsidRPr="00710ABD">
        <w:rPr>
          <w:rFonts w:ascii="Times New Roman" w:hAnsi="Times New Roman" w:cs="Times New Roman"/>
          <w:b/>
          <w:bCs/>
          <w:sz w:val="20"/>
          <w:szCs w:val="20"/>
        </w:rPr>
        <w:t>Clinical Outcomes of Biomatrix Drug-Eluting Stents</w:t>
      </w:r>
    </w:p>
    <w:p w14:paraId="20237B12"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A total of 5 studies (N = 5,281 patients) were analyzed. The pooled incidence of stent thrombosis was 1% (95% CI: 0.00–0.02; I² = 85.4%; Figure S1). Cardiac death occurred in 2% of patients (95% CI: 0.01–0.04; I² = 93.9%; Figure S2), while target lesion revascularization was observed in 3% (95% CI: 0.00–0.07; I² = 98.2%; Figure S5). Target lesion failure (TLF) was reported at 7% (95% CI: 0.03–0.11; I² = 97.9%; Figure S3). Target vessel myocardial infarction was reported at 3% (95% CI: 0.01–0.04; I² = 96.4%; Figure S4).</w:t>
      </w:r>
    </w:p>
    <w:p w14:paraId="5AA61E60" w14:textId="77777777" w:rsidR="00710ABD" w:rsidRPr="00FB7F00" w:rsidRDefault="00710ABD" w:rsidP="00FB7F00">
      <w:pPr>
        <w:widowControl w:val="0"/>
        <w:adjustRightInd w:val="0"/>
        <w:spacing w:after="0" w:line="360" w:lineRule="auto"/>
        <w:jc w:val="both"/>
        <w:rPr>
          <w:rFonts w:ascii="Times New Roman" w:hAnsi="Times New Roman" w:cs="Times New Roman"/>
          <w:sz w:val="20"/>
          <w:szCs w:val="20"/>
        </w:rPr>
      </w:pPr>
    </w:p>
    <w:p w14:paraId="0C352833" w14:textId="3013E841" w:rsidR="00FB7F00" w:rsidRPr="00710ABD" w:rsidRDefault="00FB7F00" w:rsidP="00FB7F00">
      <w:pPr>
        <w:widowControl w:val="0"/>
        <w:adjustRightInd w:val="0"/>
        <w:spacing w:after="0" w:line="360" w:lineRule="auto"/>
        <w:jc w:val="both"/>
        <w:rPr>
          <w:rFonts w:ascii="Times New Roman" w:hAnsi="Times New Roman" w:cs="Times New Roman"/>
          <w:b/>
          <w:bCs/>
          <w:sz w:val="20"/>
          <w:szCs w:val="20"/>
        </w:rPr>
      </w:pPr>
      <w:r w:rsidRPr="00710ABD">
        <w:rPr>
          <w:rFonts w:ascii="Times New Roman" w:hAnsi="Times New Roman" w:cs="Times New Roman"/>
          <w:b/>
          <w:bCs/>
          <w:sz w:val="20"/>
          <w:szCs w:val="20"/>
        </w:rPr>
        <w:t xml:space="preserve">Clinical Outcomes of </w:t>
      </w:r>
      <w:proofErr w:type="spellStart"/>
      <w:r w:rsidRPr="00710ABD">
        <w:rPr>
          <w:rFonts w:ascii="Times New Roman" w:hAnsi="Times New Roman" w:cs="Times New Roman"/>
          <w:b/>
          <w:bCs/>
          <w:sz w:val="20"/>
          <w:szCs w:val="20"/>
        </w:rPr>
        <w:t>Magmaris</w:t>
      </w:r>
      <w:proofErr w:type="spellEnd"/>
      <w:r w:rsidRPr="00710ABD">
        <w:rPr>
          <w:rFonts w:ascii="Times New Roman" w:hAnsi="Times New Roman" w:cs="Times New Roman"/>
          <w:b/>
          <w:bCs/>
          <w:sz w:val="20"/>
          <w:szCs w:val="20"/>
        </w:rPr>
        <w:t xml:space="preserve"> Bioresorbable Scaffolds</w:t>
      </w:r>
    </w:p>
    <w:p w14:paraId="6E53EB04"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analysis of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scaffolds included up to 14 studies (N = 5,199 patients). The pooled estimate for all-cause mortality was 1% (95% CI: 0.01–0.01; I² = 0.0%; Figure S7). The incidence of stent thrombosis was low at 1% (95% CI: 0.00–0.01; I² = 0.0%; Figure S11). Myocardial infarction occurred in 2% of patients (95% CI: 0.01–0.02; I² = 17.9%; Figure S9). Target lesion failure (TLF) was reported at 5% (95% CI: 0.04–0.06; I² = 66.7%; Figure S12). </w:t>
      </w:r>
      <w:r w:rsidRPr="00FB7F00">
        <w:rPr>
          <w:rFonts w:ascii="Times New Roman" w:hAnsi="Times New Roman" w:cs="Times New Roman"/>
          <w:sz w:val="20"/>
          <w:szCs w:val="20"/>
        </w:rPr>
        <w:lastRenderedPageBreak/>
        <w:t>Target lesion revascularization (TLR) was reported at 4% (95% CI: 0.02–0.05; I² = 87.8%; Figure S18). Target vessel myocardial infarction was reported at 1% (95% CI: 0.01–0.02; I² = 0.0%; Figure S21).</w:t>
      </w:r>
    </w:p>
    <w:p w14:paraId="55AE918D" w14:textId="77777777" w:rsidR="00710ABD" w:rsidRPr="00FB7F00" w:rsidRDefault="00710ABD" w:rsidP="00FB7F00">
      <w:pPr>
        <w:widowControl w:val="0"/>
        <w:adjustRightInd w:val="0"/>
        <w:spacing w:after="0" w:line="360" w:lineRule="auto"/>
        <w:jc w:val="both"/>
        <w:rPr>
          <w:rFonts w:ascii="Times New Roman" w:hAnsi="Times New Roman" w:cs="Times New Roman"/>
          <w:sz w:val="20"/>
          <w:szCs w:val="20"/>
        </w:rPr>
      </w:pPr>
    </w:p>
    <w:p w14:paraId="246BE507" w14:textId="06C1CE99" w:rsidR="00FB7F00" w:rsidRPr="00710ABD" w:rsidRDefault="00FB7F00" w:rsidP="00FB7F00">
      <w:pPr>
        <w:widowControl w:val="0"/>
        <w:adjustRightInd w:val="0"/>
        <w:spacing w:after="0" w:line="360" w:lineRule="auto"/>
        <w:jc w:val="both"/>
        <w:rPr>
          <w:rFonts w:ascii="Times New Roman" w:hAnsi="Times New Roman" w:cs="Times New Roman"/>
          <w:b/>
          <w:bCs/>
          <w:sz w:val="20"/>
          <w:szCs w:val="20"/>
        </w:rPr>
      </w:pPr>
      <w:r w:rsidRPr="00710ABD">
        <w:rPr>
          <w:rFonts w:ascii="Times New Roman" w:hAnsi="Times New Roman" w:cs="Times New Roman"/>
          <w:b/>
          <w:bCs/>
          <w:sz w:val="20"/>
          <w:szCs w:val="20"/>
        </w:rPr>
        <w:t xml:space="preserve">Clinical Outcomes of </w:t>
      </w:r>
      <w:proofErr w:type="spellStart"/>
      <w:r w:rsidRPr="00710ABD">
        <w:rPr>
          <w:rFonts w:ascii="Times New Roman" w:hAnsi="Times New Roman" w:cs="Times New Roman"/>
          <w:b/>
          <w:bCs/>
          <w:sz w:val="20"/>
          <w:szCs w:val="20"/>
        </w:rPr>
        <w:t>Orsiro</w:t>
      </w:r>
      <w:proofErr w:type="spellEnd"/>
      <w:r w:rsidRPr="00710ABD">
        <w:rPr>
          <w:rFonts w:ascii="Times New Roman" w:hAnsi="Times New Roman" w:cs="Times New Roman"/>
          <w:b/>
          <w:bCs/>
          <w:sz w:val="20"/>
          <w:szCs w:val="20"/>
        </w:rPr>
        <w:t xml:space="preserve"> Drug-Eluting Stents</w:t>
      </w:r>
    </w:p>
    <w:p w14:paraId="5A3DF8A9"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Outcomes for the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stent were derived from up to 13 studies (N = 5,129 patients). The pooled rate of cardiac death was 2% (95% CI: 0.01–0.04; I² = 73.3%; Figure S22). All-cause mortality was 4% (95% CI: 0.03–0.05; I² = 75.5%; Figure S23). The incidence of myocardial infarction was 1% (95% CI: 0.01–0.02; I² = 51.5%; Figure S25), and target vessel MI was 2% (95% CI: 0.01–0.03; I² = 88.1%; Figure S33). Stent thrombosis remained low at 0% (95% CI: 0.00–0.00; I² = 20.8%; Figure S27). Target lesion revascularization was observed in 2% of patients (95% CI: 0.01–0.04; I² = 83.2%; Figure S31). Target lesion failure was reported at 4% (95% CI: 0.03–0.06; I² = 83.9%; Figure S29).</w:t>
      </w:r>
    </w:p>
    <w:p w14:paraId="468AD7E7" w14:textId="77777777" w:rsidR="00F53165" w:rsidRPr="00FB7F00" w:rsidRDefault="00F53165" w:rsidP="00FB7F00">
      <w:pPr>
        <w:widowControl w:val="0"/>
        <w:adjustRightInd w:val="0"/>
        <w:spacing w:after="0" w:line="360" w:lineRule="auto"/>
        <w:jc w:val="both"/>
        <w:rPr>
          <w:rFonts w:ascii="Times New Roman" w:hAnsi="Times New Roman" w:cs="Times New Roman"/>
          <w:sz w:val="20"/>
          <w:szCs w:val="20"/>
        </w:rPr>
      </w:pPr>
    </w:p>
    <w:p w14:paraId="1679514D" w14:textId="3596E55E" w:rsidR="00FB7F00" w:rsidRPr="00F53165" w:rsidRDefault="00FB7F00" w:rsidP="00FB7F00">
      <w:pPr>
        <w:widowControl w:val="0"/>
        <w:adjustRightInd w:val="0"/>
        <w:spacing w:after="0" w:line="360" w:lineRule="auto"/>
        <w:jc w:val="both"/>
        <w:rPr>
          <w:rFonts w:ascii="Times New Roman" w:hAnsi="Times New Roman" w:cs="Times New Roman"/>
          <w:b/>
          <w:bCs/>
          <w:sz w:val="20"/>
          <w:szCs w:val="20"/>
        </w:rPr>
      </w:pPr>
      <w:r w:rsidRPr="00F53165">
        <w:rPr>
          <w:rFonts w:ascii="Times New Roman" w:hAnsi="Times New Roman" w:cs="Times New Roman"/>
          <w:b/>
          <w:bCs/>
          <w:sz w:val="20"/>
          <w:szCs w:val="20"/>
        </w:rPr>
        <w:t xml:space="preserve">Clinical Outcomes of </w:t>
      </w:r>
      <w:proofErr w:type="spellStart"/>
      <w:r w:rsidRPr="00F53165">
        <w:rPr>
          <w:rFonts w:ascii="Times New Roman" w:hAnsi="Times New Roman" w:cs="Times New Roman"/>
          <w:b/>
          <w:bCs/>
          <w:sz w:val="20"/>
          <w:szCs w:val="20"/>
        </w:rPr>
        <w:t>Ultimaster</w:t>
      </w:r>
      <w:proofErr w:type="spellEnd"/>
      <w:r w:rsidRPr="00F53165">
        <w:rPr>
          <w:rFonts w:ascii="Times New Roman" w:hAnsi="Times New Roman" w:cs="Times New Roman"/>
          <w:b/>
          <w:bCs/>
          <w:sz w:val="20"/>
          <w:szCs w:val="20"/>
        </w:rPr>
        <w:t xml:space="preserve"> Drug-Eluting Stents</w:t>
      </w:r>
    </w:p>
    <w:p w14:paraId="4730ABA6"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stent was evaluated in 10 studies comprising 10,382 patients. The pooled rate of cardiac death was 2% (95% CI: 0.01–0.03; I² = 88.0%; Figure S36), while all-cause mortality was 4% (95% CI: 0.02–0.06; I² = 95.1%; Figure S40). The rates for myocardial infarction and stent thrombosis were 2% (95% CI: 0.01–0.04; I² = 91.3%; Figure S45) and 1% (95% CI: 0.00–0.01; I² = 88.4%; Figure S49), respectively.</w:t>
      </w:r>
    </w:p>
    <w:p w14:paraId="3135CD6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
    <w:p w14:paraId="7814E66A" w14:textId="7456691E" w:rsidR="00FB7F00" w:rsidRPr="00F53165" w:rsidRDefault="00FB7F00" w:rsidP="00FB7F00">
      <w:pPr>
        <w:widowControl w:val="0"/>
        <w:adjustRightInd w:val="0"/>
        <w:spacing w:after="0" w:line="360" w:lineRule="auto"/>
        <w:jc w:val="both"/>
        <w:rPr>
          <w:rFonts w:ascii="Times New Roman" w:hAnsi="Times New Roman" w:cs="Times New Roman"/>
          <w:b/>
          <w:bCs/>
          <w:sz w:val="20"/>
          <w:szCs w:val="20"/>
        </w:rPr>
      </w:pPr>
      <w:r w:rsidRPr="00F53165">
        <w:rPr>
          <w:rFonts w:ascii="Times New Roman" w:hAnsi="Times New Roman" w:cs="Times New Roman"/>
          <w:b/>
          <w:bCs/>
          <w:sz w:val="20"/>
          <w:szCs w:val="20"/>
        </w:rPr>
        <w:t xml:space="preserve">Clinical </w:t>
      </w:r>
      <w:r w:rsidR="00AB3023">
        <w:rPr>
          <w:rFonts w:ascii="Times New Roman" w:hAnsi="Times New Roman" w:cs="Times New Roman"/>
          <w:b/>
          <w:bCs/>
          <w:sz w:val="20"/>
          <w:szCs w:val="20"/>
        </w:rPr>
        <w:t>O</w:t>
      </w:r>
      <w:r w:rsidRPr="00F53165">
        <w:rPr>
          <w:rFonts w:ascii="Times New Roman" w:hAnsi="Times New Roman" w:cs="Times New Roman"/>
          <w:b/>
          <w:bCs/>
          <w:sz w:val="20"/>
          <w:szCs w:val="20"/>
        </w:rPr>
        <w:t xml:space="preserve">utcomes of </w:t>
      </w:r>
      <w:proofErr w:type="spellStart"/>
      <w:r w:rsidRPr="00F53165">
        <w:rPr>
          <w:rFonts w:ascii="Times New Roman" w:hAnsi="Times New Roman" w:cs="Times New Roman"/>
          <w:b/>
          <w:bCs/>
          <w:sz w:val="20"/>
          <w:szCs w:val="20"/>
        </w:rPr>
        <w:t>Xience</w:t>
      </w:r>
      <w:proofErr w:type="spellEnd"/>
      <w:r w:rsidRPr="00F53165">
        <w:rPr>
          <w:rFonts w:ascii="Times New Roman" w:hAnsi="Times New Roman" w:cs="Times New Roman"/>
          <w:b/>
          <w:bCs/>
          <w:sz w:val="20"/>
          <w:szCs w:val="20"/>
        </w:rPr>
        <w:t xml:space="preserve"> </w:t>
      </w:r>
      <w:r w:rsidR="00AB3023">
        <w:rPr>
          <w:rFonts w:ascii="Times New Roman" w:hAnsi="Times New Roman" w:cs="Times New Roman"/>
          <w:b/>
          <w:bCs/>
          <w:sz w:val="20"/>
          <w:szCs w:val="20"/>
        </w:rPr>
        <w:t>S</w:t>
      </w:r>
      <w:r w:rsidRPr="00F53165">
        <w:rPr>
          <w:rFonts w:ascii="Times New Roman" w:hAnsi="Times New Roman" w:cs="Times New Roman"/>
          <w:b/>
          <w:bCs/>
          <w:sz w:val="20"/>
          <w:szCs w:val="20"/>
        </w:rPr>
        <w:t>tents</w:t>
      </w:r>
    </w:p>
    <w:p w14:paraId="0D91317E"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For target lesion revascularization (TLR), pooled analysis of 10 studies (n = 13,642) demonstrated an event rate of 4% (95% CI: 2–6%), with substantial heterogeneity (I² = 97.4%, p &lt; 0.0001). Individual study estimates ranged from 0% (</w:t>
      </w:r>
      <w:proofErr w:type="spellStart"/>
      <w:r w:rsidRPr="00FB7F00">
        <w:rPr>
          <w:rFonts w:ascii="Times New Roman" w:hAnsi="Times New Roman" w:cs="Times New Roman"/>
          <w:sz w:val="20"/>
          <w:szCs w:val="20"/>
        </w:rPr>
        <w:t>Valgamigli</w:t>
      </w:r>
      <w:proofErr w:type="spellEnd"/>
      <w:r w:rsidRPr="00FB7F00">
        <w:rPr>
          <w:rFonts w:ascii="Times New Roman" w:hAnsi="Times New Roman" w:cs="Times New Roman"/>
          <w:sz w:val="20"/>
          <w:szCs w:val="20"/>
        </w:rPr>
        <w:t xml:space="preserve"> 2021) to 9% (</w:t>
      </w:r>
      <w:proofErr w:type="spellStart"/>
      <w:r w:rsidRPr="00FB7F00">
        <w:rPr>
          <w:rFonts w:ascii="Times New Roman" w:hAnsi="Times New Roman" w:cs="Times New Roman"/>
          <w:sz w:val="20"/>
          <w:szCs w:val="20"/>
        </w:rPr>
        <w:t>Kerkmeijer</w:t>
      </w:r>
      <w:proofErr w:type="spellEnd"/>
      <w:r w:rsidRPr="00FB7F00">
        <w:rPr>
          <w:rFonts w:ascii="Times New Roman" w:hAnsi="Times New Roman" w:cs="Times New Roman"/>
          <w:sz w:val="20"/>
          <w:szCs w:val="20"/>
        </w:rPr>
        <w:t xml:space="preserve"> 2020).</w:t>
      </w:r>
    </w:p>
    <w:p w14:paraId="162463FA"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For target lesion failure (TLF), pooled analysis of 10 studies (n = 13,780) yielded a pooled event rate of 9% (95% CI: 7–12%), again with high heterogeneity (I² = 96.3%, p &lt; 0.0001). Event rates across individual studies ranged from 5% (</w:t>
      </w:r>
      <w:proofErr w:type="spellStart"/>
      <w:r w:rsidRPr="00FB7F00">
        <w:rPr>
          <w:rFonts w:ascii="Times New Roman" w:hAnsi="Times New Roman" w:cs="Times New Roman"/>
          <w:sz w:val="20"/>
          <w:szCs w:val="20"/>
        </w:rPr>
        <w:t>Valgamigli</w:t>
      </w:r>
      <w:proofErr w:type="spellEnd"/>
      <w:r w:rsidRPr="00FB7F00">
        <w:rPr>
          <w:rFonts w:ascii="Times New Roman" w:hAnsi="Times New Roman" w:cs="Times New Roman"/>
          <w:sz w:val="20"/>
          <w:szCs w:val="20"/>
        </w:rPr>
        <w:t xml:space="preserve"> 2021) to 16% (</w:t>
      </w:r>
      <w:proofErr w:type="spellStart"/>
      <w:r w:rsidRPr="00FB7F00">
        <w:rPr>
          <w:rFonts w:ascii="Times New Roman" w:hAnsi="Times New Roman" w:cs="Times New Roman"/>
          <w:sz w:val="20"/>
          <w:szCs w:val="20"/>
        </w:rPr>
        <w:t>Kandzari</w:t>
      </w:r>
      <w:proofErr w:type="spellEnd"/>
      <w:r w:rsidRPr="00FB7F00">
        <w:rPr>
          <w:rFonts w:ascii="Times New Roman" w:hAnsi="Times New Roman" w:cs="Times New Roman"/>
          <w:sz w:val="20"/>
          <w:szCs w:val="20"/>
        </w:rPr>
        <w:t xml:space="preserve"> 2015).</w:t>
      </w:r>
    </w:p>
    <w:p w14:paraId="0D1C1FF3"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For myocardial infarction (MI), pooled analysis of 8 studies (n = 11,672) showed a pooled event rate of 4% (95% CI: 3–5%), with high heterogeneity (I² = 93.5%, p &lt; 0.0001). Individual study event rates ranged from 1% (</w:t>
      </w:r>
      <w:proofErr w:type="spellStart"/>
      <w:r w:rsidRPr="00FB7F00">
        <w:rPr>
          <w:rFonts w:ascii="Times New Roman" w:hAnsi="Times New Roman" w:cs="Times New Roman"/>
          <w:sz w:val="20"/>
          <w:szCs w:val="20"/>
        </w:rPr>
        <w:t>Valgamigli</w:t>
      </w:r>
      <w:proofErr w:type="spellEnd"/>
      <w:r w:rsidRPr="00FB7F00">
        <w:rPr>
          <w:rFonts w:ascii="Times New Roman" w:hAnsi="Times New Roman" w:cs="Times New Roman"/>
          <w:sz w:val="20"/>
          <w:szCs w:val="20"/>
        </w:rPr>
        <w:t xml:space="preserve"> 2021) to 14% (</w:t>
      </w:r>
      <w:proofErr w:type="spellStart"/>
      <w:r w:rsidRPr="00FB7F00">
        <w:rPr>
          <w:rFonts w:ascii="Times New Roman" w:hAnsi="Times New Roman" w:cs="Times New Roman"/>
          <w:sz w:val="20"/>
          <w:szCs w:val="20"/>
        </w:rPr>
        <w:t>Kandzari</w:t>
      </w:r>
      <w:proofErr w:type="spellEnd"/>
      <w:r w:rsidRPr="00FB7F00">
        <w:rPr>
          <w:rFonts w:ascii="Times New Roman" w:hAnsi="Times New Roman" w:cs="Times New Roman"/>
          <w:sz w:val="20"/>
          <w:szCs w:val="20"/>
        </w:rPr>
        <w:t xml:space="preserve"> 2015).</w:t>
      </w:r>
    </w:p>
    <w:p w14:paraId="0B02749D"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
    <w:p w14:paraId="78405B83" w14:textId="2867172D" w:rsidR="00FB7F00" w:rsidRPr="00054502" w:rsidRDefault="00FB7F00" w:rsidP="00FB7F00">
      <w:pPr>
        <w:widowControl w:val="0"/>
        <w:adjustRightInd w:val="0"/>
        <w:spacing w:after="0" w:line="360" w:lineRule="auto"/>
        <w:jc w:val="both"/>
        <w:rPr>
          <w:rFonts w:ascii="Times New Roman" w:hAnsi="Times New Roman" w:cs="Times New Roman"/>
          <w:b/>
          <w:bCs/>
          <w:sz w:val="20"/>
          <w:szCs w:val="20"/>
        </w:rPr>
      </w:pPr>
      <w:r w:rsidRPr="00054502">
        <w:rPr>
          <w:rFonts w:ascii="Times New Roman" w:hAnsi="Times New Roman" w:cs="Times New Roman"/>
          <w:b/>
          <w:bCs/>
          <w:sz w:val="20"/>
          <w:szCs w:val="20"/>
        </w:rPr>
        <w:t>Subgroup Analysis of Follow-up Duration</w:t>
      </w:r>
    </w:p>
    <w:p w14:paraId="58039E6F"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Subgroup analyses were conducted to assess the impact of follow-up duration on clinical outcomes.</w:t>
      </w:r>
    </w:p>
    <w:p w14:paraId="1DE1ED41"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Scaffolds: Significant temporal differences were observed. TLF rates increased significantly from 2% (95% CI: 0.01–0.04) at 1-year follow-up to 6% (95% CI: 0.06–0.07) at 2-year follow-up (P &lt; 0.0001; Figure S15). Similarly, TLR rates rose from 3% </w:t>
      </w:r>
      <w:proofErr w:type="gramStart"/>
      <w:r w:rsidRPr="00FB7F00">
        <w:rPr>
          <w:rFonts w:ascii="Times New Roman" w:hAnsi="Times New Roman" w:cs="Times New Roman"/>
          <w:sz w:val="20"/>
          <w:szCs w:val="20"/>
        </w:rPr>
        <w:t>at</w:t>
      </w:r>
      <w:proofErr w:type="gramEnd"/>
      <w:r w:rsidRPr="00FB7F00">
        <w:rPr>
          <w:rFonts w:ascii="Times New Roman" w:hAnsi="Times New Roman" w:cs="Times New Roman"/>
          <w:sz w:val="20"/>
          <w:szCs w:val="20"/>
        </w:rPr>
        <w:t xml:space="preserve"> 1 year to 6% at 2 years (P = 0.0010; Figure S19), indicating a time-dependent accumulation of adverse events.</w:t>
      </w:r>
    </w:p>
    <w:p w14:paraId="7F57A3C9"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roofErr w:type="spellStart"/>
      <w:r w:rsidRPr="00054502">
        <w:rPr>
          <w:rFonts w:ascii="Times New Roman" w:hAnsi="Times New Roman" w:cs="Times New Roman"/>
          <w:b/>
          <w:bCs/>
          <w:sz w:val="20"/>
          <w:szCs w:val="20"/>
        </w:rPr>
        <w:t>Orsiro</w:t>
      </w:r>
      <w:proofErr w:type="spellEnd"/>
      <w:r w:rsidRPr="00054502">
        <w:rPr>
          <w:rFonts w:ascii="Times New Roman" w:hAnsi="Times New Roman" w:cs="Times New Roman"/>
          <w:b/>
          <w:bCs/>
          <w:sz w:val="20"/>
          <w:szCs w:val="20"/>
        </w:rPr>
        <w:t xml:space="preserve"> Stents</w:t>
      </w:r>
      <w:r w:rsidRPr="00FB7F00">
        <w:rPr>
          <w:rFonts w:ascii="Times New Roman" w:hAnsi="Times New Roman" w:cs="Times New Roman"/>
          <w:sz w:val="20"/>
          <w:szCs w:val="20"/>
        </w:rPr>
        <w:t xml:space="preserve">: Analyses comparing follow-up durations (≤18 months vs. &gt;18 months) showed stable long-term performance. No statistically significant differences were found between subgroups for stent thrombosis (P = 0.22), </w:t>
      </w:r>
      <w:r w:rsidRPr="00FB7F00">
        <w:rPr>
          <w:rFonts w:ascii="Times New Roman" w:hAnsi="Times New Roman" w:cs="Times New Roman"/>
          <w:sz w:val="20"/>
          <w:szCs w:val="20"/>
        </w:rPr>
        <w:lastRenderedPageBreak/>
        <w:t>all-cause mortality (P = 0.69), myocardial infarction (P = 0.53), TLF (P = 0.63), TLR (P = 0.38), or target vessel MI (P = 0.79).</w:t>
      </w:r>
    </w:p>
    <w:p w14:paraId="158245EF" w14:textId="653FD358" w:rsidR="00FB7F00" w:rsidRDefault="00FB7F00" w:rsidP="00FB7F00">
      <w:pPr>
        <w:widowControl w:val="0"/>
        <w:adjustRightInd w:val="0"/>
        <w:spacing w:after="0" w:line="360" w:lineRule="auto"/>
        <w:jc w:val="both"/>
        <w:rPr>
          <w:rFonts w:ascii="Times New Roman" w:hAnsi="Times New Roman" w:cs="Times New Roman"/>
          <w:sz w:val="20"/>
          <w:szCs w:val="20"/>
        </w:rPr>
      </w:pPr>
      <w:proofErr w:type="spellStart"/>
      <w:r w:rsidRPr="00054502">
        <w:rPr>
          <w:rFonts w:ascii="Times New Roman" w:hAnsi="Times New Roman" w:cs="Times New Roman"/>
          <w:b/>
          <w:bCs/>
          <w:sz w:val="20"/>
          <w:szCs w:val="20"/>
        </w:rPr>
        <w:t>Ultimaster</w:t>
      </w:r>
      <w:proofErr w:type="spellEnd"/>
      <w:r w:rsidRPr="00054502">
        <w:rPr>
          <w:rFonts w:ascii="Times New Roman" w:hAnsi="Times New Roman" w:cs="Times New Roman"/>
          <w:b/>
          <w:bCs/>
          <w:sz w:val="20"/>
          <w:szCs w:val="20"/>
        </w:rPr>
        <w:t xml:space="preserve"> Stents</w:t>
      </w:r>
      <w:r w:rsidRPr="00FB7F00">
        <w:rPr>
          <w:rFonts w:ascii="Times New Roman" w:hAnsi="Times New Roman" w:cs="Times New Roman"/>
          <w:sz w:val="20"/>
          <w:szCs w:val="20"/>
        </w:rPr>
        <w:t>: The subgroup analysis comparing follow-up durations (≤1 year vs. 5 years) indicated that follow-up time did not significantly influence cardiac death (P = 0.14), myocardial infarction (P = 0.26), or stent thrombosis (P = 0.26). However, a statistically significant difference was observed for all-cause mortality (P = 0.0007), with higher rates in the 5-year subgroup (8%; 95% CI: 0.06–0.10) compared to the ≤1-year subgroup (3%; 95% CI: 0.02–0.05).</w:t>
      </w:r>
      <w:r w:rsidR="00054502">
        <w:rPr>
          <w:rFonts w:ascii="Times New Roman" w:hAnsi="Times New Roman" w:cs="Times New Roman"/>
          <w:sz w:val="20"/>
          <w:szCs w:val="20"/>
        </w:rPr>
        <w:t xml:space="preserve"> </w:t>
      </w:r>
      <w:r w:rsidRPr="00FB7F00">
        <w:rPr>
          <w:rFonts w:ascii="Times New Roman" w:hAnsi="Times New Roman" w:cs="Times New Roman"/>
          <w:sz w:val="20"/>
          <w:szCs w:val="20"/>
        </w:rPr>
        <w:t>These findings suggest a potential late hazard period associated with scaffold resorption, during which the risk of adverse events may increase.</w:t>
      </w:r>
      <w:r w:rsidR="00054502">
        <w:rPr>
          <w:rFonts w:ascii="Times New Roman" w:hAnsi="Times New Roman" w:cs="Times New Roman"/>
          <w:sz w:val="20"/>
          <w:szCs w:val="20"/>
        </w:rPr>
        <w:t xml:space="preserve"> </w:t>
      </w:r>
      <w:r w:rsidRPr="00FB7F00">
        <w:rPr>
          <w:rFonts w:ascii="Times New Roman" w:hAnsi="Times New Roman" w:cs="Times New Roman"/>
          <w:sz w:val="20"/>
          <w:szCs w:val="20"/>
        </w:rPr>
        <w:t>The results are summarized in Table 3, and the subgroup analysis results are presented in Table 4.</w:t>
      </w:r>
    </w:p>
    <w:p w14:paraId="66A2DA9D" w14:textId="77777777" w:rsidR="00B62016" w:rsidRDefault="00B62016"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1373"/>
        <w:gridCol w:w="2008"/>
        <w:gridCol w:w="1023"/>
        <w:gridCol w:w="1103"/>
        <w:gridCol w:w="1184"/>
        <w:gridCol w:w="1726"/>
        <w:gridCol w:w="933"/>
      </w:tblGrid>
      <w:tr w:rsidR="00CF4FFF" w:rsidRPr="00CF4FFF" w14:paraId="2053469E" w14:textId="77777777" w:rsidTr="00CF4FFF">
        <w:trPr>
          <w:trHeight w:val="780"/>
          <w:jc w:val="center"/>
        </w:trPr>
        <w:tc>
          <w:tcPr>
            <w:tcW w:w="734" w:type="pct"/>
            <w:tcBorders>
              <w:top w:val="single" w:sz="4" w:space="0" w:color="auto"/>
              <w:left w:val="single" w:sz="4" w:space="0" w:color="auto"/>
              <w:bottom w:val="single" w:sz="4" w:space="0" w:color="auto"/>
              <w:right w:val="single" w:sz="4" w:space="0" w:color="auto"/>
            </w:tcBorders>
            <w:vAlign w:val="center"/>
            <w:hideMark/>
          </w:tcPr>
          <w:p w14:paraId="2ED9CF44"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Stent Type</w:t>
            </w:r>
          </w:p>
        </w:tc>
        <w:tc>
          <w:tcPr>
            <w:tcW w:w="1074" w:type="pct"/>
            <w:tcBorders>
              <w:top w:val="single" w:sz="4" w:space="0" w:color="auto"/>
              <w:left w:val="nil"/>
              <w:bottom w:val="single" w:sz="4" w:space="0" w:color="auto"/>
              <w:right w:val="single" w:sz="4" w:space="0" w:color="auto"/>
            </w:tcBorders>
            <w:vAlign w:val="center"/>
            <w:hideMark/>
          </w:tcPr>
          <w:p w14:paraId="74F12E54"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Outcome</w:t>
            </w:r>
          </w:p>
        </w:tc>
        <w:tc>
          <w:tcPr>
            <w:tcW w:w="547" w:type="pct"/>
            <w:tcBorders>
              <w:top w:val="single" w:sz="4" w:space="0" w:color="auto"/>
              <w:left w:val="nil"/>
              <w:bottom w:val="single" w:sz="4" w:space="0" w:color="auto"/>
              <w:right w:val="single" w:sz="4" w:space="0" w:color="auto"/>
            </w:tcBorders>
            <w:vAlign w:val="center"/>
            <w:hideMark/>
          </w:tcPr>
          <w:p w14:paraId="638B496B"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No. of Studies (k)</w:t>
            </w:r>
          </w:p>
        </w:tc>
        <w:tc>
          <w:tcPr>
            <w:tcW w:w="590" w:type="pct"/>
            <w:tcBorders>
              <w:top w:val="single" w:sz="4" w:space="0" w:color="auto"/>
              <w:left w:val="nil"/>
              <w:bottom w:val="single" w:sz="4" w:space="0" w:color="auto"/>
              <w:right w:val="single" w:sz="4" w:space="0" w:color="auto"/>
            </w:tcBorders>
            <w:vAlign w:val="center"/>
            <w:hideMark/>
          </w:tcPr>
          <w:p w14:paraId="718C8647"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Total Patients (N)</w:t>
            </w:r>
          </w:p>
        </w:tc>
        <w:tc>
          <w:tcPr>
            <w:tcW w:w="633" w:type="pct"/>
            <w:tcBorders>
              <w:top w:val="single" w:sz="4" w:space="0" w:color="auto"/>
              <w:left w:val="nil"/>
              <w:bottom w:val="single" w:sz="4" w:space="0" w:color="auto"/>
              <w:right w:val="single" w:sz="4" w:space="0" w:color="auto"/>
            </w:tcBorders>
            <w:vAlign w:val="center"/>
            <w:hideMark/>
          </w:tcPr>
          <w:p w14:paraId="37084E06"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Pooled Estimate [95% CI]</w:t>
            </w:r>
          </w:p>
        </w:tc>
        <w:tc>
          <w:tcPr>
            <w:tcW w:w="923" w:type="pct"/>
            <w:tcBorders>
              <w:top w:val="single" w:sz="4" w:space="0" w:color="auto"/>
              <w:left w:val="nil"/>
              <w:bottom w:val="single" w:sz="4" w:space="0" w:color="auto"/>
              <w:right w:val="single" w:sz="4" w:space="0" w:color="auto"/>
            </w:tcBorders>
            <w:vAlign w:val="center"/>
            <w:hideMark/>
          </w:tcPr>
          <w:p w14:paraId="54A61C50"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Heterogeneity (I2)</w:t>
            </w:r>
          </w:p>
        </w:tc>
        <w:tc>
          <w:tcPr>
            <w:tcW w:w="499" w:type="pct"/>
            <w:tcBorders>
              <w:top w:val="single" w:sz="4" w:space="0" w:color="auto"/>
              <w:left w:val="nil"/>
              <w:bottom w:val="single" w:sz="4" w:space="0" w:color="auto"/>
              <w:right w:val="single" w:sz="4" w:space="0" w:color="auto"/>
            </w:tcBorders>
            <w:vAlign w:val="center"/>
            <w:hideMark/>
          </w:tcPr>
          <w:p w14:paraId="039904A1"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P-value</w:t>
            </w:r>
          </w:p>
        </w:tc>
      </w:tr>
      <w:tr w:rsidR="00CF4FFF" w:rsidRPr="00CF4FFF" w14:paraId="4BBED516"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35C8E2BB"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r w:rsidRPr="00CF4FFF">
              <w:rPr>
                <w:rFonts w:ascii="Times New Roman" w:eastAsia="Times New Roman" w:hAnsi="Times New Roman" w:cs="Times New Roman"/>
                <w:b/>
                <w:bCs/>
                <w:color w:val="1F1F1F"/>
                <w:sz w:val="20"/>
                <w:szCs w:val="20"/>
                <w:lang w:val="en" w:eastAsia="en-IN"/>
              </w:rPr>
              <w:t>Biomatrix</w:t>
            </w:r>
          </w:p>
        </w:tc>
        <w:tc>
          <w:tcPr>
            <w:tcW w:w="1074" w:type="pct"/>
            <w:tcBorders>
              <w:top w:val="nil"/>
              <w:left w:val="nil"/>
              <w:bottom w:val="single" w:sz="4" w:space="0" w:color="auto"/>
              <w:right w:val="single" w:sz="4" w:space="0" w:color="auto"/>
            </w:tcBorders>
            <w:vAlign w:val="center"/>
            <w:hideMark/>
          </w:tcPr>
          <w:p w14:paraId="76AEF6C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Cardiac Death</w:t>
            </w:r>
          </w:p>
        </w:tc>
        <w:tc>
          <w:tcPr>
            <w:tcW w:w="547" w:type="pct"/>
            <w:tcBorders>
              <w:top w:val="nil"/>
              <w:left w:val="nil"/>
              <w:bottom w:val="single" w:sz="4" w:space="0" w:color="auto"/>
              <w:right w:val="single" w:sz="4" w:space="0" w:color="auto"/>
            </w:tcBorders>
            <w:vAlign w:val="center"/>
            <w:hideMark/>
          </w:tcPr>
          <w:p w14:paraId="313DF7C7"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31574BD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5,281</w:t>
            </w:r>
          </w:p>
        </w:tc>
        <w:tc>
          <w:tcPr>
            <w:tcW w:w="633" w:type="pct"/>
            <w:tcBorders>
              <w:top w:val="nil"/>
              <w:left w:val="nil"/>
              <w:bottom w:val="single" w:sz="4" w:space="0" w:color="auto"/>
              <w:right w:val="single" w:sz="4" w:space="0" w:color="auto"/>
            </w:tcBorders>
            <w:vAlign w:val="center"/>
            <w:hideMark/>
          </w:tcPr>
          <w:p w14:paraId="7D06041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0.04]</w:t>
            </w:r>
          </w:p>
        </w:tc>
        <w:tc>
          <w:tcPr>
            <w:tcW w:w="923" w:type="pct"/>
            <w:tcBorders>
              <w:top w:val="nil"/>
              <w:left w:val="nil"/>
              <w:bottom w:val="single" w:sz="4" w:space="0" w:color="auto"/>
              <w:right w:val="single" w:sz="4" w:space="0" w:color="auto"/>
            </w:tcBorders>
            <w:vAlign w:val="center"/>
            <w:hideMark/>
          </w:tcPr>
          <w:p w14:paraId="6AD8105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93.90%</w:t>
            </w:r>
          </w:p>
        </w:tc>
        <w:tc>
          <w:tcPr>
            <w:tcW w:w="499" w:type="pct"/>
            <w:tcBorders>
              <w:top w:val="nil"/>
              <w:left w:val="nil"/>
              <w:bottom w:val="single" w:sz="4" w:space="0" w:color="auto"/>
              <w:right w:val="single" w:sz="4" w:space="0" w:color="auto"/>
            </w:tcBorders>
            <w:vAlign w:val="center"/>
            <w:hideMark/>
          </w:tcPr>
          <w:p w14:paraId="7DF8C587"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3626F930" w14:textId="77777777" w:rsidTr="00CF4FFF">
        <w:trPr>
          <w:trHeight w:val="780"/>
          <w:jc w:val="center"/>
        </w:trPr>
        <w:tc>
          <w:tcPr>
            <w:tcW w:w="734" w:type="pct"/>
            <w:tcBorders>
              <w:top w:val="nil"/>
              <w:left w:val="single" w:sz="4" w:space="0" w:color="auto"/>
              <w:bottom w:val="single" w:sz="4" w:space="0" w:color="auto"/>
              <w:right w:val="single" w:sz="4" w:space="0" w:color="auto"/>
            </w:tcBorders>
            <w:vAlign w:val="center"/>
            <w:hideMark/>
          </w:tcPr>
          <w:p w14:paraId="73018F5F"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1DE61C4F"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Stent Thrombosis</w:t>
            </w:r>
          </w:p>
        </w:tc>
        <w:tc>
          <w:tcPr>
            <w:tcW w:w="547" w:type="pct"/>
            <w:tcBorders>
              <w:top w:val="nil"/>
              <w:left w:val="nil"/>
              <w:bottom w:val="single" w:sz="4" w:space="0" w:color="auto"/>
              <w:right w:val="single" w:sz="4" w:space="0" w:color="auto"/>
            </w:tcBorders>
            <w:vAlign w:val="center"/>
            <w:hideMark/>
          </w:tcPr>
          <w:p w14:paraId="1FD8D2A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4</w:t>
            </w:r>
          </w:p>
        </w:tc>
        <w:tc>
          <w:tcPr>
            <w:tcW w:w="590" w:type="pct"/>
            <w:tcBorders>
              <w:top w:val="nil"/>
              <w:left w:val="nil"/>
              <w:bottom w:val="single" w:sz="4" w:space="0" w:color="auto"/>
              <w:right w:val="single" w:sz="4" w:space="0" w:color="auto"/>
            </w:tcBorders>
            <w:vAlign w:val="center"/>
            <w:hideMark/>
          </w:tcPr>
          <w:p w14:paraId="5C15FCE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3,715</w:t>
            </w:r>
          </w:p>
        </w:tc>
        <w:tc>
          <w:tcPr>
            <w:tcW w:w="633" w:type="pct"/>
            <w:tcBorders>
              <w:top w:val="nil"/>
              <w:left w:val="nil"/>
              <w:bottom w:val="single" w:sz="4" w:space="0" w:color="auto"/>
              <w:right w:val="single" w:sz="4" w:space="0" w:color="auto"/>
            </w:tcBorders>
            <w:vAlign w:val="center"/>
            <w:hideMark/>
          </w:tcPr>
          <w:p w14:paraId="5292FDA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[0.00; 0.02]</w:t>
            </w:r>
          </w:p>
        </w:tc>
        <w:tc>
          <w:tcPr>
            <w:tcW w:w="923" w:type="pct"/>
            <w:tcBorders>
              <w:top w:val="nil"/>
              <w:left w:val="nil"/>
              <w:bottom w:val="single" w:sz="4" w:space="0" w:color="auto"/>
              <w:right w:val="single" w:sz="4" w:space="0" w:color="auto"/>
            </w:tcBorders>
            <w:vAlign w:val="center"/>
            <w:hideMark/>
          </w:tcPr>
          <w:p w14:paraId="6C19FF87"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85.40%</w:t>
            </w:r>
          </w:p>
        </w:tc>
        <w:tc>
          <w:tcPr>
            <w:tcW w:w="499" w:type="pct"/>
            <w:tcBorders>
              <w:top w:val="nil"/>
              <w:left w:val="nil"/>
              <w:bottom w:val="single" w:sz="4" w:space="0" w:color="auto"/>
              <w:right w:val="single" w:sz="4" w:space="0" w:color="auto"/>
            </w:tcBorders>
            <w:vAlign w:val="center"/>
            <w:hideMark/>
          </w:tcPr>
          <w:p w14:paraId="3C6CD4A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0.0001</w:t>
            </w:r>
          </w:p>
        </w:tc>
      </w:tr>
      <w:tr w:rsidR="00CF4FFF" w:rsidRPr="00CF4FFF" w14:paraId="40AACA41" w14:textId="77777777" w:rsidTr="00CF4FFF">
        <w:trPr>
          <w:trHeight w:val="1040"/>
          <w:jc w:val="center"/>
        </w:trPr>
        <w:tc>
          <w:tcPr>
            <w:tcW w:w="734" w:type="pct"/>
            <w:tcBorders>
              <w:top w:val="nil"/>
              <w:left w:val="single" w:sz="4" w:space="0" w:color="auto"/>
              <w:bottom w:val="single" w:sz="4" w:space="0" w:color="auto"/>
              <w:right w:val="single" w:sz="4" w:space="0" w:color="auto"/>
            </w:tcBorders>
            <w:vAlign w:val="center"/>
            <w:hideMark/>
          </w:tcPr>
          <w:p w14:paraId="10327D35"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7BFA1AC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Failure (TLF)</w:t>
            </w:r>
          </w:p>
        </w:tc>
        <w:tc>
          <w:tcPr>
            <w:tcW w:w="547" w:type="pct"/>
            <w:tcBorders>
              <w:top w:val="nil"/>
              <w:left w:val="nil"/>
              <w:bottom w:val="single" w:sz="4" w:space="0" w:color="auto"/>
              <w:right w:val="single" w:sz="4" w:space="0" w:color="auto"/>
            </w:tcBorders>
            <w:vAlign w:val="center"/>
            <w:hideMark/>
          </w:tcPr>
          <w:p w14:paraId="44E1BA1A"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22AD5CA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5,281</w:t>
            </w:r>
          </w:p>
        </w:tc>
        <w:tc>
          <w:tcPr>
            <w:tcW w:w="633" w:type="pct"/>
            <w:tcBorders>
              <w:top w:val="nil"/>
              <w:left w:val="nil"/>
              <w:bottom w:val="single" w:sz="4" w:space="0" w:color="auto"/>
              <w:right w:val="single" w:sz="4" w:space="0" w:color="auto"/>
            </w:tcBorders>
            <w:vAlign w:val="center"/>
            <w:hideMark/>
          </w:tcPr>
          <w:p w14:paraId="6FC91B88"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0.07 [0.03; 0.11]</w:t>
            </w:r>
          </w:p>
        </w:tc>
        <w:tc>
          <w:tcPr>
            <w:tcW w:w="923" w:type="pct"/>
            <w:tcBorders>
              <w:top w:val="nil"/>
              <w:left w:val="nil"/>
              <w:bottom w:val="single" w:sz="4" w:space="0" w:color="auto"/>
              <w:right w:val="single" w:sz="4" w:space="0" w:color="auto"/>
            </w:tcBorders>
            <w:vAlign w:val="center"/>
            <w:hideMark/>
          </w:tcPr>
          <w:p w14:paraId="1132239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97.90%</w:t>
            </w:r>
          </w:p>
        </w:tc>
        <w:tc>
          <w:tcPr>
            <w:tcW w:w="499" w:type="pct"/>
            <w:tcBorders>
              <w:top w:val="nil"/>
              <w:left w:val="nil"/>
              <w:bottom w:val="single" w:sz="4" w:space="0" w:color="auto"/>
              <w:right w:val="single" w:sz="4" w:space="0" w:color="auto"/>
            </w:tcBorders>
            <w:vAlign w:val="center"/>
            <w:hideMark/>
          </w:tcPr>
          <w:p w14:paraId="4B8B78E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7EBF2209" w14:textId="77777777" w:rsidTr="00CF4FFF">
        <w:trPr>
          <w:trHeight w:val="1300"/>
          <w:jc w:val="center"/>
        </w:trPr>
        <w:tc>
          <w:tcPr>
            <w:tcW w:w="734" w:type="pct"/>
            <w:tcBorders>
              <w:top w:val="nil"/>
              <w:left w:val="single" w:sz="4" w:space="0" w:color="auto"/>
              <w:bottom w:val="single" w:sz="4" w:space="0" w:color="auto"/>
              <w:right w:val="single" w:sz="4" w:space="0" w:color="auto"/>
            </w:tcBorders>
            <w:vAlign w:val="center"/>
            <w:hideMark/>
          </w:tcPr>
          <w:p w14:paraId="731DF541"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5F56B00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Revascularization (TLR)</w:t>
            </w:r>
          </w:p>
        </w:tc>
        <w:tc>
          <w:tcPr>
            <w:tcW w:w="547" w:type="pct"/>
            <w:tcBorders>
              <w:top w:val="nil"/>
              <w:left w:val="nil"/>
              <w:bottom w:val="single" w:sz="4" w:space="0" w:color="auto"/>
              <w:right w:val="single" w:sz="4" w:space="0" w:color="auto"/>
            </w:tcBorders>
            <w:vAlign w:val="center"/>
            <w:hideMark/>
          </w:tcPr>
          <w:p w14:paraId="1BACE33A"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4</w:t>
            </w:r>
          </w:p>
        </w:tc>
        <w:tc>
          <w:tcPr>
            <w:tcW w:w="590" w:type="pct"/>
            <w:tcBorders>
              <w:top w:val="nil"/>
              <w:left w:val="nil"/>
              <w:bottom w:val="single" w:sz="4" w:space="0" w:color="auto"/>
              <w:right w:val="single" w:sz="4" w:space="0" w:color="auto"/>
            </w:tcBorders>
            <w:vAlign w:val="center"/>
            <w:hideMark/>
          </w:tcPr>
          <w:p w14:paraId="5295EF4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3,715</w:t>
            </w:r>
          </w:p>
        </w:tc>
        <w:tc>
          <w:tcPr>
            <w:tcW w:w="633" w:type="pct"/>
            <w:tcBorders>
              <w:top w:val="nil"/>
              <w:left w:val="nil"/>
              <w:bottom w:val="single" w:sz="4" w:space="0" w:color="auto"/>
              <w:right w:val="single" w:sz="4" w:space="0" w:color="auto"/>
            </w:tcBorders>
            <w:vAlign w:val="center"/>
            <w:hideMark/>
          </w:tcPr>
          <w:p w14:paraId="5D08598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0.03 [0.00; 0.07]</w:t>
            </w:r>
          </w:p>
        </w:tc>
        <w:tc>
          <w:tcPr>
            <w:tcW w:w="923" w:type="pct"/>
            <w:tcBorders>
              <w:top w:val="nil"/>
              <w:left w:val="nil"/>
              <w:bottom w:val="single" w:sz="4" w:space="0" w:color="auto"/>
              <w:right w:val="single" w:sz="4" w:space="0" w:color="auto"/>
            </w:tcBorders>
            <w:vAlign w:val="center"/>
            <w:hideMark/>
          </w:tcPr>
          <w:p w14:paraId="245F130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98.20%</w:t>
            </w:r>
          </w:p>
        </w:tc>
        <w:tc>
          <w:tcPr>
            <w:tcW w:w="499" w:type="pct"/>
            <w:tcBorders>
              <w:top w:val="nil"/>
              <w:left w:val="nil"/>
              <w:bottom w:val="single" w:sz="4" w:space="0" w:color="auto"/>
              <w:right w:val="single" w:sz="4" w:space="0" w:color="auto"/>
            </w:tcBorders>
            <w:vAlign w:val="center"/>
            <w:hideMark/>
          </w:tcPr>
          <w:p w14:paraId="6E6A4AA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5D33626A"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0589C229"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10EA615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Vessel MI</w:t>
            </w:r>
          </w:p>
        </w:tc>
        <w:tc>
          <w:tcPr>
            <w:tcW w:w="547" w:type="pct"/>
            <w:tcBorders>
              <w:top w:val="nil"/>
              <w:left w:val="nil"/>
              <w:bottom w:val="single" w:sz="4" w:space="0" w:color="auto"/>
              <w:right w:val="single" w:sz="4" w:space="0" w:color="auto"/>
            </w:tcBorders>
            <w:vAlign w:val="center"/>
            <w:hideMark/>
          </w:tcPr>
          <w:p w14:paraId="0AA5BE52"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1383169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5,281</w:t>
            </w:r>
          </w:p>
        </w:tc>
        <w:tc>
          <w:tcPr>
            <w:tcW w:w="633" w:type="pct"/>
            <w:tcBorders>
              <w:top w:val="nil"/>
              <w:left w:val="nil"/>
              <w:bottom w:val="single" w:sz="4" w:space="0" w:color="auto"/>
              <w:right w:val="single" w:sz="4" w:space="0" w:color="auto"/>
            </w:tcBorders>
            <w:vAlign w:val="center"/>
            <w:hideMark/>
          </w:tcPr>
          <w:p w14:paraId="2706B80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0.03 [0.01; 0.04]</w:t>
            </w:r>
          </w:p>
        </w:tc>
        <w:tc>
          <w:tcPr>
            <w:tcW w:w="923" w:type="pct"/>
            <w:tcBorders>
              <w:top w:val="nil"/>
              <w:left w:val="nil"/>
              <w:bottom w:val="single" w:sz="4" w:space="0" w:color="auto"/>
              <w:right w:val="single" w:sz="4" w:space="0" w:color="auto"/>
            </w:tcBorders>
            <w:vAlign w:val="center"/>
            <w:hideMark/>
          </w:tcPr>
          <w:p w14:paraId="47CE090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96.40%</w:t>
            </w:r>
          </w:p>
        </w:tc>
        <w:tc>
          <w:tcPr>
            <w:tcW w:w="499" w:type="pct"/>
            <w:tcBorders>
              <w:top w:val="nil"/>
              <w:left w:val="nil"/>
              <w:bottom w:val="single" w:sz="4" w:space="0" w:color="auto"/>
              <w:right w:val="single" w:sz="4" w:space="0" w:color="auto"/>
            </w:tcBorders>
            <w:vAlign w:val="center"/>
            <w:hideMark/>
          </w:tcPr>
          <w:p w14:paraId="463E403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2332B2E9"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175358D3"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proofErr w:type="spellStart"/>
            <w:r w:rsidRPr="00CF4FFF">
              <w:rPr>
                <w:rFonts w:ascii="Times New Roman" w:eastAsia="Times New Roman" w:hAnsi="Times New Roman" w:cs="Times New Roman"/>
                <w:b/>
                <w:bCs/>
                <w:color w:val="1F1F1F"/>
                <w:sz w:val="20"/>
                <w:szCs w:val="20"/>
                <w:lang w:val="en" w:eastAsia="en-IN"/>
              </w:rPr>
              <w:t>Magmaris</w:t>
            </w:r>
            <w:proofErr w:type="spellEnd"/>
          </w:p>
        </w:tc>
        <w:tc>
          <w:tcPr>
            <w:tcW w:w="1074" w:type="pct"/>
            <w:tcBorders>
              <w:top w:val="nil"/>
              <w:left w:val="nil"/>
              <w:bottom w:val="single" w:sz="4" w:space="0" w:color="auto"/>
              <w:right w:val="single" w:sz="4" w:space="0" w:color="auto"/>
            </w:tcBorders>
            <w:vAlign w:val="center"/>
            <w:hideMark/>
          </w:tcPr>
          <w:p w14:paraId="738341B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All-cause Mortality</w:t>
            </w:r>
          </w:p>
        </w:tc>
        <w:tc>
          <w:tcPr>
            <w:tcW w:w="547" w:type="pct"/>
            <w:tcBorders>
              <w:top w:val="nil"/>
              <w:left w:val="nil"/>
              <w:bottom w:val="single" w:sz="4" w:space="0" w:color="auto"/>
              <w:right w:val="single" w:sz="4" w:space="0" w:color="auto"/>
            </w:tcBorders>
            <w:vAlign w:val="center"/>
            <w:hideMark/>
          </w:tcPr>
          <w:p w14:paraId="0D7DB42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2A74CA2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4,685</w:t>
            </w:r>
          </w:p>
        </w:tc>
        <w:tc>
          <w:tcPr>
            <w:tcW w:w="633" w:type="pct"/>
            <w:tcBorders>
              <w:top w:val="nil"/>
              <w:left w:val="nil"/>
              <w:bottom w:val="single" w:sz="4" w:space="0" w:color="auto"/>
              <w:right w:val="single" w:sz="4" w:space="0" w:color="auto"/>
            </w:tcBorders>
            <w:vAlign w:val="center"/>
            <w:hideMark/>
          </w:tcPr>
          <w:p w14:paraId="5D7D1F4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[0.01; 0.01]</w:t>
            </w:r>
          </w:p>
        </w:tc>
        <w:tc>
          <w:tcPr>
            <w:tcW w:w="923" w:type="pct"/>
            <w:tcBorders>
              <w:top w:val="nil"/>
              <w:left w:val="nil"/>
              <w:bottom w:val="single" w:sz="4" w:space="0" w:color="auto"/>
              <w:right w:val="single" w:sz="4" w:space="0" w:color="auto"/>
            </w:tcBorders>
            <w:vAlign w:val="center"/>
            <w:hideMark/>
          </w:tcPr>
          <w:p w14:paraId="2425B51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w:t>
            </w:r>
          </w:p>
        </w:tc>
        <w:tc>
          <w:tcPr>
            <w:tcW w:w="499" w:type="pct"/>
            <w:tcBorders>
              <w:top w:val="nil"/>
              <w:left w:val="nil"/>
              <w:bottom w:val="single" w:sz="4" w:space="0" w:color="auto"/>
              <w:right w:val="single" w:sz="4" w:space="0" w:color="auto"/>
            </w:tcBorders>
            <w:vAlign w:val="center"/>
            <w:hideMark/>
          </w:tcPr>
          <w:p w14:paraId="55A12C7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0.6043</w:t>
            </w:r>
          </w:p>
        </w:tc>
      </w:tr>
      <w:tr w:rsidR="00CF4FFF" w:rsidRPr="00CF4FFF" w14:paraId="71BEE170"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6B064F89"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6C26322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Myocardial Infarction</w:t>
            </w:r>
          </w:p>
        </w:tc>
        <w:tc>
          <w:tcPr>
            <w:tcW w:w="547" w:type="pct"/>
            <w:tcBorders>
              <w:top w:val="nil"/>
              <w:left w:val="nil"/>
              <w:bottom w:val="single" w:sz="4" w:space="0" w:color="auto"/>
              <w:right w:val="single" w:sz="4" w:space="0" w:color="auto"/>
            </w:tcBorders>
            <w:vAlign w:val="center"/>
            <w:hideMark/>
          </w:tcPr>
          <w:p w14:paraId="105E037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01B7C03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2,677</w:t>
            </w:r>
          </w:p>
        </w:tc>
        <w:tc>
          <w:tcPr>
            <w:tcW w:w="633" w:type="pct"/>
            <w:tcBorders>
              <w:top w:val="nil"/>
              <w:left w:val="nil"/>
              <w:bottom w:val="single" w:sz="4" w:space="0" w:color="auto"/>
              <w:right w:val="single" w:sz="4" w:space="0" w:color="auto"/>
            </w:tcBorders>
            <w:vAlign w:val="center"/>
            <w:hideMark/>
          </w:tcPr>
          <w:p w14:paraId="01563C4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0.02]</w:t>
            </w:r>
          </w:p>
        </w:tc>
        <w:tc>
          <w:tcPr>
            <w:tcW w:w="923" w:type="pct"/>
            <w:tcBorders>
              <w:top w:val="nil"/>
              <w:left w:val="nil"/>
              <w:bottom w:val="single" w:sz="4" w:space="0" w:color="auto"/>
              <w:right w:val="single" w:sz="4" w:space="0" w:color="auto"/>
            </w:tcBorders>
            <w:vAlign w:val="center"/>
            <w:hideMark/>
          </w:tcPr>
          <w:p w14:paraId="6454178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17.90%</w:t>
            </w:r>
          </w:p>
        </w:tc>
        <w:tc>
          <w:tcPr>
            <w:tcW w:w="499" w:type="pct"/>
            <w:tcBorders>
              <w:top w:val="nil"/>
              <w:left w:val="nil"/>
              <w:bottom w:val="single" w:sz="4" w:space="0" w:color="auto"/>
              <w:right w:val="single" w:sz="4" w:space="0" w:color="auto"/>
            </w:tcBorders>
            <w:vAlign w:val="center"/>
            <w:hideMark/>
          </w:tcPr>
          <w:p w14:paraId="0917D12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0.278</w:t>
            </w:r>
          </w:p>
        </w:tc>
      </w:tr>
      <w:tr w:rsidR="00CF4FFF" w:rsidRPr="00CF4FFF" w14:paraId="7296F6C8" w14:textId="77777777" w:rsidTr="00CF4FFF">
        <w:trPr>
          <w:trHeight w:val="780"/>
          <w:jc w:val="center"/>
        </w:trPr>
        <w:tc>
          <w:tcPr>
            <w:tcW w:w="734" w:type="pct"/>
            <w:tcBorders>
              <w:top w:val="nil"/>
              <w:left w:val="single" w:sz="4" w:space="0" w:color="auto"/>
              <w:bottom w:val="single" w:sz="4" w:space="0" w:color="auto"/>
              <w:right w:val="single" w:sz="4" w:space="0" w:color="auto"/>
            </w:tcBorders>
            <w:vAlign w:val="center"/>
            <w:hideMark/>
          </w:tcPr>
          <w:p w14:paraId="42DB6898"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7648601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Stent Thrombosis</w:t>
            </w:r>
          </w:p>
        </w:tc>
        <w:tc>
          <w:tcPr>
            <w:tcW w:w="547" w:type="pct"/>
            <w:tcBorders>
              <w:top w:val="nil"/>
              <w:left w:val="nil"/>
              <w:bottom w:val="single" w:sz="4" w:space="0" w:color="auto"/>
              <w:right w:val="single" w:sz="4" w:space="0" w:color="auto"/>
            </w:tcBorders>
            <w:vAlign w:val="center"/>
            <w:hideMark/>
          </w:tcPr>
          <w:p w14:paraId="519A45A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266E79E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3,613</w:t>
            </w:r>
          </w:p>
        </w:tc>
        <w:tc>
          <w:tcPr>
            <w:tcW w:w="633" w:type="pct"/>
            <w:tcBorders>
              <w:top w:val="nil"/>
              <w:left w:val="nil"/>
              <w:bottom w:val="single" w:sz="4" w:space="0" w:color="auto"/>
              <w:right w:val="single" w:sz="4" w:space="0" w:color="auto"/>
            </w:tcBorders>
            <w:vAlign w:val="center"/>
            <w:hideMark/>
          </w:tcPr>
          <w:p w14:paraId="7748284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[0.00; 0.01]</w:t>
            </w:r>
          </w:p>
        </w:tc>
        <w:tc>
          <w:tcPr>
            <w:tcW w:w="923" w:type="pct"/>
            <w:tcBorders>
              <w:top w:val="nil"/>
              <w:left w:val="nil"/>
              <w:bottom w:val="single" w:sz="4" w:space="0" w:color="auto"/>
              <w:right w:val="single" w:sz="4" w:space="0" w:color="auto"/>
            </w:tcBorders>
            <w:vAlign w:val="center"/>
            <w:hideMark/>
          </w:tcPr>
          <w:p w14:paraId="263EFC7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w:t>
            </w:r>
          </w:p>
        </w:tc>
        <w:tc>
          <w:tcPr>
            <w:tcW w:w="499" w:type="pct"/>
            <w:tcBorders>
              <w:top w:val="nil"/>
              <w:left w:val="nil"/>
              <w:bottom w:val="single" w:sz="4" w:space="0" w:color="auto"/>
              <w:right w:val="single" w:sz="4" w:space="0" w:color="auto"/>
            </w:tcBorders>
            <w:vAlign w:val="center"/>
            <w:hideMark/>
          </w:tcPr>
          <w:p w14:paraId="59677F9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0.678</w:t>
            </w:r>
          </w:p>
        </w:tc>
      </w:tr>
      <w:tr w:rsidR="00CF4FFF" w:rsidRPr="00CF4FFF" w14:paraId="17402F25" w14:textId="77777777" w:rsidTr="00CF4FFF">
        <w:trPr>
          <w:trHeight w:val="1040"/>
          <w:jc w:val="center"/>
        </w:trPr>
        <w:tc>
          <w:tcPr>
            <w:tcW w:w="734" w:type="pct"/>
            <w:tcBorders>
              <w:top w:val="nil"/>
              <w:left w:val="single" w:sz="4" w:space="0" w:color="auto"/>
              <w:bottom w:val="single" w:sz="4" w:space="0" w:color="auto"/>
              <w:right w:val="single" w:sz="4" w:space="0" w:color="auto"/>
            </w:tcBorders>
            <w:vAlign w:val="center"/>
            <w:hideMark/>
          </w:tcPr>
          <w:p w14:paraId="24864D92"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4F5A97B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Failure (TLF)</w:t>
            </w:r>
          </w:p>
        </w:tc>
        <w:tc>
          <w:tcPr>
            <w:tcW w:w="547" w:type="pct"/>
            <w:tcBorders>
              <w:top w:val="nil"/>
              <w:left w:val="nil"/>
              <w:bottom w:val="single" w:sz="4" w:space="0" w:color="auto"/>
              <w:right w:val="single" w:sz="4" w:space="0" w:color="auto"/>
            </w:tcBorders>
            <w:vAlign w:val="center"/>
            <w:hideMark/>
          </w:tcPr>
          <w:p w14:paraId="617AC10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14</w:t>
            </w:r>
          </w:p>
        </w:tc>
        <w:tc>
          <w:tcPr>
            <w:tcW w:w="590" w:type="pct"/>
            <w:tcBorders>
              <w:top w:val="nil"/>
              <w:left w:val="nil"/>
              <w:bottom w:val="single" w:sz="4" w:space="0" w:color="auto"/>
              <w:right w:val="single" w:sz="4" w:space="0" w:color="auto"/>
            </w:tcBorders>
            <w:vAlign w:val="center"/>
            <w:hideMark/>
          </w:tcPr>
          <w:p w14:paraId="3D4C5EA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5,171</w:t>
            </w:r>
          </w:p>
        </w:tc>
        <w:tc>
          <w:tcPr>
            <w:tcW w:w="633" w:type="pct"/>
            <w:tcBorders>
              <w:top w:val="nil"/>
              <w:left w:val="nil"/>
              <w:bottom w:val="single" w:sz="4" w:space="0" w:color="auto"/>
              <w:right w:val="single" w:sz="4" w:space="0" w:color="auto"/>
            </w:tcBorders>
            <w:vAlign w:val="center"/>
            <w:hideMark/>
          </w:tcPr>
          <w:p w14:paraId="35D7BAC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0.05 [0.04; 0.06]</w:t>
            </w:r>
          </w:p>
        </w:tc>
        <w:tc>
          <w:tcPr>
            <w:tcW w:w="923" w:type="pct"/>
            <w:tcBorders>
              <w:top w:val="nil"/>
              <w:left w:val="nil"/>
              <w:bottom w:val="single" w:sz="4" w:space="0" w:color="auto"/>
              <w:right w:val="single" w:sz="4" w:space="0" w:color="auto"/>
            </w:tcBorders>
            <w:vAlign w:val="center"/>
            <w:hideMark/>
          </w:tcPr>
          <w:p w14:paraId="30245DA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66.70%</w:t>
            </w:r>
          </w:p>
        </w:tc>
        <w:tc>
          <w:tcPr>
            <w:tcW w:w="499" w:type="pct"/>
            <w:tcBorders>
              <w:top w:val="nil"/>
              <w:left w:val="nil"/>
              <w:bottom w:val="single" w:sz="4" w:space="0" w:color="auto"/>
              <w:right w:val="single" w:sz="4" w:space="0" w:color="auto"/>
            </w:tcBorders>
            <w:vAlign w:val="center"/>
            <w:hideMark/>
          </w:tcPr>
          <w:p w14:paraId="7E29737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0.0002</w:t>
            </w:r>
          </w:p>
        </w:tc>
      </w:tr>
      <w:tr w:rsidR="00CF4FFF" w:rsidRPr="00CF4FFF" w14:paraId="2E36134F" w14:textId="77777777" w:rsidTr="00CF4FFF">
        <w:trPr>
          <w:trHeight w:val="1300"/>
          <w:jc w:val="center"/>
        </w:trPr>
        <w:tc>
          <w:tcPr>
            <w:tcW w:w="734" w:type="pct"/>
            <w:tcBorders>
              <w:top w:val="nil"/>
              <w:left w:val="single" w:sz="4" w:space="0" w:color="auto"/>
              <w:bottom w:val="single" w:sz="4" w:space="0" w:color="auto"/>
              <w:right w:val="single" w:sz="4" w:space="0" w:color="auto"/>
            </w:tcBorders>
            <w:vAlign w:val="center"/>
            <w:hideMark/>
          </w:tcPr>
          <w:p w14:paraId="145D62DB"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5DA618D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Revascularization (TLR)</w:t>
            </w:r>
          </w:p>
        </w:tc>
        <w:tc>
          <w:tcPr>
            <w:tcW w:w="547" w:type="pct"/>
            <w:tcBorders>
              <w:top w:val="nil"/>
              <w:left w:val="nil"/>
              <w:bottom w:val="single" w:sz="4" w:space="0" w:color="auto"/>
              <w:right w:val="single" w:sz="4" w:space="0" w:color="auto"/>
            </w:tcBorders>
            <w:vAlign w:val="center"/>
            <w:hideMark/>
          </w:tcPr>
          <w:p w14:paraId="4812D8A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14</w:t>
            </w:r>
          </w:p>
        </w:tc>
        <w:tc>
          <w:tcPr>
            <w:tcW w:w="590" w:type="pct"/>
            <w:tcBorders>
              <w:top w:val="nil"/>
              <w:left w:val="nil"/>
              <w:bottom w:val="single" w:sz="4" w:space="0" w:color="auto"/>
              <w:right w:val="single" w:sz="4" w:space="0" w:color="auto"/>
            </w:tcBorders>
            <w:vAlign w:val="center"/>
            <w:hideMark/>
          </w:tcPr>
          <w:p w14:paraId="160F3B0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5,199</w:t>
            </w:r>
          </w:p>
        </w:tc>
        <w:tc>
          <w:tcPr>
            <w:tcW w:w="633" w:type="pct"/>
            <w:tcBorders>
              <w:top w:val="nil"/>
              <w:left w:val="nil"/>
              <w:bottom w:val="single" w:sz="4" w:space="0" w:color="auto"/>
              <w:right w:val="single" w:sz="4" w:space="0" w:color="auto"/>
            </w:tcBorders>
            <w:vAlign w:val="center"/>
            <w:hideMark/>
          </w:tcPr>
          <w:p w14:paraId="6157DDF2"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0.04 [0.02; 0.05]</w:t>
            </w:r>
          </w:p>
        </w:tc>
        <w:tc>
          <w:tcPr>
            <w:tcW w:w="923" w:type="pct"/>
            <w:tcBorders>
              <w:top w:val="nil"/>
              <w:left w:val="nil"/>
              <w:bottom w:val="single" w:sz="4" w:space="0" w:color="auto"/>
              <w:right w:val="single" w:sz="4" w:space="0" w:color="auto"/>
            </w:tcBorders>
            <w:vAlign w:val="center"/>
            <w:hideMark/>
          </w:tcPr>
          <w:p w14:paraId="02EA706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87.80%</w:t>
            </w:r>
          </w:p>
        </w:tc>
        <w:tc>
          <w:tcPr>
            <w:tcW w:w="499" w:type="pct"/>
            <w:tcBorders>
              <w:top w:val="nil"/>
              <w:left w:val="nil"/>
              <w:bottom w:val="single" w:sz="4" w:space="0" w:color="auto"/>
              <w:right w:val="single" w:sz="4" w:space="0" w:color="auto"/>
            </w:tcBorders>
            <w:vAlign w:val="center"/>
            <w:hideMark/>
          </w:tcPr>
          <w:p w14:paraId="76E79B1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1E45778E" w14:textId="77777777" w:rsidTr="00CF4FFF">
        <w:trPr>
          <w:trHeight w:val="1040"/>
          <w:jc w:val="center"/>
        </w:trPr>
        <w:tc>
          <w:tcPr>
            <w:tcW w:w="734" w:type="pct"/>
            <w:tcBorders>
              <w:top w:val="nil"/>
              <w:left w:val="single" w:sz="4" w:space="0" w:color="auto"/>
              <w:bottom w:val="single" w:sz="4" w:space="0" w:color="auto"/>
              <w:right w:val="single" w:sz="4" w:space="0" w:color="auto"/>
            </w:tcBorders>
            <w:vAlign w:val="center"/>
            <w:hideMark/>
          </w:tcPr>
          <w:p w14:paraId="6B8F869A"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lastRenderedPageBreak/>
              <w:t> </w:t>
            </w:r>
          </w:p>
        </w:tc>
        <w:tc>
          <w:tcPr>
            <w:tcW w:w="1074" w:type="pct"/>
            <w:tcBorders>
              <w:top w:val="nil"/>
              <w:left w:val="nil"/>
              <w:bottom w:val="single" w:sz="4" w:space="0" w:color="auto"/>
              <w:right w:val="single" w:sz="4" w:space="0" w:color="auto"/>
            </w:tcBorders>
            <w:vAlign w:val="center"/>
            <w:hideMark/>
          </w:tcPr>
          <w:p w14:paraId="7C2BB807"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Vessel Myocardial Infarction</w:t>
            </w:r>
          </w:p>
        </w:tc>
        <w:tc>
          <w:tcPr>
            <w:tcW w:w="547" w:type="pct"/>
            <w:tcBorders>
              <w:top w:val="nil"/>
              <w:left w:val="nil"/>
              <w:bottom w:val="single" w:sz="4" w:space="0" w:color="auto"/>
              <w:right w:val="single" w:sz="4" w:space="0" w:color="auto"/>
            </w:tcBorders>
            <w:vAlign w:val="center"/>
            <w:hideMark/>
          </w:tcPr>
          <w:p w14:paraId="343FEEF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13</w:t>
            </w:r>
          </w:p>
        </w:tc>
        <w:tc>
          <w:tcPr>
            <w:tcW w:w="590" w:type="pct"/>
            <w:tcBorders>
              <w:top w:val="nil"/>
              <w:left w:val="nil"/>
              <w:bottom w:val="single" w:sz="4" w:space="0" w:color="auto"/>
              <w:right w:val="single" w:sz="4" w:space="0" w:color="auto"/>
            </w:tcBorders>
            <w:vAlign w:val="center"/>
            <w:hideMark/>
          </w:tcPr>
          <w:p w14:paraId="13BE338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5,129</w:t>
            </w:r>
          </w:p>
        </w:tc>
        <w:tc>
          <w:tcPr>
            <w:tcW w:w="633" w:type="pct"/>
            <w:tcBorders>
              <w:top w:val="nil"/>
              <w:left w:val="nil"/>
              <w:bottom w:val="single" w:sz="4" w:space="0" w:color="auto"/>
              <w:right w:val="single" w:sz="4" w:space="0" w:color="auto"/>
            </w:tcBorders>
            <w:vAlign w:val="center"/>
            <w:hideMark/>
          </w:tcPr>
          <w:p w14:paraId="02CC4AD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[0.01; 0.02]</w:t>
            </w:r>
          </w:p>
        </w:tc>
        <w:tc>
          <w:tcPr>
            <w:tcW w:w="923" w:type="pct"/>
            <w:tcBorders>
              <w:top w:val="nil"/>
              <w:left w:val="nil"/>
              <w:bottom w:val="single" w:sz="4" w:space="0" w:color="auto"/>
              <w:right w:val="single" w:sz="4" w:space="0" w:color="auto"/>
            </w:tcBorders>
            <w:vAlign w:val="center"/>
            <w:hideMark/>
          </w:tcPr>
          <w:p w14:paraId="725FF0C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w:t>
            </w:r>
          </w:p>
        </w:tc>
        <w:tc>
          <w:tcPr>
            <w:tcW w:w="499" w:type="pct"/>
            <w:tcBorders>
              <w:top w:val="nil"/>
              <w:left w:val="nil"/>
              <w:bottom w:val="single" w:sz="4" w:space="0" w:color="auto"/>
              <w:right w:val="single" w:sz="4" w:space="0" w:color="auto"/>
            </w:tcBorders>
            <w:vAlign w:val="center"/>
            <w:hideMark/>
          </w:tcPr>
          <w:p w14:paraId="65A5A20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0.6097</w:t>
            </w:r>
          </w:p>
        </w:tc>
      </w:tr>
      <w:tr w:rsidR="00CF4FFF" w:rsidRPr="00CF4FFF" w14:paraId="1194EE92"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6A083EFA"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proofErr w:type="spellStart"/>
            <w:r w:rsidRPr="00CF4FFF">
              <w:rPr>
                <w:rFonts w:ascii="Times New Roman" w:eastAsia="Times New Roman" w:hAnsi="Times New Roman" w:cs="Times New Roman"/>
                <w:b/>
                <w:bCs/>
                <w:color w:val="1F1F1F"/>
                <w:sz w:val="20"/>
                <w:szCs w:val="20"/>
                <w:lang w:val="en" w:eastAsia="en-IN"/>
              </w:rPr>
              <w:t>Orsiro</w:t>
            </w:r>
            <w:proofErr w:type="spellEnd"/>
          </w:p>
        </w:tc>
        <w:tc>
          <w:tcPr>
            <w:tcW w:w="1074" w:type="pct"/>
            <w:tcBorders>
              <w:top w:val="nil"/>
              <w:left w:val="nil"/>
              <w:bottom w:val="single" w:sz="4" w:space="0" w:color="auto"/>
              <w:right w:val="single" w:sz="4" w:space="0" w:color="auto"/>
            </w:tcBorders>
            <w:vAlign w:val="center"/>
            <w:hideMark/>
          </w:tcPr>
          <w:p w14:paraId="5964E61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All-cause Mortality</w:t>
            </w:r>
          </w:p>
        </w:tc>
        <w:tc>
          <w:tcPr>
            <w:tcW w:w="547" w:type="pct"/>
            <w:tcBorders>
              <w:top w:val="nil"/>
              <w:left w:val="nil"/>
              <w:bottom w:val="single" w:sz="4" w:space="0" w:color="auto"/>
              <w:right w:val="single" w:sz="4" w:space="0" w:color="auto"/>
            </w:tcBorders>
            <w:vAlign w:val="center"/>
            <w:hideMark/>
          </w:tcPr>
          <w:p w14:paraId="0EDC086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2A3C120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3,596</w:t>
            </w:r>
          </w:p>
        </w:tc>
        <w:tc>
          <w:tcPr>
            <w:tcW w:w="633" w:type="pct"/>
            <w:tcBorders>
              <w:top w:val="nil"/>
              <w:left w:val="nil"/>
              <w:bottom w:val="single" w:sz="4" w:space="0" w:color="auto"/>
              <w:right w:val="single" w:sz="4" w:space="0" w:color="auto"/>
            </w:tcBorders>
            <w:vAlign w:val="center"/>
            <w:hideMark/>
          </w:tcPr>
          <w:p w14:paraId="5D8CFEA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0.04 [0.03; 0.05]</w:t>
            </w:r>
          </w:p>
        </w:tc>
        <w:tc>
          <w:tcPr>
            <w:tcW w:w="923" w:type="pct"/>
            <w:tcBorders>
              <w:top w:val="nil"/>
              <w:left w:val="nil"/>
              <w:bottom w:val="single" w:sz="4" w:space="0" w:color="auto"/>
              <w:right w:val="single" w:sz="4" w:space="0" w:color="auto"/>
            </w:tcBorders>
            <w:vAlign w:val="center"/>
            <w:hideMark/>
          </w:tcPr>
          <w:p w14:paraId="0512DBB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75.50%</w:t>
            </w:r>
          </w:p>
        </w:tc>
        <w:tc>
          <w:tcPr>
            <w:tcW w:w="499" w:type="pct"/>
            <w:tcBorders>
              <w:top w:val="nil"/>
              <w:left w:val="nil"/>
              <w:bottom w:val="single" w:sz="4" w:space="0" w:color="auto"/>
              <w:right w:val="single" w:sz="4" w:space="0" w:color="auto"/>
            </w:tcBorders>
            <w:vAlign w:val="center"/>
            <w:hideMark/>
          </w:tcPr>
          <w:p w14:paraId="3F82A23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0.0026</w:t>
            </w:r>
          </w:p>
        </w:tc>
      </w:tr>
      <w:tr w:rsidR="00CF4FFF" w:rsidRPr="00CF4FFF" w14:paraId="39D40CE1" w14:textId="77777777" w:rsidTr="00CF4FFF">
        <w:trPr>
          <w:trHeight w:val="780"/>
          <w:jc w:val="center"/>
        </w:trPr>
        <w:tc>
          <w:tcPr>
            <w:tcW w:w="734" w:type="pct"/>
            <w:tcBorders>
              <w:top w:val="nil"/>
              <w:left w:val="single" w:sz="4" w:space="0" w:color="auto"/>
              <w:bottom w:val="single" w:sz="4" w:space="0" w:color="auto"/>
              <w:right w:val="single" w:sz="4" w:space="0" w:color="auto"/>
            </w:tcBorders>
            <w:vAlign w:val="center"/>
            <w:hideMark/>
          </w:tcPr>
          <w:p w14:paraId="1991166E"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6E16470F"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Cardiac Death</w:t>
            </w:r>
          </w:p>
        </w:tc>
        <w:tc>
          <w:tcPr>
            <w:tcW w:w="547" w:type="pct"/>
            <w:tcBorders>
              <w:top w:val="nil"/>
              <w:left w:val="nil"/>
              <w:bottom w:val="single" w:sz="4" w:space="0" w:color="auto"/>
              <w:right w:val="single" w:sz="4" w:space="0" w:color="auto"/>
            </w:tcBorders>
            <w:vAlign w:val="center"/>
            <w:hideMark/>
          </w:tcPr>
          <w:p w14:paraId="67B1072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4</w:t>
            </w:r>
          </w:p>
        </w:tc>
        <w:tc>
          <w:tcPr>
            <w:tcW w:w="590" w:type="pct"/>
            <w:tcBorders>
              <w:top w:val="nil"/>
              <w:left w:val="nil"/>
              <w:bottom w:val="single" w:sz="4" w:space="0" w:color="auto"/>
              <w:right w:val="single" w:sz="4" w:space="0" w:color="auto"/>
            </w:tcBorders>
            <w:vAlign w:val="center"/>
            <w:hideMark/>
          </w:tcPr>
          <w:p w14:paraId="0D6B606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1,518</w:t>
            </w:r>
          </w:p>
        </w:tc>
        <w:tc>
          <w:tcPr>
            <w:tcW w:w="633" w:type="pct"/>
            <w:tcBorders>
              <w:top w:val="nil"/>
              <w:left w:val="nil"/>
              <w:bottom w:val="single" w:sz="4" w:space="0" w:color="auto"/>
              <w:right w:val="single" w:sz="4" w:space="0" w:color="auto"/>
            </w:tcBorders>
            <w:vAlign w:val="center"/>
            <w:hideMark/>
          </w:tcPr>
          <w:p w14:paraId="6B5EC422"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 xml:space="preserve"> 0.02 [0.01; 0.04]</w:t>
            </w:r>
          </w:p>
        </w:tc>
        <w:tc>
          <w:tcPr>
            <w:tcW w:w="923" w:type="pct"/>
            <w:tcBorders>
              <w:top w:val="nil"/>
              <w:left w:val="nil"/>
              <w:bottom w:val="single" w:sz="4" w:space="0" w:color="auto"/>
              <w:right w:val="single" w:sz="4" w:space="0" w:color="auto"/>
            </w:tcBorders>
            <w:vAlign w:val="center"/>
            <w:hideMark/>
          </w:tcPr>
          <w:p w14:paraId="2D972F5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73.30%</w:t>
            </w:r>
          </w:p>
        </w:tc>
        <w:tc>
          <w:tcPr>
            <w:tcW w:w="499" w:type="pct"/>
            <w:tcBorders>
              <w:top w:val="nil"/>
              <w:left w:val="nil"/>
              <w:bottom w:val="single" w:sz="4" w:space="0" w:color="auto"/>
              <w:right w:val="single" w:sz="4" w:space="0" w:color="auto"/>
            </w:tcBorders>
            <w:vAlign w:val="center"/>
            <w:hideMark/>
          </w:tcPr>
          <w:p w14:paraId="1BFFA7C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0.0105</w:t>
            </w:r>
          </w:p>
        </w:tc>
      </w:tr>
      <w:tr w:rsidR="00CF4FFF" w:rsidRPr="00CF4FFF" w14:paraId="403414CD"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16FEE530"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4BAB26E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Myocardial Infarction</w:t>
            </w:r>
          </w:p>
        </w:tc>
        <w:tc>
          <w:tcPr>
            <w:tcW w:w="547" w:type="pct"/>
            <w:tcBorders>
              <w:top w:val="nil"/>
              <w:left w:val="nil"/>
              <w:bottom w:val="single" w:sz="4" w:space="0" w:color="auto"/>
              <w:right w:val="single" w:sz="4" w:space="0" w:color="auto"/>
            </w:tcBorders>
            <w:vAlign w:val="center"/>
            <w:hideMark/>
          </w:tcPr>
          <w:p w14:paraId="0001065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425C68C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4,170</w:t>
            </w:r>
          </w:p>
        </w:tc>
        <w:tc>
          <w:tcPr>
            <w:tcW w:w="633" w:type="pct"/>
            <w:tcBorders>
              <w:top w:val="nil"/>
              <w:left w:val="nil"/>
              <w:bottom w:val="single" w:sz="4" w:space="0" w:color="auto"/>
              <w:right w:val="single" w:sz="4" w:space="0" w:color="auto"/>
            </w:tcBorders>
            <w:vAlign w:val="center"/>
            <w:hideMark/>
          </w:tcPr>
          <w:p w14:paraId="6E2C973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[0.01; 0.02]</w:t>
            </w:r>
          </w:p>
        </w:tc>
        <w:tc>
          <w:tcPr>
            <w:tcW w:w="923" w:type="pct"/>
            <w:tcBorders>
              <w:top w:val="nil"/>
              <w:left w:val="nil"/>
              <w:bottom w:val="single" w:sz="4" w:space="0" w:color="auto"/>
              <w:right w:val="single" w:sz="4" w:space="0" w:color="auto"/>
            </w:tcBorders>
            <w:vAlign w:val="center"/>
            <w:hideMark/>
          </w:tcPr>
          <w:p w14:paraId="3FB15F5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51.50%</w:t>
            </w:r>
          </w:p>
        </w:tc>
        <w:tc>
          <w:tcPr>
            <w:tcW w:w="499" w:type="pct"/>
            <w:tcBorders>
              <w:top w:val="nil"/>
              <w:left w:val="nil"/>
              <w:bottom w:val="single" w:sz="4" w:space="0" w:color="auto"/>
              <w:right w:val="single" w:sz="4" w:space="0" w:color="auto"/>
            </w:tcBorders>
            <w:vAlign w:val="center"/>
            <w:hideMark/>
          </w:tcPr>
          <w:p w14:paraId="12A4328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0.0827</w:t>
            </w:r>
          </w:p>
        </w:tc>
      </w:tr>
      <w:tr w:rsidR="00CF4FFF" w:rsidRPr="00CF4FFF" w14:paraId="79ECC96E" w14:textId="77777777" w:rsidTr="00CF4FFF">
        <w:trPr>
          <w:trHeight w:val="780"/>
          <w:jc w:val="center"/>
        </w:trPr>
        <w:tc>
          <w:tcPr>
            <w:tcW w:w="734" w:type="pct"/>
            <w:tcBorders>
              <w:top w:val="nil"/>
              <w:left w:val="single" w:sz="4" w:space="0" w:color="auto"/>
              <w:bottom w:val="single" w:sz="4" w:space="0" w:color="auto"/>
              <w:right w:val="single" w:sz="4" w:space="0" w:color="auto"/>
            </w:tcBorders>
            <w:vAlign w:val="center"/>
            <w:hideMark/>
          </w:tcPr>
          <w:p w14:paraId="290EE48D"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3B62B42A"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Stent Thrombosis</w:t>
            </w:r>
          </w:p>
        </w:tc>
        <w:tc>
          <w:tcPr>
            <w:tcW w:w="547" w:type="pct"/>
            <w:tcBorders>
              <w:top w:val="nil"/>
              <w:left w:val="nil"/>
              <w:bottom w:val="single" w:sz="4" w:space="0" w:color="auto"/>
              <w:right w:val="single" w:sz="4" w:space="0" w:color="auto"/>
            </w:tcBorders>
            <w:vAlign w:val="center"/>
            <w:hideMark/>
          </w:tcPr>
          <w:p w14:paraId="54A678E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5</w:t>
            </w:r>
          </w:p>
        </w:tc>
        <w:tc>
          <w:tcPr>
            <w:tcW w:w="590" w:type="pct"/>
            <w:tcBorders>
              <w:top w:val="nil"/>
              <w:left w:val="nil"/>
              <w:bottom w:val="single" w:sz="4" w:space="0" w:color="auto"/>
              <w:right w:val="single" w:sz="4" w:space="0" w:color="auto"/>
            </w:tcBorders>
            <w:vAlign w:val="center"/>
            <w:hideMark/>
          </w:tcPr>
          <w:p w14:paraId="117971B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3,570</w:t>
            </w:r>
          </w:p>
        </w:tc>
        <w:tc>
          <w:tcPr>
            <w:tcW w:w="633" w:type="pct"/>
            <w:tcBorders>
              <w:top w:val="nil"/>
              <w:left w:val="nil"/>
              <w:bottom w:val="single" w:sz="4" w:space="0" w:color="auto"/>
              <w:right w:val="single" w:sz="4" w:space="0" w:color="auto"/>
            </w:tcBorders>
            <w:vAlign w:val="center"/>
            <w:hideMark/>
          </w:tcPr>
          <w:p w14:paraId="7B0B4E1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0.00 [0.00; 0.00]</w:t>
            </w:r>
          </w:p>
        </w:tc>
        <w:tc>
          <w:tcPr>
            <w:tcW w:w="923" w:type="pct"/>
            <w:tcBorders>
              <w:top w:val="nil"/>
              <w:left w:val="nil"/>
              <w:bottom w:val="single" w:sz="4" w:space="0" w:color="auto"/>
              <w:right w:val="single" w:sz="4" w:space="0" w:color="auto"/>
            </w:tcBorders>
            <w:vAlign w:val="center"/>
            <w:hideMark/>
          </w:tcPr>
          <w:p w14:paraId="7BC0C54A"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20.80%</w:t>
            </w:r>
          </w:p>
        </w:tc>
        <w:tc>
          <w:tcPr>
            <w:tcW w:w="499" w:type="pct"/>
            <w:tcBorders>
              <w:top w:val="nil"/>
              <w:left w:val="nil"/>
              <w:bottom w:val="single" w:sz="4" w:space="0" w:color="auto"/>
              <w:right w:val="single" w:sz="4" w:space="0" w:color="auto"/>
            </w:tcBorders>
            <w:vAlign w:val="center"/>
            <w:hideMark/>
          </w:tcPr>
          <w:p w14:paraId="2D5D936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0.2821</w:t>
            </w:r>
          </w:p>
        </w:tc>
      </w:tr>
      <w:tr w:rsidR="00CF4FFF" w:rsidRPr="00CF4FFF" w14:paraId="05A66A51" w14:textId="77777777" w:rsidTr="00CF4FFF">
        <w:trPr>
          <w:trHeight w:val="1040"/>
          <w:jc w:val="center"/>
        </w:trPr>
        <w:tc>
          <w:tcPr>
            <w:tcW w:w="734" w:type="pct"/>
            <w:tcBorders>
              <w:top w:val="nil"/>
              <w:left w:val="single" w:sz="4" w:space="0" w:color="auto"/>
              <w:bottom w:val="single" w:sz="4" w:space="0" w:color="auto"/>
              <w:right w:val="single" w:sz="4" w:space="0" w:color="auto"/>
            </w:tcBorders>
            <w:vAlign w:val="center"/>
            <w:hideMark/>
          </w:tcPr>
          <w:p w14:paraId="0BF87A33"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5674A61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Failure (TLF)</w:t>
            </w:r>
          </w:p>
        </w:tc>
        <w:tc>
          <w:tcPr>
            <w:tcW w:w="547" w:type="pct"/>
            <w:tcBorders>
              <w:top w:val="nil"/>
              <w:left w:val="nil"/>
              <w:bottom w:val="single" w:sz="4" w:space="0" w:color="auto"/>
              <w:right w:val="single" w:sz="4" w:space="0" w:color="auto"/>
            </w:tcBorders>
            <w:vAlign w:val="center"/>
            <w:hideMark/>
          </w:tcPr>
          <w:p w14:paraId="541540C2"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6</w:t>
            </w:r>
          </w:p>
        </w:tc>
        <w:tc>
          <w:tcPr>
            <w:tcW w:w="590" w:type="pct"/>
            <w:tcBorders>
              <w:top w:val="nil"/>
              <w:left w:val="nil"/>
              <w:bottom w:val="single" w:sz="4" w:space="0" w:color="auto"/>
              <w:right w:val="single" w:sz="4" w:space="0" w:color="auto"/>
            </w:tcBorders>
            <w:vAlign w:val="center"/>
            <w:hideMark/>
          </w:tcPr>
          <w:p w14:paraId="4E62425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3,868</w:t>
            </w:r>
          </w:p>
        </w:tc>
        <w:tc>
          <w:tcPr>
            <w:tcW w:w="633" w:type="pct"/>
            <w:tcBorders>
              <w:top w:val="nil"/>
              <w:left w:val="nil"/>
              <w:bottom w:val="single" w:sz="4" w:space="0" w:color="auto"/>
              <w:right w:val="single" w:sz="4" w:space="0" w:color="auto"/>
            </w:tcBorders>
            <w:vAlign w:val="center"/>
            <w:hideMark/>
          </w:tcPr>
          <w:p w14:paraId="2A980B1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0.04 [0.03; 0.06]</w:t>
            </w:r>
          </w:p>
        </w:tc>
        <w:tc>
          <w:tcPr>
            <w:tcW w:w="923" w:type="pct"/>
            <w:tcBorders>
              <w:top w:val="nil"/>
              <w:left w:val="nil"/>
              <w:bottom w:val="single" w:sz="4" w:space="0" w:color="auto"/>
              <w:right w:val="single" w:sz="4" w:space="0" w:color="auto"/>
            </w:tcBorders>
            <w:vAlign w:val="center"/>
            <w:hideMark/>
          </w:tcPr>
          <w:p w14:paraId="25EDC15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83.90%</w:t>
            </w:r>
          </w:p>
        </w:tc>
        <w:tc>
          <w:tcPr>
            <w:tcW w:w="499" w:type="pct"/>
            <w:tcBorders>
              <w:top w:val="nil"/>
              <w:left w:val="nil"/>
              <w:bottom w:val="single" w:sz="4" w:space="0" w:color="auto"/>
              <w:right w:val="single" w:sz="4" w:space="0" w:color="auto"/>
            </w:tcBorders>
            <w:vAlign w:val="center"/>
            <w:hideMark/>
          </w:tcPr>
          <w:p w14:paraId="2D1E7CC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33E50B5E" w14:textId="77777777" w:rsidTr="00CF4FFF">
        <w:trPr>
          <w:trHeight w:val="1300"/>
          <w:jc w:val="center"/>
        </w:trPr>
        <w:tc>
          <w:tcPr>
            <w:tcW w:w="734" w:type="pct"/>
            <w:tcBorders>
              <w:top w:val="nil"/>
              <w:left w:val="single" w:sz="4" w:space="0" w:color="auto"/>
              <w:bottom w:val="single" w:sz="4" w:space="0" w:color="auto"/>
              <w:right w:val="single" w:sz="4" w:space="0" w:color="auto"/>
            </w:tcBorders>
            <w:vAlign w:val="center"/>
            <w:hideMark/>
          </w:tcPr>
          <w:p w14:paraId="5C494E7C"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0354D992"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Lesion Revascularization (TLR)</w:t>
            </w:r>
          </w:p>
        </w:tc>
        <w:tc>
          <w:tcPr>
            <w:tcW w:w="547" w:type="pct"/>
            <w:tcBorders>
              <w:top w:val="nil"/>
              <w:left w:val="nil"/>
              <w:bottom w:val="single" w:sz="4" w:space="0" w:color="auto"/>
              <w:right w:val="single" w:sz="4" w:space="0" w:color="auto"/>
            </w:tcBorders>
            <w:vAlign w:val="center"/>
            <w:hideMark/>
          </w:tcPr>
          <w:p w14:paraId="692B667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6</w:t>
            </w:r>
          </w:p>
        </w:tc>
        <w:tc>
          <w:tcPr>
            <w:tcW w:w="590" w:type="pct"/>
            <w:tcBorders>
              <w:top w:val="nil"/>
              <w:left w:val="nil"/>
              <w:bottom w:val="single" w:sz="4" w:space="0" w:color="auto"/>
              <w:right w:val="single" w:sz="4" w:space="0" w:color="auto"/>
            </w:tcBorders>
            <w:vAlign w:val="center"/>
            <w:hideMark/>
          </w:tcPr>
          <w:p w14:paraId="4105E3E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3,868</w:t>
            </w:r>
          </w:p>
        </w:tc>
        <w:tc>
          <w:tcPr>
            <w:tcW w:w="633" w:type="pct"/>
            <w:tcBorders>
              <w:top w:val="nil"/>
              <w:left w:val="nil"/>
              <w:bottom w:val="single" w:sz="4" w:space="0" w:color="auto"/>
              <w:right w:val="single" w:sz="4" w:space="0" w:color="auto"/>
            </w:tcBorders>
            <w:vAlign w:val="center"/>
            <w:hideMark/>
          </w:tcPr>
          <w:p w14:paraId="1A05FB0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0.04]</w:t>
            </w:r>
          </w:p>
        </w:tc>
        <w:tc>
          <w:tcPr>
            <w:tcW w:w="923" w:type="pct"/>
            <w:tcBorders>
              <w:top w:val="nil"/>
              <w:left w:val="nil"/>
              <w:bottom w:val="single" w:sz="4" w:space="0" w:color="auto"/>
              <w:right w:val="single" w:sz="4" w:space="0" w:color="auto"/>
            </w:tcBorders>
            <w:vAlign w:val="center"/>
            <w:hideMark/>
          </w:tcPr>
          <w:p w14:paraId="727B0B2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83.20%</w:t>
            </w:r>
          </w:p>
        </w:tc>
        <w:tc>
          <w:tcPr>
            <w:tcW w:w="499" w:type="pct"/>
            <w:tcBorders>
              <w:top w:val="nil"/>
              <w:left w:val="nil"/>
              <w:bottom w:val="single" w:sz="4" w:space="0" w:color="auto"/>
              <w:right w:val="single" w:sz="4" w:space="0" w:color="auto"/>
            </w:tcBorders>
            <w:vAlign w:val="center"/>
            <w:hideMark/>
          </w:tcPr>
          <w:p w14:paraId="75680DC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299FC46E"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74F1F607"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0178656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Target Vessel MI</w:t>
            </w:r>
          </w:p>
        </w:tc>
        <w:tc>
          <w:tcPr>
            <w:tcW w:w="547" w:type="pct"/>
            <w:tcBorders>
              <w:top w:val="nil"/>
              <w:left w:val="nil"/>
              <w:bottom w:val="single" w:sz="4" w:space="0" w:color="auto"/>
              <w:right w:val="single" w:sz="4" w:space="0" w:color="auto"/>
            </w:tcBorders>
            <w:vAlign w:val="center"/>
            <w:hideMark/>
          </w:tcPr>
          <w:p w14:paraId="02D7DC3F"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6</w:t>
            </w:r>
          </w:p>
        </w:tc>
        <w:tc>
          <w:tcPr>
            <w:tcW w:w="590" w:type="pct"/>
            <w:tcBorders>
              <w:top w:val="nil"/>
              <w:left w:val="nil"/>
              <w:bottom w:val="single" w:sz="4" w:space="0" w:color="auto"/>
              <w:right w:val="single" w:sz="4" w:space="0" w:color="auto"/>
            </w:tcBorders>
            <w:vAlign w:val="center"/>
            <w:hideMark/>
          </w:tcPr>
          <w:p w14:paraId="2E29019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3,868</w:t>
            </w:r>
          </w:p>
        </w:tc>
        <w:tc>
          <w:tcPr>
            <w:tcW w:w="633" w:type="pct"/>
            <w:tcBorders>
              <w:top w:val="nil"/>
              <w:left w:val="nil"/>
              <w:bottom w:val="single" w:sz="4" w:space="0" w:color="auto"/>
              <w:right w:val="single" w:sz="4" w:space="0" w:color="auto"/>
            </w:tcBorders>
            <w:vAlign w:val="center"/>
            <w:hideMark/>
          </w:tcPr>
          <w:p w14:paraId="762F566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0.03]</w:t>
            </w:r>
          </w:p>
        </w:tc>
        <w:tc>
          <w:tcPr>
            <w:tcW w:w="923" w:type="pct"/>
            <w:tcBorders>
              <w:top w:val="nil"/>
              <w:left w:val="nil"/>
              <w:bottom w:val="single" w:sz="4" w:space="0" w:color="auto"/>
              <w:right w:val="single" w:sz="4" w:space="0" w:color="auto"/>
            </w:tcBorders>
            <w:vAlign w:val="center"/>
            <w:hideMark/>
          </w:tcPr>
          <w:p w14:paraId="1113B79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88.10%</w:t>
            </w:r>
          </w:p>
        </w:tc>
        <w:tc>
          <w:tcPr>
            <w:tcW w:w="499" w:type="pct"/>
            <w:tcBorders>
              <w:top w:val="nil"/>
              <w:left w:val="nil"/>
              <w:bottom w:val="single" w:sz="4" w:space="0" w:color="auto"/>
              <w:right w:val="single" w:sz="4" w:space="0" w:color="auto"/>
            </w:tcBorders>
            <w:vAlign w:val="center"/>
            <w:hideMark/>
          </w:tcPr>
          <w:p w14:paraId="3C76838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53BEC391"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713F7E42" w14:textId="77777777" w:rsidR="00CF4FFF" w:rsidRPr="00CF4FFF" w:rsidRDefault="00CF4FFF" w:rsidP="00CF4FFF">
            <w:pPr>
              <w:spacing w:after="0" w:line="240" w:lineRule="auto"/>
              <w:jc w:val="center"/>
              <w:rPr>
                <w:rFonts w:ascii="Times New Roman" w:eastAsia="Times New Roman" w:hAnsi="Times New Roman" w:cs="Times New Roman"/>
                <w:b/>
                <w:bCs/>
                <w:color w:val="1F1F1F"/>
                <w:sz w:val="20"/>
                <w:szCs w:val="20"/>
                <w:lang w:val="en-IN" w:eastAsia="en-IN"/>
              </w:rPr>
            </w:pPr>
            <w:proofErr w:type="spellStart"/>
            <w:r w:rsidRPr="00CF4FFF">
              <w:rPr>
                <w:rFonts w:ascii="Times New Roman" w:eastAsia="Times New Roman" w:hAnsi="Times New Roman" w:cs="Times New Roman"/>
                <w:b/>
                <w:bCs/>
                <w:color w:val="1F1F1F"/>
                <w:sz w:val="20"/>
                <w:szCs w:val="20"/>
                <w:lang w:val="en" w:eastAsia="en-IN"/>
              </w:rPr>
              <w:t>Ultimaster</w:t>
            </w:r>
            <w:proofErr w:type="spellEnd"/>
          </w:p>
        </w:tc>
        <w:tc>
          <w:tcPr>
            <w:tcW w:w="1074" w:type="pct"/>
            <w:tcBorders>
              <w:top w:val="nil"/>
              <w:left w:val="nil"/>
              <w:bottom w:val="single" w:sz="4" w:space="0" w:color="auto"/>
              <w:right w:val="single" w:sz="4" w:space="0" w:color="auto"/>
            </w:tcBorders>
            <w:vAlign w:val="center"/>
            <w:hideMark/>
          </w:tcPr>
          <w:p w14:paraId="2BDBA31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All-cause Mortality</w:t>
            </w:r>
          </w:p>
        </w:tc>
        <w:tc>
          <w:tcPr>
            <w:tcW w:w="547" w:type="pct"/>
            <w:tcBorders>
              <w:top w:val="nil"/>
              <w:left w:val="nil"/>
              <w:bottom w:val="single" w:sz="4" w:space="0" w:color="auto"/>
              <w:right w:val="single" w:sz="4" w:space="0" w:color="auto"/>
            </w:tcBorders>
            <w:vAlign w:val="center"/>
            <w:hideMark/>
          </w:tcPr>
          <w:p w14:paraId="240B64AC"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6421D56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10,382</w:t>
            </w:r>
          </w:p>
        </w:tc>
        <w:tc>
          <w:tcPr>
            <w:tcW w:w="633" w:type="pct"/>
            <w:tcBorders>
              <w:top w:val="nil"/>
              <w:left w:val="nil"/>
              <w:bottom w:val="single" w:sz="4" w:space="0" w:color="auto"/>
              <w:right w:val="single" w:sz="4" w:space="0" w:color="auto"/>
            </w:tcBorders>
            <w:vAlign w:val="center"/>
            <w:hideMark/>
          </w:tcPr>
          <w:p w14:paraId="0103BB3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0.04 [0.02; 0.06]</w:t>
            </w:r>
          </w:p>
        </w:tc>
        <w:tc>
          <w:tcPr>
            <w:tcW w:w="923" w:type="pct"/>
            <w:tcBorders>
              <w:top w:val="nil"/>
              <w:left w:val="nil"/>
              <w:bottom w:val="single" w:sz="4" w:space="0" w:color="auto"/>
              <w:right w:val="single" w:sz="4" w:space="0" w:color="auto"/>
            </w:tcBorders>
            <w:vAlign w:val="center"/>
            <w:hideMark/>
          </w:tcPr>
          <w:p w14:paraId="0732D43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95.10%</w:t>
            </w:r>
          </w:p>
        </w:tc>
        <w:tc>
          <w:tcPr>
            <w:tcW w:w="499" w:type="pct"/>
            <w:tcBorders>
              <w:top w:val="nil"/>
              <w:left w:val="nil"/>
              <w:bottom w:val="single" w:sz="4" w:space="0" w:color="auto"/>
              <w:right w:val="single" w:sz="4" w:space="0" w:color="auto"/>
            </w:tcBorders>
            <w:vAlign w:val="center"/>
            <w:hideMark/>
          </w:tcPr>
          <w:p w14:paraId="4403757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664569D9"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58616598"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2B8362D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Cardiac Death</w:t>
            </w:r>
          </w:p>
        </w:tc>
        <w:tc>
          <w:tcPr>
            <w:tcW w:w="547" w:type="pct"/>
            <w:tcBorders>
              <w:top w:val="nil"/>
              <w:left w:val="nil"/>
              <w:bottom w:val="single" w:sz="4" w:space="0" w:color="auto"/>
              <w:right w:val="single" w:sz="4" w:space="0" w:color="auto"/>
            </w:tcBorders>
            <w:vAlign w:val="center"/>
            <w:hideMark/>
          </w:tcPr>
          <w:p w14:paraId="6A73BE26"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7552B52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10,382</w:t>
            </w:r>
          </w:p>
        </w:tc>
        <w:tc>
          <w:tcPr>
            <w:tcW w:w="633" w:type="pct"/>
            <w:tcBorders>
              <w:top w:val="nil"/>
              <w:left w:val="nil"/>
              <w:bottom w:val="single" w:sz="4" w:space="0" w:color="auto"/>
              <w:right w:val="single" w:sz="4" w:space="0" w:color="auto"/>
            </w:tcBorders>
            <w:vAlign w:val="center"/>
            <w:hideMark/>
          </w:tcPr>
          <w:p w14:paraId="00FCBB5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0.03]</w:t>
            </w:r>
          </w:p>
        </w:tc>
        <w:tc>
          <w:tcPr>
            <w:tcW w:w="923" w:type="pct"/>
            <w:tcBorders>
              <w:top w:val="nil"/>
              <w:left w:val="nil"/>
              <w:bottom w:val="single" w:sz="4" w:space="0" w:color="auto"/>
              <w:right w:val="single" w:sz="4" w:space="0" w:color="auto"/>
            </w:tcBorders>
            <w:vAlign w:val="center"/>
            <w:hideMark/>
          </w:tcPr>
          <w:p w14:paraId="7AAAC89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88.00%</w:t>
            </w:r>
          </w:p>
        </w:tc>
        <w:tc>
          <w:tcPr>
            <w:tcW w:w="499" w:type="pct"/>
            <w:tcBorders>
              <w:top w:val="nil"/>
              <w:left w:val="nil"/>
              <w:bottom w:val="single" w:sz="4" w:space="0" w:color="auto"/>
              <w:right w:val="single" w:sz="4" w:space="0" w:color="auto"/>
            </w:tcBorders>
            <w:vAlign w:val="center"/>
            <w:hideMark/>
          </w:tcPr>
          <w:p w14:paraId="04DE7BF0"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13CB7CAC" w14:textId="77777777" w:rsidTr="00CF4FFF">
        <w:trPr>
          <w:trHeight w:val="520"/>
          <w:jc w:val="center"/>
        </w:trPr>
        <w:tc>
          <w:tcPr>
            <w:tcW w:w="734" w:type="pct"/>
            <w:tcBorders>
              <w:top w:val="nil"/>
              <w:left w:val="single" w:sz="4" w:space="0" w:color="auto"/>
              <w:bottom w:val="single" w:sz="4" w:space="0" w:color="auto"/>
              <w:right w:val="single" w:sz="4" w:space="0" w:color="auto"/>
            </w:tcBorders>
            <w:vAlign w:val="center"/>
            <w:hideMark/>
          </w:tcPr>
          <w:p w14:paraId="0FFA8480"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18B9CDB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Myocardial Infarction</w:t>
            </w:r>
          </w:p>
        </w:tc>
        <w:tc>
          <w:tcPr>
            <w:tcW w:w="547" w:type="pct"/>
            <w:tcBorders>
              <w:top w:val="nil"/>
              <w:left w:val="nil"/>
              <w:bottom w:val="single" w:sz="4" w:space="0" w:color="auto"/>
              <w:right w:val="single" w:sz="4" w:space="0" w:color="auto"/>
            </w:tcBorders>
            <w:vAlign w:val="center"/>
            <w:hideMark/>
          </w:tcPr>
          <w:p w14:paraId="2B1677B8"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17FBA031"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10,382</w:t>
            </w:r>
          </w:p>
        </w:tc>
        <w:tc>
          <w:tcPr>
            <w:tcW w:w="633" w:type="pct"/>
            <w:tcBorders>
              <w:top w:val="nil"/>
              <w:left w:val="nil"/>
              <w:bottom w:val="single" w:sz="4" w:space="0" w:color="auto"/>
              <w:right w:val="single" w:sz="4" w:space="0" w:color="auto"/>
            </w:tcBorders>
            <w:vAlign w:val="center"/>
            <w:hideMark/>
          </w:tcPr>
          <w:p w14:paraId="2B3D432E"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0.02 [0.01; 0.04]</w:t>
            </w:r>
          </w:p>
        </w:tc>
        <w:tc>
          <w:tcPr>
            <w:tcW w:w="923" w:type="pct"/>
            <w:tcBorders>
              <w:top w:val="nil"/>
              <w:left w:val="nil"/>
              <w:bottom w:val="single" w:sz="4" w:space="0" w:color="auto"/>
              <w:right w:val="single" w:sz="4" w:space="0" w:color="auto"/>
            </w:tcBorders>
            <w:vAlign w:val="center"/>
            <w:hideMark/>
          </w:tcPr>
          <w:p w14:paraId="68470B3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91.30%</w:t>
            </w:r>
          </w:p>
        </w:tc>
        <w:tc>
          <w:tcPr>
            <w:tcW w:w="499" w:type="pct"/>
            <w:tcBorders>
              <w:top w:val="nil"/>
              <w:left w:val="nil"/>
              <w:bottom w:val="single" w:sz="4" w:space="0" w:color="auto"/>
              <w:right w:val="single" w:sz="4" w:space="0" w:color="auto"/>
            </w:tcBorders>
            <w:vAlign w:val="center"/>
            <w:hideMark/>
          </w:tcPr>
          <w:p w14:paraId="0885E5BF"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r w:rsidR="00CF4FFF" w:rsidRPr="00CF4FFF" w14:paraId="0D0B8CA6" w14:textId="77777777" w:rsidTr="00CF4FFF">
        <w:trPr>
          <w:trHeight w:val="780"/>
          <w:jc w:val="center"/>
        </w:trPr>
        <w:tc>
          <w:tcPr>
            <w:tcW w:w="734" w:type="pct"/>
            <w:tcBorders>
              <w:top w:val="nil"/>
              <w:left w:val="single" w:sz="4" w:space="0" w:color="auto"/>
              <w:bottom w:val="single" w:sz="4" w:space="0" w:color="auto"/>
              <w:right w:val="single" w:sz="4" w:space="0" w:color="auto"/>
            </w:tcBorders>
            <w:vAlign w:val="center"/>
            <w:hideMark/>
          </w:tcPr>
          <w:p w14:paraId="007A9360" w14:textId="77777777" w:rsidR="00CF4FFF" w:rsidRPr="00CF4FFF" w:rsidRDefault="00CF4FFF" w:rsidP="00CF4FFF">
            <w:pPr>
              <w:spacing w:after="0" w:line="240" w:lineRule="auto"/>
              <w:jc w:val="center"/>
              <w:rPr>
                <w:rFonts w:ascii="Times New Roman" w:eastAsia="Times New Roman" w:hAnsi="Times New Roman" w:cs="Times New Roman"/>
                <w:color w:val="000000"/>
                <w:sz w:val="20"/>
                <w:szCs w:val="20"/>
                <w:lang w:val="en-IN" w:eastAsia="en-IN"/>
              </w:rPr>
            </w:pPr>
            <w:r w:rsidRPr="00CF4FFF">
              <w:rPr>
                <w:rFonts w:ascii="Times New Roman" w:eastAsia="Times New Roman" w:hAnsi="Times New Roman" w:cs="Times New Roman"/>
                <w:color w:val="000000"/>
                <w:sz w:val="20"/>
                <w:szCs w:val="20"/>
                <w:lang w:val="en" w:eastAsia="en-IN"/>
              </w:rPr>
              <w:t> </w:t>
            </w:r>
          </w:p>
        </w:tc>
        <w:tc>
          <w:tcPr>
            <w:tcW w:w="1074" w:type="pct"/>
            <w:tcBorders>
              <w:top w:val="nil"/>
              <w:left w:val="nil"/>
              <w:bottom w:val="single" w:sz="4" w:space="0" w:color="auto"/>
              <w:right w:val="single" w:sz="4" w:space="0" w:color="auto"/>
            </w:tcBorders>
            <w:vAlign w:val="center"/>
            <w:hideMark/>
          </w:tcPr>
          <w:p w14:paraId="797488E3"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Stent Thrombosis</w:t>
            </w:r>
          </w:p>
        </w:tc>
        <w:tc>
          <w:tcPr>
            <w:tcW w:w="547" w:type="pct"/>
            <w:tcBorders>
              <w:top w:val="nil"/>
              <w:left w:val="nil"/>
              <w:bottom w:val="single" w:sz="4" w:space="0" w:color="auto"/>
              <w:right w:val="single" w:sz="4" w:space="0" w:color="auto"/>
            </w:tcBorders>
            <w:vAlign w:val="center"/>
            <w:hideMark/>
          </w:tcPr>
          <w:p w14:paraId="06B46375"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w:t>
            </w:r>
          </w:p>
        </w:tc>
        <w:tc>
          <w:tcPr>
            <w:tcW w:w="590" w:type="pct"/>
            <w:tcBorders>
              <w:top w:val="nil"/>
              <w:left w:val="nil"/>
              <w:bottom w:val="single" w:sz="4" w:space="0" w:color="auto"/>
              <w:right w:val="single" w:sz="4" w:space="0" w:color="auto"/>
            </w:tcBorders>
            <w:vAlign w:val="center"/>
            <w:hideMark/>
          </w:tcPr>
          <w:p w14:paraId="5158293D"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10,382</w:t>
            </w:r>
          </w:p>
        </w:tc>
        <w:tc>
          <w:tcPr>
            <w:tcW w:w="633" w:type="pct"/>
            <w:tcBorders>
              <w:top w:val="nil"/>
              <w:left w:val="nil"/>
              <w:bottom w:val="single" w:sz="4" w:space="0" w:color="auto"/>
              <w:right w:val="single" w:sz="4" w:space="0" w:color="auto"/>
            </w:tcBorders>
            <w:vAlign w:val="center"/>
            <w:hideMark/>
          </w:tcPr>
          <w:p w14:paraId="3E32E9AB"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0.01 [0.00; 0.01]</w:t>
            </w:r>
          </w:p>
        </w:tc>
        <w:tc>
          <w:tcPr>
            <w:tcW w:w="923" w:type="pct"/>
            <w:tcBorders>
              <w:top w:val="nil"/>
              <w:left w:val="nil"/>
              <w:bottom w:val="single" w:sz="4" w:space="0" w:color="auto"/>
              <w:right w:val="single" w:sz="4" w:space="0" w:color="auto"/>
            </w:tcBorders>
            <w:vAlign w:val="center"/>
            <w:hideMark/>
          </w:tcPr>
          <w:p w14:paraId="423B1D29"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88.40%</w:t>
            </w:r>
          </w:p>
        </w:tc>
        <w:tc>
          <w:tcPr>
            <w:tcW w:w="499" w:type="pct"/>
            <w:tcBorders>
              <w:top w:val="nil"/>
              <w:left w:val="nil"/>
              <w:bottom w:val="single" w:sz="4" w:space="0" w:color="auto"/>
              <w:right w:val="single" w:sz="4" w:space="0" w:color="auto"/>
            </w:tcBorders>
            <w:vAlign w:val="center"/>
            <w:hideMark/>
          </w:tcPr>
          <w:p w14:paraId="70DA9824" w14:textId="77777777" w:rsidR="00CF4FFF" w:rsidRPr="00CF4FFF" w:rsidRDefault="00CF4FFF" w:rsidP="00CF4FFF">
            <w:pPr>
              <w:spacing w:after="0" w:line="240" w:lineRule="auto"/>
              <w:jc w:val="center"/>
              <w:rPr>
                <w:rFonts w:ascii="Times New Roman" w:eastAsia="Times New Roman" w:hAnsi="Times New Roman" w:cs="Times New Roman"/>
                <w:color w:val="1F1F1F"/>
                <w:sz w:val="20"/>
                <w:szCs w:val="20"/>
                <w:lang w:val="en-IN" w:eastAsia="en-IN"/>
              </w:rPr>
            </w:pPr>
            <w:r w:rsidRPr="00CF4FFF">
              <w:rPr>
                <w:rFonts w:ascii="Times New Roman" w:eastAsia="Times New Roman" w:hAnsi="Times New Roman" w:cs="Times New Roman"/>
                <w:color w:val="1F1F1F"/>
                <w:sz w:val="20"/>
                <w:szCs w:val="20"/>
                <w:lang w:val="en" w:eastAsia="en-IN"/>
              </w:rPr>
              <w:t>&lt; 0.0001</w:t>
            </w:r>
          </w:p>
        </w:tc>
      </w:tr>
    </w:tbl>
    <w:p w14:paraId="5873BF01" w14:textId="77777777" w:rsidR="00B62016" w:rsidRDefault="00B62016" w:rsidP="00FB7F00">
      <w:pPr>
        <w:widowControl w:val="0"/>
        <w:adjustRightInd w:val="0"/>
        <w:spacing w:after="0" w:line="360" w:lineRule="auto"/>
        <w:jc w:val="both"/>
        <w:rPr>
          <w:rFonts w:ascii="Times New Roman" w:hAnsi="Times New Roman" w:cs="Times New Roman"/>
          <w:sz w:val="20"/>
          <w:szCs w:val="20"/>
        </w:rPr>
      </w:pPr>
    </w:p>
    <w:p w14:paraId="43F975A9" w14:textId="49F1B2A4" w:rsidR="003B6391" w:rsidRDefault="003B6391" w:rsidP="00FB7F00">
      <w:pPr>
        <w:widowControl w:val="0"/>
        <w:adjustRightInd w:val="0"/>
        <w:spacing w:after="0" w:line="360" w:lineRule="auto"/>
        <w:jc w:val="both"/>
        <w:rPr>
          <w:rFonts w:ascii="Times New Roman" w:hAnsi="Times New Roman" w:cs="Times New Roman"/>
          <w:sz w:val="20"/>
          <w:szCs w:val="20"/>
        </w:rPr>
      </w:pPr>
      <w:r w:rsidRPr="003B6391">
        <w:rPr>
          <w:rFonts w:ascii="Times New Roman" w:hAnsi="Times New Roman" w:cs="Times New Roman"/>
          <w:b/>
          <w:bCs/>
          <w:color w:val="0070C0"/>
          <w:sz w:val="20"/>
          <w:szCs w:val="20"/>
        </w:rPr>
        <w:t>Table 3</w:t>
      </w:r>
      <w:r>
        <w:rPr>
          <w:rFonts w:ascii="Times New Roman" w:hAnsi="Times New Roman" w:cs="Times New Roman"/>
          <w:sz w:val="20"/>
          <w:szCs w:val="20"/>
        </w:rPr>
        <w:t>:</w:t>
      </w:r>
      <w:r w:rsidRPr="003B6391">
        <w:rPr>
          <w:rFonts w:ascii="Times New Roman" w:hAnsi="Times New Roman" w:cs="Times New Roman"/>
          <w:sz w:val="20"/>
          <w:szCs w:val="20"/>
        </w:rPr>
        <w:t xml:space="preserve"> Summary of pooled clinical outcomes and heterogeneity statistics for studies evaluating Biomatrix, </w:t>
      </w:r>
      <w:proofErr w:type="spellStart"/>
      <w:r w:rsidRPr="003B6391">
        <w:rPr>
          <w:rFonts w:ascii="Times New Roman" w:hAnsi="Times New Roman" w:cs="Times New Roman"/>
          <w:sz w:val="20"/>
          <w:szCs w:val="20"/>
        </w:rPr>
        <w:t>Magmaris</w:t>
      </w:r>
      <w:proofErr w:type="spellEnd"/>
      <w:r w:rsidRPr="003B6391">
        <w:rPr>
          <w:rFonts w:ascii="Times New Roman" w:hAnsi="Times New Roman" w:cs="Times New Roman"/>
          <w:sz w:val="20"/>
          <w:szCs w:val="20"/>
        </w:rPr>
        <w:t xml:space="preserve">, </w:t>
      </w:r>
      <w:proofErr w:type="spellStart"/>
      <w:r w:rsidRPr="003B6391">
        <w:rPr>
          <w:rFonts w:ascii="Times New Roman" w:hAnsi="Times New Roman" w:cs="Times New Roman"/>
          <w:sz w:val="20"/>
          <w:szCs w:val="20"/>
        </w:rPr>
        <w:t>Orsiro</w:t>
      </w:r>
      <w:proofErr w:type="spellEnd"/>
      <w:r w:rsidRPr="003B6391">
        <w:rPr>
          <w:rFonts w:ascii="Times New Roman" w:hAnsi="Times New Roman" w:cs="Times New Roman"/>
          <w:sz w:val="20"/>
          <w:szCs w:val="20"/>
        </w:rPr>
        <w:t xml:space="preserve">, and </w:t>
      </w:r>
      <w:proofErr w:type="spellStart"/>
      <w:r w:rsidRPr="003B6391">
        <w:rPr>
          <w:rFonts w:ascii="Times New Roman" w:hAnsi="Times New Roman" w:cs="Times New Roman"/>
          <w:sz w:val="20"/>
          <w:szCs w:val="20"/>
        </w:rPr>
        <w:t>Ultimaster</w:t>
      </w:r>
      <w:proofErr w:type="spellEnd"/>
      <w:r w:rsidRPr="003B6391">
        <w:rPr>
          <w:rFonts w:ascii="Times New Roman" w:hAnsi="Times New Roman" w:cs="Times New Roman"/>
          <w:sz w:val="20"/>
          <w:szCs w:val="20"/>
        </w:rPr>
        <w:t xml:space="preserve"> drug-eluting stents. </w:t>
      </w:r>
    </w:p>
    <w:p w14:paraId="7A89022B" w14:textId="66FAF0EC" w:rsidR="00E90916" w:rsidRDefault="003B6391" w:rsidP="00FB7F00">
      <w:pPr>
        <w:widowControl w:val="0"/>
        <w:adjustRightInd w:val="0"/>
        <w:spacing w:after="0" w:line="360" w:lineRule="auto"/>
        <w:jc w:val="both"/>
        <w:rPr>
          <w:rFonts w:ascii="Times New Roman" w:hAnsi="Times New Roman" w:cs="Times New Roman"/>
          <w:sz w:val="20"/>
          <w:szCs w:val="20"/>
        </w:rPr>
      </w:pPr>
      <w:r w:rsidRPr="003B6391">
        <w:rPr>
          <w:rFonts w:ascii="Times New Roman" w:hAnsi="Times New Roman" w:cs="Times New Roman"/>
          <w:b/>
          <w:bCs/>
          <w:sz w:val="20"/>
          <w:szCs w:val="20"/>
        </w:rPr>
        <w:t>Note</w:t>
      </w:r>
      <w:r w:rsidRPr="003B6391">
        <w:rPr>
          <w:rFonts w:ascii="Times New Roman" w:hAnsi="Times New Roman" w:cs="Times New Roman"/>
          <w:sz w:val="20"/>
          <w:szCs w:val="20"/>
        </w:rPr>
        <w:t>: Data presents pooled estimates [95% Confidence Interval] derived from random-effects meta-analysis models. N represents the total number of patients, and I^2 indicates the percentage of heterogeneity across studies. CAD, coronary artery disease; PCI, percutaneous coronary intervention; MI, myocardial infarction; TLF, target lesion failure; TLR, target lesion revascularization; TV-MI, target vessel myocardial infarction; CI, confidence interval; I², I-squared statistic for heterogeneity; k, number of included studies; N, total number of patients.</w:t>
      </w:r>
    </w:p>
    <w:p w14:paraId="05BBC299" w14:textId="77777777" w:rsidR="005A646F" w:rsidRDefault="005A646F"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1291"/>
        <w:gridCol w:w="1891"/>
        <w:gridCol w:w="1217"/>
        <w:gridCol w:w="963"/>
        <w:gridCol w:w="1038"/>
        <w:gridCol w:w="1115"/>
        <w:gridCol w:w="956"/>
        <w:gridCol w:w="879"/>
      </w:tblGrid>
      <w:tr w:rsidR="00F3550A" w:rsidRPr="00F3550A" w14:paraId="51B90F47" w14:textId="77777777" w:rsidTr="00F3550A">
        <w:trPr>
          <w:trHeight w:val="780"/>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04C734E4"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lastRenderedPageBreak/>
              <w:t>Stent Type</w:t>
            </w:r>
          </w:p>
        </w:tc>
        <w:tc>
          <w:tcPr>
            <w:tcW w:w="1011" w:type="pct"/>
            <w:tcBorders>
              <w:top w:val="single" w:sz="4" w:space="0" w:color="auto"/>
              <w:left w:val="nil"/>
              <w:bottom w:val="single" w:sz="4" w:space="0" w:color="auto"/>
              <w:right w:val="single" w:sz="4" w:space="0" w:color="auto"/>
            </w:tcBorders>
            <w:vAlign w:val="center"/>
            <w:hideMark/>
          </w:tcPr>
          <w:p w14:paraId="6944C586"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Outcome</w:t>
            </w:r>
          </w:p>
        </w:tc>
        <w:tc>
          <w:tcPr>
            <w:tcW w:w="651" w:type="pct"/>
            <w:tcBorders>
              <w:top w:val="single" w:sz="4" w:space="0" w:color="auto"/>
              <w:left w:val="nil"/>
              <w:bottom w:val="single" w:sz="4" w:space="0" w:color="auto"/>
              <w:right w:val="single" w:sz="4" w:space="0" w:color="auto"/>
            </w:tcBorders>
            <w:vAlign w:val="center"/>
            <w:hideMark/>
          </w:tcPr>
          <w:p w14:paraId="0E5A9673"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Subgroup</w:t>
            </w:r>
          </w:p>
        </w:tc>
        <w:tc>
          <w:tcPr>
            <w:tcW w:w="515" w:type="pct"/>
            <w:tcBorders>
              <w:top w:val="single" w:sz="4" w:space="0" w:color="auto"/>
              <w:left w:val="nil"/>
              <w:bottom w:val="single" w:sz="4" w:space="0" w:color="auto"/>
              <w:right w:val="single" w:sz="4" w:space="0" w:color="auto"/>
            </w:tcBorders>
            <w:vAlign w:val="center"/>
            <w:hideMark/>
          </w:tcPr>
          <w:p w14:paraId="444A7B6A"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No. of Studies</w:t>
            </w:r>
          </w:p>
        </w:tc>
        <w:tc>
          <w:tcPr>
            <w:tcW w:w="555" w:type="pct"/>
            <w:tcBorders>
              <w:top w:val="single" w:sz="4" w:space="0" w:color="auto"/>
              <w:left w:val="nil"/>
              <w:bottom w:val="single" w:sz="4" w:space="0" w:color="auto"/>
              <w:right w:val="single" w:sz="4" w:space="0" w:color="auto"/>
            </w:tcBorders>
            <w:vAlign w:val="center"/>
            <w:hideMark/>
          </w:tcPr>
          <w:p w14:paraId="786D6FD7"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Total Patients (N)</w:t>
            </w:r>
          </w:p>
        </w:tc>
        <w:tc>
          <w:tcPr>
            <w:tcW w:w="596" w:type="pct"/>
            <w:tcBorders>
              <w:top w:val="single" w:sz="4" w:space="0" w:color="auto"/>
              <w:left w:val="nil"/>
              <w:bottom w:val="single" w:sz="4" w:space="0" w:color="auto"/>
              <w:right w:val="single" w:sz="4" w:space="0" w:color="auto"/>
            </w:tcBorders>
            <w:vAlign w:val="center"/>
            <w:hideMark/>
          </w:tcPr>
          <w:p w14:paraId="19687F3F"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Pooled Estimate [95% CI]</w:t>
            </w:r>
          </w:p>
        </w:tc>
        <w:tc>
          <w:tcPr>
            <w:tcW w:w="511" w:type="pct"/>
            <w:tcBorders>
              <w:top w:val="single" w:sz="4" w:space="0" w:color="auto"/>
              <w:left w:val="nil"/>
              <w:bottom w:val="single" w:sz="4" w:space="0" w:color="auto"/>
              <w:right w:val="single" w:sz="4" w:space="0" w:color="auto"/>
            </w:tcBorders>
            <w:vAlign w:val="center"/>
            <w:hideMark/>
          </w:tcPr>
          <w:p w14:paraId="58E65C57"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I2</w:t>
            </w:r>
          </w:p>
        </w:tc>
        <w:tc>
          <w:tcPr>
            <w:tcW w:w="470" w:type="pct"/>
            <w:tcBorders>
              <w:top w:val="single" w:sz="4" w:space="0" w:color="auto"/>
              <w:left w:val="nil"/>
              <w:bottom w:val="single" w:sz="4" w:space="0" w:color="auto"/>
              <w:right w:val="single" w:sz="4" w:space="0" w:color="auto"/>
            </w:tcBorders>
            <w:vAlign w:val="center"/>
            <w:hideMark/>
          </w:tcPr>
          <w:p w14:paraId="18716840"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r w:rsidRPr="00F3550A">
              <w:rPr>
                <w:rFonts w:ascii="Times New Roman" w:eastAsia="Times New Roman" w:hAnsi="Times New Roman" w:cs="Times New Roman"/>
                <w:b/>
                <w:bCs/>
                <w:color w:val="1B1C1D"/>
                <w:sz w:val="20"/>
                <w:szCs w:val="20"/>
                <w:lang w:val="en" w:eastAsia="en-IN"/>
              </w:rPr>
              <w:t>P-value (Diff)</w:t>
            </w:r>
          </w:p>
        </w:tc>
      </w:tr>
      <w:tr w:rsidR="00F3550A" w:rsidRPr="00F3550A" w14:paraId="5B66B170" w14:textId="77777777" w:rsidTr="00F3550A">
        <w:trPr>
          <w:trHeight w:val="1040"/>
          <w:jc w:val="center"/>
        </w:trPr>
        <w:tc>
          <w:tcPr>
            <w:tcW w:w="691" w:type="pct"/>
            <w:tcBorders>
              <w:top w:val="nil"/>
              <w:left w:val="single" w:sz="4" w:space="0" w:color="auto"/>
              <w:bottom w:val="single" w:sz="4" w:space="0" w:color="auto"/>
              <w:right w:val="single" w:sz="4" w:space="0" w:color="auto"/>
            </w:tcBorders>
            <w:vAlign w:val="center"/>
            <w:hideMark/>
          </w:tcPr>
          <w:p w14:paraId="438C0131"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proofErr w:type="spellStart"/>
            <w:r w:rsidRPr="00F3550A">
              <w:rPr>
                <w:rFonts w:ascii="Times New Roman" w:eastAsia="Times New Roman" w:hAnsi="Times New Roman" w:cs="Times New Roman"/>
                <w:b/>
                <w:bCs/>
                <w:color w:val="1B1C1D"/>
                <w:sz w:val="20"/>
                <w:szCs w:val="20"/>
                <w:lang w:val="en" w:eastAsia="en-IN"/>
              </w:rPr>
              <w:t>Magmaris</w:t>
            </w:r>
            <w:proofErr w:type="spellEnd"/>
          </w:p>
        </w:tc>
        <w:tc>
          <w:tcPr>
            <w:tcW w:w="1011" w:type="pct"/>
            <w:tcBorders>
              <w:top w:val="nil"/>
              <w:left w:val="nil"/>
              <w:bottom w:val="single" w:sz="4" w:space="0" w:color="auto"/>
              <w:right w:val="single" w:sz="4" w:space="0" w:color="auto"/>
            </w:tcBorders>
            <w:vAlign w:val="center"/>
            <w:hideMark/>
          </w:tcPr>
          <w:p w14:paraId="6D168BF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Target Lesion Failure (TLF)</w:t>
            </w:r>
          </w:p>
        </w:tc>
        <w:tc>
          <w:tcPr>
            <w:tcW w:w="651" w:type="pct"/>
            <w:tcBorders>
              <w:top w:val="nil"/>
              <w:left w:val="nil"/>
              <w:bottom w:val="single" w:sz="4" w:space="0" w:color="auto"/>
              <w:right w:val="single" w:sz="4" w:space="0" w:color="auto"/>
            </w:tcBorders>
            <w:vAlign w:val="center"/>
            <w:hideMark/>
          </w:tcPr>
          <w:p w14:paraId="15037FE9"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 year</w:t>
            </w:r>
          </w:p>
        </w:tc>
        <w:tc>
          <w:tcPr>
            <w:tcW w:w="515" w:type="pct"/>
            <w:tcBorders>
              <w:top w:val="nil"/>
              <w:left w:val="nil"/>
              <w:bottom w:val="single" w:sz="4" w:space="0" w:color="auto"/>
              <w:right w:val="single" w:sz="4" w:space="0" w:color="auto"/>
            </w:tcBorders>
            <w:vAlign w:val="center"/>
            <w:hideMark/>
          </w:tcPr>
          <w:p w14:paraId="424EBBBA"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w:t>
            </w:r>
          </w:p>
        </w:tc>
        <w:tc>
          <w:tcPr>
            <w:tcW w:w="555" w:type="pct"/>
            <w:tcBorders>
              <w:top w:val="nil"/>
              <w:left w:val="nil"/>
              <w:bottom w:val="single" w:sz="4" w:space="0" w:color="auto"/>
              <w:right w:val="single" w:sz="4" w:space="0" w:color="auto"/>
            </w:tcBorders>
            <w:vAlign w:val="center"/>
            <w:hideMark/>
          </w:tcPr>
          <w:p w14:paraId="61849D3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2,112</w:t>
            </w:r>
          </w:p>
        </w:tc>
        <w:tc>
          <w:tcPr>
            <w:tcW w:w="596" w:type="pct"/>
            <w:tcBorders>
              <w:top w:val="nil"/>
              <w:left w:val="nil"/>
              <w:bottom w:val="single" w:sz="4" w:space="0" w:color="auto"/>
              <w:right w:val="single" w:sz="4" w:space="0" w:color="auto"/>
            </w:tcBorders>
            <w:vAlign w:val="center"/>
            <w:hideMark/>
          </w:tcPr>
          <w:p w14:paraId="37914916"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0.02 [0.01; 0.04]</w:t>
            </w:r>
          </w:p>
        </w:tc>
        <w:tc>
          <w:tcPr>
            <w:tcW w:w="511" w:type="pct"/>
            <w:tcBorders>
              <w:top w:val="nil"/>
              <w:left w:val="nil"/>
              <w:bottom w:val="single" w:sz="4" w:space="0" w:color="auto"/>
              <w:right w:val="single" w:sz="4" w:space="0" w:color="auto"/>
            </w:tcBorders>
            <w:vAlign w:val="center"/>
            <w:hideMark/>
          </w:tcPr>
          <w:p w14:paraId="5BADAA9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59.30%</w:t>
            </w:r>
          </w:p>
        </w:tc>
        <w:tc>
          <w:tcPr>
            <w:tcW w:w="470" w:type="pct"/>
            <w:tcBorders>
              <w:top w:val="nil"/>
              <w:left w:val="nil"/>
              <w:bottom w:val="single" w:sz="4" w:space="0" w:color="auto"/>
              <w:right w:val="single" w:sz="4" w:space="0" w:color="auto"/>
            </w:tcBorders>
            <w:vAlign w:val="center"/>
            <w:hideMark/>
          </w:tcPr>
          <w:p w14:paraId="3076DF7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&lt; 0.0001</w:t>
            </w:r>
          </w:p>
        </w:tc>
      </w:tr>
      <w:tr w:rsidR="00F3550A" w:rsidRPr="00F3550A" w14:paraId="4AF89577"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0DB20928"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0215F37D"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1F2ABF7B"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 years</w:t>
            </w:r>
          </w:p>
        </w:tc>
        <w:tc>
          <w:tcPr>
            <w:tcW w:w="515" w:type="pct"/>
            <w:tcBorders>
              <w:top w:val="nil"/>
              <w:left w:val="nil"/>
              <w:bottom w:val="single" w:sz="4" w:space="0" w:color="auto"/>
              <w:right w:val="single" w:sz="4" w:space="0" w:color="auto"/>
            </w:tcBorders>
            <w:vAlign w:val="center"/>
            <w:hideMark/>
          </w:tcPr>
          <w:p w14:paraId="46008696"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6</w:t>
            </w:r>
          </w:p>
        </w:tc>
        <w:tc>
          <w:tcPr>
            <w:tcW w:w="555" w:type="pct"/>
            <w:tcBorders>
              <w:top w:val="nil"/>
              <w:left w:val="nil"/>
              <w:bottom w:val="single" w:sz="4" w:space="0" w:color="auto"/>
              <w:right w:val="single" w:sz="4" w:space="0" w:color="auto"/>
            </w:tcBorders>
            <w:vAlign w:val="center"/>
            <w:hideMark/>
          </w:tcPr>
          <w:p w14:paraId="1D37FC1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3,059</w:t>
            </w:r>
          </w:p>
        </w:tc>
        <w:tc>
          <w:tcPr>
            <w:tcW w:w="596" w:type="pct"/>
            <w:tcBorders>
              <w:top w:val="nil"/>
              <w:left w:val="nil"/>
              <w:bottom w:val="single" w:sz="4" w:space="0" w:color="auto"/>
              <w:right w:val="single" w:sz="4" w:space="0" w:color="auto"/>
            </w:tcBorders>
            <w:vAlign w:val="center"/>
            <w:hideMark/>
          </w:tcPr>
          <w:p w14:paraId="07CFB34A"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0.06 [0.06; 0.07]</w:t>
            </w:r>
          </w:p>
        </w:tc>
        <w:tc>
          <w:tcPr>
            <w:tcW w:w="511" w:type="pct"/>
            <w:tcBorders>
              <w:top w:val="nil"/>
              <w:left w:val="nil"/>
              <w:bottom w:val="single" w:sz="4" w:space="0" w:color="auto"/>
              <w:right w:val="single" w:sz="4" w:space="0" w:color="auto"/>
            </w:tcBorders>
            <w:vAlign w:val="center"/>
            <w:hideMark/>
          </w:tcPr>
          <w:p w14:paraId="461DCDB0"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0068AE6F"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3DE11A48" w14:textId="77777777" w:rsidTr="00F3550A">
        <w:trPr>
          <w:trHeight w:val="1300"/>
          <w:jc w:val="center"/>
        </w:trPr>
        <w:tc>
          <w:tcPr>
            <w:tcW w:w="691" w:type="pct"/>
            <w:tcBorders>
              <w:top w:val="nil"/>
              <w:left w:val="single" w:sz="4" w:space="0" w:color="auto"/>
              <w:bottom w:val="single" w:sz="4" w:space="0" w:color="auto"/>
              <w:right w:val="single" w:sz="4" w:space="0" w:color="auto"/>
            </w:tcBorders>
            <w:vAlign w:val="center"/>
            <w:hideMark/>
          </w:tcPr>
          <w:p w14:paraId="3D8AD877"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129F141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Target Lesion Revascularization (TLR)</w:t>
            </w:r>
          </w:p>
        </w:tc>
        <w:tc>
          <w:tcPr>
            <w:tcW w:w="651" w:type="pct"/>
            <w:tcBorders>
              <w:top w:val="nil"/>
              <w:left w:val="nil"/>
              <w:bottom w:val="single" w:sz="4" w:space="0" w:color="auto"/>
              <w:right w:val="single" w:sz="4" w:space="0" w:color="auto"/>
            </w:tcBorders>
            <w:vAlign w:val="center"/>
            <w:hideMark/>
          </w:tcPr>
          <w:p w14:paraId="7BD36FED"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 year</w:t>
            </w:r>
          </w:p>
        </w:tc>
        <w:tc>
          <w:tcPr>
            <w:tcW w:w="515" w:type="pct"/>
            <w:tcBorders>
              <w:top w:val="nil"/>
              <w:left w:val="nil"/>
              <w:bottom w:val="single" w:sz="4" w:space="0" w:color="auto"/>
              <w:right w:val="single" w:sz="4" w:space="0" w:color="auto"/>
            </w:tcBorders>
            <w:vAlign w:val="center"/>
            <w:hideMark/>
          </w:tcPr>
          <w:p w14:paraId="7979DDAA"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10</w:t>
            </w:r>
          </w:p>
        </w:tc>
        <w:tc>
          <w:tcPr>
            <w:tcW w:w="555" w:type="pct"/>
            <w:tcBorders>
              <w:top w:val="nil"/>
              <w:left w:val="nil"/>
              <w:bottom w:val="single" w:sz="4" w:space="0" w:color="auto"/>
              <w:right w:val="single" w:sz="4" w:space="0" w:color="auto"/>
            </w:tcBorders>
            <w:vAlign w:val="center"/>
            <w:hideMark/>
          </w:tcPr>
          <w:p w14:paraId="5339CBA7"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2,554</w:t>
            </w:r>
          </w:p>
        </w:tc>
        <w:tc>
          <w:tcPr>
            <w:tcW w:w="596" w:type="pct"/>
            <w:tcBorders>
              <w:top w:val="nil"/>
              <w:left w:val="nil"/>
              <w:bottom w:val="single" w:sz="4" w:space="0" w:color="auto"/>
              <w:right w:val="single" w:sz="4" w:space="0" w:color="auto"/>
            </w:tcBorders>
            <w:vAlign w:val="center"/>
            <w:hideMark/>
          </w:tcPr>
          <w:p w14:paraId="6B469A1C"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0.03 [0.01; 0.04]</w:t>
            </w:r>
          </w:p>
        </w:tc>
        <w:tc>
          <w:tcPr>
            <w:tcW w:w="511" w:type="pct"/>
            <w:tcBorders>
              <w:top w:val="nil"/>
              <w:left w:val="nil"/>
              <w:bottom w:val="single" w:sz="4" w:space="0" w:color="auto"/>
              <w:right w:val="single" w:sz="4" w:space="0" w:color="auto"/>
            </w:tcBorders>
            <w:vAlign w:val="center"/>
            <w:hideMark/>
          </w:tcPr>
          <w:p w14:paraId="0E931937"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83.60%</w:t>
            </w:r>
          </w:p>
        </w:tc>
        <w:tc>
          <w:tcPr>
            <w:tcW w:w="470" w:type="pct"/>
            <w:tcBorders>
              <w:top w:val="nil"/>
              <w:left w:val="nil"/>
              <w:bottom w:val="single" w:sz="4" w:space="0" w:color="auto"/>
              <w:right w:val="single" w:sz="4" w:space="0" w:color="auto"/>
            </w:tcBorders>
            <w:vAlign w:val="center"/>
            <w:hideMark/>
          </w:tcPr>
          <w:p w14:paraId="3C3AFBF8"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0.001</w:t>
            </w:r>
          </w:p>
        </w:tc>
      </w:tr>
      <w:tr w:rsidR="00F3550A" w:rsidRPr="00F3550A" w14:paraId="30F111A6"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7FBA170A"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2112E780"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6D47DF8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 years</w:t>
            </w:r>
          </w:p>
        </w:tc>
        <w:tc>
          <w:tcPr>
            <w:tcW w:w="515" w:type="pct"/>
            <w:tcBorders>
              <w:top w:val="nil"/>
              <w:left w:val="nil"/>
              <w:bottom w:val="single" w:sz="4" w:space="0" w:color="auto"/>
              <w:right w:val="single" w:sz="4" w:space="0" w:color="auto"/>
            </w:tcBorders>
            <w:vAlign w:val="center"/>
            <w:hideMark/>
          </w:tcPr>
          <w:p w14:paraId="7958446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4</w:t>
            </w:r>
          </w:p>
        </w:tc>
        <w:tc>
          <w:tcPr>
            <w:tcW w:w="555" w:type="pct"/>
            <w:tcBorders>
              <w:top w:val="nil"/>
              <w:left w:val="nil"/>
              <w:bottom w:val="single" w:sz="4" w:space="0" w:color="auto"/>
              <w:right w:val="single" w:sz="4" w:space="0" w:color="auto"/>
            </w:tcBorders>
            <w:vAlign w:val="center"/>
            <w:hideMark/>
          </w:tcPr>
          <w:p w14:paraId="4A45A432"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2,645</w:t>
            </w:r>
          </w:p>
        </w:tc>
        <w:tc>
          <w:tcPr>
            <w:tcW w:w="596" w:type="pct"/>
            <w:tcBorders>
              <w:top w:val="nil"/>
              <w:left w:val="nil"/>
              <w:bottom w:val="single" w:sz="4" w:space="0" w:color="auto"/>
              <w:right w:val="single" w:sz="4" w:space="0" w:color="auto"/>
            </w:tcBorders>
            <w:vAlign w:val="center"/>
            <w:hideMark/>
          </w:tcPr>
          <w:p w14:paraId="6CB8FE95"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0.06 [0.05; 0.07]</w:t>
            </w:r>
          </w:p>
        </w:tc>
        <w:tc>
          <w:tcPr>
            <w:tcW w:w="511" w:type="pct"/>
            <w:tcBorders>
              <w:top w:val="nil"/>
              <w:left w:val="nil"/>
              <w:bottom w:val="single" w:sz="4" w:space="0" w:color="auto"/>
              <w:right w:val="single" w:sz="4" w:space="0" w:color="auto"/>
            </w:tcBorders>
            <w:vAlign w:val="center"/>
            <w:hideMark/>
          </w:tcPr>
          <w:p w14:paraId="100B93F7"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27382BB2"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19E692D5" w14:textId="77777777" w:rsidTr="00F3550A">
        <w:trPr>
          <w:trHeight w:val="780"/>
          <w:jc w:val="center"/>
        </w:trPr>
        <w:tc>
          <w:tcPr>
            <w:tcW w:w="691" w:type="pct"/>
            <w:tcBorders>
              <w:top w:val="nil"/>
              <w:left w:val="single" w:sz="4" w:space="0" w:color="auto"/>
              <w:bottom w:val="single" w:sz="4" w:space="0" w:color="auto"/>
              <w:right w:val="single" w:sz="4" w:space="0" w:color="auto"/>
            </w:tcBorders>
            <w:vAlign w:val="center"/>
            <w:hideMark/>
          </w:tcPr>
          <w:p w14:paraId="2B3ED9CF"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proofErr w:type="spellStart"/>
            <w:r w:rsidRPr="00F3550A">
              <w:rPr>
                <w:rFonts w:ascii="Times New Roman" w:eastAsia="Times New Roman" w:hAnsi="Times New Roman" w:cs="Times New Roman"/>
                <w:b/>
                <w:bCs/>
                <w:color w:val="1B1C1D"/>
                <w:sz w:val="20"/>
                <w:szCs w:val="20"/>
                <w:lang w:val="en" w:eastAsia="en-IN"/>
              </w:rPr>
              <w:t>Orsiro</w:t>
            </w:r>
            <w:proofErr w:type="spellEnd"/>
          </w:p>
        </w:tc>
        <w:tc>
          <w:tcPr>
            <w:tcW w:w="1011" w:type="pct"/>
            <w:tcBorders>
              <w:top w:val="nil"/>
              <w:left w:val="nil"/>
              <w:bottom w:val="single" w:sz="4" w:space="0" w:color="auto"/>
              <w:right w:val="single" w:sz="4" w:space="0" w:color="auto"/>
            </w:tcBorders>
            <w:vAlign w:val="center"/>
            <w:hideMark/>
          </w:tcPr>
          <w:p w14:paraId="25369F23"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Stent Thrombosis</w:t>
            </w:r>
          </w:p>
        </w:tc>
        <w:tc>
          <w:tcPr>
            <w:tcW w:w="651" w:type="pct"/>
            <w:tcBorders>
              <w:top w:val="nil"/>
              <w:left w:val="nil"/>
              <w:bottom w:val="single" w:sz="4" w:space="0" w:color="auto"/>
              <w:right w:val="single" w:sz="4" w:space="0" w:color="auto"/>
            </w:tcBorders>
            <w:vAlign w:val="center"/>
            <w:hideMark/>
          </w:tcPr>
          <w:p w14:paraId="3B83B963"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18 months</w:t>
            </w:r>
          </w:p>
        </w:tc>
        <w:tc>
          <w:tcPr>
            <w:tcW w:w="515" w:type="pct"/>
            <w:tcBorders>
              <w:top w:val="nil"/>
              <w:left w:val="nil"/>
              <w:bottom w:val="single" w:sz="4" w:space="0" w:color="auto"/>
              <w:right w:val="single" w:sz="4" w:space="0" w:color="auto"/>
            </w:tcBorders>
            <w:vAlign w:val="center"/>
            <w:hideMark/>
          </w:tcPr>
          <w:p w14:paraId="476BE33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3</w:t>
            </w:r>
          </w:p>
        </w:tc>
        <w:tc>
          <w:tcPr>
            <w:tcW w:w="555" w:type="pct"/>
            <w:tcBorders>
              <w:top w:val="nil"/>
              <w:left w:val="nil"/>
              <w:bottom w:val="single" w:sz="4" w:space="0" w:color="auto"/>
              <w:right w:val="single" w:sz="4" w:space="0" w:color="auto"/>
            </w:tcBorders>
            <w:vAlign w:val="center"/>
            <w:hideMark/>
          </w:tcPr>
          <w:p w14:paraId="10F9273A"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2,129</w:t>
            </w:r>
          </w:p>
        </w:tc>
        <w:tc>
          <w:tcPr>
            <w:tcW w:w="596" w:type="pct"/>
            <w:tcBorders>
              <w:top w:val="nil"/>
              <w:left w:val="nil"/>
              <w:bottom w:val="single" w:sz="4" w:space="0" w:color="auto"/>
              <w:right w:val="single" w:sz="4" w:space="0" w:color="auto"/>
            </w:tcBorders>
            <w:vAlign w:val="center"/>
            <w:hideMark/>
          </w:tcPr>
          <w:p w14:paraId="416298EA"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0.00 [0.00; 0.00]</w:t>
            </w:r>
          </w:p>
        </w:tc>
        <w:tc>
          <w:tcPr>
            <w:tcW w:w="511" w:type="pct"/>
            <w:tcBorders>
              <w:top w:val="nil"/>
              <w:left w:val="nil"/>
              <w:bottom w:val="single" w:sz="4" w:space="0" w:color="auto"/>
              <w:right w:val="single" w:sz="4" w:space="0" w:color="auto"/>
            </w:tcBorders>
            <w:vAlign w:val="center"/>
            <w:hideMark/>
          </w:tcPr>
          <w:p w14:paraId="7E910F5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16%</w:t>
            </w:r>
          </w:p>
        </w:tc>
        <w:tc>
          <w:tcPr>
            <w:tcW w:w="470" w:type="pct"/>
            <w:tcBorders>
              <w:top w:val="nil"/>
              <w:left w:val="nil"/>
              <w:bottom w:val="single" w:sz="4" w:space="0" w:color="auto"/>
              <w:right w:val="single" w:sz="4" w:space="0" w:color="auto"/>
            </w:tcBorders>
            <w:vAlign w:val="center"/>
            <w:hideMark/>
          </w:tcPr>
          <w:p w14:paraId="1E075222"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0.219</w:t>
            </w:r>
          </w:p>
        </w:tc>
      </w:tr>
      <w:tr w:rsidR="00F3550A" w:rsidRPr="00F3550A" w14:paraId="256F6A2D"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3D9BBCDC"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1AA928B4"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668B40A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&gt; 18 months</w:t>
            </w:r>
          </w:p>
        </w:tc>
        <w:tc>
          <w:tcPr>
            <w:tcW w:w="515" w:type="pct"/>
            <w:tcBorders>
              <w:top w:val="nil"/>
              <w:left w:val="nil"/>
              <w:bottom w:val="single" w:sz="4" w:space="0" w:color="auto"/>
              <w:right w:val="single" w:sz="4" w:space="0" w:color="auto"/>
            </w:tcBorders>
            <w:vAlign w:val="center"/>
            <w:hideMark/>
          </w:tcPr>
          <w:p w14:paraId="073B4605"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07F9E604"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1,441</w:t>
            </w:r>
          </w:p>
        </w:tc>
        <w:tc>
          <w:tcPr>
            <w:tcW w:w="596" w:type="pct"/>
            <w:tcBorders>
              <w:top w:val="nil"/>
              <w:left w:val="nil"/>
              <w:bottom w:val="single" w:sz="4" w:space="0" w:color="auto"/>
              <w:right w:val="single" w:sz="4" w:space="0" w:color="auto"/>
            </w:tcBorders>
            <w:vAlign w:val="center"/>
            <w:hideMark/>
          </w:tcPr>
          <w:p w14:paraId="18F9E3C6"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0.00 [0.00; 0.01]</w:t>
            </w:r>
          </w:p>
        </w:tc>
        <w:tc>
          <w:tcPr>
            <w:tcW w:w="511" w:type="pct"/>
            <w:tcBorders>
              <w:top w:val="nil"/>
              <w:left w:val="nil"/>
              <w:bottom w:val="single" w:sz="4" w:space="0" w:color="auto"/>
              <w:right w:val="single" w:sz="4" w:space="0" w:color="auto"/>
            </w:tcBorders>
            <w:vAlign w:val="center"/>
            <w:hideMark/>
          </w:tcPr>
          <w:p w14:paraId="45A3DEDF"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4%</w:t>
            </w:r>
          </w:p>
        </w:tc>
        <w:tc>
          <w:tcPr>
            <w:tcW w:w="470" w:type="pct"/>
            <w:tcBorders>
              <w:top w:val="nil"/>
              <w:left w:val="nil"/>
              <w:bottom w:val="single" w:sz="4" w:space="0" w:color="auto"/>
              <w:right w:val="single" w:sz="4" w:space="0" w:color="auto"/>
            </w:tcBorders>
            <w:vAlign w:val="center"/>
            <w:hideMark/>
          </w:tcPr>
          <w:p w14:paraId="3AA9F6D7"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7DC92D61" w14:textId="77777777" w:rsidTr="00F3550A">
        <w:trPr>
          <w:trHeight w:val="1040"/>
          <w:jc w:val="center"/>
        </w:trPr>
        <w:tc>
          <w:tcPr>
            <w:tcW w:w="691" w:type="pct"/>
            <w:tcBorders>
              <w:top w:val="nil"/>
              <w:left w:val="single" w:sz="4" w:space="0" w:color="auto"/>
              <w:bottom w:val="single" w:sz="4" w:space="0" w:color="auto"/>
              <w:right w:val="single" w:sz="4" w:space="0" w:color="auto"/>
            </w:tcBorders>
            <w:vAlign w:val="center"/>
            <w:hideMark/>
          </w:tcPr>
          <w:p w14:paraId="3E49128B"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1459424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Target Lesion Failure (TLF)</w:t>
            </w:r>
          </w:p>
        </w:tc>
        <w:tc>
          <w:tcPr>
            <w:tcW w:w="651" w:type="pct"/>
            <w:tcBorders>
              <w:top w:val="nil"/>
              <w:left w:val="nil"/>
              <w:bottom w:val="single" w:sz="4" w:space="0" w:color="auto"/>
              <w:right w:val="single" w:sz="4" w:space="0" w:color="auto"/>
            </w:tcBorders>
            <w:vAlign w:val="center"/>
            <w:hideMark/>
          </w:tcPr>
          <w:p w14:paraId="3F515BB7"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18 months</w:t>
            </w:r>
          </w:p>
        </w:tc>
        <w:tc>
          <w:tcPr>
            <w:tcW w:w="515" w:type="pct"/>
            <w:tcBorders>
              <w:top w:val="nil"/>
              <w:left w:val="nil"/>
              <w:bottom w:val="single" w:sz="4" w:space="0" w:color="auto"/>
              <w:right w:val="single" w:sz="4" w:space="0" w:color="auto"/>
            </w:tcBorders>
            <w:vAlign w:val="center"/>
            <w:hideMark/>
          </w:tcPr>
          <w:p w14:paraId="2F3849D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4</w:t>
            </w:r>
          </w:p>
        </w:tc>
        <w:tc>
          <w:tcPr>
            <w:tcW w:w="555" w:type="pct"/>
            <w:tcBorders>
              <w:top w:val="nil"/>
              <w:left w:val="nil"/>
              <w:bottom w:val="single" w:sz="4" w:space="0" w:color="auto"/>
              <w:right w:val="single" w:sz="4" w:space="0" w:color="auto"/>
            </w:tcBorders>
            <w:vAlign w:val="center"/>
            <w:hideMark/>
          </w:tcPr>
          <w:p w14:paraId="1D763040"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2,427</w:t>
            </w:r>
          </w:p>
        </w:tc>
        <w:tc>
          <w:tcPr>
            <w:tcW w:w="596" w:type="pct"/>
            <w:tcBorders>
              <w:top w:val="nil"/>
              <w:left w:val="nil"/>
              <w:bottom w:val="single" w:sz="4" w:space="0" w:color="auto"/>
              <w:right w:val="single" w:sz="4" w:space="0" w:color="auto"/>
            </w:tcBorders>
            <w:vAlign w:val="center"/>
            <w:hideMark/>
          </w:tcPr>
          <w:p w14:paraId="5A25CAFC"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0.04 [0.02; 0.06]</w:t>
            </w:r>
          </w:p>
        </w:tc>
        <w:tc>
          <w:tcPr>
            <w:tcW w:w="511" w:type="pct"/>
            <w:tcBorders>
              <w:top w:val="nil"/>
              <w:left w:val="nil"/>
              <w:bottom w:val="single" w:sz="4" w:space="0" w:color="auto"/>
              <w:right w:val="single" w:sz="4" w:space="0" w:color="auto"/>
            </w:tcBorders>
            <w:vAlign w:val="center"/>
            <w:hideMark/>
          </w:tcPr>
          <w:p w14:paraId="76E9072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84%</w:t>
            </w:r>
          </w:p>
        </w:tc>
        <w:tc>
          <w:tcPr>
            <w:tcW w:w="470" w:type="pct"/>
            <w:tcBorders>
              <w:top w:val="nil"/>
              <w:left w:val="nil"/>
              <w:bottom w:val="single" w:sz="4" w:space="0" w:color="auto"/>
              <w:right w:val="single" w:sz="4" w:space="0" w:color="auto"/>
            </w:tcBorders>
            <w:vAlign w:val="center"/>
            <w:hideMark/>
          </w:tcPr>
          <w:p w14:paraId="64C53D2F"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0.631</w:t>
            </w:r>
          </w:p>
        </w:tc>
      </w:tr>
      <w:tr w:rsidR="00F3550A" w:rsidRPr="00F3550A" w14:paraId="06DBA133"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9DEE55D"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6711F5D4"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3710A613"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&gt; 18 months</w:t>
            </w:r>
          </w:p>
        </w:tc>
        <w:tc>
          <w:tcPr>
            <w:tcW w:w="515" w:type="pct"/>
            <w:tcBorders>
              <w:top w:val="nil"/>
              <w:left w:val="nil"/>
              <w:bottom w:val="single" w:sz="4" w:space="0" w:color="auto"/>
              <w:right w:val="single" w:sz="4" w:space="0" w:color="auto"/>
            </w:tcBorders>
            <w:vAlign w:val="center"/>
            <w:hideMark/>
          </w:tcPr>
          <w:p w14:paraId="14BFFB80"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242013C0"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1,441</w:t>
            </w:r>
          </w:p>
        </w:tc>
        <w:tc>
          <w:tcPr>
            <w:tcW w:w="596" w:type="pct"/>
            <w:tcBorders>
              <w:top w:val="nil"/>
              <w:left w:val="nil"/>
              <w:bottom w:val="single" w:sz="4" w:space="0" w:color="auto"/>
              <w:right w:val="single" w:sz="4" w:space="0" w:color="auto"/>
            </w:tcBorders>
            <w:vAlign w:val="center"/>
            <w:hideMark/>
          </w:tcPr>
          <w:p w14:paraId="7DA273B4"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0.05 [0.01; 0.11]</w:t>
            </w:r>
          </w:p>
        </w:tc>
        <w:tc>
          <w:tcPr>
            <w:tcW w:w="511" w:type="pct"/>
            <w:tcBorders>
              <w:top w:val="nil"/>
              <w:left w:val="nil"/>
              <w:bottom w:val="single" w:sz="4" w:space="0" w:color="auto"/>
              <w:right w:val="single" w:sz="4" w:space="0" w:color="auto"/>
            </w:tcBorders>
            <w:vAlign w:val="center"/>
            <w:hideMark/>
          </w:tcPr>
          <w:p w14:paraId="5C3DC11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90.90%</w:t>
            </w:r>
          </w:p>
        </w:tc>
        <w:tc>
          <w:tcPr>
            <w:tcW w:w="470" w:type="pct"/>
            <w:tcBorders>
              <w:top w:val="nil"/>
              <w:left w:val="nil"/>
              <w:bottom w:val="single" w:sz="4" w:space="0" w:color="auto"/>
              <w:right w:val="single" w:sz="4" w:space="0" w:color="auto"/>
            </w:tcBorders>
            <w:vAlign w:val="center"/>
            <w:hideMark/>
          </w:tcPr>
          <w:p w14:paraId="48267823"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631B6CC1" w14:textId="77777777" w:rsidTr="00F3550A">
        <w:trPr>
          <w:trHeight w:val="1300"/>
          <w:jc w:val="center"/>
        </w:trPr>
        <w:tc>
          <w:tcPr>
            <w:tcW w:w="691" w:type="pct"/>
            <w:tcBorders>
              <w:top w:val="nil"/>
              <w:left w:val="single" w:sz="4" w:space="0" w:color="auto"/>
              <w:bottom w:val="single" w:sz="4" w:space="0" w:color="auto"/>
              <w:right w:val="single" w:sz="4" w:space="0" w:color="auto"/>
            </w:tcBorders>
            <w:vAlign w:val="center"/>
            <w:hideMark/>
          </w:tcPr>
          <w:p w14:paraId="32C3C3C5"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1B3A36C8"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Target Lesion Revascularization (TLR)</w:t>
            </w:r>
          </w:p>
        </w:tc>
        <w:tc>
          <w:tcPr>
            <w:tcW w:w="651" w:type="pct"/>
            <w:tcBorders>
              <w:top w:val="nil"/>
              <w:left w:val="nil"/>
              <w:bottom w:val="single" w:sz="4" w:space="0" w:color="auto"/>
              <w:right w:val="single" w:sz="4" w:space="0" w:color="auto"/>
            </w:tcBorders>
            <w:vAlign w:val="center"/>
            <w:hideMark/>
          </w:tcPr>
          <w:p w14:paraId="235464CF"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18 months</w:t>
            </w:r>
          </w:p>
        </w:tc>
        <w:tc>
          <w:tcPr>
            <w:tcW w:w="515" w:type="pct"/>
            <w:tcBorders>
              <w:top w:val="nil"/>
              <w:left w:val="nil"/>
              <w:bottom w:val="single" w:sz="4" w:space="0" w:color="auto"/>
              <w:right w:val="single" w:sz="4" w:space="0" w:color="auto"/>
            </w:tcBorders>
            <w:vAlign w:val="center"/>
            <w:hideMark/>
          </w:tcPr>
          <w:p w14:paraId="77AC1DF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4</w:t>
            </w:r>
          </w:p>
        </w:tc>
        <w:tc>
          <w:tcPr>
            <w:tcW w:w="555" w:type="pct"/>
            <w:tcBorders>
              <w:top w:val="nil"/>
              <w:left w:val="nil"/>
              <w:bottom w:val="single" w:sz="4" w:space="0" w:color="auto"/>
              <w:right w:val="single" w:sz="4" w:space="0" w:color="auto"/>
            </w:tcBorders>
            <w:vAlign w:val="center"/>
            <w:hideMark/>
          </w:tcPr>
          <w:p w14:paraId="21071CA6"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2,427</w:t>
            </w:r>
          </w:p>
        </w:tc>
        <w:tc>
          <w:tcPr>
            <w:tcW w:w="596" w:type="pct"/>
            <w:tcBorders>
              <w:top w:val="nil"/>
              <w:left w:val="nil"/>
              <w:bottom w:val="single" w:sz="4" w:space="0" w:color="auto"/>
              <w:right w:val="single" w:sz="4" w:space="0" w:color="auto"/>
            </w:tcBorders>
            <w:vAlign w:val="center"/>
            <w:hideMark/>
          </w:tcPr>
          <w:p w14:paraId="28E2C687"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0.02 [0.01; 0.02]</w:t>
            </w:r>
          </w:p>
        </w:tc>
        <w:tc>
          <w:tcPr>
            <w:tcW w:w="511" w:type="pct"/>
            <w:tcBorders>
              <w:top w:val="nil"/>
              <w:left w:val="nil"/>
              <w:bottom w:val="single" w:sz="4" w:space="0" w:color="auto"/>
              <w:right w:val="single" w:sz="4" w:space="0" w:color="auto"/>
            </w:tcBorders>
            <w:vAlign w:val="center"/>
            <w:hideMark/>
          </w:tcPr>
          <w:p w14:paraId="1EE6E1B1"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50.20%</w:t>
            </w:r>
          </w:p>
        </w:tc>
        <w:tc>
          <w:tcPr>
            <w:tcW w:w="470" w:type="pct"/>
            <w:tcBorders>
              <w:top w:val="nil"/>
              <w:left w:val="nil"/>
              <w:bottom w:val="single" w:sz="4" w:space="0" w:color="auto"/>
              <w:right w:val="single" w:sz="4" w:space="0" w:color="auto"/>
            </w:tcBorders>
            <w:vAlign w:val="center"/>
            <w:hideMark/>
          </w:tcPr>
          <w:p w14:paraId="1A6D0311"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0.3778</w:t>
            </w:r>
          </w:p>
        </w:tc>
      </w:tr>
      <w:tr w:rsidR="00F3550A" w:rsidRPr="00F3550A" w14:paraId="77360680"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E281031"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5201E6BD"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2DFDD0A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&gt; 18 months</w:t>
            </w:r>
          </w:p>
        </w:tc>
        <w:tc>
          <w:tcPr>
            <w:tcW w:w="515" w:type="pct"/>
            <w:tcBorders>
              <w:top w:val="nil"/>
              <w:left w:val="nil"/>
              <w:bottom w:val="single" w:sz="4" w:space="0" w:color="auto"/>
              <w:right w:val="single" w:sz="4" w:space="0" w:color="auto"/>
            </w:tcBorders>
            <w:vAlign w:val="center"/>
            <w:hideMark/>
          </w:tcPr>
          <w:p w14:paraId="7D3B6BE3"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6BA6EB02"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1,441</w:t>
            </w:r>
          </w:p>
        </w:tc>
        <w:tc>
          <w:tcPr>
            <w:tcW w:w="596" w:type="pct"/>
            <w:tcBorders>
              <w:top w:val="nil"/>
              <w:left w:val="nil"/>
              <w:bottom w:val="single" w:sz="4" w:space="0" w:color="auto"/>
              <w:right w:val="single" w:sz="4" w:space="0" w:color="auto"/>
            </w:tcBorders>
            <w:vAlign w:val="center"/>
            <w:hideMark/>
          </w:tcPr>
          <w:p w14:paraId="7D929C3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0.04 [0.00; 0.12]</w:t>
            </w:r>
          </w:p>
        </w:tc>
        <w:tc>
          <w:tcPr>
            <w:tcW w:w="511" w:type="pct"/>
            <w:tcBorders>
              <w:top w:val="nil"/>
              <w:left w:val="nil"/>
              <w:bottom w:val="single" w:sz="4" w:space="0" w:color="auto"/>
              <w:right w:val="single" w:sz="4" w:space="0" w:color="auto"/>
            </w:tcBorders>
            <w:vAlign w:val="center"/>
            <w:hideMark/>
          </w:tcPr>
          <w:p w14:paraId="7C7EF65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95.20%</w:t>
            </w:r>
          </w:p>
        </w:tc>
        <w:tc>
          <w:tcPr>
            <w:tcW w:w="470" w:type="pct"/>
            <w:tcBorders>
              <w:top w:val="nil"/>
              <w:left w:val="nil"/>
              <w:bottom w:val="single" w:sz="4" w:space="0" w:color="auto"/>
              <w:right w:val="single" w:sz="4" w:space="0" w:color="auto"/>
            </w:tcBorders>
            <w:vAlign w:val="center"/>
            <w:hideMark/>
          </w:tcPr>
          <w:p w14:paraId="2DBE43A6"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7774AF20"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6EA45C7A"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327C9774"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Target Vessel MI</w:t>
            </w:r>
          </w:p>
        </w:tc>
        <w:tc>
          <w:tcPr>
            <w:tcW w:w="651" w:type="pct"/>
            <w:tcBorders>
              <w:top w:val="nil"/>
              <w:left w:val="nil"/>
              <w:bottom w:val="single" w:sz="4" w:space="0" w:color="auto"/>
              <w:right w:val="single" w:sz="4" w:space="0" w:color="auto"/>
            </w:tcBorders>
            <w:vAlign w:val="center"/>
            <w:hideMark/>
          </w:tcPr>
          <w:p w14:paraId="70CAFC9A"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18 months</w:t>
            </w:r>
          </w:p>
        </w:tc>
        <w:tc>
          <w:tcPr>
            <w:tcW w:w="515" w:type="pct"/>
            <w:tcBorders>
              <w:top w:val="nil"/>
              <w:left w:val="nil"/>
              <w:bottom w:val="single" w:sz="4" w:space="0" w:color="auto"/>
              <w:right w:val="single" w:sz="4" w:space="0" w:color="auto"/>
            </w:tcBorders>
            <w:vAlign w:val="center"/>
            <w:hideMark/>
          </w:tcPr>
          <w:p w14:paraId="36499A61"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4</w:t>
            </w:r>
          </w:p>
        </w:tc>
        <w:tc>
          <w:tcPr>
            <w:tcW w:w="555" w:type="pct"/>
            <w:tcBorders>
              <w:top w:val="nil"/>
              <w:left w:val="nil"/>
              <w:bottom w:val="single" w:sz="4" w:space="0" w:color="auto"/>
              <w:right w:val="single" w:sz="4" w:space="0" w:color="auto"/>
            </w:tcBorders>
            <w:vAlign w:val="center"/>
            <w:hideMark/>
          </w:tcPr>
          <w:p w14:paraId="40B44D96"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2,427</w:t>
            </w:r>
          </w:p>
        </w:tc>
        <w:tc>
          <w:tcPr>
            <w:tcW w:w="596" w:type="pct"/>
            <w:tcBorders>
              <w:top w:val="nil"/>
              <w:left w:val="nil"/>
              <w:bottom w:val="single" w:sz="4" w:space="0" w:color="auto"/>
              <w:right w:val="single" w:sz="4" w:space="0" w:color="auto"/>
            </w:tcBorders>
            <w:vAlign w:val="center"/>
            <w:hideMark/>
          </w:tcPr>
          <w:p w14:paraId="60113ED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0.01 [0.00; 0.03]</w:t>
            </w:r>
          </w:p>
        </w:tc>
        <w:tc>
          <w:tcPr>
            <w:tcW w:w="511" w:type="pct"/>
            <w:tcBorders>
              <w:top w:val="nil"/>
              <w:left w:val="nil"/>
              <w:bottom w:val="single" w:sz="4" w:space="0" w:color="auto"/>
              <w:right w:val="single" w:sz="4" w:space="0" w:color="auto"/>
            </w:tcBorders>
            <w:vAlign w:val="center"/>
            <w:hideMark/>
          </w:tcPr>
          <w:p w14:paraId="10A5C084"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85%</w:t>
            </w:r>
          </w:p>
        </w:tc>
        <w:tc>
          <w:tcPr>
            <w:tcW w:w="470" w:type="pct"/>
            <w:tcBorders>
              <w:top w:val="nil"/>
              <w:left w:val="nil"/>
              <w:bottom w:val="single" w:sz="4" w:space="0" w:color="auto"/>
              <w:right w:val="single" w:sz="4" w:space="0" w:color="auto"/>
            </w:tcBorders>
            <w:vAlign w:val="center"/>
            <w:hideMark/>
          </w:tcPr>
          <w:p w14:paraId="41D730B7"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0.7875</w:t>
            </w:r>
          </w:p>
        </w:tc>
      </w:tr>
      <w:tr w:rsidR="00F3550A" w:rsidRPr="00F3550A" w14:paraId="4714B6EC"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526F45E0"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11D887E8"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3AE2877A"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&gt; 18 months</w:t>
            </w:r>
          </w:p>
        </w:tc>
        <w:tc>
          <w:tcPr>
            <w:tcW w:w="515" w:type="pct"/>
            <w:tcBorders>
              <w:top w:val="nil"/>
              <w:left w:val="nil"/>
              <w:bottom w:val="single" w:sz="4" w:space="0" w:color="auto"/>
              <w:right w:val="single" w:sz="4" w:space="0" w:color="auto"/>
            </w:tcBorders>
            <w:vAlign w:val="center"/>
            <w:hideMark/>
          </w:tcPr>
          <w:p w14:paraId="1F743601"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4848804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1,441</w:t>
            </w:r>
          </w:p>
        </w:tc>
        <w:tc>
          <w:tcPr>
            <w:tcW w:w="596" w:type="pct"/>
            <w:tcBorders>
              <w:top w:val="nil"/>
              <w:left w:val="nil"/>
              <w:bottom w:val="single" w:sz="4" w:space="0" w:color="auto"/>
              <w:right w:val="single" w:sz="4" w:space="0" w:color="auto"/>
            </w:tcBorders>
            <w:vAlign w:val="center"/>
            <w:hideMark/>
          </w:tcPr>
          <w:p w14:paraId="206F162A"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0.02 [0.00; 0.09]</w:t>
            </w:r>
          </w:p>
        </w:tc>
        <w:tc>
          <w:tcPr>
            <w:tcW w:w="511" w:type="pct"/>
            <w:tcBorders>
              <w:top w:val="nil"/>
              <w:left w:val="nil"/>
              <w:bottom w:val="single" w:sz="4" w:space="0" w:color="auto"/>
              <w:right w:val="single" w:sz="4" w:space="0" w:color="auto"/>
            </w:tcBorders>
            <w:vAlign w:val="center"/>
            <w:hideMark/>
          </w:tcPr>
          <w:p w14:paraId="60B21D53"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95.40%</w:t>
            </w:r>
          </w:p>
        </w:tc>
        <w:tc>
          <w:tcPr>
            <w:tcW w:w="470" w:type="pct"/>
            <w:tcBorders>
              <w:top w:val="nil"/>
              <w:left w:val="nil"/>
              <w:bottom w:val="single" w:sz="4" w:space="0" w:color="auto"/>
              <w:right w:val="single" w:sz="4" w:space="0" w:color="auto"/>
            </w:tcBorders>
            <w:vAlign w:val="center"/>
            <w:hideMark/>
          </w:tcPr>
          <w:p w14:paraId="2C1BF1B7"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2CA411FB"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00BA537B"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07213DB3"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All-cause mortality</w:t>
            </w:r>
          </w:p>
        </w:tc>
        <w:tc>
          <w:tcPr>
            <w:tcW w:w="651" w:type="pct"/>
            <w:tcBorders>
              <w:top w:val="nil"/>
              <w:left w:val="nil"/>
              <w:bottom w:val="single" w:sz="4" w:space="0" w:color="auto"/>
              <w:right w:val="single" w:sz="4" w:space="0" w:color="auto"/>
            </w:tcBorders>
            <w:vAlign w:val="center"/>
            <w:hideMark/>
          </w:tcPr>
          <w:p w14:paraId="2148AF5B"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18 months</w:t>
            </w:r>
          </w:p>
        </w:tc>
        <w:tc>
          <w:tcPr>
            <w:tcW w:w="515" w:type="pct"/>
            <w:tcBorders>
              <w:top w:val="nil"/>
              <w:left w:val="nil"/>
              <w:bottom w:val="single" w:sz="4" w:space="0" w:color="auto"/>
              <w:right w:val="single" w:sz="4" w:space="0" w:color="auto"/>
            </w:tcBorders>
            <w:vAlign w:val="center"/>
            <w:hideMark/>
          </w:tcPr>
          <w:p w14:paraId="7C7C054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3</w:t>
            </w:r>
          </w:p>
        </w:tc>
        <w:tc>
          <w:tcPr>
            <w:tcW w:w="555" w:type="pct"/>
            <w:tcBorders>
              <w:top w:val="nil"/>
              <w:left w:val="nil"/>
              <w:bottom w:val="single" w:sz="4" w:space="0" w:color="auto"/>
              <w:right w:val="single" w:sz="4" w:space="0" w:color="auto"/>
            </w:tcBorders>
            <w:vAlign w:val="center"/>
            <w:hideMark/>
          </w:tcPr>
          <w:p w14:paraId="3CE3FE87"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1,252</w:t>
            </w:r>
          </w:p>
        </w:tc>
        <w:tc>
          <w:tcPr>
            <w:tcW w:w="596" w:type="pct"/>
            <w:tcBorders>
              <w:top w:val="nil"/>
              <w:left w:val="nil"/>
              <w:bottom w:val="single" w:sz="4" w:space="0" w:color="auto"/>
              <w:right w:val="single" w:sz="4" w:space="0" w:color="auto"/>
            </w:tcBorders>
            <w:vAlign w:val="center"/>
            <w:hideMark/>
          </w:tcPr>
          <w:p w14:paraId="11A84F0C"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0.03 [0.01; 0.07]</w:t>
            </w:r>
          </w:p>
        </w:tc>
        <w:tc>
          <w:tcPr>
            <w:tcW w:w="511" w:type="pct"/>
            <w:tcBorders>
              <w:top w:val="nil"/>
              <w:left w:val="nil"/>
              <w:bottom w:val="single" w:sz="4" w:space="0" w:color="auto"/>
              <w:right w:val="single" w:sz="4" w:space="0" w:color="auto"/>
            </w:tcBorders>
            <w:vAlign w:val="center"/>
            <w:hideMark/>
          </w:tcPr>
          <w:p w14:paraId="00ED3636"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86.80%</w:t>
            </w:r>
          </w:p>
        </w:tc>
        <w:tc>
          <w:tcPr>
            <w:tcW w:w="470" w:type="pct"/>
            <w:tcBorders>
              <w:top w:val="nil"/>
              <w:left w:val="nil"/>
              <w:bottom w:val="single" w:sz="4" w:space="0" w:color="auto"/>
              <w:right w:val="single" w:sz="4" w:space="0" w:color="auto"/>
            </w:tcBorders>
            <w:vAlign w:val="center"/>
            <w:hideMark/>
          </w:tcPr>
          <w:p w14:paraId="27456799"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0.6868</w:t>
            </w:r>
          </w:p>
        </w:tc>
      </w:tr>
      <w:tr w:rsidR="00F3550A" w:rsidRPr="00F3550A" w14:paraId="190124FB"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D528E68"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532E0129"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26EF6E2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&gt; 18 months</w:t>
            </w:r>
          </w:p>
        </w:tc>
        <w:tc>
          <w:tcPr>
            <w:tcW w:w="515" w:type="pct"/>
            <w:tcBorders>
              <w:top w:val="nil"/>
              <w:left w:val="nil"/>
              <w:bottom w:val="single" w:sz="4" w:space="0" w:color="auto"/>
              <w:right w:val="single" w:sz="4" w:space="0" w:color="auto"/>
            </w:tcBorders>
            <w:vAlign w:val="center"/>
            <w:hideMark/>
          </w:tcPr>
          <w:p w14:paraId="4A60BD42"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7C495B93"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2,344</w:t>
            </w:r>
          </w:p>
        </w:tc>
        <w:tc>
          <w:tcPr>
            <w:tcW w:w="596" w:type="pct"/>
            <w:tcBorders>
              <w:top w:val="nil"/>
              <w:left w:val="nil"/>
              <w:bottom w:val="single" w:sz="4" w:space="0" w:color="auto"/>
              <w:right w:val="single" w:sz="4" w:space="0" w:color="auto"/>
            </w:tcBorders>
            <w:vAlign w:val="center"/>
            <w:hideMark/>
          </w:tcPr>
          <w:p w14:paraId="254B0500"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0.04 [0.03; 0.05]</w:t>
            </w:r>
          </w:p>
        </w:tc>
        <w:tc>
          <w:tcPr>
            <w:tcW w:w="511" w:type="pct"/>
            <w:tcBorders>
              <w:top w:val="nil"/>
              <w:left w:val="nil"/>
              <w:bottom w:val="single" w:sz="4" w:space="0" w:color="auto"/>
              <w:right w:val="single" w:sz="4" w:space="0" w:color="auto"/>
            </w:tcBorders>
            <w:vAlign w:val="center"/>
            <w:hideMark/>
          </w:tcPr>
          <w:p w14:paraId="4A0B885F"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377B8745"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6D429790"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5BF46C87" w14:textId="77777777" w:rsidR="00F3550A" w:rsidRPr="00F3550A" w:rsidRDefault="00F3550A" w:rsidP="00F3550A">
            <w:pPr>
              <w:spacing w:after="0" w:line="240" w:lineRule="auto"/>
              <w:rPr>
                <w:rFonts w:ascii="Times New Roman" w:eastAsia="Times New Roman" w:hAnsi="Times New Roman" w:cs="Times New Roman"/>
                <w:b/>
                <w:bCs/>
                <w:color w:val="1B1C1D"/>
                <w:sz w:val="20"/>
                <w:szCs w:val="20"/>
                <w:lang w:val="en-IN" w:eastAsia="en-IN"/>
              </w:rPr>
            </w:pPr>
            <w:proofErr w:type="spellStart"/>
            <w:r w:rsidRPr="00F3550A">
              <w:rPr>
                <w:rFonts w:ascii="Times New Roman" w:eastAsia="Times New Roman" w:hAnsi="Times New Roman" w:cs="Times New Roman"/>
                <w:b/>
                <w:bCs/>
                <w:color w:val="1B1C1D"/>
                <w:sz w:val="20"/>
                <w:szCs w:val="20"/>
                <w:lang w:val="en" w:eastAsia="en-IN"/>
              </w:rPr>
              <w:t>Ultimaster</w:t>
            </w:r>
            <w:proofErr w:type="spellEnd"/>
          </w:p>
        </w:tc>
        <w:tc>
          <w:tcPr>
            <w:tcW w:w="1011" w:type="pct"/>
            <w:tcBorders>
              <w:top w:val="nil"/>
              <w:left w:val="nil"/>
              <w:bottom w:val="single" w:sz="4" w:space="0" w:color="auto"/>
              <w:right w:val="single" w:sz="4" w:space="0" w:color="auto"/>
            </w:tcBorders>
            <w:vAlign w:val="center"/>
            <w:hideMark/>
          </w:tcPr>
          <w:p w14:paraId="4AF44B7D"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Cardiac Death*</w:t>
            </w:r>
          </w:p>
        </w:tc>
        <w:tc>
          <w:tcPr>
            <w:tcW w:w="651" w:type="pct"/>
            <w:tcBorders>
              <w:top w:val="nil"/>
              <w:left w:val="nil"/>
              <w:bottom w:val="single" w:sz="4" w:space="0" w:color="auto"/>
              <w:right w:val="single" w:sz="4" w:space="0" w:color="auto"/>
            </w:tcBorders>
            <w:vAlign w:val="center"/>
            <w:hideMark/>
          </w:tcPr>
          <w:p w14:paraId="1900C916"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 year</w:t>
            </w:r>
          </w:p>
        </w:tc>
        <w:tc>
          <w:tcPr>
            <w:tcW w:w="515" w:type="pct"/>
            <w:tcBorders>
              <w:top w:val="nil"/>
              <w:left w:val="nil"/>
              <w:bottom w:val="single" w:sz="4" w:space="0" w:color="auto"/>
              <w:right w:val="single" w:sz="4" w:space="0" w:color="auto"/>
            </w:tcBorders>
            <w:vAlign w:val="center"/>
            <w:hideMark/>
          </w:tcPr>
          <w:p w14:paraId="4E2F2031"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w:t>
            </w:r>
          </w:p>
        </w:tc>
        <w:tc>
          <w:tcPr>
            <w:tcW w:w="555" w:type="pct"/>
            <w:tcBorders>
              <w:top w:val="nil"/>
              <w:left w:val="nil"/>
              <w:bottom w:val="single" w:sz="4" w:space="0" w:color="auto"/>
              <w:right w:val="single" w:sz="4" w:space="0" w:color="auto"/>
            </w:tcBorders>
            <w:vAlign w:val="center"/>
            <w:hideMark/>
          </w:tcPr>
          <w:p w14:paraId="00F2D16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9,606</w:t>
            </w:r>
          </w:p>
        </w:tc>
        <w:tc>
          <w:tcPr>
            <w:tcW w:w="596" w:type="pct"/>
            <w:tcBorders>
              <w:top w:val="nil"/>
              <w:left w:val="nil"/>
              <w:bottom w:val="single" w:sz="4" w:space="0" w:color="auto"/>
              <w:right w:val="single" w:sz="4" w:space="0" w:color="auto"/>
            </w:tcBorders>
            <w:vAlign w:val="center"/>
            <w:hideMark/>
          </w:tcPr>
          <w:p w14:paraId="7E58B2A2"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0.02 [0.01; 0.03]</w:t>
            </w:r>
          </w:p>
        </w:tc>
        <w:tc>
          <w:tcPr>
            <w:tcW w:w="511" w:type="pct"/>
            <w:tcBorders>
              <w:top w:val="nil"/>
              <w:left w:val="nil"/>
              <w:bottom w:val="single" w:sz="4" w:space="0" w:color="auto"/>
              <w:right w:val="single" w:sz="4" w:space="0" w:color="auto"/>
            </w:tcBorders>
            <w:vAlign w:val="center"/>
            <w:hideMark/>
          </w:tcPr>
          <w:p w14:paraId="2BC9FCF8"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90.50%</w:t>
            </w:r>
          </w:p>
        </w:tc>
        <w:tc>
          <w:tcPr>
            <w:tcW w:w="470" w:type="pct"/>
            <w:tcBorders>
              <w:top w:val="nil"/>
              <w:left w:val="nil"/>
              <w:bottom w:val="single" w:sz="4" w:space="0" w:color="auto"/>
              <w:right w:val="single" w:sz="4" w:space="0" w:color="auto"/>
            </w:tcBorders>
            <w:vAlign w:val="center"/>
            <w:hideMark/>
          </w:tcPr>
          <w:p w14:paraId="7EFA8EB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0.1351</w:t>
            </w:r>
          </w:p>
        </w:tc>
      </w:tr>
      <w:tr w:rsidR="00F3550A" w:rsidRPr="00F3550A" w14:paraId="1F841949"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EBD646D"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32C27FD7"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6AAF379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5 years</w:t>
            </w:r>
          </w:p>
        </w:tc>
        <w:tc>
          <w:tcPr>
            <w:tcW w:w="515" w:type="pct"/>
            <w:tcBorders>
              <w:top w:val="nil"/>
              <w:left w:val="nil"/>
              <w:bottom w:val="single" w:sz="4" w:space="0" w:color="auto"/>
              <w:right w:val="single" w:sz="4" w:space="0" w:color="auto"/>
            </w:tcBorders>
            <w:vAlign w:val="center"/>
            <w:hideMark/>
          </w:tcPr>
          <w:p w14:paraId="5EF3950F"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41AA430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776</w:t>
            </w:r>
          </w:p>
        </w:tc>
        <w:tc>
          <w:tcPr>
            <w:tcW w:w="596" w:type="pct"/>
            <w:tcBorders>
              <w:top w:val="nil"/>
              <w:left w:val="nil"/>
              <w:bottom w:val="single" w:sz="4" w:space="0" w:color="auto"/>
              <w:right w:val="single" w:sz="4" w:space="0" w:color="auto"/>
            </w:tcBorders>
            <w:vAlign w:val="center"/>
            <w:hideMark/>
          </w:tcPr>
          <w:p w14:paraId="3BDB4B6D"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0.03 [0.02; 0.05]</w:t>
            </w:r>
          </w:p>
        </w:tc>
        <w:tc>
          <w:tcPr>
            <w:tcW w:w="511" w:type="pct"/>
            <w:tcBorders>
              <w:top w:val="nil"/>
              <w:left w:val="nil"/>
              <w:bottom w:val="single" w:sz="4" w:space="0" w:color="auto"/>
              <w:right w:val="single" w:sz="4" w:space="0" w:color="auto"/>
            </w:tcBorders>
            <w:vAlign w:val="center"/>
            <w:hideMark/>
          </w:tcPr>
          <w:p w14:paraId="66E9582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20E8D6C5"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4855824F"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9CAD791"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65BCAB8B"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Myocardial Infarction</w:t>
            </w:r>
          </w:p>
        </w:tc>
        <w:tc>
          <w:tcPr>
            <w:tcW w:w="651" w:type="pct"/>
            <w:tcBorders>
              <w:top w:val="nil"/>
              <w:left w:val="nil"/>
              <w:bottom w:val="single" w:sz="4" w:space="0" w:color="auto"/>
              <w:right w:val="single" w:sz="4" w:space="0" w:color="auto"/>
            </w:tcBorders>
            <w:vAlign w:val="center"/>
            <w:hideMark/>
          </w:tcPr>
          <w:p w14:paraId="120DD37B"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 year</w:t>
            </w:r>
          </w:p>
        </w:tc>
        <w:tc>
          <w:tcPr>
            <w:tcW w:w="515" w:type="pct"/>
            <w:tcBorders>
              <w:top w:val="nil"/>
              <w:left w:val="nil"/>
              <w:bottom w:val="single" w:sz="4" w:space="0" w:color="auto"/>
              <w:right w:val="single" w:sz="4" w:space="0" w:color="auto"/>
            </w:tcBorders>
            <w:vAlign w:val="center"/>
            <w:hideMark/>
          </w:tcPr>
          <w:p w14:paraId="3776E34F"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w:t>
            </w:r>
          </w:p>
        </w:tc>
        <w:tc>
          <w:tcPr>
            <w:tcW w:w="555" w:type="pct"/>
            <w:tcBorders>
              <w:top w:val="nil"/>
              <w:left w:val="nil"/>
              <w:bottom w:val="single" w:sz="4" w:space="0" w:color="auto"/>
              <w:right w:val="single" w:sz="4" w:space="0" w:color="auto"/>
            </w:tcBorders>
            <w:vAlign w:val="center"/>
            <w:hideMark/>
          </w:tcPr>
          <w:p w14:paraId="66FB2E6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9,606</w:t>
            </w:r>
          </w:p>
        </w:tc>
        <w:tc>
          <w:tcPr>
            <w:tcW w:w="596" w:type="pct"/>
            <w:tcBorders>
              <w:top w:val="nil"/>
              <w:left w:val="nil"/>
              <w:bottom w:val="single" w:sz="4" w:space="0" w:color="auto"/>
              <w:right w:val="single" w:sz="4" w:space="0" w:color="auto"/>
            </w:tcBorders>
            <w:vAlign w:val="center"/>
            <w:hideMark/>
          </w:tcPr>
          <w:p w14:paraId="4D311EE8"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0.02 [0.01; 0.04]</w:t>
            </w:r>
          </w:p>
        </w:tc>
        <w:tc>
          <w:tcPr>
            <w:tcW w:w="511" w:type="pct"/>
            <w:tcBorders>
              <w:top w:val="nil"/>
              <w:left w:val="nil"/>
              <w:bottom w:val="single" w:sz="4" w:space="0" w:color="auto"/>
              <w:right w:val="single" w:sz="4" w:space="0" w:color="auto"/>
            </w:tcBorders>
            <w:vAlign w:val="center"/>
            <w:hideMark/>
          </w:tcPr>
          <w:p w14:paraId="707B882A"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93.20%</w:t>
            </w:r>
          </w:p>
        </w:tc>
        <w:tc>
          <w:tcPr>
            <w:tcW w:w="470" w:type="pct"/>
            <w:tcBorders>
              <w:top w:val="nil"/>
              <w:left w:val="nil"/>
              <w:bottom w:val="single" w:sz="4" w:space="0" w:color="auto"/>
              <w:right w:val="single" w:sz="4" w:space="0" w:color="auto"/>
            </w:tcBorders>
            <w:vAlign w:val="center"/>
            <w:hideMark/>
          </w:tcPr>
          <w:p w14:paraId="4E23A3F3"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0.2545</w:t>
            </w:r>
          </w:p>
        </w:tc>
      </w:tr>
      <w:tr w:rsidR="00F3550A" w:rsidRPr="00F3550A" w14:paraId="022BEFF8"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1374F328"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lastRenderedPageBreak/>
              <w:t> </w:t>
            </w:r>
          </w:p>
        </w:tc>
        <w:tc>
          <w:tcPr>
            <w:tcW w:w="1011" w:type="pct"/>
            <w:tcBorders>
              <w:top w:val="nil"/>
              <w:left w:val="nil"/>
              <w:bottom w:val="single" w:sz="4" w:space="0" w:color="auto"/>
              <w:right w:val="single" w:sz="4" w:space="0" w:color="auto"/>
            </w:tcBorders>
            <w:vAlign w:val="center"/>
            <w:hideMark/>
          </w:tcPr>
          <w:p w14:paraId="08A112F0"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266026A7"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5 years</w:t>
            </w:r>
          </w:p>
        </w:tc>
        <w:tc>
          <w:tcPr>
            <w:tcW w:w="515" w:type="pct"/>
            <w:tcBorders>
              <w:top w:val="nil"/>
              <w:left w:val="nil"/>
              <w:bottom w:val="single" w:sz="4" w:space="0" w:color="auto"/>
              <w:right w:val="single" w:sz="4" w:space="0" w:color="auto"/>
            </w:tcBorders>
            <w:vAlign w:val="center"/>
            <w:hideMark/>
          </w:tcPr>
          <w:p w14:paraId="51B7A79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0DA60ECD"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776</w:t>
            </w:r>
          </w:p>
        </w:tc>
        <w:tc>
          <w:tcPr>
            <w:tcW w:w="596" w:type="pct"/>
            <w:tcBorders>
              <w:top w:val="nil"/>
              <w:left w:val="nil"/>
              <w:bottom w:val="single" w:sz="4" w:space="0" w:color="auto"/>
              <w:right w:val="single" w:sz="4" w:space="0" w:color="auto"/>
            </w:tcBorders>
            <w:vAlign w:val="center"/>
            <w:hideMark/>
          </w:tcPr>
          <w:p w14:paraId="36927D0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0.03 [0.02; 0.05]</w:t>
            </w:r>
          </w:p>
        </w:tc>
        <w:tc>
          <w:tcPr>
            <w:tcW w:w="511" w:type="pct"/>
            <w:tcBorders>
              <w:top w:val="nil"/>
              <w:left w:val="nil"/>
              <w:bottom w:val="single" w:sz="4" w:space="0" w:color="auto"/>
              <w:right w:val="single" w:sz="4" w:space="0" w:color="auto"/>
            </w:tcBorders>
            <w:vAlign w:val="center"/>
            <w:hideMark/>
          </w:tcPr>
          <w:p w14:paraId="2CD2617C"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1DF2AEE3"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12A57321" w14:textId="77777777" w:rsidTr="00F3550A">
        <w:trPr>
          <w:trHeight w:val="780"/>
          <w:jc w:val="center"/>
        </w:trPr>
        <w:tc>
          <w:tcPr>
            <w:tcW w:w="691" w:type="pct"/>
            <w:tcBorders>
              <w:top w:val="nil"/>
              <w:left w:val="single" w:sz="4" w:space="0" w:color="auto"/>
              <w:bottom w:val="single" w:sz="4" w:space="0" w:color="auto"/>
              <w:right w:val="single" w:sz="4" w:space="0" w:color="auto"/>
            </w:tcBorders>
            <w:vAlign w:val="center"/>
            <w:hideMark/>
          </w:tcPr>
          <w:p w14:paraId="6AA1A4BB"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56397725"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Stent Thrombosis</w:t>
            </w:r>
          </w:p>
        </w:tc>
        <w:tc>
          <w:tcPr>
            <w:tcW w:w="651" w:type="pct"/>
            <w:tcBorders>
              <w:top w:val="nil"/>
              <w:left w:val="nil"/>
              <w:bottom w:val="single" w:sz="4" w:space="0" w:color="auto"/>
              <w:right w:val="single" w:sz="4" w:space="0" w:color="auto"/>
            </w:tcBorders>
            <w:vAlign w:val="center"/>
            <w:hideMark/>
          </w:tcPr>
          <w:p w14:paraId="759CB5C8"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 year</w:t>
            </w:r>
          </w:p>
        </w:tc>
        <w:tc>
          <w:tcPr>
            <w:tcW w:w="515" w:type="pct"/>
            <w:tcBorders>
              <w:top w:val="nil"/>
              <w:left w:val="nil"/>
              <w:bottom w:val="single" w:sz="4" w:space="0" w:color="auto"/>
              <w:right w:val="single" w:sz="4" w:space="0" w:color="auto"/>
            </w:tcBorders>
            <w:vAlign w:val="center"/>
            <w:hideMark/>
          </w:tcPr>
          <w:p w14:paraId="17F6B6B7"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w:t>
            </w:r>
          </w:p>
        </w:tc>
        <w:tc>
          <w:tcPr>
            <w:tcW w:w="555" w:type="pct"/>
            <w:tcBorders>
              <w:top w:val="nil"/>
              <w:left w:val="nil"/>
              <w:bottom w:val="single" w:sz="4" w:space="0" w:color="auto"/>
              <w:right w:val="single" w:sz="4" w:space="0" w:color="auto"/>
            </w:tcBorders>
            <w:vAlign w:val="center"/>
            <w:hideMark/>
          </w:tcPr>
          <w:p w14:paraId="6ECC4419"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9,606</w:t>
            </w:r>
          </w:p>
        </w:tc>
        <w:tc>
          <w:tcPr>
            <w:tcW w:w="596" w:type="pct"/>
            <w:tcBorders>
              <w:top w:val="nil"/>
              <w:left w:val="nil"/>
              <w:bottom w:val="single" w:sz="4" w:space="0" w:color="auto"/>
              <w:right w:val="single" w:sz="4" w:space="0" w:color="auto"/>
            </w:tcBorders>
            <w:vAlign w:val="center"/>
            <w:hideMark/>
          </w:tcPr>
          <w:p w14:paraId="2D5D6713"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0.01 [0.00; 0.01]</w:t>
            </w:r>
          </w:p>
        </w:tc>
        <w:tc>
          <w:tcPr>
            <w:tcW w:w="511" w:type="pct"/>
            <w:tcBorders>
              <w:top w:val="nil"/>
              <w:left w:val="nil"/>
              <w:bottom w:val="single" w:sz="4" w:space="0" w:color="auto"/>
              <w:right w:val="single" w:sz="4" w:space="0" w:color="auto"/>
            </w:tcBorders>
            <w:vAlign w:val="center"/>
            <w:hideMark/>
          </w:tcPr>
          <w:p w14:paraId="7347FE45"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90.80%</w:t>
            </w:r>
          </w:p>
        </w:tc>
        <w:tc>
          <w:tcPr>
            <w:tcW w:w="470" w:type="pct"/>
            <w:tcBorders>
              <w:top w:val="nil"/>
              <w:left w:val="nil"/>
              <w:bottom w:val="single" w:sz="4" w:space="0" w:color="auto"/>
              <w:right w:val="single" w:sz="4" w:space="0" w:color="auto"/>
            </w:tcBorders>
            <w:vAlign w:val="center"/>
            <w:hideMark/>
          </w:tcPr>
          <w:p w14:paraId="2BF28A04"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0.2612</w:t>
            </w:r>
          </w:p>
        </w:tc>
      </w:tr>
      <w:tr w:rsidR="00F3550A" w:rsidRPr="00F3550A" w14:paraId="32BB9303"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703E6AE3"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2597859F"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40EDE1AE"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5 years</w:t>
            </w:r>
          </w:p>
        </w:tc>
        <w:tc>
          <w:tcPr>
            <w:tcW w:w="515" w:type="pct"/>
            <w:tcBorders>
              <w:top w:val="nil"/>
              <w:left w:val="nil"/>
              <w:bottom w:val="single" w:sz="4" w:space="0" w:color="auto"/>
              <w:right w:val="single" w:sz="4" w:space="0" w:color="auto"/>
            </w:tcBorders>
            <w:vAlign w:val="center"/>
            <w:hideMark/>
          </w:tcPr>
          <w:p w14:paraId="00F79D8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36637BFE"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776</w:t>
            </w:r>
          </w:p>
        </w:tc>
        <w:tc>
          <w:tcPr>
            <w:tcW w:w="596" w:type="pct"/>
            <w:tcBorders>
              <w:top w:val="nil"/>
              <w:left w:val="nil"/>
              <w:bottom w:val="single" w:sz="4" w:space="0" w:color="auto"/>
              <w:right w:val="single" w:sz="4" w:space="0" w:color="auto"/>
            </w:tcBorders>
            <w:vAlign w:val="center"/>
            <w:hideMark/>
          </w:tcPr>
          <w:p w14:paraId="21989658"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0.01 [0.00; 0.02]</w:t>
            </w:r>
          </w:p>
        </w:tc>
        <w:tc>
          <w:tcPr>
            <w:tcW w:w="511" w:type="pct"/>
            <w:tcBorders>
              <w:top w:val="nil"/>
              <w:left w:val="nil"/>
              <w:bottom w:val="single" w:sz="4" w:space="0" w:color="auto"/>
              <w:right w:val="single" w:sz="4" w:space="0" w:color="auto"/>
            </w:tcBorders>
            <w:vAlign w:val="center"/>
            <w:hideMark/>
          </w:tcPr>
          <w:p w14:paraId="75CC6F74"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3EDCABE7"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r w:rsidR="00F3550A" w:rsidRPr="00F3550A" w14:paraId="1227F160"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6103A89D"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646876A9"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All-cause mortality</w:t>
            </w:r>
          </w:p>
        </w:tc>
        <w:tc>
          <w:tcPr>
            <w:tcW w:w="651" w:type="pct"/>
            <w:tcBorders>
              <w:top w:val="nil"/>
              <w:left w:val="nil"/>
              <w:bottom w:val="single" w:sz="4" w:space="0" w:color="auto"/>
              <w:right w:val="single" w:sz="4" w:space="0" w:color="auto"/>
            </w:tcBorders>
            <w:vAlign w:val="center"/>
            <w:hideMark/>
          </w:tcPr>
          <w:p w14:paraId="169D1341" w14:textId="77777777" w:rsidR="00F3550A" w:rsidRPr="00F3550A" w:rsidRDefault="00F3550A" w:rsidP="00F3550A">
            <w:pPr>
              <w:spacing w:after="0" w:line="240" w:lineRule="auto"/>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 1 year</w:t>
            </w:r>
          </w:p>
        </w:tc>
        <w:tc>
          <w:tcPr>
            <w:tcW w:w="515" w:type="pct"/>
            <w:tcBorders>
              <w:top w:val="nil"/>
              <w:left w:val="nil"/>
              <w:bottom w:val="single" w:sz="4" w:space="0" w:color="auto"/>
              <w:right w:val="single" w:sz="4" w:space="0" w:color="auto"/>
            </w:tcBorders>
            <w:vAlign w:val="center"/>
            <w:hideMark/>
          </w:tcPr>
          <w:p w14:paraId="22F860A2"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8</w:t>
            </w:r>
          </w:p>
        </w:tc>
        <w:tc>
          <w:tcPr>
            <w:tcW w:w="555" w:type="pct"/>
            <w:tcBorders>
              <w:top w:val="nil"/>
              <w:left w:val="nil"/>
              <w:bottom w:val="single" w:sz="4" w:space="0" w:color="auto"/>
              <w:right w:val="single" w:sz="4" w:space="0" w:color="auto"/>
            </w:tcBorders>
            <w:vAlign w:val="center"/>
            <w:hideMark/>
          </w:tcPr>
          <w:p w14:paraId="2D9FED49"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9,606</w:t>
            </w:r>
          </w:p>
        </w:tc>
        <w:tc>
          <w:tcPr>
            <w:tcW w:w="596" w:type="pct"/>
            <w:tcBorders>
              <w:top w:val="nil"/>
              <w:left w:val="nil"/>
              <w:bottom w:val="single" w:sz="4" w:space="0" w:color="auto"/>
              <w:right w:val="single" w:sz="4" w:space="0" w:color="auto"/>
            </w:tcBorders>
            <w:vAlign w:val="center"/>
            <w:hideMark/>
          </w:tcPr>
          <w:p w14:paraId="6B5ED977"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0.03 [0.02; 0.05]</w:t>
            </w:r>
          </w:p>
        </w:tc>
        <w:tc>
          <w:tcPr>
            <w:tcW w:w="511" w:type="pct"/>
            <w:tcBorders>
              <w:top w:val="nil"/>
              <w:left w:val="nil"/>
              <w:bottom w:val="single" w:sz="4" w:space="0" w:color="auto"/>
              <w:right w:val="single" w:sz="4" w:space="0" w:color="auto"/>
            </w:tcBorders>
            <w:vAlign w:val="center"/>
            <w:hideMark/>
          </w:tcPr>
          <w:p w14:paraId="30C9A32A"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94.10%</w:t>
            </w:r>
          </w:p>
        </w:tc>
        <w:tc>
          <w:tcPr>
            <w:tcW w:w="470" w:type="pct"/>
            <w:tcBorders>
              <w:top w:val="nil"/>
              <w:left w:val="nil"/>
              <w:bottom w:val="single" w:sz="4" w:space="0" w:color="auto"/>
              <w:right w:val="single" w:sz="4" w:space="0" w:color="auto"/>
            </w:tcBorders>
            <w:vAlign w:val="center"/>
            <w:hideMark/>
          </w:tcPr>
          <w:p w14:paraId="428562B1"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0.0007</w:t>
            </w:r>
          </w:p>
        </w:tc>
      </w:tr>
      <w:tr w:rsidR="00F3550A" w:rsidRPr="00F3550A" w14:paraId="434064A2" w14:textId="77777777" w:rsidTr="00F3550A">
        <w:trPr>
          <w:trHeight w:val="520"/>
          <w:jc w:val="center"/>
        </w:trPr>
        <w:tc>
          <w:tcPr>
            <w:tcW w:w="691" w:type="pct"/>
            <w:tcBorders>
              <w:top w:val="nil"/>
              <w:left w:val="single" w:sz="4" w:space="0" w:color="auto"/>
              <w:bottom w:val="single" w:sz="4" w:space="0" w:color="auto"/>
              <w:right w:val="single" w:sz="4" w:space="0" w:color="auto"/>
            </w:tcBorders>
            <w:vAlign w:val="center"/>
            <w:hideMark/>
          </w:tcPr>
          <w:p w14:paraId="2163B7E2"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1011" w:type="pct"/>
            <w:tcBorders>
              <w:top w:val="nil"/>
              <w:left w:val="nil"/>
              <w:bottom w:val="single" w:sz="4" w:space="0" w:color="auto"/>
              <w:right w:val="single" w:sz="4" w:space="0" w:color="auto"/>
            </w:tcBorders>
            <w:vAlign w:val="center"/>
            <w:hideMark/>
          </w:tcPr>
          <w:p w14:paraId="099221EF"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c>
          <w:tcPr>
            <w:tcW w:w="651" w:type="pct"/>
            <w:tcBorders>
              <w:top w:val="nil"/>
              <w:left w:val="nil"/>
              <w:bottom w:val="single" w:sz="4" w:space="0" w:color="auto"/>
              <w:right w:val="single" w:sz="4" w:space="0" w:color="auto"/>
            </w:tcBorders>
            <w:vAlign w:val="center"/>
            <w:hideMark/>
          </w:tcPr>
          <w:p w14:paraId="462C9694"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5 years</w:t>
            </w:r>
          </w:p>
        </w:tc>
        <w:tc>
          <w:tcPr>
            <w:tcW w:w="515" w:type="pct"/>
            <w:tcBorders>
              <w:top w:val="nil"/>
              <w:left w:val="nil"/>
              <w:bottom w:val="single" w:sz="4" w:space="0" w:color="auto"/>
              <w:right w:val="single" w:sz="4" w:space="0" w:color="auto"/>
            </w:tcBorders>
            <w:vAlign w:val="center"/>
            <w:hideMark/>
          </w:tcPr>
          <w:p w14:paraId="379993EB" w14:textId="77777777" w:rsidR="00F3550A" w:rsidRPr="00F3550A" w:rsidRDefault="00F3550A" w:rsidP="00F3550A">
            <w:pPr>
              <w:spacing w:after="0" w:line="240" w:lineRule="auto"/>
              <w:jc w:val="right"/>
              <w:rPr>
                <w:rFonts w:ascii="Times New Roman" w:eastAsia="Times New Roman" w:hAnsi="Times New Roman" w:cs="Times New Roman"/>
                <w:color w:val="1B1C1D"/>
                <w:sz w:val="20"/>
                <w:szCs w:val="20"/>
                <w:lang w:val="en-IN" w:eastAsia="en-IN"/>
              </w:rPr>
            </w:pPr>
            <w:r w:rsidRPr="00F3550A">
              <w:rPr>
                <w:rFonts w:ascii="Times New Roman" w:eastAsia="Times New Roman" w:hAnsi="Times New Roman" w:cs="Times New Roman"/>
                <w:color w:val="1B1C1D"/>
                <w:sz w:val="20"/>
                <w:szCs w:val="20"/>
                <w:lang w:val="en" w:eastAsia="en-IN"/>
              </w:rPr>
              <w:t>2</w:t>
            </w:r>
          </w:p>
        </w:tc>
        <w:tc>
          <w:tcPr>
            <w:tcW w:w="555" w:type="pct"/>
            <w:tcBorders>
              <w:top w:val="nil"/>
              <w:left w:val="nil"/>
              <w:bottom w:val="single" w:sz="4" w:space="0" w:color="auto"/>
              <w:right w:val="single" w:sz="4" w:space="0" w:color="auto"/>
            </w:tcBorders>
            <w:vAlign w:val="center"/>
            <w:hideMark/>
          </w:tcPr>
          <w:p w14:paraId="19CC6448"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776</w:t>
            </w:r>
          </w:p>
        </w:tc>
        <w:tc>
          <w:tcPr>
            <w:tcW w:w="596" w:type="pct"/>
            <w:tcBorders>
              <w:top w:val="nil"/>
              <w:left w:val="nil"/>
              <w:bottom w:val="single" w:sz="4" w:space="0" w:color="auto"/>
              <w:right w:val="single" w:sz="4" w:space="0" w:color="auto"/>
            </w:tcBorders>
            <w:vAlign w:val="center"/>
            <w:hideMark/>
          </w:tcPr>
          <w:p w14:paraId="512FE3B0" w14:textId="77777777" w:rsidR="00F3550A" w:rsidRPr="00F3550A" w:rsidRDefault="00F3550A" w:rsidP="00F3550A">
            <w:pPr>
              <w:spacing w:after="0" w:line="240" w:lineRule="auto"/>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0.08 [0.06; 0.10]</w:t>
            </w:r>
          </w:p>
        </w:tc>
        <w:tc>
          <w:tcPr>
            <w:tcW w:w="511" w:type="pct"/>
            <w:tcBorders>
              <w:top w:val="nil"/>
              <w:left w:val="nil"/>
              <w:bottom w:val="single" w:sz="4" w:space="0" w:color="auto"/>
              <w:right w:val="single" w:sz="4" w:space="0" w:color="auto"/>
            </w:tcBorders>
            <w:vAlign w:val="center"/>
            <w:hideMark/>
          </w:tcPr>
          <w:p w14:paraId="353EC65B" w14:textId="77777777" w:rsidR="00F3550A" w:rsidRPr="00F3550A" w:rsidRDefault="00F3550A" w:rsidP="00F3550A">
            <w:pPr>
              <w:spacing w:after="0" w:line="240" w:lineRule="auto"/>
              <w:jc w:val="right"/>
              <w:rPr>
                <w:rFonts w:ascii="Times New Roman" w:eastAsia="Times New Roman" w:hAnsi="Times New Roman" w:cs="Times New Roman"/>
                <w:color w:val="1F1F1F"/>
                <w:sz w:val="20"/>
                <w:szCs w:val="20"/>
                <w:lang w:val="en-IN" w:eastAsia="en-IN"/>
              </w:rPr>
            </w:pPr>
            <w:r w:rsidRPr="00F3550A">
              <w:rPr>
                <w:rFonts w:ascii="Times New Roman" w:eastAsia="Times New Roman" w:hAnsi="Times New Roman" w:cs="Times New Roman"/>
                <w:color w:val="1F1F1F"/>
                <w:sz w:val="20"/>
                <w:szCs w:val="20"/>
                <w:lang w:val="en" w:eastAsia="en-IN"/>
              </w:rPr>
              <w:t>0%</w:t>
            </w:r>
          </w:p>
        </w:tc>
        <w:tc>
          <w:tcPr>
            <w:tcW w:w="470" w:type="pct"/>
            <w:tcBorders>
              <w:top w:val="nil"/>
              <w:left w:val="nil"/>
              <w:bottom w:val="single" w:sz="4" w:space="0" w:color="auto"/>
              <w:right w:val="single" w:sz="4" w:space="0" w:color="auto"/>
            </w:tcBorders>
            <w:vAlign w:val="center"/>
            <w:hideMark/>
          </w:tcPr>
          <w:p w14:paraId="444C6EB8" w14:textId="77777777" w:rsidR="00F3550A" w:rsidRPr="00F3550A" w:rsidRDefault="00F3550A" w:rsidP="00F3550A">
            <w:pPr>
              <w:spacing w:after="0" w:line="240" w:lineRule="auto"/>
              <w:rPr>
                <w:rFonts w:ascii="Times New Roman" w:eastAsia="Times New Roman" w:hAnsi="Times New Roman" w:cs="Times New Roman"/>
                <w:color w:val="000000"/>
                <w:sz w:val="20"/>
                <w:szCs w:val="20"/>
                <w:lang w:val="en-IN" w:eastAsia="en-IN"/>
              </w:rPr>
            </w:pPr>
            <w:r w:rsidRPr="00F3550A">
              <w:rPr>
                <w:rFonts w:ascii="Times New Roman" w:eastAsia="Times New Roman" w:hAnsi="Times New Roman" w:cs="Times New Roman"/>
                <w:color w:val="000000"/>
                <w:sz w:val="20"/>
                <w:szCs w:val="20"/>
                <w:lang w:val="en" w:eastAsia="en-IN"/>
              </w:rPr>
              <w:t> </w:t>
            </w:r>
          </w:p>
        </w:tc>
      </w:tr>
    </w:tbl>
    <w:p w14:paraId="1B0DBCD5" w14:textId="77777777" w:rsidR="005A646F" w:rsidRDefault="005A646F" w:rsidP="00FB7F00">
      <w:pPr>
        <w:widowControl w:val="0"/>
        <w:adjustRightInd w:val="0"/>
        <w:spacing w:after="0" w:line="360" w:lineRule="auto"/>
        <w:jc w:val="both"/>
        <w:rPr>
          <w:rFonts w:ascii="Times New Roman" w:hAnsi="Times New Roman" w:cs="Times New Roman"/>
          <w:sz w:val="20"/>
          <w:szCs w:val="20"/>
        </w:rPr>
      </w:pPr>
    </w:p>
    <w:p w14:paraId="54C76EAD" w14:textId="77777777" w:rsidR="001B556C" w:rsidRDefault="001B556C" w:rsidP="00FB7F00">
      <w:pPr>
        <w:widowControl w:val="0"/>
        <w:adjustRightInd w:val="0"/>
        <w:spacing w:after="0" w:line="360" w:lineRule="auto"/>
        <w:jc w:val="both"/>
        <w:rPr>
          <w:rFonts w:ascii="Times New Roman" w:hAnsi="Times New Roman" w:cs="Times New Roman"/>
          <w:sz w:val="20"/>
          <w:szCs w:val="20"/>
        </w:rPr>
      </w:pPr>
      <w:r w:rsidRPr="001B556C">
        <w:rPr>
          <w:rFonts w:ascii="Times New Roman" w:hAnsi="Times New Roman" w:cs="Times New Roman"/>
          <w:b/>
          <w:bCs/>
          <w:color w:val="0070C0"/>
          <w:sz w:val="20"/>
          <w:szCs w:val="20"/>
        </w:rPr>
        <w:t>Table 4</w:t>
      </w:r>
      <w:r>
        <w:rPr>
          <w:rFonts w:ascii="Times New Roman" w:hAnsi="Times New Roman" w:cs="Times New Roman"/>
          <w:sz w:val="20"/>
          <w:szCs w:val="20"/>
        </w:rPr>
        <w:t>:</w:t>
      </w:r>
      <w:r w:rsidRPr="001B556C">
        <w:rPr>
          <w:rFonts w:ascii="Times New Roman" w:hAnsi="Times New Roman" w:cs="Times New Roman"/>
          <w:sz w:val="20"/>
          <w:szCs w:val="20"/>
        </w:rPr>
        <w:t xml:space="preserve"> Subgroup analysis of clinical outcomes stratified by follow-up duration for </w:t>
      </w:r>
      <w:proofErr w:type="spellStart"/>
      <w:r w:rsidRPr="001B556C">
        <w:rPr>
          <w:rFonts w:ascii="Times New Roman" w:hAnsi="Times New Roman" w:cs="Times New Roman"/>
          <w:sz w:val="20"/>
          <w:szCs w:val="20"/>
        </w:rPr>
        <w:t>Magmaris</w:t>
      </w:r>
      <w:proofErr w:type="spellEnd"/>
      <w:r w:rsidRPr="001B556C">
        <w:rPr>
          <w:rFonts w:ascii="Times New Roman" w:hAnsi="Times New Roman" w:cs="Times New Roman"/>
          <w:sz w:val="20"/>
          <w:szCs w:val="20"/>
        </w:rPr>
        <w:t xml:space="preserve">, </w:t>
      </w:r>
      <w:proofErr w:type="spellStart"/>
      <w:r w:rsidRPr="001B556C">
        <w:rPr>
          <w:rFonts w:ascii="Times New Roman" w:hAnsi="Times New Roman" w:cs="Times New Roman"/>
          <w:sz w:val="20"/>
          <w:szCs w:val="20"/>
        </w:rPr>
        <w:t>Orsiro</w:t>
      </w:r>
      <w:proofErr w:type="spellEnd"/>
      <w:r w:rsidRPr="001B556C">
        <w:rPr>
          <w:rFonts w:ascii="Times New Roman" w:hAnsi="Times New Roman" w:cs="Times New Roman"/>
          <w:sz w:val="20"/>
          <w:szCs w:val="20"/>
        </w:rPr>
        <w:t xml:space="preserve">, and </w:t>
      </w:r>
      <w:proofErr w:type="spellStart"/>
      <w:r w:rsidRPr="001B556C">
        <w:rPr>
          <w:rFonts w:ascii="Times New Roman" w:hAnsi="Times New Roman" w:cs="Times New Roman"/>
          <w:sz w:val="20"/>
          <w:szCs w:val="20"/>
        </w:rPr>
        <w:t>Ultimaster</w:t>
      </w:r>
      <w:proofErr w:type="spellEnd"/>
      <w:r w:rsidRPr="001B556C">
        <w:rPr>
          <w:rFonts w:ascii="Times New Roman" w:hAnsi="Times New Roman" w:cs="Times New Roman"/>
          <w:sz w:val="20"/>
          <w:szCs w:val="20"/>
        </w:rPr>
        <w:t xml:space="preserve"> drug-eluting stents. </w:t>
      </w:r>
    </w:p>
    <w:p w14:paraId="1CA0380F" w14:textId="5C8AD2D7" w:rsidR="00AE7491" w:rsidRDefault="001B556C" w:rsidP="00FB7F00">
      <w:pPr>
        <w:widowControl w:val="0"/>
        <w:adjustRightInd w:val="0"/>
        <w:spacing w:after="0" w:line="360" w:lineRule="auto"/>
        <w:jc w:val="both"/>
        <w:rPr>
          <w:rFonts w:ascii="Times New Roman" w:hAnsi="Times New Roman" w:cs="Times New Roman"/>
          <w:sz w:val="20"/>
          <w:szCs w:val="20"/>
        </w:rPr>
      </w:pPr>
      <w:r w:rsidRPr="001B556C">
        <w:rPr>
          <w:rFonts w:ascii="Times New Roman" w:hAnsi="Times New Roman" w:cs="Times New Roman"/>
          <w:b/>
          <w:bCs/>
          <w:sz w:val="20"/>
          <w:szCs w:val="20"/>
        </w:rPr>
        <w:t>Note</w:t>
      </w:r>
      <w:r w:rsidRPr="001B556C">
        <w:rPr>
          <w:rFonts w:ascii="Times New Roman" w:hAnsi="Times New Roman" w:cs="Times New Roman"/>
          <w:sz w:val="20"/>
          <w:szCs w:val="20"/>
        </w:rPr>
        <w:t xml:space="preserve">: Studies were stratified by follow-up time (e.g., &lt; 1 year vs. &gt; 1 year or &lt; 18 months vs. &gt; 18 months). The P-value for interaction indicates the statistical significance of the difference between the </w:t>
      </w:r>
      <w:proofErr w:type="spellStart"/>
      <w:r w:rsidRPr="001B556C">
        <w:rPr>
          <w:rFonts w:ascii="Times New Roman" w:hAnsi="Times New Roman" w:cs="Times New Roman"/>
          <w:sz w:val="20"/>
          <w:szCs w:val="20"/>
        </w:rPr>
        <w:t>subgroups.TLF</w:t>
      </w:r>
      <w:proofErr w:type="spellEnd"/>
      <w:r w:rsidRPr="001B556C">
        <w:rPr>
          <w:rFonts w:ascii="Times New Roman" w:hAnsi="Times New Roman" w:cs="Times New Roman"/>
          <w:sz w:val="20"/>
          <w:szCs w:val="20"/>
        </w:rPr>
        <w:t>, target lesion failure; TLR, target lesion revascularization; MI, myocardial infarction; TV-MI, target vessel myocardial infarction; CI, confidence interval; I², I-squared statistic for heterogeneity; k, number of included studies; N, total number of patients. Cardiac death refers to death resulting from cardiovascular causes.</w:t>
      </w:r>
    </w:p>
    <w:p w14:paraId="5E394B95" w14:textId="77777777" w:rsidR="00054502" w:rsidRPr="00FB7F00" w:rsidRDefault="00054502" w:rsidP="00FB7F00">
      <w:pPr>
        <w:widowControl w:val="0"/>
        <w:adjustRightInd w:val="0"/>
        <w:spacing w:after="0" w:line="360" w:lineRule="auto"/>
        <w:jc w:val="both"/>
        <w:rPr>
          <w:rFonts w:ascii="Times New Roman" w:hAnsi="Times New Roman" w:cs="Times New Roman"/>
          <w:sz w:val="20"/>
          <w:szCs w:val="20"/>
        </w:rPr>
      </w:pPr>
    </w:p>
    <w:p w14:paraId="41C1A569" w14:textId="57157954" w:rsidR="00FB7F00" w:rsidRPr="00054502" w:rsidRDefault="00FB7F00" w:rsidP="00FB7F00">
      <w:pPr>
        <w:widowControl w:val="0"/>
        <w:adjustRightInd w:val="0"/>
        <w:spacing w:after="0" w:line="360" w:lineRule="auto"/>
        <w:jc w:val="both"/>
        <w:rPr>
          <w:rFonts w:ascii="Times New Roman" w:hAnsi="Times New Roman" w:cs="Times New Roman"/>
          <w:b/>
          <w:bCs/>
          <w:sz w:val="20"/>
          <w:szCs w:val="20"/>
        </w:rPr>
      </w:pPr>
      <w:r w:rsidRPr="00054502">
        <w:rPr>
          <w:rFonts w:ascii="Times New Roman" w:hAnsi="Times New Roman" w:cs="Times New Roman"/>
          <w:b/>
          <w:bCs/>
          <w:sz w:val="20"/>
          <w:szCs w:val="20"/>
        </w:rPr>
        <w:t>Heterogeneity and Publication Bias</w:t>
      </w:r>
    </w:p>
    <w:p w14:paraId="3CF380D7"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Heterogeneity varied substantially by stent type and outcome.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studies generally demonstrated lower heterogeneity for mortality and thrombosis outcomes (I² &lt; 20%), whereas Biomatrix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studies showed considerable heterogeneity (I² &gt; 85%) across most endpoints. Visual inspection of funnel plots for key outcomes, including all-cause mortality and stent thrombosis, suggested generally symmetrical distributions, though some asymmetry was noted in the analysis of TLF for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stents (Figure S13), necessitating cautious interpretation of small-study effects. For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analyses, funnel plots for all-cause mortality (Figure S6), myocardial infarction (Figure S8), and stent thrombosis (Figure S10) were broadly symmetrical, with only minor scatter among less precise studies. Funnel plots for target lesion revascularization (Figure S16) and target vessel myocardial infarction (Figure S20) similarly showed no substantial asymmetry. In contrast, within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dataset, the funnel plot for cardiac death (Figure S35) and the funnel plot for all-cause mortality (Figure S39) showed notable asymmetry, with smaller studies clustering on the right side of the pooled estimate, raising suspicion of publication bias or heterogeneity. The myocardial infarction plot (Figure S43) similarly displayed scattered and uneven distribution, including a large, low-precision outlier. The funnel plot for stent thrombosis (Figure S48) was also reviewed. While most outcomes showed no substantial evidence of publication bias, the asymmetry observed in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analyses for all-cause mortality and myocardial infarction suggests potential small-study effects or selective reporting. These findings warrant cautious interpretation, particularly for efficacy comparisons involving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w:t>
      </w:r>
    </w:p>
    <w:p w14:paraId="64A28DD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
    <w:p w14:paraId="4B27A9B3" w14:textId="6DDC826D" w:rsidR="00FB7F00" w:rsidRPr="00054502" w:rsidRDefault="00FB7F00" w:rsidP="00FB7F00">
      <w:pPr>
        <w:widowControl w:val="0"/>
        <w:adjustRightInd w:val="0"/>
        <w:spacing w:after="0" w:line="360" w:lineRule="auto"/>
        <w:jc w:val="both"/>
        <w:rPr>
          <w:rFonts w:ascii="Times New Roman" w:hAnsi="Times New Roman" w:cs="Times New Roman"/>
          <w:b/>
          <w:bCs/>
          <w:sz w:val="20"/>
          <w:szCs w:val="20"/>
        </w:rPr>
      </w:pPr>
      <w:r w:rsidRPr="00054502">
        <w:rPr>
          <w:rFonts w:ascii="Times New Roman" w:hAnsi="Times New Roman" w:cs="Times New Roman"/>
          <w:b/>
          <w:bCs/>
          <w:sz w:val="20"/>
          <w:szCs w:val="20"/>
        </w:rPr>
        <w:lastRenderedPageBreak/>
        <w:t>Meta-Regression Analysis</w:t>
      </w:r>
    </w:p>
    <w:p w14:paraId="4BA60DE5"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proofErr w:type="gramStart"/>
      <w:r w:rsidRPr="00FB7F00">
        <w:rPr>
          <w:rFonts w:ascii="Times New Roman" w:hAnsi="Times New Roman" w:cs="Times New Roman"/>
          <w:sz w:val="20"/>
          <w:szCs w:val="20"/>
        </w:rPr>
        <w:t>A univariable</w:t>
      </w:r>
      <w:proofErr w:type="gramEnd"/>
      <w:r w:rsidRPr="00FB7F00">
        <w:rPr>
          <w:rFonts w:ascii="Times New Roman" w:hAnsi="Times New Roman" w:cs="Times New Roman"/>
          <w:sz w:val="20"/>
          <w:szCs w:val="20"/>
        </w:rPr>
        <w:t xml:space="preserve"> meta-regression was conducted to examine whether follow-up duration influenced the effect sizes of key clinical outcomes for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stents. For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studies, where follow-up ranged from 1.0 to 2.0 years, a positive association was observed between follow-up length and event rates; both TLR (Figure S17) and TLF (Figure S14) showed moderately positive regression slopes, indicating that longer follow-up was associated with slightly higher observed rates. For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stent, with follow-up durations spanning approximately 10 to 60 months, similar positive relationships were seen for all-cause mortality (Figure S41) and cardiac death (Figure S37). In contrast, the meta-regression for myocardial infarction (Figure S44) showed only a minimal, nearly flat slope, suggesting that follow-up duration did not substantially influence MI rates. Table 6 shows the results of the GRADE assessment.</w:t>
      </w:r>
    </w:p>
    <w:p w14:paraId="3BB5C447" w14:textId="77777777" w:rsidR="00B25226" w:rsidRDefault="00B25226"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906"/>
        <w:gridCol w:w="1300"/>
        <w:gridCol w:w="855"/>
        <w:gridCol w:w="737"/>
        <w:gridCol w:w="670"/>
        <w:gridCol w:w="1091"/>
        <w:gridCol w:w="1007"/>
        <w:gridCol w:w="990"/>
        <w:gridCol w:w="956"/>
        <w:gridCol w:w="838"/>
      </w:tblGrid>
      <w:tr w:rsidR="006E6CD9" w:rsidRPr="006E6CD9" w14:paraId="30F29ECB" w14:textId="77777777" w:rsidTr="006E6CD9">
        <w:trPr>
          <w:trHeight w:val="780"/>
          <w:jc w:val="center"/>
        </w:trPr>
        <w:tc>
          <w:tcPr>
            <w:tcW w:w="483" w:type="pct"/>
            <w:tcBorders>
              <w:top w:val="single" w:sz="4" w:space="0" w:color="auto"/>
              <w:left w:val="single" w:sz="4" w:space="0" w:color="auto"/>
              <w:bottom w:val="single" w:sz="4" w:space="0" w:color="auto"/>
              <w:right w:val="single" w:sz="4" w:space="0" w:color="auto"/>
            </w:tcBorders>
            <w:vAlign w:val="center"/>
            <w:hideMark/>
          </w:tcPr>
          <w:p w14:paraId="7DCD75EF"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Stents</w:t>
            </w:r>
          </w:p>
        </w:tc>
        <w:tc>
          <w:tcPr>
            <w:tcW w:w="707" w:type="pct"/>
            <w:tcBorders>
              <w:top w:val="single" w:sz="4" w:space="0" w:color="auto"/>
              <w:left w:val="nil"/>
              <w:bottom w:val="single" w:sz="4" w:space="0" w:color="auto"/>
              <w:right w:val="single" w:sz="4" w:space="0" w:color="auto"/>
            </w:tcBorders>
            <w:vAlign w:val="center"/>
            <w:hideMark/>
          </w:tcPr>
          <w:p w14:paraId="4E324AC2"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Outcome</w:t>
            </w:r>
          </w:p>
        </w:tc>
        <w:tc>
          <w:tcPr>
            <w:tcW w:w="455" w:type="pct"/>
            <w:tcBorders>
              <w:top w:val="single" w:sz="4" w:space="0" w:color="auto"/>
              <w:left w:val="nil"/>
              <w:bottom w:val="single" w:sz="4" w:space="0" w:color="auto"/>
              <w:right w:val="single" w:sz="4" w:space="0" w:color="auto"/>
            </w:tcBorders>
            <w:vAlign w:val="center"/>
            <w:hideMark/>
          </w:tcPr>
          <w:p w14:paraId="7A6AD4E8"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Subgroup</w:t>
            </w:r>
          </w:p>
        </w:tc>
        <w:tc>
          <w:tcPr>
            <w:tcW w:w="388" w:type="pct"/>
            <w:tcBorders>
              <w:top w:val="single" w:sz="4" w:space="0" w:color="auto"/>
              <w:left w:val="nil"/>
              <w:bottom w:val="single" w:sz="4" w:space="0" w:color="auto"/>
              <w:right w:val="single" w:sz="4" w:space="0" w:color="auto"/>
            </w:tcBorders>
            <w:vAlign w:val="center"/>
            <w:hideMark/>
          </w:tcPr>
          <w:p w14:paraId="6F76BFB7"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Total Patients (N)</w:t>
            </w:r>
          </w:p>
        </w:tc>
        <w:tc>
          <w:tcPr>
            <w:tcW w:w="350" w:type="pct"/>
            <w:tcBorders>
              <w:top w:val="single" w:sz="4" w:space="0" w:color="auto"/>
              <w:left w:val="nil"/>
              <w:bottom w:val="single" w:sz="4" w:space="0" w:color="auto"/>
              <w:right w:val="single" w:sz="4" w:space="0" w:color="auto"/>
            </w:tcBorders>
            <w:vAlign w:val="center"/>
            <w:hideMark/>
          </w:tcPr>
          <w:p w14:paraId="39A5BE00"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Risk of Bias</w:t>
            </w:r>
          </w:p>
        </w:tc>
        <w:tc>
          <w:tcPr>
            <w:tcW w:w="588" w:type="pct"/>
            <w:tcBorders>
              <w:top w:val="single" w:sz="4" w:space="0" w:color="auto"/>
              <w:left w:val="nil"/>
              <w:bottom w:val="single" w:sz="4" w:space="0" w:color="auto"/>
              <w:right w:val="single" w:sz="4" w:space="0" w:color="auto"/>
            </w:tcBorders>
            <w:vAlign w:val="center"/>
            <w:hideMark/>
          </w:tcPr>
          <w:p w14:paraId="2676DCD8" w14:textId="312C284D"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Inconsistency (I</w:t>
            </w:r>
            <w:proofErr w:type="gramStart"/>
            <w:r w:rsidRPr="006E6CD9">
              <w:rPr>
                <w:rFonts w:ascii="Times New Roman" w:eastAsia="Times New Roman" w:hAnsi="Times New Roman" w:cs="Times New Roman"/>
                <w:b/>
                <w:bCs/>
                <w:color w:val="000000"/>
                <w:sz w:val="20"/>
                <w:szCs w:val="20"/>
                <w:lang w:val="en" w:eastAsia="en-IN"/>
              </w:rPr>
              <w:t>2)</w:t>
            </w:r>
            <w:r w:rsidR="0018080E">
              <w:rPr>
                <w:rFonts w:ascii="Times New Roman" w:eastAsia="Times New Roman" w:hAnsi="Times New Roman" w:cs="Times New Roman"/>
                <w:b/>
                <w:bCs/>
                <w:color w:val="000000"/>
                <w:sz w:val="20"/>
                <w:szCs w:val="20"/>
                <w:lang w:val="en" w:eastAsia="en-IN"/>
              </w:rPr>
              <w:t>s</w:t>
            </w:r>
            <w:proofErr w:type="gramEnd"/>
          </w:p>
        </w:tc>
        <w:tc>
          <w:tcPr>
            <w:tcW w:w="541" w:type="pct"/>
            <w:tcBorders>
              <w:top w:val="single" w:sz="4" w:space="0" w:color="auto"/>
              <w:left w:val="nil"/>
              <w:bottom w:val="single" w:sz="4" w:space="0" w:color="auto"/>
              <w:right w:val="single" w:sz="4" w:space="0" w:color="auto"/>
            </w:tcBorders>
            <w:vAlign w:val="center"/>
            <w:hideMark/>
          </w:tcPr>
          <w:p w14:paraId="390311F3"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Indirectness</w:t>
            </w:r>
          </w:p>
        </w:tc>
        <w:tc>
          <w:tcPr>
            <w:tcW w:w="531" w:type="pct"/>
            <w:tcBorders>
              <w:top w:val="single" w:sz="4" w:space="0" w:color="auto"/>
              <w:left w:val="nil"/>
              <w:bottom w:val="single" w:sz="4" w:space="0" w:color="auto"/>
              <w:right w:val="single" w:sz="4" w:space="0" w:color="auto"/>
            </w:tcBorders>
            <w:vAlign w:val="center"/>
            <w:hideMark/>
          </w:tcPr>
          <w:p w14:paraId="45D47C0E"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Imprecision</w:t>
            </w:r>
          </w:p>
        </w:tc>
        <w:tc>
          <w:tcPr>
            <w:tcW w:w="512" w:type="pct"/>
            <w:tcBorders>
              <w:top w:val="single" w:sz="4" w:space="0" w:color="auto"/>
              <w:left w:val="nil"/>
              <w:bottom w:val="single" w:sz="4" w:space="0" w:color="auto"/>
              <w:right w:val="single" w:sz="4" w:space="0" w:color="auto"/>
            </w:tcBorders>
            <w:vAlign w:val="center"/>
            <w:hideMark/>
          </w:tcPr>
          <w:p w14:paraId="03A80AB1"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Publication Bias</w:t>
            </w:r>
          </w:p>
        </w:tc>
        <w:tc>
          <w:tcPr>
            <w:tcW w:w="445" w:type="pct"/>
            <w:tcBorders>
              <w:top w:val="single" w:sz="4" w:space="0" w:color="auto"/>
              <w:left w:val="nil"/>
              <w:bottom w:val="single" w:sz="4" w:space="0" w:color="auto"/>
              <w:right w:val="single" w:sz="4" w:space="0" w:color="auto"/>
            </w:tcBorders>
            <w:vAlign w:val="center"/>
            <w:hideMark/>
          </w:tcPr>
          <w:p w14:paraId="60AEE777"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r w:rsidRPr="006E6CD9">
              <w:rPr>
                <w:rFonts w:ascii="Times New Roman" w:eastAsia="Times New Roman" w:hAnsi="Times New Roman" w:cs="Times New Roman"/>
                <w:b/>
                <w:bCs/>
                <w:color w:val="000000"/>
                <w:sz w:val="20"/>
                <w:szCs w:val="20"/>
                <w:lang w:val="en" w:eastAsia="en-IN"/>
              </w:rPr>
              <w:t>Final Certainty</w:t>
            </w:r>
          </w:p>
        </w:tc>
      </w:tr>
      <w:tr w:rsidR="006E6CD9" w:rsidRPr="006E6CD9" w14:paraId="715C13C4" w14:textId="77777777" w:rsidTr="006E6CD9">
        <w:trPr>
          <w:trHeight w:val="1040"/>
          <w:jc w:val="center"/>
        </w:trPr>
        <w:tc>
          <w:tcPr>
            <w:tcW w:w="483" w:type="pct"/>
            <w:tcBorders>
              <w:top w:val="nil"/>
              <w:left w:val="single" w:sz="4" w:space="0" w:color="auto"/>
              <w:bottom w:val="single" w:sz="4" w:space="0" w:color="auto"/>
              <w:right w:val="single" w:sz="4" w:space="0" w:color="auto"/>
            </w:tcBorders>
            <w:vAlign w:val="center"/>
            <w:hideMark/>
          </w:tcPr>
          <w:p w14:paraId="66C28E10"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proofErr w:type="spellStart"/>
            <w:r w:rsidRPr="006E6CD9">
              <w:rPr>
                <w:rFonts w:ascii="Times New Roman" w:eastAsia="Times New Roman" w:hAnsi="Times New Roman" w:cs="Times New Roman"/>
                <w:b/>
                <w:bCs/>
                <w:color w:val="000000"/>
                <w:sz w:val="20"/>
                <w:szCs w:val="20"/>
                <w:lang w:val="en" w:eastAsia="en-IN"/>
              </w:rPr>
              <w:t>Magmaris</w:t>
            </w:r>
            <w:proofErr w:type="spellEnd"/>
          </w:p>
        </w:tc>
        <w:tc>
          <w:tcPr>
            <w:tcW w:w="707" w:type="pct"/>
            <w:tcBorders>
              <w:top w:val="nil"/>
              <w:left w:val="nil"/>
              <w:bottom w:val="single" w:sz="4" w:space="0" w:color="auto"/>
              <w:right w:val="single" w:sz="4" w:space="0" w:color="auto"/>
            </w:tcBorders>
            <w:vAlign w:val="center"/>
            <w:hideMark/>
          </w:tcPr>
          <w:p w14:paraId="50D0DE1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Target Lesion Failure (TLF)</w:t>
            </w:r>
          </w:p>
        </w:tc>
        <w:tc>
          <w:tcPr>
            <w:tcW w:w="455" w:type="pct"/>
            <w:tcBorders>
              <w:top w:val="nil"/>
              <w:left w:val="nil"/>
              <w:bottom w:val="single" w:sz="4" w:space="0" w:color="auto"/>
              <w:right w:val="single" w:sz="4" w:space="0" w:color="auto"/>
            </w:tcBorders>
            <w:vAlign w:val="center"/>
            <w:hideMark/>
          </w:tcPr>
          <w:p w14:paraId="77E60AB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 year</w:t>
            </w:r>
          </w:p>
        </w:tc>
        <w:tc>
          <w:tcPr>
            <w:tcW w:w="388" w:type="pct"/>
            <w:tcBorders>
              <w:top w:val="nil"/>
              <w:left w:val="nil"/>
              <w:bottom w:val="single" w:sz="4" w:space="0" w:color="auto"/>
              <w:right w:val="single" w:sz="4" w:space="0" w:color="auto"/>
            </w:tcBorders>
            <w:vAlign w:val="center"/>
            <w:hideMark/>
          </w:tcPr>
          <w:p w14:paraId="4F3655A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2,112</w:t>
            </w:r>
          </w:p>
        </w:tc>
        <w:tc>
          <w:tcPr>
            <w:tcW w:w="350" w:type="pct"/>
            <w:tcBorders>
              <w:top w:val="nil"/>
              <w:left w:val="nil"/>
              <w:bottom w:val="single" w:sz="4" w:space="0" w:color="auto"/>
              <w:right w:val="single" w:sz="4" w:space="0" w:color="auto"/>
            </w:tcBorders>
            <w:vAlign w:val="center"/>
            <w:hideMark/>
          </w:tcPr>
          <w:p w14:paraId="728046E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3E2DBD7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59.30%</w:t>
            </w:r>
          </w:p>
        </w:tc>
        <w:tc>
          <w:tcPr>
            <w:tcW w:w="541" w:type="pct"/>
            <w:tcBorders>
              <w:top w:val="nil"/>
              <w:left w:val="nil"/>
              <w:bottom w:val="single" w:sz="4" w:space="0" w:color="auto"/>
              <w:right w:val="single" w:sz="4" w:space="0" w:color="auto"/>
            </w:tcBorders>
            <w:vAlign w:val="center"/>
            <w:hideMark/>
          </w:tcPr>
          <w:p w14:paraId="7BCAC0F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2C59C72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0B3A141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4E215F9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4FD22189"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746F3B1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6A3AC8F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6C3D271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 years</w:t>
            </w:r>
          </w:p>
        </w:tc>
        <w:tc>
          <w:tcPr>
            <w:tcW w:w="388" w:type="pct"/>
            <w:tcBorders>
              <w:top w:val="nil"/>
              <w:left w:val="nil"/>
              <w:bottom w:val="single" w:sz="4" w:space="0" w:color="auto"/>
              <w:right w:val="single" w:sz="4" w:space="0" w:color="auto"/>
            </w:tcBorders>
            <w:vAlign w:val="center"/>
            <w:hideMark/>
          </w:tcPr>
          <w:p w14:paraId="01126CE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3,059</w:t>
            </w:r>
          </w:p>
        </w:tc>
        <w:tc>
          <w:tcPr>
            <w:tcW w:w="350" w:type="pct"/>
            <w:tcBorders>
              <w:top w:val="nil"/>
              <w:left w:val="nil"/>
              <w:bottom w:val="single" w:sz="4" w:space="0" w:color="auto"/>
              <w:right w:val="single" w:sz="4" w:space="0" w:color="auto"/>
            </w:tcBorders>
            <w:vAlign w:val="center"/>
            <w:hideMark/>
          </w:tcPr>
          <w:p w14:paraId="3AE802E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71C51C5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31DDC7B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2442BC3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2F3BB84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2118CF3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50E05409" w14:textId="77777777" w:rsidTr="006E6CD9">
        <w:trPr>
          <w:trHeight w:val="1300"/>
          <w:jc w:val="center"/>
        </w:trPr>
        <w:tc>
          <w:tcPr>
            <w:tcW w:w="483" w:type="pct"/>
            <w:tcBorders>
              <w:top w:val="nil"/>
              <w:left w:val="single" w:sz="4" w:space="0" w:color="auto"/>
              <w:bottom w:val="single" w:sz="4" w:space="0" w:color="auto"/>
              <w:right w:val="single" w:sz="4" w:space="0" w:color="auto"/>
            </w:tcBorders>
            <w:vAlign w:val="center"/>
            <w:hideMark/>
          </w:tcPr>
          <w:p w14:paraId="4B5D533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564E6C0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Target Lesion Revascularization (TLR)</w:t>
            </w:r>
          </w:p>
        </w:tc>
        <w:tc>
          <w:tcPr>
            <w:tcW w:w="455" w:type="pct"/>
            <w:tcBorders>
              <w:top w:val="nil"/>
              <w:left w:val="nil"/>
              <w:bottom w:val="single" w:sz="4" w:space="0" w:color="auto"/>
              <w:right w:val="single" w:sz="4" w:space="0" w:color="auto"/>
            </w:tcBorders>
            <w:vAlign w:val="center"/>
            <w:hideMark/>
          </w:tcPr>
          <w:p w14:paraId="199221F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 year</w:t>
            </w:r>
          </w:p>
        </w:tc>
        <w:tc>
          <w:tcPr>
            <w:tcW w:w="388" w:type="pct"/>
            <w:tcBorders>
              <w:top w:val="nil"/>
              <w:left w:val="nil"/>
              <w:bottom w:val="single" w:sz="4" w:space="0" w:color="auto"/>
              <w:right w:val="single" w:sz="4" w:space="0" w:color="auto"/>
            </w:tcBorders>
            <w:vAlign w:val="center"/>
            <w:hideMark/>
          </w:tcPr>
          <w:p w14:paraId="162E55D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2,554</w:t>
            </w:r>
          </w:p>
        </w:tc>
        <w:tc>
          <w:tcPr>
            <w:tcW w:w="350" w:type="pct"/>
            <w:tcBorders>
              <w:top w:val="nil"/>
              <w:left w:val="nil"/>
              <w:bottom w:val="single" w:sz="4" w:space="0" w:color="auto"/>
              <w:right w:val="single" w:sz="4" w:space="0" w:color="auto"/>
            </w:tcBorders>
            <w:vAlign w:val="center"/>
            <w:hideMark/>
          </w:tcPr>
          <w:p w14:paraId="0A9F6FF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219761A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83.60%</w:t>
            </w:r>
          </w:p>
        </w:tc>
        <w:tc>
          <w:tcPr>
            <w:tcW w:w="541" w:type="pct"/>
            <w:tcBorders>
              <w:top w:val="nil"/>
              <w:left w:val="nil"/>
              <w:bottom w:val="single" w:sz="4" w:space="0" w:color="auto"/>
              <w:right w:val="single" w:sz="4" w:space="0" w:color="auto"/>
            </w:tcBorders>
            <w:vAlign w:val="center"/>
            <w:hideMark/>
          </w:tcPr>
          <w:p w14:paraId="4789EE0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117C67E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6CAA734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214BE9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055D31FD"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4904CB6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57FC7BC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0C26163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 years</w:t>
            </w:r>
          </w:p>
        </w:tc>
        <w:tc>
          <w:tcPr>
            <w:tcW w:w="388" w:type="pct"/>
            <w:tcBorders>
              <w:top w:val="nil"/>
              <w:left w:val="nil"/>
              <w:bottom w:val="single" w:sz="4" w:space="0" w:color="auto"/>
              <w:right w:val="single" w:sz="4" w:space="0" w:color="auto"/>
            </w:tcBorders>
            <w:vAlign w:val="center"/>
            <w:hideMark/>
          </w:tcPr>
          <w:p w14:paraId="2C2F961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2,645</w:t>
            </w:r>
          </w:p>
        </w:tc>
        <w:tc>
          <w:tcPr>
            <w:tcW w:w="350" w:type="pct"/>
            <w:tcBorders>
              <w:top w:val="nil"/>
              <w:left w:val="nil"/>
              <w:bottom w:val="single" w:sz="4" w:space="0" w:color="auto"/>
              <w:right w:val="single" w:sz="4" w:space="0" w:color="auto"/>
            </w:tcBorders>
            <w:vAlign w:val="center"/>
            <w:hideMark/>
          </w:tcPr>
          <w:p w14:paraId="389E0D8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227ADD9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5E9313D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4B6CE4D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2B94D03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0705D23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1CB69B78" w14:textId="77777777" w:rsidTr="006E6CD9">
        <w:trPr>
          <w:trHeight w:val="780"/>
          <w:jc w:val="center"/>
        </w:trPr>
        <w:tc>
          <w:tcPr>
            <w:tcW w:w="483" w:type="pct"/>
            <w:tcBorders>
              <w:top w:val="nil"/>
              <w:left w:val="single" w:sz="4" w:space="0" w:color="auto"/>
              <w:bottom w:val="single" w:sz="4" w:space="0" w:color="auto"/>
              <w:right w:val="single" w:sz="4" w:space="0" w:color="auto"/>
            </w:tcBorders>
            <w:vAlign w:val="center"/>
            <w:hideMark/>
          </w:tcPr>
          <w:p w14:paraId="63537360"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proofErr w:type="spellStart"/>
            <w:r w:rsidRPr="006E6CD9">
              <w:rPr>
                <w:rFonts w:ascii="Times New Roman" w:eastAsia="Times New Roman" w:hAnsi="Times New Roman" w:cs="Times New Roman"/>
                <w:b/>
                <w:bCs/>
                <w:color w:val="000000"/>
                <w:sz w:val="20"/>
                <w:szCs w:val="20"/>
                <w:lang w:val="en" w:eastAsia="en-IN"/>
              </w:rPr>
              <w:t>Orsiro</w:t>
            </w:r>
            <w:proofErr w:type="spellEnd"/>
          </w:p>
        </w:tc>
        <w:tc>
          <w:tcPr>
            <w:tcW w:w="707" w:type="pct"/>
            <w:tcBorders>
              <w:top w:val="nil"/>
              <w:left w:val="nil"/>
              <w:bottom w:val="single" w:sz="4" w:space="0" w:color="auto"/>
              <w:right w:val="single" w:sz="4" w:space="0" w:color="auto"/>
            </w:tcBorders>
            <w:vAlign w:val="center"/>
            <w:hideMark/>
          </w:tcPr>
          <w:p w14:paraId="137E1A1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Stent Thrombosis</w:t>
            </w:r>
          </w:p>
        </w:tc>
        <w:tc>
          <w:tcPr>
            <w:tcW w:w="455" w:type="pct"/>
            <w:tcBorders>
              <w:top w:val="nil"/>
              <w:left w:val="nil"/>
              <w:bottom w:val="single" w:sz="4" w:space="0" w:color="auto"/>
              <w:right w:val="single" w:sz="4" w:space="0" w:color="auto"/>
            </w:tcBorders>
            <w:vAlign w:val="center"/>
            <w:hideMark/>
          </w:tcPr>
          <w:p w14:paraId="67BCCE7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18 months</w:t>
            </w:r>
          </w:p>
        </w:tc>
        <w:tc>
          <w:tcPr>
            <w:tcW w:w="388" w:type="pct"/>
            <w:tcBorders>
              <w:top w:val="nil"/>
              <w:left w:val="nil"/>
              <w:bottom w:val="single" w:sz="4" w:space="0" w:color="auto"/>
              <w:right w:val="single" w:sz="4" w:space="0" w:color="auto"/>
            </w:tcBorders>
            <w:vAlign w:val="center"/>
            <w:hideMark/>
          </w:tcPr>
          <w:p w14:paraId="514A3FD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2,129</w:t>
            </w:r>
          </w:p>
        </w:tc>
        <w:tc>
          <w:tcPr>
            <w:tcW w:w="350" w:type="pct"/>
            <w:tcBorders>
              <w:top w:val="nil"/>
              <w:left w:val="nil"/>
              <w:bottom w:val="single" w:sz="4" w:space="0" w:color="auto"/>
              <w:right w:val="single" w:sz="4" w:space="0" w:color="auto"/>
            </w:tcBorders>
            <w:vAlign w:val="center"/>
            <w:hideMark/>
          </w:tcPr>
          <w:p w14:paraId="2880F2C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75EF836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16%</w:t>
            </w:r>
          </w:p>
        </w:tc>
        <w:tc>
          <w:tcPr>
            <w:tcW w:w="541" w:type="pct"/>
            <w:tcBorders>
              <w:top w:val="nil"/>
              <w:left w:val="nil"/>
              <w:bottom w:val="single" w:sz="4" w:space="0" w:color="auto"/>
              <w:right w:val="single" w:sz="4" w:space="0" w:color="auto"/>
            </w:tcBorders>
            <w:vAlign w:val="center"/>
            <w:hideMark/>
          </w:tcPr>
          <w:p w14:paraId="0091EE7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7975835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2C3DCC4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59D35D7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26AEAE44"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2477054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0511BDC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14AB088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&gt; 18 months</w:t>
            </w:r>
          </w:p>
        </w:tc>
        <w:tc>
          <w:tcPr>
            <w:tcW w:w="388" w:type="pct"/>
            <w:tcBorders>
              <w:top w:val="nil"/>
              <w:left w:val="nil"/>
              <w:bottom w:val="single" w:sz="4" w:space="0" w:color="auto"/>
              <w:right w:val="single" w:sz="4" w:space="0" w:color="auto"/>
            </w:tcBorders>
            <w:vAlign w:val="center"/>
            <w:hideMark/>
          </w:tcPr>
          <w:p w14:paraId="0072556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1,441</w:t>
            </w:r>
          </w:p>
        </w:tc>
        <w:tc>
          <w:tcPr>
            <w:tcW w:w="350" w:type="pct"/>
            <w:tcBorders>
              <w:top w:val="nil"/>
              <w:left w:val="nil"/>
              <w:bottom w:val="single" w:sz="4" w:space="0" w:color="auto"/>
              <w:right w:val="single" w:sz="4" w:space="0" w:color="auto"/>
            </w:tcBorders>
            <w:vAlign w:val="center"/>
            <w:hideMark/>
          </w:tcPr>
          <w:p w14:paraId="3D43BCD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6AAF7AB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4%</w:t>
            </w:r>
          </w:p>
        </w:tc>
        <w:tc>
          <w:tcPr>
            <w:tcW w:w="541" w:type="pct"/>
            <w:tcBorders>
              <w:top w:val="nil"/>
              <w:left w:val="nil"/>
              <w:bottom w:val="single" w:sz="4" w:space="0" w:color="auto"/>
              <w:right w:val="single" w:sz="4" w:space="0" w:color="auto"/>
            </w:tcBorders>
            <w:vAlign w:val="center"/>
            <w:hideMark/>
          </w:tcPr>
          <w:p w14:paraId="6902924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22B337B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506D339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0861B02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0F01C683" w14:textId="77777777" w:rsidTr="006E6CD9">
        <w:trPr>
          <w:trHeight w:val="1040"/>
          <w:jc w:val="center"/>
        </w:trPr>
        <w:tc>
          <w:tcPr>
            <w:tcW w:w="483" w:type="pct"/>
            <w:tcBorders>
              <w:top w:val="nil"/>
              <w:left w:val="single" w:sz="4" w:space="0" w:color="auto"/>
              <w:bottom w:val="single" w:sz="4" w:space="0" w:color="auto"/>
              <w:right w:val="single" w:sz="4" w:space="0" w:color="auto"/>
            </w:tcBorders>
            <w:vAlign w:val="center"/>
            <w:hideMark/>
          </w:tcPr>
          <w:p w14:paraId="16603D1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0514AC1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Target Lesion Failure (TLF)</w:t>
            </w:r>
          </w:p>
        </w:tc>
        <w:tc>
          <w:tcPr>
            <w:tcW w:w="455" w:type="pct"/>
            <w:tcBorders>
              <w:top w:val="nil"/>
              <w:left w:val="nil"/>
              <w:bottom w:val="single" w:sz="4" w:space="0" w:color="auto"/>
              <w:right w:val="single" w:sz="4" w:space="0" w:color="auto"/>
            </w:tcBorders>
            <w:vAlign w:val="center"/>
            <w:hideMark/>
          </w:tcPr>
          <w:p w14:paraId="051BD20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18 months</w:t>
            </w:r>
          </w:p>
        </w:tc>
        <w:tc>
          <w:tcPr>
            <w:tcW w:w="388" w:type="pct"/>
            <w:tcBorders>
              <w:top w:val="nil"/>
              <w:left w:val="nil"/>
              <w:bottom w:val="single" w:sz="4" w:space="0" w:color="auto"/>
              <w:right w:val="single" w:sz="4" w:space="0" w:color="auto"/>
            </w:tcBorders>
            <w:vAlign w:val="center"/>
            <w:hideMark/>
          </w:tcPr>
          <w:p w14:paraId="1755ACF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2,427</w:t>
            </w:r>
          </w:p>
        </w:tc>
        <w:tc>
          <w:tcPr>
            <w:tcW w:w="350" w:type="pct"/>
            <w:tcBorders>
              <w:top w:val="nil"/>
              <w:left w:val="nil"/>
              <w:bottom w:val="single" w:sz="4" w:space="0" w:color="auto"/>
              <w:right w:val="single" w:sz="4" w:space="0" w:color="auto"/>
            </w:tcBorders>
            <w:vAlign w:val="center"/>
            <w:hideMark/>
          </w:tcPr>
          <w:p w14:paraId="4CDA3A3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6AF7C3F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84%</w:t>
            </w:r>
          </w:p>
        </w:tc>
        <w:tc>
          <w:tcPr>
            <w:tcW w:w="541" w:type="pct"/>
            <w:tcBorders>
              <w:top w:val="nil"/>
              <w:left w:val="nil"/>
              <w:bottom w:val="single" w:sz="4" w:space="0" w:color="auto"/>
              <w:right w:val="single" w:sz="4" w:space="0" w:color="auto"/>
            </w:tcBorders>
            <w:vAlign w:val="center"/>
            <w:hideMark/>
          </w:tcPr>
          <w:p w14:paraId="3E26BEB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6F6F4B6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1BAD390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5F710CB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4B383F39"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522956F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16FB527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4296C92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&gt; 18 months</w:t>
            </w:r>
          </w:p>
        </w:tc>
        <w:tc>
          <w:tcPr>
            <w:tcW w:w="388" w:type="pct"/>
            <w:tcBorders>
              <w:top w:val="nil"/>
              <w:left w:val="nil"/>
              <w:bottom w:val="single" w:sz="4" w:space="0" w:color="auto"/>
              <w:right w:val="single" w:sz="4" w:space="0" w:color="auto"/>
            </w:tcBorders>
            <w:vAlign w:val="center"/>
            <w:hideMark/>
          </w:tcPr>
          <w:p w14:paraId="2DAF28D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1,441</w:t>
            </w:r>
          </w:p>
        </w:tc>
        <w:tc>
          <w:tcPr>
            <w:tcW w:w="350" w:type="pct"/>
            <w:tcBorders>
              <w:top w:val="nil"/>
              <w:left w:val="nil"/>
              <w:bottom w:val="single" w:sz="4" w:space="0" w:color="auto"/>
              <w:right w:val="single" w:sz="4" w:space="0" w:color="auto"/>
            </w:tcBorders>
            <w:vAlign w:val="center"/>
            <w:hideMark/>
          </w:tcPr>
          <w:p w14:paraId="33BFAEB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5B9F0CD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90.90%</w:t>
            </w:r>
          </w:p>
        </w:tc>
        <w:tc>
          <w:tcPr>
            <w:tcW w:w="541" w:type="pct"/>
            <w:tcBorders>
              <w:top w:val="nil"/>
              <w:left w:val="nil"/>
              <w:bottom w:val="single" w:sz="4" w:space="0" w:color="auto"/>
              <w:right w:val="single" w:sz="4" w:space="0" w:color="auto"/>
            </w:tcBorders>
            <w:vAlign w:val="center"/>
            <w:hideMark/>
          </w:tcPr>
          <w:p w14:paraId="7FBD0DF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12CE9A5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1B04107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05F9622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2B29697F" w14:textId="77777777" w:rsidTr="006E6CD9">
        <w:trPr>
          <w:trHeight w:val="1300"/>
          <w:jc w:val="center"/>
        </w:trPr>
        <w:tc>
          <w:tcPr>
            <w:tcW w:w="483" w:type="pct"/>
            <w:tcBorders>
              <w:top w:val="nil"/>
              <w:left w:val="single" w:sz="4" w:space="0" w:color="auto"/>
              <w:bottom w:val="single" w:sz="4" w:space="0" w:color="auto"/>
              <w:right w:val="single" w:sz="4" w:space="0" w:color="auto"/>
            </w:tcBorders>
            <w:vAlign w:val="center"/>
            <w:hideMark/>
          </w:tcPr>
          <w:p w14:paraId="47DE569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lastRenderedPageBreak/>
              <w:t> </w:t>
            </w:r>
          </w:p>
        </w:tc>
        <w:tc>
          <w:tcPr>
            <w:tcW w:w="707" w:type="pct"/>
            <w:tcBorders>
              <w:top w:val="nil"/>
              <w:left w:val="nil"/>
              <w:bottom w:val="single" w:sz="4" w:space="0" w:color="auto"/>
              <w:right w:val="single" w:sz="4" w:space="0" w:color="auto"/>
            </w:tcBorders>
            <w:vAlign w:val="center"/>
            <w:hideMark/>
          </w:tcPr>
          <w:p w14:paraId="37AD5D8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Target Lesion Revascularization (TLR)</w:t>
            </w:r>
          </w:p>
        </w:tc>
        <w:tc>
          <w:tcPr>
            <w:tcW w:w="455" w:type="pct"/>
            <w:tcBorders>
              <w:top w:val="nil"/>
              <w:left w:val="nil"/>
              <w:bottom w:val="single" w:sz="4" w:space="0" w:color="auto"/>
              <w:right w:val="single" w:sz="4" w:space="0" w:color="auto"/>
            </w:tcBorders>
            <w:vAlign w:val="center"/>
            <w:hideMark/>
          </w:tcPr>
          <w:p w14:paraId="10EA39D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18 months</w:t>
            </w:r>
          </w:p>
        </w:tc>
        <w:tc>
          <w:tcPr>
            <w:tcW w:w="388" w:type="pct"/>
            <w:tcBorders>
              <w:top w:val="nil"/>
              <w:left w:val="nil"/>
              <w:bottom w:val="single" w:sz="4" w:space="0" w:color="auto"/>
              <w:right w:val="single" w:sz="4" w:space="0" w:color="auto"/>
            </w:tcBorders>
            <w:vAlign w:val="center"/>
            <w:hideMark/>
          </w:tcPr>
          <w:p w14:paraId="04B8FA1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2,427</w:t>
            </w:r>
          </w:p>
        </w:tc>
        <w:tc>
          <w:tcPr>
            <w:tcW w:w="350" w:type="pct"/>
            <w:tcBorders>
              <w:top w:val="nil"/>
              <w:left w:val="nil"/>
              <w:bottom w:val="single" w:sz="4" w:space="0" w:color="auto"/>
              <w:right w:val="single" w:sz="4" w:space="0" w:color="auto"/>
            </w:tcBorders>
            <w:vAlign w:val="center"/>
            <w:hideMark/>
          </w:tcPr>
          <w:p w14:paraId="475F252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282189C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50.20%</w:t>
            </w:r>
          </w:p>
        </w:tc>
        <w:tc>
          <w:tcPr>
            <w:tcW w:w="541" w:type="pct"/>
            <w:tcBorders>
              <w:top w:val="nil"/>
              <w:left w:val="nil"/>
              <w:bottom w:val="single" w:sz="4" w:space="0" w:color="auto"/>
              <w:right w:val="single" w:sz="4" w:space="0" w:color="auto"/>
            </w:tcBorders>
            <w:vAlign w:val="center"/>
            <w:hideMark/>
          </w:tcPr>
          <w:p w14:paraId="29B0A3F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788F056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21D050D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4FB9EF9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0A4969B6"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6EC0E75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79786D1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1BFD0B4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&gt; 18 months</w:t>
            </w:r>
          </w:p>
        </w:tc>
        <w:tc>
          <w:tcPr>
            <w:tcW w:w="388" w:type="pct"/>
            <w:tcBorders>
              <w:top w:val="nil"/>
              <w:left w:val="nil"/>
              <w:bottom w:val="single" w:sz="4" w:space="0" w:color="auto"/>
              <w:right w:val="single" w:sz="4" w:space="0" w:color="auto"/>
            </w:tcBorders>
            <w:vAlign w:val="center"/>
            <w:hideMark/>
          </w:tcPr>
          <w:p w14:paraId="55A778F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1,441</w:t>
            </w:r>
          </w:p>
        </w:tc>
        <w:tc>
          <w:tcPr>
            <w:tcW w:w="350" w:type="pct"/>
            <w:tcBorders>
              <w:top w:val="nil"/>
              <w:left w:val="nil"/>
              <w:bottom w:val="single" w:sz="4" w:space="0" w:color="auto"/>
              <w:right w:val="single" w:sz="4" w:space="0" w:color="auto"/>
            </w:tcBorders>
            <w:vAlign w:val="center"/>
            <w:hideMark/>
          </w:tcPr>
          <w:p w14:paraId="14D970F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74CF21D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95.20%</w:t>
            </w:r>
          </w:p>
        </w:tc>
        <w:tc>
          <w:tcPr>
            <w:tcW w:w="541" w:type="pct"/>
            <w:tcBorders>
              <w:top w:val="nil"/>
              <w:left w:val="nil"/>
              <w:bottom w:val="single" w:sz="4" w:space="0" w:color="auto"/>
              <w:right w:val="single" w:sz="4" w:space="0" w:color="auto"/>
            </w:tcBorders>
            <w:vAlign w:val="center"/>
            <w:hideMark/>
          </w:tcPr>
          <w:p w14:paraId="495165A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52B6AFB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45808BE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F82DC4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33D58F15"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3D691D6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049980F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Target Vessel MI</w:t>
            </w:r>
          </w:p>
        </w:tc>
        <w:tc>
          <w:tcPr>
            <w:tcW w:w="455" w:type="pct"/>
            <w:tcBorders>
              <w:top w:val="nil"/>
              <w:left w:val="nil"/>
              <w:bottom w:val="single" w:sz="4" w:space="0" w:color="auto"/>
              <w:right w:val="single" w:sz="4" w:space="0" w:color="auto"/>
            </w:tcBorders>
            <w:vAlign w:val="center"/>
            <w:hideMark/>
          </w:tcPr>
          <w:p w14:paraId="0FF52BF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18 months</w:t>
            </w:r>
          </w:p>
        </w:tc>
        <w:tc>
          <w:tcPr>
            <w:tcW w:w="388" w:type="pct"/>
            <w:tcBorders>
              <w:top w:val="nil"/>
              <w:left w:val="nil"/>
              <w:bottom w:val="single" w:sz="4" w:space="0" w:color="auto"/>
              <w:right w:val="single" w:sz="4" w:space="0" w:color="auto"/>
            </w:tcBorders>
            <w:vAlign w:val="center"/>
            <w:hideMark/>
          </w:tcPr>
          <w:p w14:paraId="4BA4915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2,427</w:t>
            </w:r>
          </w:p>
        </w:tc>
        <w:tc>
          <w:tcPr>
            <w:tcW w:w="350" w:type="pct"/>
            <w:tcBorders>
              <w:top w:val="nil"/>
              <w:left w:val="nil"/>
              <w:bottom w:val="single" w:sz="4" w:space="0" w:color="auto"/>
              <w:right w:val="single" w:sz="4" w:space="0" w:color="auto"/>
            </w:tcBorders>
            <w:vAlign w:val="center"/>
            <w:hideMark/>
          </w:tcPr>
          <w:p w14:paraId="0367FAE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4710B93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85%</w:t>
            </w:r>
          </w:p>
        </w:tc>
        <w:tc>
          <w:tcPr>
            <w:tcW w:w="541" w:type="pct"/>
            <w:tcBorders>
              <w:top w:val="nil"/>
              <w:left w:val="nil"/>
              <w:bottom w:val="single" w:sz="4" w:space="0" w:color="auto"/>
              <w:right w:val="single" w:sz="4" w:space="0" w:color="auto"/>
            </w:tcBorders>
            <w:vAlign w:val="center"/>
            <w:hideMark/>
          </w:tcPr>
          <w:p w14:paraId="679E829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4705C91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4400E54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7167BD4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3B15F40B"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22DEF25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5E02F78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32DEB15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&gt; 18 months</w:t>
            </w:r>
          </w:p>
        </w:tc>
        <w:tc>
          <w:tcPr>
            <w:tcW w:w="388" w:type="pct"/>
            <w:tcBorders>
              <w:top w:val="nil"/>
              <w:left w:val="nil"/>
              <w:bottom w:val="single" w:sz="4" w:space="0" w:color="auto"/>
              <w:right w:val="single" w:sz="4" w:space="0" w:color="auto"/>
            </w:tcBorders>
            <w:vAlign w:val="center"/>
            <w:hideMark/>
          </w:tcPr>
          <w:p w14:paraId="2445178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1,441</w:t>
            </w:r>
          </w:p>
        </w:tc>
        <w:tc>
          <w:tcPr>
            <w:tcW w:w="350" w:type="pct"/>
            <w:tcBorders>
              <w:top w:val="nil"/>
              <w:left w:val="nil"/>
              <w:bottom w:val="single" w:sz="4" w:space="0" w:color="auto"/>
              <w:right w:val="single" w:sz="4" w:space="0" w:color="auto"/>
            </w:tcBorders>
            <w:vAlign w:val="center"/>
            <w:hideMark/>
          </w:tcPr>
          <w:p w14:paraId="09A4DBE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1496084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95.40%</w:t>
            </w:r>
          </w:p>
        </w:tc>
        <w:tc>
          <w:tcPr>
            <w:tcW w:w="541" w:type="pct"/>
            <w:tcBorders>
              <w:top w:val="nil"/>
              <w:left w:val="nil"/>
              <w:bottom w:val="single" w:sz="4" w:space="0" w:color="auto"/>
              <w:right w:val="single" w:sz="4" w:space="0" w:color="auto"/>
            </w:tcBorders>
            <w:vAlign w:val="center"/>
            <w:hideMark/>
          </w:tcPr>
          <w:p w14:paraId="5AC8B5A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60EDBF6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1BD4B64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4A62605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42112710"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5440240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3BB43A0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All-cause mortality</w:t>
            </w:r>
          </w:p>
        </w:tc>
        <w:tc>
          <w:tcPr>
            <w:tcW w:w="455" w:type="pct"/>
            <w:tcBorders>
              <w:top w:val="nil"/>
              <w:left w:val="nil"/>
              <w:bottom w:val="single" w:sz="4" w:space="0" w:color="auto"/>
              <w:right w:val="single" w:sz="4" w:space="0" w:color="auto"/>
            </w:tcBorders>
            <w:vAlign w:val="center"/>
            <w:hideMark/>
          </w:tcPr>
          <w:p w14:paraId="0C22EB9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18 months</w:t>
            </w:r>
          </w:p>
        </w:tc>
        <w:tc>
          <w:tcPr>
            <w:tcW w:w="388" w:type="pct"/>
            <w:tcBorders>
              <w:top w:val="nil"/>
              <w:left w:val="nil"/>
              <w:bottom w:val="single" w:sz="4" w:space="0" w:color="auto"/>
              <w:right w:val="single" w:sz="4" w:space="0" w:color="auto"/>
            </w:tcBorders>
            <w:vAlign w:val="center"/>
            <w:hideMark/>
          </w:tcPr>
          <w:p w14:paraId="32B40F6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1,252</w:t>
            </w:r>
          </w:p>
        </w:tc>
        <w:tc>
          <w:tcPr>
            <w:tcW w:w="350" w:type="pct"/>
            <w:tcBorders>
              <w:top w:val="nil"/>
              <w:left w:val="nil"/>
              <w:bottom w:val="single" w:sz="4" w:space="0" w:color="auto"/>
              <w:right w:val="single" w:sz="4" w:space="0" w:color="auto"/>
            </w:tcBorders>
            <w:vAlign w:val="center"/>
            <w:hideMark/>
          </w:tcPr>
          <w:p w14:paraId="40BF308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01B512D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86.80%</w:t>
            </w:r>
          </w:p>
        </w:tc>
        <w:tc>
          <w:tcPr>
            <w:tcW w:w="541" w:type="pct"/>
            <w:tcBorders>
              <w:top w:val="nil"/>
              <w:left w:val="nil"/>
              <w:bottom w:val="single" w:sz="4" w:space="0" w:color="auto"/>
              <w:right w:val="single" w:sz="4" w:space="0" w:color="auto"/>
            </w:tcBorders>
            <w:vAlign w:val="center"/>
            <w:hideMark/>
          </w:tcPr>
          <w:p w14:paraId="1AA0A89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20712EB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311AA66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66EC1E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689090FB"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2714657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5486034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34380A8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&gt; 18 months</w:t>
            </w:r>
          </w:p>
        </w:tc>
        <w:tc>
          <w:tcPr>
            <w:tcW w:w="388" w:type="pct"/>
            <w:tcBorders>
              <w:top w:val="nil"/>
              <w:left w:val="nil"/>
              <w:bottom w:val="single" w:sz="4" w:space="0" w:color="auto"/>
              <w:right w:val="single" w:sz="4" w:space="0" w:color="auto"/>
            </w:tcBorders>
            <w:vAlign w:val="center"/>
            <w:hideMark/>
          </w:tcPr>
          <w:p w14:paraId="64F92AD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2,344</w:t>
            </w:r>
          </w:p>
        </w:tc>
        <w:tc>
          <w:tcPr>
            <w:tcW w:w="350" w:type="pct"/>
            <w:tcBorders>
              <w:top w:val="nil"/>
              <w:left w:val="nil"/>
              <w:bottom w:val="single" w:sz="4" w:space="0" w:color="auto"/>
              <w:right w:val="single" w:sz="4" w:space="0" w:color="auto"/>
            </w:tcBorders>
            <w:vAlign w:val="center"/>
            <w:hideMark/>
          </w:tcPr>
          <w:p w14:paraId="45EE859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6A874D1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63A457E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32CCDA6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77E3CF6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7998736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3AAC0346"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0D16E78C" w14:textId="77777777" w:rsidR="006E6CD9" w:rsidRPr="006E6CD9" w:rsidRDefault="006E6CD9" w:rsidP="006E6CD9">
            <w:pPr>
              <w:spacing w:after="0" w:line="240" w:lineRule="auto"/>
              <w:jc w:val="center"/>
              <w:rPr>
                <w:rFonts w:ascii="Times New Roman" w:eastAsia="Times New Roman" w:hAnsi="Times New Roman" w:cs="Times New Roman"/>
                <w:b/>
                <w:bCs/>
                <w:color w:val="000000"/>
                <w:sz w:val="20"/>
                <w:szCs w:val="20"/>
                <w:lang w:val="en-IN" w:eastAsia="en-IN"/>
              </w:rPr>
            </w:pPr>
            <w:proofErr w:type="spellStart"/>
            <w:r w:rsidRPr="006E6CD9">
              <w:rPr>
                <w:rFonts w:ascii="Times New Roman" w:eastAsia="Times New Roman" w:hAnsi="Times New Roman" w:cs="Times New Roman"/>
                <w:b/>
                <w:bCs/>
                <w:color w:val="000000"/>
                <w:sz w:val="20"/>
                <w:szCs w:val="20"/>
                <w:lang w:val="en" w:eastAsia="en-IN"/>
              </w:rPr>
              <w:t>Ultimaster</w:t>
            </w:r>
            <w:proofErr w:type="spellEnd"/>
          </w:p>
        </w:tc>
        <w:tc>
          <w:tcPr>
            <w:tcW w:w="707" w:type="pct"/>
            <w:tcBorders>
              <w:top w:val="nil"/>
              <w:left w:val="nil"/>
              <w:bottom w:val="single" w:sz="4" w:space="0" w:color="auto"/>
              <w:right w:val="single" w:sz="4" w:space="0" w:color="auto"/>
            </w:tcBorders>
            <w:vAlign w:val="center"/>
            <w:hideMark/>
          </w:tcPr>
          <w:p w14:paraId="42BD8AB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Cardiac Death*</w:t>
            </w:r>
          </w:p>
        </w:tc>
        <w:tc>
          <w:tcPr>
            <w:tcW w:w="455" w:type="pct"/>
            <w:tcBorders>
              <w:top w:val="nil"/>
              <w:left w:val="nil"/>
              <w:bottom w:val="single" w:sz="4" w:space="0" w:color="auto"/>
              <w:right w:val="single" w:sz="4" w:space="0" w:color="auto"/>
            </w:tcBorders>
            <w:vAlign w:val="center"/>
            <w:hideMark/>
          </w:tcPr>
          <w:p w14:paraId="7C7FC32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 year</w:t>
            </w:r>
          </w:p>
        </w:tc>
        <w:tc>
          <w:tcPr>
            <w:tcW w:w="388" w:type="pct"/>
            <w:tcBorders>
              <w:top w:val="nil"/>
              <w:left w:val="nil"/>
              <w:bottom w:val="single" w:sz="4" w:space="0" w:color="auto"/>
              <w:right w:val="single" w:sz="4" w:space="0" w:color="auto"/>
            </w:tcBorders>
            <w:vAlign w:val="center"/>
            <w:hideMark/>
          </w:tcPr>
          <w:p w14:paraId="4C6DC6B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9,606</w:t>
            </w:r>
          </w:p>
        </w:tc>
        <w:tc>
          <w:tcPr>
            <w:tcW w:w="350" w:type="pct"/>
            <w:tcBorders>
              <w:top w:val="nil"/>
              <w:left w:val="nil"/>
              <w:bottom w:val="single" w:sz="4" w:space="0" w:color="auto"/>
              <w:right w:val="single" w:sz="4" w:space="0" w:color="auto"/>
            </w:tcBorders>
            <w:vAlign w:val="center"/>
            <w:hideMark/>
          </w:tcPr>
          <w:p w14:paraId="2A6D52E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3F11CAB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90.50%</w:t>
            </w:r>
          </w:p>
        </w:tc>
        <w:tc>
          <w:tcPr>
            <w:tcW w:w="541" w:type="pct"/>
            <w:tcBorders>
              <w:top w:val="nil"/>
              <w:left w:val="nil"/>
              <w:bottom w:val="single" w:sz="4" w:space="0" w:color="auto"/>
              <w:right w:val="single" w:sz="4" w:space="0" w:color="auto"/>
            </w:tcBorders>
            <w:vAlign w:val="center"/>
            <w:hideMark/>
          </w:tcPr>
          <w:p w14:paraId="2899EEA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346523E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2720423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1B983EC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44C77E0D"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74065EC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336E198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21D572C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 years</w:t>
            </w:r>
          </w:p>
        </w:tc>
        <w:tc>
          <w:tcPr>
            <w:tcW w:w="388" w:type="pct"/>
            <w:tcBorders>
              <w:top w:val="nil"/>
              <w:left w:val="nil"/>
              <w:bottom w:val="single" w:sz="4" w:space="0" w:color="auto"/>
              <w:right w:val="single" w:sz="4" w:space="0" w:color="auto"/>
            </w:tcBorders>
            <w:vAlign w:val="center"/>
            <w:hideMark/>
          </w:tcPr>
          <w:p w14:paraId="14A050D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776</w:t>
            </w:r>
          </w:p>
        </w:tc>
        <w:tc>
          <w:tcPr>
            <w:tcW w:w="350" w:type="pct"/>
            <w:tcBorders>
              <w:top w:val="nil"/>
              <w:left w:val="nil"/>
              <w:bottom w:val="single" w:sz="4" w:space="0" w:color="auto"/>
              <w:right w:val="single" w:sz="4" w:space="0" w:color="auto"/>
            </w:tcBorders>
            <w:vAlign w:val="center"/>
            <w:hideMark/>
          </w:tcPr>
          <w:p w14:paraId="654A5C8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70CCED7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00BE546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20B7F3F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4C1725B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2F0DF04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7F7C0A38"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343BA3A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6F01D27F"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Myocardial Infarction</w:t>
            </w:r>
          </w:p>
        </w:tc>
        <w:tc>
          <w:tcPr>
            <w:tcW w:w="455" w:type="pct"/>
            <w:tcBorders>
              <w:top w:val="nil"/>
              <w:left w:val="nil"/>
              <w:bottom w:val="single" w:sz="4" w:space="0" w:color="auto"/>
              <w:right w:val="single" w:sz="4" w:space="0" w:color="auto"/>
            </w:tcBorders>
            <w:vAlign w:val="center"/>
            <w:hideMark/>
          </w:tcPr>
          <w:p w14:paraId="33F53F0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 year</w:t>
            </w:r>
          </w:p>
        </w:tc>
        <w:tc>
          <w:tcPr>
            <w:tcW w:w="388" w:type="pct"/>
            <w:tcBorders>
              <w:top w:val="nil"/>
              <w:left w:val="nil"/>
              <w:bottom w:val="single" w:sz="4" w:space="0" w:color="auto"/>
              <w:right w:val="single" w:sz="4" w:space="0" w:color="auto"/>
            </w:tcBorders>
            <w:vAlign w:val="center"/>
            <w:hideMark/>
          </w:tcPr>
          <w:p w14:paraId="627F06B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9,606</w:t>
            </w:r>
          </w:p>
        </w:tc>
        <w:tc>
          <w:tcPr>
            <w:tcW w:w="350" w:type="pct"/>
            <w:tcBorders>
              <w:top w:val="nil"/>
              <w:left w:val="nil"/>
              <w:bottom w:val="single" w:sz="4" w:space="0" w:color="auto"/>
              <w:right w:val="single" w:sz="4" w:space="0" w:color="auto"/>
            </w:tcBorders>
            <w:vAlign w:val="center"/>
            <w:hideMark/>
          </w:tcPr>
          <w:p w14:paraId="3E31964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0F5E64E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93.20%</w:t>
            </w:r>
          </w:p>
        </w:tc>
        <w:tc>
          <w:tcPr>
            <w:tcW w:w="541" w:type="pct"/>
            <w:tcBorders>
              <w:top w:val="nil"/>
              <w:left w:val="nil"/>
              <w:bottom w:val="single" w:sz="4" w:space="0" w:color="auto"/>
              <w:right w:val="single" w:sz="4" w:space="0" w:color="auto"/>
            </w:tcBorders>
            <w:vAlign w:val="center"/>
            <w:hideMark/>
          </w:tcPr>
          <w:p w14:paraId="3350CBB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3DA47D0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6A5E5DC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4141418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14B80213"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54A1044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402EBE7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5C4E83F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 years</w:t>
            </w:r>
          </w:p>
        </w:tc>
        <w:tc>
          <w:tcPr>
            <w:tcW w:w="388" w:type="pct"/>
            <w:tcBorders>
              <w:top w:val="nil"/>
              <w:left w:val="nil"/>
              <w:bottom w:val="single" w:sz="4" w:space="0" w:color="auto"/>
              <w:right w:val="single" w:sz="4" w:space="0" w:color="auto"/>
            </w:tcBorders>
            <w:vAlign w:val="center"/>
            <w:hideMark/>
          </w:tcPr>
          <w:p w14:paraId="4B28C02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776</w:t>
            </w:r>
          </w:p>
        </w:tc>
        <w:tc>
          <w:tcPr>
            <w:tcW w:w="350" w:type="pct"/>
            <w:tcBorders>
              <w:top w:val="nil"/>
              <w:left w:val="nil"/>
              <w:bottom w:val="single" w:sz="4" w:space="0" w:color="auto"/>
              <w:right w:val="single" w:sz="4" w:space="0" w:color="auto"/>
            </w:tcBorders>
            <w:vAlign w:val="center"/>
            <w:hideMark/>
          </w:tcPr>
          <w:p w14:paraId="75600E2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010AD4C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17922A4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5D6C473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1DF536D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34622F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0CAB2AB9" w14:textId="77777777" w:rsidTr="006E6CD9">
        <w:trPr>
          <w:trHeight w:val="780"/>
          <w:jc w:val="center"/>
        </w:trPr>
        <w:tc>
          <w:tcPr>
            <w:tcW w:w="483" w:type="pct"/>
            <w:tcBorders>
              <w:top w:val="nil"/>
              <w:left w:val="single" w:sz="4" w:space="0" w:color="auto"/>
              <w:bottom w:val="single" w:sz="4" w:space="0" w:color="auto"/>
              <w:right w:val="single" w:sz="4" w:space="0" w:color="auto"/>
            </w:tcBorders>
            <w:vAlign w:val="center"/>
            <w:hideMark/>
          </w:tcPr>
          <w:p w14:paraId="72344A0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5B09A29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Stent Thrombosis</w:t>
            </w:r>
          </w:p>
        </w:tc>
        <w:tc>
          <w:tcPr>
            <w:tcW w:w="455" w:type="pct"/>
            <w:tcBorders>
              <w:top w:val="nil"/>
              <w:left w:val="nil"/>
              <w:bottom w:val="single" w:sz="4" w:space="0" w:color="auto"/>
              <w:right w:val="single" w:sz="4" w:space="0" w:color="auto"/>
            </w:tcBorders>
            <w:vAlign w:val="center"/>
            <w:hideMark/>
          </w:tcPr>
          <w:p w14:paraId="1BAEB0C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 year</w:t>
            </w:r>
          </w:p>
        </w:tc>
        <w:tc>
          <w:tcPr>
            <w:tcW w:w="388" w:type="pct"/>
            <w:tcBorders>
              <w:top w:val="nil"/>
              <w:left w:val="nil"/>
              <w:bottom w:val="single" w:sz="4" w:space="0" w:color="auto"/>
              <w:right w:val="single" w:sz="4" w:space="0" w:color="auto"/>
            </w:tcBorders>
            <w:vAlign w:val="center"/>
            <w:hideMark/>
          </w:tcPr>
          <w:p w14:paraId="17BF9D4E"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9,606</w:t>
            </w:r>
          </w:p>
        </w:tc>
        <w:tc>
          <w:tcPr>
            <w:tcW w:w="350" w:type="pct"/>
            <w:tcBorders>
              <w:top w:val="nil"/>
              <w:left w:val="nil"/>
              <w:bottom w:val="single" w:sz="4" w:space="0" w:color="auto"/>
              <w:right w:val="single" w:sz="4" w:space="0" w:color="auto"/>
            </w:tcBorders>
            <w:vAlign w:val="center"/>
            <w:hideMark/>
          </w:tcPr>
          <w:p w14:paraId="2D026DD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513D776C"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90.80%</w:t>
            </w:r>
          </w:p>
        </w:tc>
        <w:tc>
          <w:tcPr>
            <w:tcW w:w="541" w:type="pct"/>
            <w:tcBorders>
              <w:top w:val="nil"/>
              <w:left w:val="nil"/>
              <w:bottom w:val="single" w:sz="4" w:space="0" w:color="auto"/>
              <w:right w:val="single" w:sz="4" w:space="0" w:color="auto"/>
            </w:tcBorders>
            <w:vAlign w:val="center"/>
            <w:hideMark/>
          </w:tcPr>
          <w:p w14:paraId="3E1B56A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39D83E8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37E29BA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0B7B1A43"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303F960F"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1D92BF6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21C54469"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27DE24E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 years</w:t>
            </w:r>
          </w:p>
        </w:tc>
        <w:tc>
          <w:tcPr>
            <w:tcW w:w="388" w:type="pct"/>
            <w:tcBorders>
              <w:top w:val="nil"/>
              <w:left w:val="nil"/>
              <w:bottom w:val="single" w:sz="4" w:space="0" w:color="auto"/>
              <w:right w:val="single" w:sz="4" w:space="0" w:color="auto"/>
            </w:tcBorders>
            <w:vAlign w:val="center"/>
            <w:hideMark/>
          </w:tcPr>
          <w:p w14:paraId="103A3A3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776</w:t>
            </w:r>
          </w:p>
        </w:tc>
        <w:tc>
          <w:tcPr>
            <w:tcW w:w="350" w:type="pct"/>
            <w:tcBorders>
              <w:top w:val="nil"/>
              <w:left w:val="nil"/>
              <w:bottom w:val="single" w:sz="4" w:space="0" w:color="auto"/>
              <w:right w:val="single" w:sz="4" w:space="0" w:color="auto"/>
            </w:tcBorders>
            <w:vAlign w:val="center"/>
            <w:hideMark/>
          </w:tcPr>
          <w:p w14:paraId="24D8EFD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3176792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2912A9C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4C08249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6F71756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EB1A62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r w:rsidR="006E6CD9" w:rsidRPr="006E6CD9" w14:paraId="40CDDC3B"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126C955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6AAA06E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All-cause mortality</w:t>
            </w:r>
          </w:p>
        </w:tc>
        <w:tc>
          <w:tcPr>
            <w:tcW w:w="455" w:type="pct"/>
            <w:tcBorders>
              <w:top w:val="nil"/>
              <w:left w:val="nil"/>
              <w:bottom w:val="single" w:sz="4" w:space="0" w:color="auto"/>
              <w:right w:val="single" w:sz="4" w:space="0" w:color="auto"/>
            </w:tcBorders>
            <w:vAlign w:val="center"/>
            <w:hideMark/>
          </w:tcPr>
          <w:p w14:paraId="17D836D2"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1 year</w:t>
            </w:r>
          </w:p>
        </w:tc>
        <w:tc>
          <w:tcPr>
            <w:tcW w:w="388" w:type="pct"/>
            <w:tcBorders>
              <w:top w:val="nil"/>
              <w:left w:val="nil"/>
              <w:bottom w:val="single" w:sz="4" w:space="0" w:color="auto"/>
              <w:right w:val="single" w:sz="4" w:space="0" w:color="auto"/>
            </w:tcBorders>
            <w:vAlign w:val="center"/>
            <w:hideMark/>
          </w:tcPr>
          <w:p w14:paraId="5CBBDAC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9,606</w:t>
            </w:r>
          </w:p>
        </w:tc>
        <w:tc>
          <w:tcPr>
            <w:tcW w:w="350" w:type="pct"/>
            <w:tcBorders>
              <w:top w:val="nil"/>
              <w:left w:val="nil"/>
              <w:bottom w:val="single" w:sz="4" w:space="0" w:color="auto"/>
              <w:right w:val="single" w:sz="4" w:space="0" w:color="auto"/>
            </w:tcBorders>
            <w:vAlign w:val="center"/>
            <w:hideMark/>
          </w:tcPr>
          <w:p w14:paraId="2DC4B88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6EE790F1"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94.10%</w:t>
            </w:r>
          </w:p>
        </w:tc>
        <w:tc>
          <w:tcPr>
            <w:tcW w:w="541" w:type="pct"/>
            <w:tcBorders>
              <w:top w:val="nil"/>
              <w:left w:val="nil"/>
              <w:bottom w:val="single" w:sz="4" w:space="0" w:color="auto"/>
              <w:right w:val="single" w:sz="4" w:space="0" w:color="auto"/>
            </w:tcBorders>
            <w:vAlign w:val="center"/>
            <w:hideMark/>
          </w:tcPr>
          <w:p w14:paraId="44B06A7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3EF0DC8D"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3949E31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6299C95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Moderate</w:t>
            </w:r>
          </w:p>
        </w:tc>
      </w:tr>
      <w:tr w:rsidR="006E6CD9" w:rsidRPr="006E6CD9" w14:paraId="31273B43" w14:textId="77777777" w:rsidTr="006E6CD9">
        <w:trPr>
          <w:trHeight w:val="520"/>
          <w:jc w:val="center"/>
        </w:trPr>
        <w:tc>
          <w:tcPr>
            <w:tcW w:w="483" w:type="pct"/>
            <w:tcBorders>
              <w:top w:val="nil"/>
              <w:left w:val="single" w:sz="4" w:space="0" w:color="auto"/>
              <w:bottom w:val="single" w:sz="4" w:space="0" w:color="auto"/>
              <w:right w:val="single" w:sz="4" w:space="0" w:color="auto"/>
            </w:tcBorders>
            <w:vAlign w:val="center"/>
            <w:hideMark/>
          </w:tcPr>
          <w:p w14:paraId="3486A42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707" w:type="pct"/>
            <w:tcBorders>
              <w:top w:val="nil"/>
              <w:left w:val="nil"/>
              <w:bottom w:val="single" w:sz="4" w:space="0" w:color="auto"/>
              <w:right w:val="single" w:sz="4" w:space="0" w:color="auto"/>
            </w:tcBorders>
            <w:vAlign w:val="center"/>
            <w:hideMark/>
          </w:tcPr>
          <w:p w14:paraId="2C54CC3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 </w:t>
            </w:r>
          </w:p>
        </w:tc>
        <w:tc>
          <w:tcPr>
            <w:tcW w:w="455" w:type="pct"/>
            <w:tcBorders>
              <w:top w:val="nil"/>
              <w:left w:val="nil"/>
              <w:bottom w:val="single" w:sz="4" w:space="0" w:color="auto"/>
              <w:right w:val="single" w:sz="4" w:space="0" w:color="auto"/>
            </w:tcBorders>
            <w:vAlign w:val="center"/>
            <w:hideMark/>
          </w:tcPr>
          <w:p w14:paraId="4C2AC4C6"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5 years</w:t>
            </w:r>
          </w:p>
        </w:tc>
        <w:tc>
          <w:tcPr>
            <w:tcW w:w="388" w:type="pct"/>
            <w:tcBorders>
              <w:top w:val="nil"/>
              <w:left w:val="nil"/>
              <w:bottom w:val="single" w:sz="4" w:space="0" w:color="auto"/>
              <w:right w:val="single" w:sz="4" w:space="0" w:color="auto"/>
            </w:tcBorders>
            <w:vAlign w:val="center"/>
            <w:hideMark/>
          </w:tcPr>
          <w:p w14:paraId="1FCBD0A0"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776</w:t>
            </w:r>
          </w:p>
        </w:tc>
        <w:tc>
          <w:tcPr>
            <w:tcW w:w="350" w:type="pct"/>
            <w:tcBorders>
              <w:top w:val="nil"/>
              <w:left w:val="nil"/>
              <w:bottom w:val="single" w:sz="4" w:space="0" w:color="auto"/>
              <w:right w:val="single" w:sz="4" w:space="0" w:color="auto"/>
            </w:tcBorders>
            <w:vAlign w:val="center"/>
            <w:hideMark/>
          </w:tcPr>
          <w:p w14:paraId="690F44CB"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88" w:type="pct"/>
            <w:tcBorders>
              <w:top w:val="nil"/>
              <w:left w:val="nil"/>
              <w:bottom w:val="single" w:sz="4" w:space="0" w:color="auto"/>
              <w:right w:val="single" w:sz="4" w:space="0" w:color="auto"/>
            </w:tcBorders>
            <w:vAlign w:val="center"/>
            <w:hideMark/>
          </w:tcPr>
          <w:p w14:paraId="09CF0235"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0%</w:t>
            </w:r>
          </w:p>
        </w:tc>
        <w:tc>
          <w:tcPr>
            <w:tcW w:w="541" w:type="pct"/>
            <w:tcBorders>
              <w:top w:val="nil"/>
              <w:left w:val="nil"/>
              <w:bottom w:val="single" w:sz="4" w:space="0" w:color="auto"/>
              <w:right w:val="single" w:sz="4" w:space="0" w:color="auto"/>
            </w:tcBorders>
            <w:vAlign w:val="center"/>
            <w:hideMark/>
          </w:tcPr>
          <w:p w14:paraId="6594524A"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31" w:type="pct"/>
            <w:tcBorders>
              <w:top w:val="nil"/>
              <w:left w:val="nil"/>
              <w:bottom w:val="single" w:sz="4" w:space="0" w:color="auto"/>
              <w:right w:val="single" w:sz="4" w:space="0" w:color="auto"/>
            </w:tcBorders>
            <w:vAlign w:val="center"/>
            <w:hideMark/>
          </w:tcPr>
          <w:p w14:paraId="0625D314"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512" w:type="pct"/>
            <w:tcBorders>
              <w:top w:val="nil"/>
              <w:left w:val="nil"/>
              <w:bottom w:val="single" w:sz="4" w:space="0" w:color="auto"/>
              <w:right w:val="single" w:sz="4" w:space="0" w:color="auto"/>
            </w:tcBorders>
            <w:vAlign w:val="center"/>
            <w:hideMark/>
          </w:tcPr>
          <w:p w14:paraId="741F52D8"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Not Serious</w:t>
            </w:r>
          </w:p>
        </w:tc>
        <w:tc>
          <w:tcPr>
            <w:tcW w:w="445" w:type="pct"/>
            <w:tcBorders>
              <w:top w:val="nil"/>
              <w:left w:val="nil"/>
              <w:bottom w:val="single" w:sz="4" w:space="0" w:color="auto"/>
              <w:right w:val="single" w:sz="4" w:space="0" w:color="auto"/>
            </w:tcBorders>
            <w:vAlign w:val="center"/>
            <w:hideMark/>
          </w:tcPr>
          <w:p w14:paraId="70BA2B97" w14:textId="77777777" w:rsidR="006E6CD9" w:rsidRPr="006E6CD9" w:rsidRDefault="006E6CD9" w:rsidP="006E6CD9">
            <w:pPr>
              <w:spacing w:after="0" w:line="240" w:lineRule="auto"/>
              <w:jc w:val="center"/>
              <w:rPr>
                <w:rFonts w:ascii="Times New Roman" w:eastAsia="Times New Roman" w:hAnsi="Times New Roman" w:cs="Times New Roman"/>
                <w:color w:val="000000"/>
                <w:sz w:val="20"/>
                <w:szCs w:val="20"/>
                <w:lang w:val="en-IN" w:eastAsia="en-IN"/>
              </w:rPr>
            </w:pPr>
            <w:r w:rsidRPr="006E6CD9">
              <w:rPr>
                <w:rFonts w:ascii="Times New Roman" w:eastAsia="Times New Roman" w:hAnsi="Times New Roman" w:cs="Times New Roman"/>
                <w:color w:val="000000"/>
                <w:sz w:val="20"/>
                <w:szCs w:val="20"/>
                <w:lang w:val="en" w:eastAsia="en-IN"/>
              </w:rPr>
              <w:t>High</w:t>
            </w:r>
          </w:p>
        </w:tc>
      </w:tr>
    </w:tbl>
    <w:p w14:paraId="3B1FCE22" w14:textId="77777777" w:rsidR="00B25226" w:rsidRDefault="00B25226" w:rsidP="00FB7F00">
      <w:pPr>
        <w:widowControl w:val="0"/>
        <w:adjustRightInd w:val="0"/>
        <w:spacing w:after="0" w:line="360" w:lineRule="auto"/>
        <w:jc w:val="both"/>
        <w:rPr>
          <w:rFonts w:ascii="Times New Roman" w:hAnsi="Times New Roman" w:cs="Times New Roman"/>
          <w:sz w:val="20"/>
          <w:szCs w:val="20"/>
        </w:rPr>
      </w:pPr>
    </w:p>
    <w:p w14:paraId="1C7218D1" w14:textId="71C68130" w:rsidR="0018080E" w:rsidRDefault="00842BFB" w:rsidP="00FB7F00">
      <w:pPr>
        <w:widowControl w:val="0"/>
        <w:adjustRightInd w:val="0"/>
        <w:spacing w:after="0" w:line="360" w:lineRule="auto"/>
        <w:jc w:val="both"/>
        <w:rPr>
          <w:rFonts w:ascii="Times New Roman" w:hAnsi="Times New Roman" w:cs="Times New Roman"/>
          <w:sz w:val="20"/>
          <w:szCs w:val="20"/>
        </w:rPr>
      </w:pPr>
      <w:r w:rsidRPr="00842BFB">
        <w:rPr>
          <w:rFonts w:ascii="Times New Roman" w:hAnsi="Times New Roman" w:cs="Times New Roman"/>
          <w:b/>
          <w:bCs/>
          <w:color w:val="0070C0"/>
          <w:sz w:val="20"/>
          <w:szCs w:val="20"/>
        </w:rPr>
        <w:t>Table 6</w:t>
      </w:r>
      <w:r>
        <w:rPr>
          <w:rFonts w:ascii="Times New Roman" w:hAnsi="Times New Roman" w:cs="Times New Roman"/>
          <w:sz w:val="20"/>
          <w:szCs w:val="20"/>
        </w:rPr>
        <w:t>:</w:t>
      </w:r>
      <w:r w:rsidRPr="00842BFB">
        <w:rPr>
          <w:rFonts w:ascii="Times New Roman" w:hAnsi="Times New Roman" w:cs="Times New Roman"/>
          <w:sz w:val="20"/>
          <w:szCs w:val="20"/>
        </w:rPr>
        <w:t xml:space="preserve"> GRADE Assessment of the reported outcomes</w:t>
      </w:r>
      <w:r>
        <w:rPr>
          <w:rFonts w:ascii="Times New Roman" w:hAnsi="Times New Roman" w:cs="Times New Roman"/>
          <w:sz w:val="20"/>
          <w:szCs w:val="20"/>
        </w:rPr>
        <w:t>.</w:t>
      </w:r>
    </w:p>
    <w:p w14:paraId="7A56FE07" w14:textId="4C42F20D" w:rsidR="003B41C1" w:rsidRPr="00FB7F00" w:rsidRDefault="003B41C1" w:rsidP="00FB7F00">
      <w:pPr>
        <w:widowControl w:val="0"/>
        <w:adjustRightInd w:val="0"/>
        <w:spacing w:after="0" w:line="360" w:lineRule="auto"/>
        <w:jc w:val="both"/>
        <w:rPr>
          <w:rFonts w:ascii="Times New Roman" w:hAnsi="Times New Roman" w:cs="Times New Roman"/>
          <w:sz w:val="20"/>
          <w:szCs w:val="20"/>
        </w:rPr>
      </w:pPr>
    </w:p>
    <w:p w14:paraId="3C6FEA2D" w14:textId="765C3E36" w:rsidR="00FB7F00" w:rsidRPr="003B41C1" w:rsidRDefault="00FB7F00" w:rsidP="00FB7F00">
      <w:pPr>
        <w:widowControl w:val="0"/>
        <w:adjustRightInd w:val="0"/>
        <w:spacing w:after="0" w:line="360" w:lineRule="auto"/>
        <w:jc w:val="both"/>
        <w:rPr>
          <w:rFonts w:ascii="Times New Roman" w:hAnsi="Times New Roman" w:cs="Times New Roman"/>
          <w:b/>
          <w:bCs/>
          <w:sz w:val="20"/>
          <w:szCs w:val="20"/>
        </w:rPr>
      </w:pPr>
      <w:r w:rsidRPr="003B41C1">
        <w:rPr>
          <w:rFonts w:ascii="Times New Roman" w:hAnsi="Times New Roman" w:cs="Times New Roman"/>
          <w:b/>
          <w:bCs/>
          <w:sz w:val="20"/>
          <w:szCs w:val="20"/>
        </w:rPr>
        <w:t>Risk of bias assessment</w:t>
      </w:r>
    </w:p>
    <w:p w14:paraId="2C778DFA"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Overall, the methodological quality of included cohort studies was high. Most studies achieved the maximum NOS score of nine stars, indicating low risk of bias across selection, comparability, and outcome domains. A subset of </w:t>
      </w:r>
      <w:r w:rsidRPr="00FB7F00">
        <w:rPr>
          <w:rFonts w:ascii="Times New Roman" w:hAnsi="Times New Roman" w:cs="Times New Roman"/>
          <w:sz w:val="20"/>
          <w:szCs w:val="20"/>
        </w:rPr>
        <w:lastRenderedPageBreak/>
        <w:t>studies scored eight stars, primarily due to minor limitations in selection procedures or incomplete control for confounding factors; however, none were deemed to have critically high risk of bias.</w:t>
      </w:r>
    </w:p>
    <w:p w14:paraId="018E6A3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4F8CA062"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For randomized controlled trials, all included studies were judged to have an overall low risk of bias according to the Cochrane </w:t>
      </w:r>
      <w:proofErr w:type="spellStart"/>
      <w:r w:rsidRPr="00FB7F00">
        <w:rPr>
          <w:rFonts w:ascii="Times New Roman" w:hAnsi="Times New Roman" w:cs="Times New Roman"/>
          <w:sz w:val="20"/>
          <w:szCs w:val="20"/>
        </w:rPr>
        <w:t>RoB</w:t>
      </w:r>
      <w:proofErr w:type="spellEnd"/>
      <w:r w:rsidRPr="00FB7F00">
        <w:rPr>
          <w:rFonts w:ascii="Times New Roman" w:hAnsi="Times New Roman" w:cs="Times New Roman"/>
          <w:sz w:val="20"/>
          <w:szCs w:val="20"/>
        </w:rPr>
        <w:t xml:space="preserve"> 2 tool. Most domains, including randomization, deviations from intended interventions, and outcome measurement, were consistently rated as low risk. Some studies showed concerns related to missing outcome data or outcome reporting; however, these did not substantially affect the overall risk assessment. Collectively, the included RCTs demonstrated robust methodological quality with minimal risk of systematic bias. The results are </w:t>
      </w:r>
      <w:proofErr w:type="spellStart"/>
      <w:r w:rsidRPr="00FB7F00">
        <w:rPr>
          <w:rFonts w:ascii="Times New Roman" w:hAnsi="Times New Roman" w:cs="Times New Roman"/>
          <w:sz w:val="20"/>
          <w:szCs w:val="20"/>
        </w:rPr>
        <w:t>summarised</w:t>
      </w:r>
      <w:proofErr w:type="spellEnd"/>
      <w:r w:rsidRPr="00FB7F00">
        <w:rPr>
          <w:rFonts w:ascii="Times New Roman" w:hAnsi="Times New Roman" w:cs="Times New Roman"/>
          <w:sz w:val="20"/>
          <w:szCs w:val="20"/>
        </w:rPr>
        <w:t xml:space="preserve"> in Table 7 and 8. </w:t>
      </w:r>
    </w:p>
    <w:p w14:paraId="7F5A6915" w14:textId="77777777" w:rsidR="00A0162E" w:rsidRDefault="00A0162E"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1194"/>
        <w:gridCol w:w="814"/>
        <w:gridCol w:w="814"/>
        <w:gridCol w:w="814"/>
        <w:gridCol w:w="814"/>
        <w:gridCol w:w="815"/>
        <w:gridCol w:w="815"/>
        <w:gridCol w:w="815"/>
        <w:gridCol w:w="815"/>
        <w:gridCol w:w="815"/>
        <w:gridCol w:w="825"/>
      </w:tblGrid>
      <w:tr w:rsidR="00453C6C" w:rsidRPr="00453C6C" w14:paraId="25AD2436" w14:textId="77777777" w:rsidTr="00453C6C">
        <w:trPr>
          <w:trHeight w:val="290"/>
          <w:jc w:val="center"/>
        </w:trPr>
        <w:tc>
          <w:tcPr>
            <w:tcW w:w="565" w:type="pct"/>
            <w:tcBorders>
              <w:top w:val="single" w:sz="4" w:space="0" w:color="auto"/>
              <w:left w:val="single" w:sz="4" w:space="0" w:color="auto"/>
              <w:bottom w:val="single" w:sz="4" w:space="0" w:color="auto"/>
              <w:right w:val="single" w:sz="4" w:space="0" w:color="auto"/>
            </w:tcBorders>
            <w:shd w:val="clear" w:color="000000" w:fill="C9DAF8"/>
            <w:vAlign w:val="center"/>
            <w:hideMark/>
          </w:tcPr>
          <w:p w14:paraId="27C0FBA3"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Study</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318266B2"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S1</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72AA8344"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S2</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127AC848"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S3</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0B62404F"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S4</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5349DB7C"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C1</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5375F425"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C2</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6F240FF2"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O1</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5584B551"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O2</w:t>
            </w:r>
          </w:p>
        </w:tc>
        <w:tc>
          <w:tcPr>
            <w:tcW w:w="443" w:type="pct"/>
            <w:tcBorders>
              <w:top w:val="single" w:sz="4" w:space="0" w:color="auto"/>
              <w:left w:val="nil"/>
              <w:bottom w:val="single" w:sz="4" w:space="0" w:color="auto"/>
              <w:right w:val="single" w:sz="4" w:space="0" w:color="auto"/>
            </w:tcBorders>
            <w:shd w:val="clear" w:color="000000" w:fill="C9DAF8"/>
            <w:vAlign w:val="center"/>
            <w:hideMark/>
          </w:tcPr>
          <w:p w14:paraId="5F2CCEBF"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O3</w:t>
            </w:r>
          </w:p>
        </w:tc>
        <w:tc>
          <w:tcPr>
            <w:tcW w:w="448" w:type="pct"/>
            <w:tcBorders>
              <w:top w:val="single" w:sz="4" w:space="0" w:color="auto"/>
              <w:left w:val="nil"/>
              <w:bottom w:val="single" w:sz="4" w:space="0" w:color="auto"/>
              <w:right w:val="single" w:sz="4" w:space="0" w:color="auto"/>
            </w:tcBorders>
            <w:shd w:val="clear" w:color="000000" w:fill="C9DAF8"/>
            <w:vAlign w:val="center"/>
            <w:hideMark/>
          </w:tcPr>
          <w:p w14:paraId="55046BEC" w14:textId="77777777" w:rsidR="00453C6C" w:rsidRPr="00453C6C" w:rsidRDefault="00453C6C" w:rsidP="00453C6C">
            <w:pPr>
              <w:spacing w:after="0" w:line="240" w:lineRule="auto"/>
              <w:rPr>
                <w:rFonts w:ascii="Times New Roman" w:eastAsia="Times New Roman" w:hAnsi="Times New Roman" w:cs="Times New Roman"/>
                <w:b/>
                <w:bCs/>
                <w:color w:val="000000"/>
                <w:sz w:val="20"/>
                <w:szCs w:val="20"/>
                <w:lang w:val="en-IN" w:eastAsia="en-IN"/>
              </w:rPr>
            </w:pPr>
            <w:r w:rsidRPr="00453C6C">
              <w:rPr>
                <w:rFonts w:ascii="Times New Roman" w:eastAsia="Times New Roman" w:hAnsi="Times New Roman" w:cs="Times New Roman"/>
                <w:b/>
                <w:bCs/>
                <w:sz w:val="20"/>
                <w:szCs w:val="20"/>
                <w:lang w:val="en" w:eastAsia="en-IN"/>
              </w:rPr>
              <w:t>Total</w:t>
            </w:r>
          </w:p>
        </w:tc>
      </w:tr>
      <w:tr w:rsidR="00453C6C" w:rsidRPr="00453C6C" w14:paraId="0DAA3A70"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7E52FF8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Rola 2022</w:t>
            </w:r>
          </w:p>
        </w:tc>
        <w:tc>
          <w:tcPr>
            <w:tcW w:w="443" w:type="pct"/>
            <w:tcBorders>
              <w:top w:val="nil"/>
              <w:left w:val="nil"/>
              <w:bottom w:val="single" w:sz="4" w:space="0" w:color="auto"/>
              <w:right w:val="single" w:sz="4" w:space="0" w:color="auto"/>
            </w:tcBorders>
            <w:vAlign w:val="center"/>
            <w:hideMark/>
          </w:tcPr>
          <w:p w14:paraId="5122156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39B897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0F4DEB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D11C9F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E7D98E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3602BD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B7EA0F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3F2C12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2E80A3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5ADDE515"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24CE57EF"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56908C1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Włodarczak</w:t>
            </w:r>
            <w:proofErr w:type="spellEnd"/>
            <w:r w:rsidRPr="00453C6C">
              <w:rPr>
                <w:rFonts w:ascii="Times New Roman" w:eastAsia="Times New Roman" w:hAnsi="Times New Roman" w:cs="Times New Roman"/>
                <w:color w:val="000000"/>
                <w:sz w:val="20"/>
                <w:szCs w:val="20"/>
                <w:lang w:val="en" w:eastAsia="en-IN"/>
              </w:rPr>
              <w:t xml:space="preserve"> 2021</w:t>
            </w:r>
          </w:p>
        </w:tc>
        <w:tc>
          <w:tcPr>
            <w:tcW w:w="443" w:type="pct"/>
            <w:tcBorders>
              <w:top w:val="nil"/>
              <w:left w:val="nil"/>
              <w:bottom w:val="single" w:sz="4" w:space="0" w:color="auto"/>
              <w:right w:val="single" w:sz="4" w:space="0" w:color="auto"/>
            </w:tcBorders>
            <w:vAlign w:val="center"/>
            <w:hideMark/>
          </w:tcPr>
          <w:p w14:paraId="025A368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9EB98E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E560CB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633CDA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C6590C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F71027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D78114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23AC0C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3028E2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54142B4F"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58B448BC"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1B10245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Truong 2023</w:t>
            </w:r>
          </w:p>
        </w:tc>
        <w:tc>
          <w:tcPr>
            <w:tcW w:w="443" w:type="pct"/>
            <w:tcBorders>
              <w:top w:val="nil"/>
              <w:left w:val="nil"/>
              <w:bottom w:val="single" w:sz="4" w:space="0" w:color="auto"/>
              <w:right w:val="single" w:sz="4" w:space="0" w:color="auto"/>
            </w:tcBorders>
            <w:vAlign w:val="center"/>
            <w:hideMark/>
          </w:tcPr>
          <w:p w14:paraId="554E35F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479B00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3B61FDB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94E354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85EFE0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F43F11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C85C39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2AC904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128D92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271E83D5"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63E7A565"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175743A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Włodarczak</w:t>
            </w:r>
            <w:proofErr w:type="spellEnd"/>
            <w:r w:rsidRPr="00453C6C">
              <w:rPr>
                <w:rFonts w:ascii="Times New Roman" w:eastAsia="Times New Roman" w:hAnsi="Times New Roman" w:cs="Times New Roman"/>
                <w:color w:val="000000"/>
                <w:sz w:val="20"/>
                <w:szCs w:val="20"/>
                <w:lang w:val="en" w:eastAsia="en-IN"/>
              </w:rPr>
              <w:t xml:space="preserve"> 2023</w:t>
            </w:r>
          </w:p>
        </w:tc>
        <w:tc>
          <w:tcPr>
            <w:tcW w:w="443" w:type="pct"/>
            <w:tcBorders>
              <w:top w:val="nil"/>
              <w:left w:val="nil"/>
              <w:bottom w:val="single" w:sz="4" w:space="0" w:color="auto"/>
              <w:right w:val="single" w:sz="4" w:space="0" w:color="auto"/>
            </w:tcBorders>
            <w:vAlign w:val="center"/>
            <w:hideMark/>
          </w:tcPr>
          <w:p w14:paraId="09CAC14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26553F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453647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E42812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862618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14565F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E66A03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21CF06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B3FE05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0C8EF8B3"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649A1A7E"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48C100A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Rola 2023</w:t>
            </w:r>
          </w:p>
        </w:tc>
        <w:tc>
          <w:tcPr>
            <w:tcW w:w="443" w:type="pct"/>
            <w:tcBorders>
              <w:top w:val="nil"/>
              <w:left w:val="nil"/>
              <w:bottom w:val="single" w:sz="4" w:space="0" w:color="auto"/>
              <w:right w:val="single" w:sz="4" w:space="0" w:color="auto"/>
            </w:tcBorders>
            <w:vAlign w:val="center"/>
            <w:hideMark/>
          </w:tcPr>
          <w:p w14:paraId="2F424B1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D47EEC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BA002F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49E79D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EB4613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901E1B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83D94A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3D7DB79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AF8262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3CDC2592"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0971D2FC"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06F7466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Sequeiros 2020</w:t>
            </w:r>
          </w:p>
        </w:tc>
        <w:tc>
          <w:tcPr>
            <w:tcW w:w="443" w:type="pct"/>
            <w:tcBorders>
              <w:top w:val="nil"/>
              <w:left w:val="nil"/>
              <w:bottom w:val="single" w:sz="4" w:space="0" w:color="auto"/>
              <w:right w:val="single" w:sz="4" w:space="0" w:color="auto"/>
            </w:tcBorders>
            <w:vAlign w:val="center"/>
            <w:hideMark/>
          </w:tcPr>
          <w:p w14:paraId="575526E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8C22FF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CB67AC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F912E1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FA1DD4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FB1E99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75B440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34DE29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DFB769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5301DC6B"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27814304"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6EB7C66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Włodarczak</w:t>
            </w:r>
            <w:proofErr w:type="spellEnd"/>
            <w:r w:rsidRPr="00453C6C">
              <w:rPr>
                <w:rFonts w:ascii="Times New Roman" w:eastAsia="Times New Roman" w:hAnsi="Times New Roman" w:cs="Times New Roman"/>
                <w:color w:val="000000"/>
                <w:sz w:val="20"/>
                <w:szCs w:val="20"/>
                <w:lang w:val="en" w:eastAsia="en-IN"/>
              </w:rPr>
              <w:t xml:space="preserve"> 2024</w:t>
            </w:r>
          </w:p>
        </w:tc>
        <w:tc>
          <w:tcPr>
            <w:tcW w:w="443" w:type="pct"/>
            <w:tcBorders>
              <w:top w:val="nil"/>
              <w:left w:val="nil"/>
              <w:bottom w:val="single" w:sz="4" w:space="0" w:color="auto"/>
              <w:right w:val="single" w:sz="4" w:space="0" w:color="auto"/>
            </w:tcBorders>
            <w:vAlign w:val="center"/>
            <w:hideMark/>
          </w:tcPr>
          <w:p w14:paraId="1B43CB8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2E450D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5BFEFF0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08BB4F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AA9813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3CF7BB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9C9052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FD85AF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A2600A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4EF4FC56"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10A2A39C"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24F4A6C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Verheye</w:t>
            </w:r>
            <w:proofErr w:type="spellEnd"/>
            <w:r w:rsidRPr="00453C6C">
              <w:rPr>
                <w:rFonts w:ascii="Times New Roman" w:eastAsia="Times New Roman" w:hAnsi="Times New Roman" w:cs="Times New Roman"/>
                <w:color w:val="000000"/>
                <w:sz w:val="20"/>
                <w:szCs w:val="20"/>
                <w:lang w:val="en" w:eastAsia="en-IN"/>
              </w:rPr>
              <w:t xml:space="preserve"> 2021</w:t>
            </w:r>
          </w:p>
        </w:tc>
        <w:tc>
          <w:tcPr>
            <w:tcW w:w="443" w:type="pct"/>
            <w:tcBorders>
              <w:top w:val="nil"/>
              <w:left w:val="nil"/>
              <w:bottom w:val="single" w:sz="4" w:space="0" w:color="auto"/>
              <w:right w:val="single" w:sz="4" w:space="0" w:color="auto"/>
            </w:tcBorders>
            <w:vAlign w:val="center"/>
            <w:hideMark/>
          </w:tcPr>
          <w:p w14:paraId="58AEEE3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9F5B09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18446F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AA2DE0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52C6ED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4A5D04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83506C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551838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32F318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548BC21D"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4C6FAAC6"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4A6B5FA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Wlodarczak</w:t>
            </w:r>
            <w:proofErr w:type="spellEnd"/>
            <w:r w:rsidRPr="00453C6C">
              <w:rPr>
                <w:rFonts w:ascii="Times New Roman" w:eastAsia="Times New Roman" w:hAnsi="Times New Roman" w:cs="Times New Roman"/>
                <w:color w:val="000000"/>
                <w:sz w:val="20"/>
                <w:szCs w:val="20"/>
                <w:lang w:val="en" w:eastAsia="en-IN"/>
              </w:rPr>
              <w:t xml:space="preserve"> 2023</w:t>
            </w:r>
          </w:p>
        </w:tc>
        <w:tc>
          <w:tcPr>
            <w:tcW w:w="443" w:type="pct"/>
            <w:tcBorders>
              <w:top w:val="nil"/>
              <w:left w:val="nil"/>
              <w:bottom w:val="single" w:sz="4" w:space="0" w:color="auto"/>
              <w:right w:val="single" w:sz="4" w:space="0" w:color="auto"/>
            </w:tcBorders>
            <w:vAlign w:val="center"/>
            <w:hideMark/>
          </w:tcPr>
          <w:p w14:paraId="14425F0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144F1C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5CFB3AE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D0F75D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5280B8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C4FE94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0B5267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0910BE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783707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787F731A"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252A9AC1"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72F7515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Rola 2021</w:t>
            </w:r>
          </w:p>
        </w:tc>
        <w:tc>
          <w:tcPr>
            <w:tcW w:w="443" w:type="pct"/>
            <w:tcBorders>
              <w:top w:val="nil"/>
              <w:left w:val="nil"/>
              <w:bottom w:val="single" w:sz="4" w:space="0" w:color="auto"/>
              <w:right w:val="single" w:sz="4" w:space="0" w:color="auto"/>
            </w:tcBorders>
            <w:vAlign w:val="center"/>
            <w:hideMark/>
          </w:tcPr>
          <w:p w14:paraId="14F911B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22849B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EA0642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A2EAC8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B9E26D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D43DCF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F81D79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339659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BFC587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7ADA5638"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1795B3EB"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6E7FB40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Gall 2022</w:t>
            </w:r>
          </w:p>
        </w:tc>
        <w:tc>
          <w:tcPr>
            <w:tcW w:w="443" w:type="pct"/>
            <w:tcBorders>
              <w:top w:val="nil"/>
              <w:left w:val="nil"/>
              <w:bottom w:val="single" w:sz="4" w:space="0" w:color="auto"/>
              <w:right w:val="single" w:sz="4" w:space="0" w:color="auto"/>
            </w:tcBorders>
            <w:vAlign w:val="center"/>
            <w:hideMark/>
          </w:tcPr>
          <w:p w14:paraId="342B640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FA99D4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903E89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5FDBDA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2613AE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71DB99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3A6496A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FF3D67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8765DC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3FF79180"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0D41F54A"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6523FEB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Galli 2023</w:t>
            </w:r>
          </w:p>
        </w:tc>
        <w:tc>
          <w:tcPr>
            <w:tcW w:w="443" w:type="pct"/>
            <w:tcBorders>
              <w:top w:val="nil"/>
              <w:left w:val="nil"/>
              <w:bottom w:val="single" w:sz="4" w:space="0" w:color="auto"/>
              <w:right w:val="single" w:sz="4" w:space="0" w:color="auto"/>
            </w:tcBorders>
            <w:vAlign w:val="center"/>
            <w:hideMark/>
          </w:tcPr>
          <w:p w14:paraId="30F04D4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DD0CA7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DF35FB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1CABC35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4712AD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484110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98D29F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7905B2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804A56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054A44E7"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58B4241D"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366BC12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Wlodarczak</w:t>
            </w:r>
            <w:proofErr w:type="spellEnd"/>
            <w:r w:rsidRPr="00453C6C">
              <w:rPr>
                <w:rFonts w:ascii="Times New Roman" w:eastAsia="Times New Roman" w:hAnsi="Times New Roman" w:cs="Times New Roman"/>
                <w:color w:val="000000"/>
                <w:sz w:val="20"/>
                <w:szCs w:val="20"/>
                <w:lang w:val="en" w:eastAsia="en-IN"/>
              </w:rPr>
              <w:t xml:space="preserve"> 2018</w:t>
            </w:r>
          </w:p>
        </w:tc>
        <w:tc>
          <w:tcPr>
            <w:tcW w:w="443" w:type="pct"/>
            <w:tcBorders>
              <w:top w:val="nil"/>
              <w:left w:val="nil"/>
              <w:bottom w:val="single" w:sz="4" w:space="0" w:color="auto"/>
              <w:right w:val="single" w:sz="4" w:space="0" w:color="auto"/>
            </w:tcBorders>
            <w:vAlign w:val="center"/>
            <w:hideMark/>
          </w:tcPr>
          <w:p w14:paraId="5EDE6BA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5D5E2F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97178D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134EEA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6B33DE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55A8F3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E35626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10D34C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2AE9FF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303ABEBD"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49B740DF"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11DA430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Hemptinne</w:t>
            </w:r>
            <w:proofErr w:type="spellEnd"/>
            <w:r w:rsidRPr="00453C6C">
              <w:rPr>
                <w:rFonts w:ascii="Times New Roman" w:eastAsia="Times New Roman" w:hAnsi="Times New Roman" w:cs="Times New Roman"/>
                <w:color w:val="000000"/>
                <w:sz w:val="20"/>
                <w:szCs w:val="20"/>
                <w:lang w:val="en" w:eastAsia="en-IN"/>
              </w:rPr>
              <w:t xml:space="preserve"> 2022</w:t>
            </w:r>
          </w:p>
        </w:tc>
        <w:tc>
          <w:tcPr>
            <w:tcW w:w="443" w:type="pct"/>
            <w:tcBorders>
              <w:top w:val="nil"/>
              <w:left w:val="nil"/>
              <w:bottom w:val="single" w:sz="4" w:space="0" w:color="auto"/>
              <w:right w:val="single" w:sz="4" w:space="0" w:color="auto"/>
            </w:tcBorders>
            <w:vAlign w:val="center"/>
            <w:hideMark/>
          </w:tcPr>
          <w:p w14:paraId="7D49485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F6A112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321825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792878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B66B8F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ED28A9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E1A7DF3"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95E794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85F031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60056317"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378F0EAC"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16408AD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Ishida 2024</w:t>
            </w:r>
          </w:p>
        </w:tc>
        <w:tc>
          <w:tcPr>
            <w:tcW w:w="443" w:type="pct"/>
            <w:tcBorders>
              <w:top w:val="nil"/>
              <w:left w:val="nil"/>
              <w:bottom w:val="single" w:sz="4" w:space="0" w:color="auto"/>
              <w:right w:val="single" w:sz="4" w:space="0" w:color="auto"/>
            </w:tcBorders>
            <w:vAlign w:val="center"/>
            <w:hideMark/>
          </w:tcPr>
          <w:p w14:paraId="451B668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738E54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CC1341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AF7C83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EC7F36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7D20DC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066CD0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2D461A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8B2406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695D3389"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137CCAA6"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0632B8A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Godino 2019</w:t>
            </w:r>
          </w:p>
        </w:tc>
        <w:tc>
          <w:tcPr>
            <w:tcW w:w="443" w:type="pct"/>
            <w:tcBorders>
              <w:top w:val="nil"/>
              <w:left w:val="nil"/>
              <w:bottom w:val="single" w:sz="4" w:space="0" w:color="auto"/>
              <w:right w:val="single" w:sz="4" w:space="0" w:color="auto"/>
            </w:tcBorders>
            <w:vAlign w:val="center"/>
            <w:hideMark/>
          </w:tcPr>
          <w:p w14:paraId="62E27BD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5B4CDA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442598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070A1E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1BFFCDF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F8C8B2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DC2AFD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0E04A5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79165F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6000A312"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r w:rsidR="00453C6C" w:rsidRPr="00453C6C" w14:paraId="22B88368" w14:textId="77777777" w:rsidTr="00453C6C">
        <w:trPr>
          <w:trHeight w:val="780"/>
          <w:jc w:val="center"/>
        </w:trPr>
        <w:tc>
          <w:tcPr>
            <w:tcW w:w="565" w:type="pct"/>
            <w:tcBorders>
              <w:top w:val="nil"/>
              <w:left w:val="single" w:sz="4" w:space="0" w:color="auto"/>
              <w:bottom w:val="single" w:sz="4" w:space="0" w:color="auto"/>
              <w:right w:val="single" w:sz="4" w:space="0" w:color="auto"/>
            </w:tcBorders>
            <w:vAlign w:val="center"/>
            <w:hideMark/>
          </w:tcPr>
          <w:p w14:paraId="3577055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Rola 2021 (</w:t>
            </w:r>
            <w:proofErr w:type="spellStart"/>
            <w:r w:rsidRPr="00453C6C">
              <w:rPr>
                <w:rFonts w:ascii="Times New Roman" w:eastAsia="Times New Roman" w:hAnsi="Times New Roman" w:cs="Times New Roman"/>
                <w:color w:val="000000"/>
                <w:sz w:val="20"/>
                <w:szCs w:val="20"/>
                <w:lang w:val="en" w:eastAsia="en-IN"/>
              </w:rPr>
              <w:t>Ultimaster</w:t>
            </w:r>
            <w:proofErr w:type="spellEnd"/>
            <w:r w:rsidRPr="00453C6C">
              <w:rPr>
                <w:rFonts w:ascii="Times New Roman" w:eastAsia="Times New Roman" w:hAnsi="Times New Roman" w:cs="Times New Roman"/>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215B06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51E382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35D72A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3056BBA"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202BBC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DEA88C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98DF8B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68B1D5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1F2119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3E99860D"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59CC43A9"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1B95FFB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Tadano 2018</w:t>
            </w:r>
          </w:p>
        </w:tc>
        <w:tc>
          <w:tcPr>
            <w:tcW w:w="443" w:type="pct"/>
            <w:tcBorders>
              <w:top w:val="nil"/>
              <w:left w:val="nil"/>
              <w:bottom w:val="single" w:sz="4" w:space="0" w:color="auto"/>
              <w:right w:val="single" w:sz="4" w:space="0" w:color="auto"/>
            </w:tcBorders>
            <w:vAlign w:val="center"/>
            <w:hideMark/>
          </w:tcPr>
          <w:p w14:paraId="64805F5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BD614C6"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EE7C20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C0C498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E6ECEC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C00CF9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627A49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9E260E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CABE67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19B542B1"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290C2EDD"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0C4C8F8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lastRenderedPageBreak/>
              <w:t>Jiménez Díaz 2024</w:t>
            </w:r>
          </w:p>
        </w:tc>
        <w:tc>
          <w:tcPr>
            <w:tcW w:w="443" w:type="pct"/>
            <w:tcBorders>
              <w:top w:val="nil"/>
              <w:left w:val="nil"/>
              <w:bottom w:val="single" w:sz="4" w:space="0" w:color="auto"/>
              <w:right w:val="single" w:sz="4" w:space="0" w:color="auto"/>
            </w:tcBorders>
            <w:vAlign w:val="center"/>
            <w:hideMark/>
          </w:tcPr>
          <w:p w14:paraId="702BCFF0"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BD52179"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A71FF6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25F706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267E76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726096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94489B7"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56419A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C3821E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1079BB1E"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5678A96F" w14:textId="77777777" w:rsidTr="00453C6C">
        <w:trPr>
          <w:trHeight w:val="520"/>
          <w:jc w:val="center"/>
        </w:trPr>
        <w:tc>
          <w:tcPr>
            <w:tcW w:w="565" w:type="pct"/>
            <w:tcBorders>
              <w:top w:val="nil"/>
              <w:left w:val="single" w:sz="4" w:space="0" w:color="auto"/>
              <w:bottom w:val="single" w:sz="4" w:space="0" w:color="auto"/>
              <w:right w:val="single" w:sz="4" w:space="0" w:color="auto"/>
            </w:tcBorders>
            <w:vAlign w:val="center"/>
            <w:hideMark/>
          </w:tcPr>
          <w:p w14:paraId="536E9A44"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proofErr w:type="spellStart"/>
            <w:r w:rsidRPr="00453C6C">
              <w:rPr>
                <w:rFonts w:ascii="Times New Roman" w:eastAsia="Times New Roman" w:hAnsi="Times New Roman" w:cs="Times New Roman"/>
                <w:color w:val="000000"/>
                <w:sz w:val="20"/>
                <w:szCs w:val="20"/>
                <w:lang w:val="en" w:eastAsia="en-IN"/>
              </w:rPr>
              <w:t>Maupas</w:t>
            </w:r>
            <w:proofErr w:type="spellEnd"/>
            <w:r w:rsidRPr="00453C6C">
              <w:rPr>
                <w:rFonts w:ascii="Times New Roman" w:eastAsia="Times New Roman" w:hAnsi="Times New Roman" w:cs="Times New Roman"/>
                <w:color w:val="000000"/>
                <w:sz w:val="20"/>
                <w:szCs w:val="20"/>
                <w:lang w:val="en" w:eastAsia="en-IN"/>
              </w:rPr>
              <w:t xml:space="preserve"> 2017</w:t>
            </w:r>
          </w:p>
        </w:tc>
        <w:tc>
          <w:tcPr>
            <w:tcW w:w="443" w:type="pct"/>
            <w:tcBorders>
              <w:top w:val="nil"/>
              <w:left w:val="nil"/>
              <w:bottom w:val="single" w:sz="4" w:space="0" w:color="auto"/>
              <w:right w:val="single" w:sz="4" w:space="0" w:color="auto"/>
            </w:tcBorders>
            <w:vAlign w:val="center"/>
            <w:hideMark/>
          </w:tcPr>
          <w:p w14:paraId="5521159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14546F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9C09C7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D40661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A9A464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3B878A5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9D2A59C"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01283D7F"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FCBF33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4E3EB37D"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9</w:t>
            </w:r>
          </w:p>
        </w:tc>
      </w:tr>
      <w:tr w:rsidR="00453C6C" w:rsidRPr="00453C6C" w14:paraId="5BBFC592" w14:textId="77777777" w:rsidTr="00453C6C">
        <w:trPr>
          <w:trHeight w:val="290"/>
          <w:jc w:val="center"/>
        </w:trPr>
        <w:tc>
          <w:tcPr>
            <w:tcW w:w="565" w:type="pct"/>
            <w:tcBorders>
              <w:top w:val="nil"/>
              <w:left w:val="single" w:sz="4" w:space="0" w:color="auto"/>
              <w:bottom w:val="single" w:sz="4" w:space="0" w:color="auto"/>
              <w:right w:val="single" w:sz="4" w:space="0" w:color="auto"/>
            </w:tcBorders>
            <w:vAlign w:val="center"/>
            <w:hideMark/>
          </w:tcPr>
          <w:p w14:paraId="6E08FE28"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Seth 2013</w:t>
            </w:r>
          </w:p>
        </w:tc>
        <w:tc>
          <w:tcPr>
            <w:tcW w:w="443" w:type="pct"/>
            <w:tcBorders>
              <w:top w:val="nil"/>
              <w:left w:val="nil"/>
              <w:bottom w:val="single" w:sz="4" w:space="0" w:color="auto"/>
              <w:right w:val="single" w:sz="4" w:space="0" w:color="auto"/>
            </w:tcBorders>
            <w:vAlign w:val="center"/>
            <w:hideMark/>
          </w:tcPr>
          <w:p w14:paraId="6A0B47E1"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4DD16C9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6408FC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 </w:t>
            </w:r>
          </w:p>
        </w:tc>
        <w:tc>
          <w:tcPr>
            <w:tcW w:w="443" w:type="pct"/>
            <w:tcBorders>
              <w:top w:val="nil"/>
              <w:left w:val="nil"/>
              <w:bottom w:val="single" w:sz="4" w:space="0" w:color="auto"/>
              <w:right w:val="single" w:sz="4" w:space="0" w:color="auto"/>
            </w:tcBorders>
            <w:vAlign w:val="center"/>
            <w:hideMark/>
          </w:tcPr>
          <w:p w14:paraId="25D805AE"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6B5EB5F5"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2B77585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1C85B20B"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500C03B2"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3" w:type="pct"/>
            <w:tcBorders>
              <w:top w:val="nil"/>
              <w:left w:val="nil"/>
              <w:bottom w:val="single" w:sz="4" w:space="0" w:color="auto"/>
              <w:right w:val="single" w:sz="4" w:space="0" w:color="auto"/>
            </w:tcBorders>
            <w:vAlign w:val="center"/>
            <w:hideMark/>
          </w:tcPr>
          <w:p w14:paraId="77F6AA3D" w14:textId="77777777" w:rsidR="00453C6C" w:rsidRPr="00453C6C" w:rsidRDefault="00453C6C" w:rsidP="00453C6C">
            <w:pPr>
              <w:spacing w:after="0" w:line="240" w:lineRule="auto"/>
              <w:rPr>
                <w:rFonts w:ascii="Times New Roman" w:eastAsia="Times New Roman" w:hAnsi="Times New Roman" w:cs="Times New Roman"/>
                <w:color w:val="000000"/>
                <w:sz w:val="20"/>
                <w:szCs w:val="20"/>
                <w:lang w:val="en-IN" w:eastAsia="en-IN"/>
              </w:rPr>
            </w:pPr>
            <w:r w:rsidRPr="00453C6C">
              <w:rPr>
                <w:rFonts w:ascii="Segoe UI Symbol" w:eastAsia="Times New Roman" w:hAnsi="Segoe UI Symbol" w:cs="Segoe UI Symbol"/>
                <w:color w:val="000000"/>
                <w:sz w:val="20"/>
                <w:szCs w:val="20"/>
                <w:lang w:val="en" w:eastAsia="en-IN"/>
              </w:rPr>
              <w:t>★</w:t>
            </w:r>
          </w:p>
        </w:tc>
        <w:tc>
          <w:tcPr>
            <w:tcW w:w="448" w:type="pct"/>
            <w:tcBorders>
              <w:top w:val="nil"/>
              <w:left w:val="nil"/>
              <w:bottom w:val="single" w:sz="4" w:space="0" w:color="auto"/>
              <w:right w:val="single" w:sz="4" w:space="0" w:color="auto"/>
            </w:tcBorders>
            <w:vAlign w:val="center"/>
            <w:hideMark/>
          </w:tcPr>
          <w:p w14:paraId="4CEDD98D" w14:textId="77777777" w:rsidR="00453C6C" w:rsidRPr="00453C6C" w:rsidRDefault="00453C6C" w:rsidP="00453C6C">
            <w:pPr>
              <w:spacing w:after="0" w:line="240" w:lineRule="auto"/>
              <w:jc w:val="right"/>
              <w:rPr>
                <w:rFonts w:ascii="Times New Roman" w:eastAsia="Times New Roman" w:hAnsi="Times New Roman" w:cs="Times New Roman"/>
                <w:color w:val="000000"/>
                <w:sz w:val="20"/>
                <w:szCs w:val="20"/>
                <w:lang w:val="en-IN" w:eastAsia="en-IN"/>
              </w:rPr>
            </w:pPr>
            <w:r w:rsidRPr="00453C6C">
              <w:rPr>
                <w:rFonts w:ascii="Times New Roman" w:eastAsia="Times New Roman" w:hAnsi="Times New Roman" w:cs="Times New Roman"/>
                <w:color w:val="000000"/>
                <w:sz w:val="20"/>
                <w:szCs w:val="20"/>
                <w:lang w:val="en" w:eastAsia="en-IN"/>
              </w:rPr>
              <w:t>8</w:t>
            </w:r>
          </w:p>
        </w:tc>
      </w:tr>
    </w:tbl>
    <w:p w14:paraId="4CE2E487" w14:textId="77777777" w:rsidR="00453C6C" w:rsidRDefault="00453C6C" w:rsidP="00FB7F00">
      <w:pPr>
        <w:widowControl w:val="0"/>
        <w:adjustRightInd w:val="0"/>
        <w:spacing w:after="0" w:line="360" w:lineRule="auto"/>
        <w:jc w:val="both"/>
        <w:rPr>
          <w:rFonts w:ascii="Times New Roman" w:hAnsi="Times New Roman" w:cs="Times New Roman"/>
          <w:sz w:val="20"/>
          <w:szCs w:val="20"/>
        </w:rPr>
      </w:pPr>
    </w:p>
    <w:p w14:paraId="67FE76A9" w14:textId="15AB21F0" w:rsidR="00A0162E" w:rsidRDefault="000B1FA9" w:rsidP="00FB7F00">
      <w:pPr>
        <w:widowControl w:val="0"/>
        <w:adjustRightInd w:val="0"/>
        <w:spacing w:after="0" w:line="360" w:lineRule="auto"/>
        <w:jc w:val="both"/>
        <w:rPr>
          <w:rFonts w:ascii="Times New Roman" w:hAnsi="Times New Roman" w:cs="Times New Roman"/>
          <w:sz w:val="20"/>
          <w:szCs w:val="20"/>
        </w:rPr>
      </w:pPr>
      <w:r w:rsidRPr="000B1FA9">
        <w:rPr>
          <w:rFonts w:ascii="Times New Roman" w:hAnsi="Times New Roman" w:cs="Times New Roman"/>
          <w:b/>
          <w:bCs/>
          <w:color w:val="0070C0"/>
          <w:sz w:val="20"/>
          <w:szCs w:val="20"/>
        </w:rPr>
        <w:t>Table 7</w:t>
      </w:r>
      <w:r>
        <w:rPr>
          <w:rFonts w:ascii="Times New Roman" w:hAnsi="Times New Roman" w:cs="Times New Roman"/>
          <w:sz w:val="20"/>
          <w:szCs w:val="20"/>
        </w:rPr>
        <w:t>:</w:t>
      </w:r>
      <w:r w:rsidRPr="000B1FA9">
        <w:rPr>
          <w:rFonts w:ascii="Times New Roman" w:hAnsi="Times New Roman" w:cs="Times New Roman"/>
          <w:sz w:val="20"/>
          <w:szCs w:val="20"/>
        </w:rPr>
        <w:t xml:space="preserve"> Risk of bias assessment of included cohort studies using the Newcastle–Ottawa Scale. Selection domain includes S1 (representativeness of the exposed cohort), S2 (selection of the non-exposed cohort), S3 (ascertainment of exposure), and S4 (absence of outcome at baseline). Comparability includes C1–C2 (control for confounders), and outcome includes O1 (assessment of outcome), O2 (adequacy of follow-up duration), and O3 (completeness of follow-up).</w:t>
      </w:r>
    </w:p>
    <w:p w14:paraId="29EDD374" w14:textId="77777777" w:rsidR="00722419" w:rsidRDefault="00722419" w:rsidP="00FB7F00">
      <w:pPr>
        <w:widowControl w:val="0"/>
        <w:adjustRightInd w:val="0"/>
        <w:spacing w:after="0" w:line="360" w:lineRule="auto"/>
        <w:jc w:val="both"/>
        <w:rPr>
          <w:rFonts w:ascii="Times New Roman" w:hAnsi="Times New Roman" w:cs="Times New Roman"/>
          <w:sz w:val="20"/>
          <w:szCs w:val="20"/>
        </w:rPr>
      </w:pPr>
    </w:p>
    <w:tbl>
      <w:tblPr>
        <w:tblW w:w="5000" w:type="pct"/>
        <w:jc w:val="center"/>
        <w:tblLook w:val="04A0" w:firstRow="1" w:lastRow="0" w:firstColumn="1" w:lastColumn="0" w:noHBand="0" w:noVBand="1"/>
      </w:tblPr>
      <w:tblGrid>
        <w:gridCol w:w="1277"/>
        <w:gridCol w:w="1786"/>
        <w:gridCol w:w="1303"/>
        <w:gridCol w:w="1083"/>
        <w:gridCol w:w="1629"/>
        <w:gridCol w:w="1266"/>
        <w:gridCol w:w="1006"/>
      </w:tblGrid>
      <w:tr w:rsidR="00154B38" w:rsidRPr="00154B38" w14:paraId="07110697" w14:textId="77777777" w:rsidTr="00154B38">
        <w:trPr>
          <w:trHeight w:val="780"/>
          <w:jc w:val="center"/>
        </w:trPr>
        <w:tc>
          <w:tcPr>
            <w:tcW w:w="683" w:type="pct"/>
            <w:tcBorders>
              <w:top w:val="single" w:sz="4" w:space="0" w:color="auto"/>
              <w:left w:val="single" w:sz="4" w:space="0" w:color="auto"/>
              <w:bottom w:val="single" w:sz="4" w:space="0" w:color="auto"/>
              <w:right w:val="single" w:sz="4" w:space="0" w:color="auto"/>
            </w:tcBorders>
            <w:shd w:val="clear" w:color="000000" w:fill="C9DAF8"/>
            <w:vAlign w:val="center"/>
            <w:hideMark/>
          </w:tcPr>
          <w:p w14:paraId="2BB414D0"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Study</w:t>
            </w:r>
          </w:p>
        </w:tc>
        <w:tc>
          <w:tcPr>
            <w:tcW w:w="955" w:type="pct"/>
            <w:tcBorders>
              <w:top w:val="single" w:sz="4" w:space="0" w:color="auto"/>
              <w:left w:val="nil"/>
              <w:bottom w:val="single" w:sz="4" w:space="0" w:color="auto"/>
              <w:right w:val="single" w:sz="4" w:space="0" w:color="auto"/>
            </w:tcBorders>
            <w:shd w:val="clear" w:color="000000" w:fill="C9DAF8"/>
            <w:vAlign w:val="center"/>
            <w:hideMark/>
          </w:tcPr>
          <w:p w14:paraId="368F31E0"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Randomization</w:t>
            </w:r>
          </w:p>
        </w:tc>
        <w:tc>
          <w:tcPr>
            <w:tcW w:w="697" w:type="pct"/>
            <w:tcBorders>
              <w:top w:val="single" w:sz="4" w:space="0" w:color="auto"/>
              <w:left w:val="nil"/>
              <w:bottom w:val="single" w:sz="4" w:space="0" w:color="auto"/>
              <w:right w:val="single" w:sz="4" w:space="0" w:color="auto"/>
            </w:tcBorders>
            <w:shd w:val="clear" w:color="000000" w:fill="C9DAF8"/>
            <w:vAlign w:val="center"/>
            <w:hideMark/>
          </w:tcPr>
          <w:p w14:paraId="2E792EB3"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Deviations</w:t>
            </w:r>
          </w:p>
        </w:tc>
        <w:tc>
          <w:tcPr>
            <w:tcW w:w="579" w:type="pct"/>
            <w:tcBorders>
              <w:top w:val="single" w:sz="4" w:space="0" w:color="auto"/>
              <w:left w:val="nil"/>
              <w:bottom w:val="single" w:sz="4" w:space="0" w:color="auto"/>
              <w:right w:val="single" w:sz="4" w:space="0" w:color="auto"/>
            </w:tcBorders>
            <w:shd w:val="clear" w:color="000000" w:fill="C9DAF8"/>
            <w:vAlign w:val="center"/>
            <w:hideMark/>
          </w:tcPr>
          <w:p w14:paraId="7A015813"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Missing Data</w:t>
            </w:r>
          </w:p>
        </w:tc>
        <w:tc>
          <w:tcPr>
            <w:tcW w:w="871" w:type="pct"/>
            <w:tcBorders>
              <w:top w:val="single" w:sz="4" w:space="0" w:color="auto"/>
              <w:left w:val="nil"/>
              <w:bottom w:val="single" w:sz="4" w:space="0" w:color="auto"/>
              <w:right w:val="single" w:sz="4" w:space="0" w:color="auto"/>
            </w:tcBorders>
            <w:shd w:val="clear" w:color="000000" w:fill="C9DAF8"/>
            <w:vAlign w:val="center"/>
            <w:hideMark/>
          </w:tcPr>
          <w:p w14:paraId="209CC2F2"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Outcome Measurement</w:t>
            </w:r>
          </w:p>
        </w:tc>
        <w:tc>
          <w:tcPr>
            <w:tcW w:w="677" w:type="pct"/>
            <w:tcBorders>
              <w:top w:val="single" w:sz="4" w:space="0" w:color="auto"/>
              <w:left w:val="nil"/>
              <w:bottom w:val="single" w:sz="4" w:space="0" w:color="auto"/>
              <w:right w:val="single" w:sz="4" w:space="0" w:color="auto"/>
            </w:tcBorders>
            <w:shd w:val="clear" w:color="000000" w:fill="C9DAF8"/>
            <w:vAlign w:val="center"/>
            <w:hideMark/>
          </w:tcPr>
          <w:p w14:paraId="38EF8313"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Reporting</w:t>
            </w:r>
          </w:p>
        </w:tc>
        <w:tc>
          <w:tcPr>
            <w:tcW w:w="538" w:type="pct"/>
            <w:tcBorders>
              <w:top w:val="single" w:sz="4" w:space="0" w:color="auto"/>
              <w:left w:val="nil"/>
              <w:bottom w:val="single" w:sz="4" w:space="0" w:color="auto"/>
              <w:right w:val="single" w:sz="4" w:space="0" w:color="auto"/>
            </w:tcBorders>
            <w:shd w:val="clear" w:color="000000" w:fill="C9DAF8"/>
            <w:vAlign w:val="center"/>
            <w:hideMark/>
          </w:tcPr>
          <w:p w14:paraId="57843C7A" w14:textId="77777777" w:rsidR="00154B38" w:rsidRPr="00154B38" w:rsidRDefault="00154B38" w:rsidP="00154B38">
            <w:pPr>
              <w:spacing w:after="0" w:line="240" w:lineRule="auto"/>
              <w:rPr>
                <w:rFonts w:ascii="Times New Roman" w:eastAsia="Times New Roman" w:hAnsi="Times New Roman" w:cs="Times New Roman"/>
                <w:b/>
                <w:bCs/>
                <w:color w:val="000000"/>
                <w:sz w:val="20"/>
                <w:szCs w:val="20"/>
                <w:lang w:val="en-IN" w:eastAsia="en-IN"/>
              </w:rPr>
            </w:pPr>
            <w:r w:rsidRPr="00154B38">
              <w:rPr>
                <w:rFonts w:ascii="Times New Roman" w:eastAsia="Times New Roman" w:hAnsi="Times New Roman" w:cs="Times New Roman"/>
                <w:b/>
                <w:bCs/>
                <w:sz w:val="20"/>
                <w:szCs w:val="20"/>
                <w:lang w:val="en" w:eastAsia="en-IN"/>
              </w:rPr>
              <w:t>Overall</w:t>
            </w:r>
          </w:p>
        </w:tc>
      </w:tr>
      <w:tr w:rsidR="00154B38" w:rsidRPr="00154B38" w14:paraId="7230C64D"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336826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Yoon 2023</w:t>
            </w:r>
          </w:p>
        </w:tc>
        <w:tc>
          <w:tcPr>
            <w:tcW w:w="955" w:type="pct"/>
            <w:tcBorders>
              <w:top w:val="nil"/>
              <w:left w:val="nil"/>
              <w:bottom w:val="single" w:sz="4" w:space="0" w:color="auto"/>
              <w:right w:val="single" w:sz="4" w:space="0" w:color="auto"/>
            </w:tcBorders>
            <w:vAlign w:val="center"/>
            <w:hideMark/>
          </w:tcPr>
          <w:p w14:paraId="4D35A86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1E8B0C8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576B7F76"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5205C076"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41B54C9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634892B3"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7629AF21"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543459A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Yoon 2021</w:t>
            </w:r>
          </w:p>
        </w:tc>
        <w:tc>
          <w:tcPr>
            <w:tcW w:w="955" w:type="pct"/>
            <w:tcBorders>
              <w:top w:val="nil"/>
              <w:left w:val="nil"/>
              <w:bottom w:val="single" w:sz="4" w:space="0" w:color="auto"/>
              <w:right w:val="single" w:sz="4" w:space="0" w:color="auto"/>
            </w:tcBorders>
            <w:vAlign w:val="center"/>
            <w:hideMark/>
          </w:tcPr>
          <w:p w14:paraId="77613CA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6860C7B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63DA3A1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High</w:t>
            </w:r>
          </w:p>
        </w:tc>
        <w:tc>
          <w:tcPr>
            <w:tcW w:w="871" w:type="pct"/>
            <w:tcBorders>
              <w:top w:val="nil"/>
              <w:left w:val="nil"/>
              <w:bottom w:val="single" w:sz="4" w:space="0" w:color="auto"/>
              <w:right w:val="single" w:sz="4" w:space="0" w:color="auto"/>
            </w:tcBorders>
            <w:vAlign w:val="center"/>
            <w:hideMark/>
          </w:tcPr>
          <w:p w14:paraId="45F3DEF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37BEB78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2A93762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6DC69F8C"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8307ED3"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De Marzo 2020</w:t>
            </w:r>
          </w:p>
        </w:tc>
        <w:tc>
          <w:tcPr>
            <w:tcW w:w="955" w:type="pct"/>
            <w:tcBorders>
              <w:top w:val="nil"/>
              <w:left w:val="nil"/>
              <w:bottom w:val="single" w:sz="4" w:space="0" w:color="auto"/>
              <w:right w:val="single" w:sz="4" w:space="0" w:color="auto"/>
            </w:tcBorders>
            <w:vAlign w:val="center"/>
            <w:hideMark/>
          </w:tcPr>
          <w:p w14:paraId="377E259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7D75E46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2EC7501B"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2F58E0D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Some concerns</w:t>
            </w:r>
          </w:p>
        </w:tc>
        <w:tc>
          <w:tcPr>
            <w:tcW w:w="677" w:type="pct"/>
            <w:tcBorders>
              <w:top w:val="nil"/>
              <w:left w:val="nil"/>
              <w:bottom w:val="single" w:sz="4" w:space="0" w:color="auto"/>
              <w:right w:val="single" w:sz="4" w:space="0" w:color="auto"/>
            </w:tcBorders>
            <w:vAlign w:val="center"/>
            <w:hideMark/>
          </w:tcPr>
          <w:p w14:paraId="7FB596ED"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746BFC9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288FE54B"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77E3A49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proofErr w:type="spellStart"/>
            <w:r w:rsidRPr="00154B38">
              <w:rPr>
                <w:rFonts w:ascii="Times New Roman" w:eastAsia="Times New Roman" w:hAnsi="Times New Roman" w:cs="Times New Roman"/>
                <w:color w:val="000000"/>
                <w:sz w:val="20"/>
                <w:szCs w:val="20"/>
                <w:lang w:val="en" w:eastAsia="en-IN"/>
              </w:rPr>
              <w:t>Bartorelli</w:t>
            </w:r>
            <w:proofErr w:type="spellEnd"/>
            <w:r w:rsidRPr="00154B38">
              <w:rPr>
                <w:rFonts w:ascii="Times New Roman" w:eastAsia="Times New Roman" w:hAnsi="Times New Roman" w:cs="Times New Roman"/>
                <w:color w:val="000000"/>
                <w:sz w:val="20"/>
                <w:szCs w:val="20"/>
                <w:lang w:val="en" w:eastAsia="en-IN"/>
              </w:rPr>
              <w:t xml:space="preserve"> 2019</w:t>
            </w:r>
          </w:p>
        </w:tc>
        <w:tc>
          <w:tcPr>
            <w:tcW w:w="955" w:type="pct"/>
            <w:tcBorders>
              <w:top w:val="nil"/>
              <w:left w:val="nil"/>
              <w:bottom w:val="single" w:sz="4" w:space="0" w:color="auto"/>
              <w:right w:val="single" w:sz="4" w:space="0" w:color="auto"/>
            </w:tcBorders>
            <w:vAlign w:val="center"/>
            <w:hideMark/>
          </w:tcPr>
          <w:p w14:paraId="732DE98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4364D48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0E3B36D0"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10B27A4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2A095F1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4491CDC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04F85344"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35C4936"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Windecker 2015</w:t>
            </w:r>
          </w:p>
        </w:tc>
        <w:tc>
          <w:tcPr>
            <w:tcW w:w="955" w:type="pct"/>
            <w:tcBorders>
              <w:top w:val="nil"/>
              <w:left w:val="nil"/>
              <w:bottom w:val="single" w:sz="4" w:space="0" w:color="auto"/>
              <w:right w:val="single" w:sz="4" w:space="0" w:color="auto"/>
            </w:tcBorders>
            <w:vAlign w:val="center"/>
            <w:hideMark/>
          </w:tcPr>
          <w:p w14:paraId="767163B9"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770B988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12E68713"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High</w:t>
            </w:r>
          </w:p>
        </w:tc>
        <w:tc>
          <w:tcPr>
            <w:tcW w:w="871" w:type="pct"/>
            <w:tcBorders>
              <w:top w:val="nil"/>
              <w:left w:val="nil"/>
              <w:bottom w:val="single" w:sz="4" w:space="0" w:color="auto"/>
              <w:right w:val="single" w:sz="4" w:space="0" w:color="auto"/>
            </w:tcBorders>
            <w:vAlign w:val="center"/>
            <w:hideMark/>
          </w:tcPr>
          <w:p w14:paraId="30D8A14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01AFA4D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4A539E9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5A9052E4"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459F0F9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Ploumen 2024</w:t>
            </w:r>
          </w:p>
        </w:tc>
        <w:tc>
          <w:tcPr>
            <w:tcW w:w="955" w:type="pct"/>
            <w:tcBorders>
              <w:top w:val="nil"/>
              <w:left w:val="nil"/>
              <w:bottom w:val="single" w:sz="4" w:space="0" w:color="auto"/>
              <w:right w:val="single" w:sz="4" w:space="0" w:color="auto"/>
            </w:tcBorders>
            <w:vAlign w:val="center"/>
            <w:hideMark/>
          </w:tcPr>
          <w:p w14:paraId="02264DC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1281B18B"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1484DF7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487DAB0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1816FA5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448FC549"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442AD405"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6DC8D8B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Buiten 2020</w:t>
            </w:r>
          </w:p>
        </w:tc>
        <w:tc>
          <w:tcPr>
            <w:tcW w:w="955" w:type="pct"/>
            <w:tcBorders>
              <w:top w:val="nil"/>
              <w:left w:val="nil"/>
              <w:bottom w:val="single" w:sz="4" w:space="0" w:color="auto"/>
              <w:right w:val="single" w:sz="4" w:space="0" w:color="auto"/>
            </w:tcBorders>
            <w:vAlign w:val="center"/>
            <w:hideMark/>
          </w:tcPr>
          <w:p w14:paraId="4D2E7676"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0A837D7D"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7171D81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377C90C0"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40C9E2D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1C109B8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4871C9BA"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A149F1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Smits 2024</w:t>
            </w:r>
          </w:p>
        </w:tc>
        <w:tc>
          <w:tcPr>
            <w:tcW w:w="955" w:type="pct"/>
            <w:tcBorders>
              <w:top w:val="nil"/>
              <w:left w:val="nil"/>
              <w:bottom w:val="single" w:sz="4" w:space="0" w:color="auto"/>
              <w:right w:val="single" w:sz="4" w:space="0" w:color="auto"/>
            </w:tcBorders>
            <w:vAlign w:val="center"/>
            <w:hideMark/>
          </w:tcPr>
          <w:p w14:paraId="4427A53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3FFB39B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23E183B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1D8798D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760040C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02C1309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7BCF06D1"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5054B93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Saito 2014</w:t>
            </w:r>
          </w:p>
        </w:tc>
        <w:tc>
          <w:tcPr>
            <w:tcW w:w="955" w:type="pct"/>
            <w:tcBorders>
              <w:top w:val="nil"/>
              <w:left w:val="nil"/>
              <w:bottom w:val="single" w:sz="4" w:space="0" w:color="auto"/>
              <w:right w:val="single" w:sz="4" w:space="0" w:color="auto"/>
            </w:tcBorders>
            <w:vAlign w:val="center"/>
            <w:hideMark/>
          </w:tcPr>
          <w:p w14:paraId="5D5353B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60C0802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54015A1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Some concerns</w:t>
            </w:r>
          </w:p>
        </w:tc>
        <w:tc>
          <w:tcPr>
            <w:tcW w:w="871" w:type="pct"/>
            <w:tcBorders>
              <w:top w:val="nil"/>
              <w:left w:val="nil"/>
              <w:bottom w:val="single" w:sz="4" w:space="0" w:color="auto"/>
              <w:right w:val="single" w:sz="4" w:space="0" w:color="auto"/>
            </w:tcBorders>
            <w:vAlign w:val="center"/>
            <w:hideMark/>
          </w:tcPr>
          <w:p w14:paraId="52EA233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7B5595F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1D66621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261FF76B"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50456BA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Iñiguez 2020</w:t>
            </w:r>
          </w:p>
        </w:tc>
        <w:tc>
          <w:tcPr>
            <w:tcW w:w="955" w:type="pct"/>
            <w:tcBorders>
              <w:top w:val="nil"/>
              <w:left w:val="nil"/>
              <w:bottom w:val="single" w:sz="4" w:space="0" w:color="auto"/>
              <w:right w:val="single" w:sz="4" w:space="0" w:color="auto"/>
            </w:tcBorders>
            <w:vAlign w:val="center"/>
            <w:hideMark/>
          </w:tcPr>
          <w:p w14:paraId="1240871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508C5760"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3300D0A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4152254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076E24D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2787F71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3F6856B5"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3637C3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Lesiak 2016</w:t>
            </w:r>
          </w:p>
        </w:tc>
        <w:tc>
          <w:tcPr>
            <w:tcW w:w="955" w:type="pct"/>
            <w:tcBorders>
              <w:top w:val="nil"/>
              <w:left w:val="nil"/>
              <w:bottom w:val="single" w:sz="4" w:space="0" w:color="auto"/>
              <w:right w:val="single" w:sz="4" w:space="0" w:color="auto"/>
            </w:tcBorders>
            <w:vAlign w:val="center"/>
            <w:hideMark/>
          </w:tcPr>
          <w:p w14:paraId="0AA13A9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6651D9A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6D17758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38043C5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158BCB5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2F03C9F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6AC4CCE0"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20D3444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proofErr w:type="spellStart"/>
            <w:r w:rsidRPr="00154B38">
              <w:rPr>
                <w:rFonts w:ascii="Times New Roman" w:eastAsia="Times New Roman" w:hAnsi="Times New Roman" w:cs="Times New Roman"/>
                <w:color w:val="000000"/>
                <w:sz w:val="20"/>
                <w:szCs w:val="20"/>
                <w:lang w:val="en" w:eastAsia="en-IN"/>
              </w:rPr>
              <w:t>Wijns</w:t>
            </w:r>
            <w:proofErr w:type="spellEnd"/>
            <w:r w:rsidRPr="00154B38">
              <w:rPr>
                <w:rFonts w:ascii="Times New Roman" w:eastAsia="Times New Roman" w:hAnsi="Times New Roman" w:cs="Times New Roman"/>
                <w:color w:val="000000"/>
                <w:sz w:val="20"/>
                <w:szCs w:val="20"/>
                <w:lang w:val="en" w:eastAsia="en-IN"/>
              </w:rPr>
              <w:t xml:space="preserve"> 2018</w:t>
            </w:r>
          </w:p>
        </w:tc>
        <w:tc>
          <w:tcPr>
            <w:tcW w:w="955" w:type="pct"/>
            <w:tcBorders>
              <w:top w:val="nil"/>
              <w:left w:val="nil"/>
              <w:bottom w:val="single" w:sz="4" w:space="0" w:color="auto"/>
              <w:right w:val="single" w:sz="4" w:space="0" w:color="auto"/>
            </w:tcBorders>
            <w:vAlign w:val="center"/>
            <w:hideMark/>
          </w:tcPr>
          <w:p w14:paraId="63EE5E0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4A9A52BD"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1D6503D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Some concerns</w:t>
            </w:r>
          </w:p>
        </w:tc>
        <w:tc>
          <w:tcPr>
            <w:tcW w:w="871" w:type="pct"/>
            <w:tcBorders>
              <w:top w:val="nil"/>
              <w:left w:val="nil"/>
              <w:bottom w:val="single" w:sz="4" w:space="0" w:color="auto"/>
              <w:right w:val="single" w:sz="4" w:space="0" w:color="auto"/>
            </w:tcBorders>
            <w:vAlign w:val="center"/>
            <w:hideMark/>
          </w:tcPr>
          <w:p w14:paraId="4751072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0A8C37E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4049D03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0B9D923E" w14:textId="77777777" w:rsidTr="00154B38">
        <w:trPr>
          <w:trHeight w:val="290"/>
          <w:jc w:val="center"/>
        </w:trPr>
        <w:tc>
          <w:tcPr>
            <w:tcW w:w="683" w:type="pct"/>
            <w:tcBorders>
              <w:top w:val="nil"/>
              <w:left w:val="single" w:sz="4" w:space="0" w:color="auto"/>
              <w:bottom w:val="single" w:sz="4" w:space="0" w:color="auto"/>
              <w:right w:val="single" w:sz="4" w:space="0" w:color="auto"/>
            </w:tcBorders>
            <w:vAlign w:val="center"/>
            <w:hideMark/>
          </w:tcPr>
          <w:p w14:paraId="1AF4AEDB"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Lee 2019</w:t>
            </w:r>
          </w:p>
        </w:tc>
        <w:tc>
          <w:tcPr>
            <w:tcW w:w="955" w:type="pct"/>
            <w:tcBorders>
              <w:top w:val="nil"/>
              <w:left w:val="nil"/>
              <w:bottom w:val="single" w:sz="4" w:space="0" w:color="auto"/>
              <w:right w:val="single" w:sz="4" w:space="0" w:color="auto"/>
            </w:tcBorders>
            <w:vAlign w:val="center"/>
            <w:hideMark/>
          </w:tcPr>
          <w:p w14:paraId="37E4B63D"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5C302238"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3D9D92F0"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611ADDC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5EBBC86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6504FE53"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59D19140"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37001111"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proofErr w:type="spellStart"/>
            <w:r w:rsidRPr="00154B38">
              <w:rPr>
                <w:rFonts w:ascii="Times New Roman" w:eastAsia="Times New Roman" w:hAnsi="Times New Roman" w:cs="Times New Roman"/>
                <w:color w:val="000000"/>
                <w:sz w:val="20"/>
                <w:szCs w:val="20"/>
                <w:lang w:val="en" w:eastAsia="en-IN"/>
              </w:rPr>
              <w:t>Separham</w:t>
            </w:r>
            <w:proofErr w:type="spellEnd"/>
            <w:r w:rsidRPr="00154B38">
              <w:rPr>
                <w:rFonts w:ascii="Times New Roman" w:eastAsia="Times New Roman" w:hAnsi="Times New Roman" w:cs="Times New Roman"/>
                <w:color w:val="000000"/>
                <w:sz w:val="20"/>
                <w:szCs w:val="20"/>
                <w:lang w:val="en" w:eastAsia="en-IN"/>
              </w:rPr>
              <w:t xml:space="preserve"> 2011</w:t>
            </w:r>
          </w:p>
        </w:tc>
        <w:tc>
          <w:tcPr>
            <w:tcW w:w="955" w:type="pct"/>
            <w:tcBorders>
              <w:top w:val="nil"/>
              <w:left w:val="nil"/>
              <w:bottom w:val="single" w:sz="4" w:space="0" w:color="auto"/>
              <w:right w:val="single" w:sz="4" w:space="0" w:color="auto"/>
            </w:tcBorders>
            <w:vAlign w:val="center"/>
            <w:hideMark/>
          </w:tcPr>
          <w:p w14:paraId="189B8A07"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220AE1A5"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167F4C23"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2C98A259"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7698FCAE"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6622A2EF"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r w:rsidR="00154B38" w:rsidRPr="00154B38" w14:paraId="415C4528" w14:textId="77777777" w:rsidTr="00154B38">
        <w:trPr>
          <w:trHeight w:val="520"/>
          <w:jc w:val="center"/>
        </w:trPr>
        <w:tc>
          <w:tcPr>
            <w:tcW w:w="683" w:type="pct"/>
            <w:tcBorders>
              <w:top w:val="nil"/>
              <w:left w:val="single" w:sz="4" w:space="0" w:color="auto"/>
              <w:bottom w:val="single" w:sz="4" w:space="0" w:color="auto"/>
              <w:right w:val="single" w:sz="4" w:space="0" w:color="auto"/>
            </w:tcBorders>
            <w:vAlign w:val="center"/>
            <w:hideMark/>
          </w:tcPr>
          <w:p w14:paraId="57BE29B4"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Eftekhari 2025</w:t>
            </w:r>
          </w:p>
        </w:tc>
        <w:tc>
          <w:tcPr>
            <w:tcW w:w="955" w:type="pct"/>
            <w:tcBorders>
              <w:top w:val="nil"/>
              <w:left w:val="nil"/>
              <w:bottom w:val="single" w:sz="4" w:space="0" w:color="auto"/>
              <w:right w:val="single" w:sz="4" w:space="0" w:color="auto"/>
            </w:tcBorders>
            <w:vAlign w:val="center"/>
            <w:hideMark/>
          </w:tcPr>
          <w:p w14:paraId="3552B5F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97" w:type="pct"/>
            <w:tcBorders>
              <w:top w:val="nil"/>
              <w:left w:val="nil"/>
              <w:bottom w:val="single" w:sz="4" w:space="0" w:color="auto"/>
              <w:right w:val="single" w:sz="4" w:space="0" w:color="auto"/>
            </w:tcBorders>
            <w:vAlign w:val="center"/>
            <w:hideMark/>
          </w:tcPr>
          <w:p w14:paraId="411C44F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79" w:type="pct"/>
            <w:tcBorders>
              <w:top w:val="nil"/>
              <w:left w:val="nil"/>
              <w:bottom w:val="single" w:sz="4" w:space="0" w:color="auto"/>
              <w:right w:val="single" w:sz="4" w:space="0" w:color="auto"/>
            </w:tcBorders>
            <w:vAlign w:val="center"/>
            <w:hideMark/>
          </w:tcPr>
          <w:p w14:paraId="748F597A"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871" w:type="pct"/>
            <w:tcBorders>
              <w:top w:val="nil"/>
              <w:left w:val="nil"/>
              <w:bottom w:val="single" w:sz="4" w:space="0" w:color="auto"/>
              <w:right w:val="single" w:sz="4" w:space="0" w:color="auto"/>
            </w:tcBorders>
            <w:vAlign w:val="center"/>
            <w:hideMark/>
          </w:tcPr>
          <w:p w14:paraId="3A6886AC"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677" w:type="pct"/>
            <w:tcBorders>
              <w:top w:val="nil"/>
              <w:left w:val="nil"/>
              <w:bottom w:val="single" w:sz="4" w:space="0" w:color="auto"/>
              <w:right w:val="single" w:sz="4" w:space="0" w:color="auto"/>
            </w:tcBorders>
            <w:vAlign w:val="center"/>
            <w:hideMark/>
          </w:tcPr>
          <w:p w14:paraId="570336F2"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w:t>
            </w:r>
          </w:p>
        </w:tc>
        <w:tc>
          <w:tcPr>
            <w:tcW w:w="538" w:type="pct"/>
            <w:tcBorders>
              <w:top w:val="nil"/>
              <w:left w:val="nil"/>
              <w:bottom w:val="single" w:sz="4" w:space="0" w:color="auto"/>
              <w:right w:val="single" w:sz="4" w:space="0" w:color="auto"/>
            </w:tcBorders>
            <w:vAlign w:val="center"/>
            <w:hideMark/>
          </w:tcPr>
          <w:p w14:paraId="315FC02D" w14:textId="77777777" w:rsidR="00154B38" w:rsidRPr="00154B38" w:rsidRDefault="00154B38" w:rsidP="00154B38">
            <w:pPr>
              <w:spacing w:after="0" w:line="240" w:lineRule="auto"/>
              <w:rPr>
                <w:rFonts w:ascii="Times New Roman" w:eastAsia="Times New Roman" w:hAnsi="Times New Roman" w:cs="Times New Roman"/>
                <w:color w:val="000000"/>
                <w:sz w:val="20"/>
                <w:szCs w:val="20"/>
                <w:lang w:val="en-IN" w:eastAsia="en-IN"/>
              </w:rPr>
            </w:pPr>
            <w:r w:rsidRPr="00154B38">
              <w:rPr>
                <w:rFonts w:ascii="Times New Roman" w:eastAsia="Times New Roman" w:hAnsi="Times New Roman" w:cs="Times New Roman"/>
                <w:color w:val="000000"/>
                <w:sz w:val="20"/>
                <w:szCs w:val="20"/>
                <w:lang w:val="en" w:eastAsia="en-IN"/>
              </w:rPr>
              <w:t>Low Risk</w:t>
            </w:r>
          </w:p>
        </w:tc>
      </w:tr>
    </w:tbl>
    <w:p w14:paraId="5BA034D3" w14:textId="77777777" w:rsidR="00722419" w:rsidRDefault="00722419" w:rsidP="00FB7F00">
      <w:pPr>
        <w:widowControl w:val="0"/>
        <w:adjustRightInd w:val="0"/>
        <w:spacing w:after="0" w:line="360" w:lineRule="auto"/>
        <w:jc w:val="both"/>
        <w:rPr>
          <w:rFonts w:ascii="Times New Roman" w:hAnsi="Times New Roman" w:cs="Times New Roman"/>
          <w:sz w:val="20"/>
          <w:szCs w:val="20"/>
        </w:rPr>
      </w:pPr>
    </w:p>
    <w:p w14:paraId="5D8F11BE" w14:textId="529D3C91" w:rsidR="003B41C1" w:rsidRDefault="00E400FC" w:rsidP="00FB7F00">
      <w:pPr>
        <w:widowControl w:val="0"/>
        <w:adjustRightInd w:val="0"/>
        <w:spacing w:after="0" w:line="360" w:lineRule="auto"/>
        <w:jc w:val="both"/>
        <w:rPr>
          <w:rFonts w:ascii="Times New Roman" w:hAnsi="Times New Roman" w:cs="Times New Roman"/>
          <w:sz w:val="20"/>
          <w:szCs w:val="20"/>
        </w:rPr>
      </w:pPr>
      <w:r w:rsidRPr="00E400FC">
        <w:rPr>
          <w:rFonts w:ascii="Times New Roman" w:hAnsi="Times New Roman" w:cs="Times New Roman"/>
          <w:b/>
          <w:bCs/>
          <w:color w:val="0070C0"/>
          <w:sz w:val="20"/>
          <w:szCs w:val="20"/>
        </w:rPr>
        <w:lastRenderedPageBreak/>
        <w:t>Table 8</w:t>
      </w:r>
      <w:r>
        <w:rPr>
          <w:rFonts w:ascii="Times New Roman" w:hAnsi="Times New Roman" w:cs="Times New Roman"/>
          <w:sz w:val="20"/>
          <w:szCs w:val="20"/>
        </w:rPr>
        <w:t>:</w:t>
      </w:r>
      <w:r w:rsidRPr="00E400FC">
        <w:rPr>
          <w:rFonts w:ascii="Times New Roman" w:hAnsi="Times New Roman" w:cs="Times New Roman"/>
          <w:sz w:val="20"/>
          <w:szCs w:val="20"/>
        </w:rPr>
        <w:t xml:space="preserve"> Risk of bias assessment of randomized controlled trials using the Cochrane Risk of Bias 2 across all methodological domains.</w:t>
      </w:r>
    </w:p>
    <w:p w14:paraId="207D811E" w14:textId="7ABC51D3" w:rsidR="006E6B5F" w:rsidRPr="00FB7F00" w:rsidRDefault="00AB6982" w:rsidP="00FB7F0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s</w:t>
      </w:r>
    </w:p>
    <w:p w14:paraId="60F1AD7C" w14:textId="54A88388" w:rsidR="00FB7F00" w:rsidRDefault="00FB7F00" w:rsidP="00FB7F00">
      <w:pPr>
        <w:widowControl w:val="0"/>
        <w:adjustRightInd w:val="0"/>
        <w:spacing w:after="0" w:line="360" w:lineRule="auto"/>
        <w:jc w:val="both"/>
        <w:rPr>
          <w:rFonts w:ascii="Times New Roman" w:hAnsi="Times New Roman" w:cs="Times New Roman"/>
          <w:b/>
          <w:bCs/>
          <w:color w:val="00B0F0"/>
          <w:sz w:val="22"/>
          <w:szCs w:val="22"/>
        </w:rPr>
      </w:pPr>
      <w:r w:rsidRPr="008C12E6">
        <w:rPr>
          <w:rFonts w:ascii="Times New Roman" w:hAnsi="Times New Roman" w:cs="Times New Roman"/>
          <w:b/>
          <w:bCs/>
          <w:color w:val="00B0F0"/>
          <w:sz w:val="22"/>
          <w:szCs w:val="22"/>
        </w:rPr>
        <w:t>Meta-Regression Analysis</w:t>
      </w:r>
    </w:p>
    <w:p w14:paraId="2F48943A" w14:textId="77777777" w:rsidR="008C12E6" w:rsidRPr="001E19BB" w:rsidRDefault="008C12E6" w:rsidP="00FB7F00">
      <w:pPr>
        <w:widowControl w:val="0"/>
        <w:adjustRightInd w:val="0"/>
        <w:spacing w:after="0" w:line="360" w:lineRule="auto"/>
        <w:jc w:val="both"/>
        <w:rPr>
          <w:rFonts w:ascii="Times New Roman" w:hAnsi="Times New Roman" w:cs="Times New Roman"/>
          <w:b/>
          <w:bCs/>
          <w:sz w:val="22"/>
          <w:szCs w:val="22"/>
        </w:rPr>
      </w:pPr>
    </w:p>
    <w:p w14:paraId="32996A34"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To explore whether stent type was a significant explanatory variable for between-study heterogeneity across clinical outcomes, we performed inverse-variance weighted meta-regression analyses using weighted least squares (WLS) on study-level log-transformed event rates for five pre-specified endpoints: cardiac death, all-cause mortality, target lesion failure (TLF), target lesion revascularization (TLR), and target vessel myocardial infarction (TV-MI).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was used as the primary reference comparator for all outcomes except cardiac death, for which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served as the reference due to data availability. Regression coefficients, rate ratios, and model fit statistics for each outcome are presented in Tables S1A–S5B; a consolidated summary of all regression results is presented in Table S6, and between-group heterogeneity statistics are presented in Table S7. Forest plots for individual stent groups are presented in Figures S51–S55.</w:t>
      </w:r>
    </w:p>
    <w:p w14:paraId="28AC955E" w14:textId="77777777" w:rsidR="008205FF" w:rsidRPr="00FB7F00" w:rsidRDefault="008205FF" w:rsidP="00FB7F00">
      <w:pPr>
        <w:widowControl w:val="0"/>
        <w:adjustRightInd w:val="0"/>
        <w:spacing w:after="0" w:line="360" w:lineRule="auto"/>
        <w:jc w:val="both"/>
        <w:rPr>
          <w:rFonts w:ascii="Times New Roman" w:hAnsi="Times New Roman" w:cs="Times New Roman"/>
          <w:sz w:val="20"/>
          <w:szCs w:val="20"/>
        </w:rPr>
      </w:pPr>
    </w:p>
    <w:p w14:paraId="15970708" w14:textId="042EC302"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FB7F00">
        <w:rPr>
          <w:rFonts w:ascii="Times New Roman" w:hAnsi="Times New Roman" w:cs="Times New Roman"/>
          <w:sz w:val="20"/>
          <w:szCs w:val="20"/>
        </w:rPr>
        <w:t xml:space="preserve"> </w:t>
      </w:r>
      <w:r w:rsidRPr="008205FF">
        <w:rPr>
          <w:rFonts w:ascii="Times New Roman" w:hAnsi="Times New Roman" w:cs="Times New Roman"/>
          <w:b/>
          <w:bCs/>
          <w:sz w:val="20"/>
          <w:szCs w:val="20"/>
        </w:rPr>
        <w:t>Cardiac Death</w:t>
      </w:r>
    </w:p>
    <w:p w14:paraId="5DF577E6"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cardiac death analysis included 19 studies (N = 17,179) across three stent types — Biomatrix (4 studies),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(10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(5 studies) — with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serving as the reference comparator (Tables S1A–S1B; Figure S51). The pooled cardiac death rates were 1.99% (95% CI 0.94–4.17%) for Biomatrix, 2.41% (1.68–3.46%) for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1.60% (0.44–5.88%) for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In the meta-regression model, neither Biomatrix (RR 0.802, 95% CI 0.563–1.142; p = 0.222) nor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(RR 1.227, 95% CI 0.998–1.509; p = 0.052) differed significantly from Orsiro, although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comparison was borderline. The omnibus test confirmed a statistically significant overall stent-type effect (χ²(2) = 6.23, p = 0.044); however, stent type explained only 3% of between-study variance (weighted R² = 3.0%), indicating that the preponderance of heterogeneity — which was substantial across all three groups (I² = 74–97%) — was attributable to factors other than stent type.</w:t>
      </w:r>
    </w:p>
    <w:p w14:paraId="2D05A306"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4C4BE94E" w14:textId="7FEAF0D7"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8205FF">
        <w:rPr>
          <w:rFonts w:ascii="Times New Roman" w:hAnsi="Times New Roman" w:cs="Times New Roman"/>
          <w:b/>
          <w:bCs/>
          <w:sz w:val="20"/>
          <w:szCs w:val="20"/>
        </w:rPr>
        <w:t>All-Cause Mortality</w:t>
      </w:r>
    </w:p>
    <w:p w14:paraId="17424428"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all-cause mortality analysis included 25 studies (N = 18,663) across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(10 studies),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(10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(5 studies),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as the reference (Tables S2A–S2B; Figure S52).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cohort demonstrated a pooled all-cause mortality rate of 1.25% (95% CI 0.96–1.62%) with remarkably low heterogeneity (I² = 0.0%, tau² = 0), indicating highly consistent outcomes across its study </w:t>
      </w:r>
      <w:proofErr w:type="spellStart"/>
      <w:r w:rsidRPr="00FB7F00">
        <w:rPr>
          <w:rFonts w:ascii="Times New Roman" w:hAnsi="Times New Roman" w:cs="Times New Roman"/>
          <w:sz w:val="20"/>
          <w:szCs w:val="20"/>
        </w:rPr>
        <w:t>programme</w:t>
      </w:r>
      <w:proofErr w:type="spellEnd"/>
      <w:r w:rsidRPr="00FB7F00">
        <w:rPr>
          <w:rFonts w:ascii="Times New Roman" w:hAnsi="Times New Roman" w:cs="Times New Roman"/>
          <w:sz w:val="20"/>
          <w:szCs w:val="20"/>
        </w:rPr>
        <w:t xml:space="preserve">. By contrast, both comparator stents showed substantially higher mortality rates in the regression model: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was associated with a 4.6-fold higher all-cause mortality rate relative to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4.581, 95% CI 3.476–6.036; p &lt; 0.001),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with a 3.5-fold higher rate (RR 3.458, 95% CI 2.545–4.697; p &lt; 0.001). The omnibus test was highly significant (χ</w:t>
      </w:r>
      <w:proofErr w:type="gramStart"/>
      <w:r w:rsidRPr="00FB7F00">
        <w:rPr>
          <w:rFonts w:ascii="Times New Roman" w:hAnsi="Times New Roman" w:cs="Times New Roman"/>
          <w:sz w:val="20"/>
          <w:szCs w:val="20"/>
        </w:rPr>
        <w:t>²(</w:t>
      </w:r>
      <w:proofErr w:type="gramEnd"/>
      <w:r w:rsidRPr="00FB7F00">
        <w:rPr>
          <w:rFonts w:ascii="Times New Roman" w:hAnsi="Times New Roman" w:cs="Times New Roman"/>
          <w:sz w:val="20"/>
          <w:szCs w:val="20"/>
        </w:rPr>
        <w:t xml:space="preserve">2) = 119.15, p &lt; 0.0001), and stent type explained 45.0% of between-study variance — the highest model fit across all five outcomes. These findings should nonetheless be interpreted cautiously, given that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studies predominantly comprised small single-</w:t>
      </w:r>
      <w:proofErr w:type="spellStart"/>
      <w:r w:rsidRPr="00FB7F00">
        <w:rPr>
          <w:rFonts w:ascii="Times New Roman" w:hAnsi="Times New Roman" w:cs="Times New Roman"/>
          <w:sz w:val="20"/>
          <w:szCs w:val="20"/>
        </w:rPr>
        <w:t>centre</w:t>
      </w:r>
      <w:proofErr w:type="spellEnd"/>
      <w:r w:rsidRPr="00FB7F00">
        <w:rPr>
          <w:rFonts w:ascii="Times New Roman" w:hAnsi="Times New Roman" w:cs="Times New Roman"/>
          <w:sz w:val="20"/>
          <w:szCs w:val="20"/>
        </w:rPr>
        <w:t xml:space="preserve"> trials enrolling selected patient cohorts (N = 193 per study in most cases), which may </w:t>
      </w:r>
      <w:r w:rsidRPr="00FB7F00">
        <w:rPr>
          <w:rFonts w:ascii="Times New Roman" w:hAnsi="Times New Roman" w:cs="Times New Roman"/>
          <w:sz w:val="20"/>
          <w:szCs w:val="20"/>
        </w:rPr>
        <w:lastRenderedPageBreak/>
        <w:t xml:space="preserve">not reflect the broader, more heterogeneous populations enrolled in the </w:t>
      </w:r>
      <w:proofErr w:type="spellStart"/>
      <w:r w:rsidRPr="00FB7F00">
        <w:rPr>
          <w:rFonts w:ascii="Times New Roman" w:hAnsi="Times New Roman" w:cs="Times New Roman"/>
          <w:sz w:val="20"/>
          <w:szCs w:val="20"/>
        </w:rPr>
        <w:t>multicentre</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programmes</w:t>
      </w:r>
      <w:proofErr w:type="spellEnd"/>
      <w:r w:rsidRPr="00FB7F00">
        <w:rPr>
          <w:rFonts w:ascii="Times New Roman" w:hAnsi="Times New Roman" w:cs="Times New Roman"/>
          <w:sz w:val="20"/>
          <w:szCs w:val="20"/>
        </w:rPr>
        <w:t xml:space="preserve"> (I² = 93.0% and 65.9%, respectively).</w:t>
      </w:r>
    </w:p>
    <w:p w14:paraId="643D7ECE"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2636A198" w14:textId="7326630F"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8205FF">
        <w:rPr>
          <w:rFonts w:ascii="Times New Roman" w:hAnsi="Times New Roman" w:cs="Times New Roman"/>
          <w:b/>
          <w:bCs/>
          <w:sz w:val="20"/>
          <w:szCs w:val="20"/>
        </w:rPr>
        <w:t>Target Lesion Failure</w:t>
      </w:r>
    </w:p>
    <w:p w14:paraId="18E2084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TLF analysis included 25 studies (N = 14,320) across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(14 studies), Biomatrix (6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(5 studies),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as the reference (Tables S3A–S3B; Figure S53). Pooled TLF rates were 4.69% (3.58–6.14%) for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4.33% (2.89–6.48%) for Biomatrix, and 4.67% (1.91–11.44%) for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indicating broadly similar absolute rates. However, the regression model revealed significant between-stent differences in the weighted log-rate. Biomatrix demonstrated a significantly lower TLF rate than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0.744, 95% CI 0.612–0.905; p = 0.003), representing a relative reduction of approximately 26%. Conversely,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was associated with a significantly higher TLF rate (RR 1.876, 95% CI 1.618–2.175; p &lt; 0.001), though this estimate is driven predominantly by the Lee 2019 study, which contributed an outlying TLF rate of 21.7% and was the primary source of extreme heterogeneity within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group (I² = 98.5%). The omnibus test was highly significant (χ</w:t>
      </w:r>
      <w:proofErr w:type="gramStart"/>
      <w:r w:rsidRPr="00FB7F00">
        <w:rPr>
          <w:rFonts w:ascii="Times New Roman" w:hAnsi="Times New Roman" w:cs="Times New Roman"/>
          <w:sz w:val="20"/>
          <w:szCs w:val="20"/>
        </w:rPr>
        <w:t>²(</w:t>
      </w:r>
      <w:proofErr w:type="gramEnd"/>
      <w:r w:rsidRPr="00FB7F00">
        <w:rPr>
          <w:rFonts w:ascii="Times New Roman" w:hAnsi="Times New Roman" w:cs="Times New Roman"/>
          <w:sz w:val="20"/>
          <w:szCs w:val="20"/>
        </w:rPr>
        <w:t>2) = 129.06, p &lt; 0.0001), with stent type explaining 27.9% of between-study variance.</w:t>
      </w:r>
    </w:p>
    <w:p w14:paraId="32637CC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2DB5DB78" w14:textId="22B33980"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8205FF">
        <w:rPr>
          <w:rFonts w:ascii="Times New Roman" w:hAnsi="Times New Roman" w:cs="Times New Roman"/>
          <w:b/>
          <w:bCs/>
          <w:sz w:val="20"/>
          <w:szCs w:val="20"/>
        </w:rPr>
        <w:t>Target Lesion Revascularization</w:t>
      </w:r>
    </w:p>
    <w:p w14:paraId="34B15EE4"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TLR analysis included 24 studies (N = 12,782) across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(14 studies), Biomatrix (6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(4 studies),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as the reference (Tables S4A–S4B; Figure S54). Pooled TLR rates were 4.18% (2.93–5.97%) for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2.16% (1.10–4.24%) for Biomatrix, and 3.62% (1.43–9.15%) for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Biomatrix demonstrated the strongest between-stent difference across all endpoints, with a significantly lower TLR rate compared to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0.431, 95% CI 0.335–0.554; p &lt; 0.001), representing a relative reduction of approximately 57%.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did not differ significantly from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in TLR (RR 1.092, 95% CI 0.909–1.311; p = 0.347). The omnibus test was highly significant (χ</w:t>
      </w:r>
      <w:proofErr w:type="gramStart"/>
      <w:r w:rsidRPr="00FB7F00">
        <w:rPr>
          <w:rFonts w:ascii="Times New Roman" w:hAnsi="Times New Roman" w:cs="Times New Roman"/>
          <w:sz w:val="20"/>
          <w:szCs w:val="20"/>
        </w:rPr>
        <w:t>²(</w:t>
      </w:r>
      <w:proofErr w:type="gramEnd"/>
      <w:r w:rsidRPr="00FB7F00">
        <w:rPr>
          <w:rFonts w:ascii="Times New Roman" w:hAnsi="Times New Roman" w:cs="Times New Roman"/>
          <w:sz w:val="20"/>
          <w:szCs w:val="20"/>
        </w:rPr>
        <w:t xml:space="preserve">2) = 52.97, p &lt; 0.0001), with stent type explaining 24.1% of variance. High heterogeneity was present across all groups (I² = 81–95%), and two zero-event studies 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group (Seth 2013, </w:t>
      </w:r>
      <w:proofErr w:type="spellStart"/>
      <w:r w:rsidRPr="00FB7F00">
        <w:rPr>
          <w:rFonts w:ascii="Times New Roman" w:hAnsi="Times New Roman" w:cs="Times New Roman"/>
          <w:sz w:val="20"/>
          <w:szCs w:val="20"/>
        </w:rPr>
        <w:t>Separham</w:t>
      </w:r>
      <w:proofErr w:type="spellEnd"/>
      <w:r w:rsidRPr="00FB7F00">
        <w:rPr>
          <w:rFonts w:ascii="Times New Roman" w:hAnsi="Times New Roman" w:cs="Times New Roman"/>
          <w:sz w:val="20"/>
          <w:szCs w:val="20"/>
        </w:rPr>
        <w:t xml:space="preserve"> 2011) required continuity correction, which may have attenuated heterogeneity estimates for that group.</w:t>
      </w:r>
    </w:p>
    <w:p w14:paraId="13921192"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65B8BF1D" w14:textId="50B1B180"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8205FF">
        <w:rPr>
          <w:rFonts w:ascii="Times New Roman" w:hAnsi="Times New Roman" w:cs="Times New Roman"/>
          <w:b/>
          <w:bCs/>
          <w:sz w:val="20"/>
          <w:szCs w:val="20"/>
        </w:rPr>
        <w:t>Target Vessel Myocardial Infarction</w:t>
      </w:r>
    </w:p>
    <w:p w14:paraId="7B88BAC3"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TV-MI analysis included 24 studies (N = 14,278) across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(13 studies), Biomatrix (6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(5 studies),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as the reference (Tables S5A–S5B; Figure S55).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group had the lowest pooled TV-MI rate at 1.78% (1.37–2.33%) and, notably, the lowest heterogeneity of any non-</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reference group across all five outcomes (I² = 19.1%, tau² = 0.042). Biomatrix did not differ significantly from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1.142, 95% CI 0.803–1.623; p = 0.460), with wide confidence intervals reflecting high within-group heterogeneity (I² = 86.8%).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was associated with a significantly higher TV-MI rate than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2.413, 95% CI 1.851–3.147; p &lt; 0.001); however, as with TLF and TLR, this association is substantially influenced by the Lee 2019 outlier (TV-MI rate 8.87%), which is the primary driver of extreme heterogeneity 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group (I² = 96.3%). The omnibus test was highly significant (χ</w:t>
      </w:r>
      <w:proofErr w:type="gramStart"/>
      <w:r w:rsidRPr="00FB7F00">
        <w:rPr>
          <w:rFonts w:ascii="Times New Roman" w:hAnsi="Times New Roman" w:cs="Times New Roman"/>
          <w:sz w:val="20"/>
          <w:szCs w:val="20"/>
        </w:rPr>
        <w:t>²(</w:t>
      </w:r>
      <w:proofErr w:type="gramEnd"/>
      <w:r w:rsidRPr="00FB7F00">
        <w:rPr>
          <w:rFonts w:ascii="Times New Roman" w:hAnsi="Times New Roman" w:cs="Times New Roman"/>
          <w:sz w:val="20"/>
          <w:szCs w:val="20"/>
        </w:rPr>
        <w:t xml:space="preserve">2) = 50.39, p &lt; 0.0001), and stent type explained </w:t>
      </w:r>
      <w:r w:rsidRPr="00FB7F00">
        <w:rPr>
          <w:rFonts w:ascii="Times New Roman" w:hAnsi="Times New Roman" w:cs="Times New Roman"/>
          <w:sz w:val="20"/>
          <w:szCs w:val="20"/>
        </w:rPr>
        <w:lastRenderedPageBreak/>
        <w:t>24.0% of between-study variance.</w:t>
      </w:r>
    </w:p>
    <w:p w14:paraId="4771B503"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006E5B88" w14:textId="31F8D755" w:rsidR="00FB7F00" w:rsidRPr="008205FF" w:rsidRDefault="00FB7F00" w:rsidP="00FB7F00">
      <w:pPr>
        <w:widowControl w:val="0"/>
        <w:adjustRightInd w:val="0"/>
        <w:spacing w:after="0" w:line="360" w:lineRule="auto"/>
        <w:jc w:val="both"/>
        <w:rPr>
          <w:rFonts w:ascii="Times New Roman" w:hAnsi="Times New Roman" w:cs="Times New Roman"/>
          <w:b/>
          <w:bCs/>
          <w:sz w:val="20"/>
          <w:szCs w:val="20"/>
        </w:rPr>
      </w:pPr>
      <w:r w:rsidRPr="008205FF">
        <w:rPr>
          <w:rFonts w:ascii="Times New Roman" w:hAnsi="Times New Roman" w:cs="Times New Roman"/>
          <w:b/>
          <w:bCs/>
          <w:sz w:val="20"/>
          <w:szCs w:val="20"/>
        </w:rPr>
        <w:t>Stent Thrombosis</w:t>
      </w:r>
    </w:p>
    <w:p w14:paraId="24BA1918"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stent thrombosis analysis included 24 studies (N = 21,280) across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(5 studies), Biomatrix (5 studies),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(10 studies),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(4 studies),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as the reference (Table S6A-S6B; Figure S56).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cohort demonstrated a pooled stent thrombosis rate of 0.780% (95% CI 0.536–1.135%) with zero between-study heterogeneity (I² = 0.0%, tau² = 0), indicating highly consistent outcomes across its study </w:t>
      </w:r>
      <w:proofErr w:type="spellStart"/>
      <w:r w:rsidRPr="00FB7F00">
        <w:rPr>
          <w:rFonts w:ascii="Times New Roman" w:hAnsi="Times New Roman" w:cs="Times New Roman"/>
          <w:sz w:val="20"/>
          <w:szCs w:val="20"/>
        </w:rPr>
        <w:t>programme</w:t>
      </w:r>
      <w:proofErr w:type="spellEnd"/>
      <w:r w:rsidRPr="00FB7F00">
        <w:rPr>
          <w:rFonts w:ascii="Times New Roman" w:hAnsi="Times New Roman" w:cs="Times New Roman"/>
          <w:sz w:val="20"/>
          <w:szCs w:val="20"/>
        </w:rPr>
        <w:t xml:space="preserve">. Of the three comparator stents, Biomatrix was the only one to demonstrate a significantly lower stent thrombosis rate than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(RR 0.430, 95% CI 0.211–0.876; p = 0.020), representing an approximately 57% relative reduction, and similarly displayed zero heterogeneity across its five contributing studies (I² = 0.0%). By contrast, both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were associated with significantly higher stent thrombosis rates relative to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showed a 1.9-fold higher rate (RR 1.857, 95% CI 1.221–2.824; p = 0.004),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a 2.5-fold higher rate (RR 2.468, 95% CI 1.557–3.913; p &lt; 0.001). The omnibus test was highly significant (χ</w:t>
      </w:r>
      <w:proofErr w:type="gramStart"/>
      <w:r w:rsidRPr="00FB7F00">
        <w:rPr>
          <w:rFonts w:ascii="Times New Roman" w:hAnsi="Times New Roman" w:cs="Times New Roman"/>
          <w:sz w:val="20"/>
          <w:szCs w:val="20"/>
        </w:rPr>
        <w:t>²(</w:t>
      </w:r>
      <w:proofErr w:type="gramEnd"/>
      <w:r w:rsidRPr="00FB7F00">
        <w:rPr>
          <w:rFonts w:ascii="Times New Roman" w:hAnsi="Times New Roman" w:cs="Times New Roman"/>
          <w:sz w:val="20"/>
          <w:szCs w:val="20"/>
        </w:rPr>
        <w:t xml:space="preserve">3) = 35.911, p &lt; 0.0001), and stent type explained 32.5% of between-study variance. These findings should nonetheless be interpreted with caution: high heterogeneity was observed within the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group (I² = 76.2%), driven in part by the Jiménez Díaz 2024 (ST rate 1.80%) and Smits 2024 (ST rate 2.75%) studies, while extreme heterogeneity within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group (I² = 90.6%) is predominantly attributable to the Lee 2019 study (ST rate 3.62%), which has similarly influenced findings across multiple outcomes in this series. As with all-cause mortality,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reference cohort comprised predominantly small single-</w:t>
      </w:r>
      <w:proofErr w:type="spellStart"/>
      <w:r w:rsidRPr="00FB7F00">
        <w:rPr>
          <w:rFonts w:ascii="Times New Roman" w:hAnsi="Times New Roman" w:cs="Times New Roman"/>
          <w:sz w:val="20"/>
          <w:szCs w:val="20"/>
        </w:rPr>
        <w:t>centre</w:t>
      </w:r>
      <w:proofErr w:type="spellEnd"/>
      <w:r w:rsidRPr="00FB7F00">
        <w:rPr>
          <w:rFonts w:ascii="Times New Roman" w:hAnsi="Times New Roman" w:cs="Times New Roman"/>
          <w:sz w:val="20"/>
          <w:szCs w:val="20"/>
        </w:rPr>
        <w:t xml:space="preserve"> studies (median N = 207 per study) with a homogeneous patient population, which may not be fully representative of the broader, higher-risk populations enrolled in the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programmes</w:t>
      </w:r>
      <w:proofErr w:type="spellEnd"/>
      <w:r w:rsidRPr="00FB7F00">
        <w:rPr>
          <w:rFonts w:ascii="Times New Roman" w:hAnsi="Times New Roman" w:cs="Times New Roman"/>
          <w:sz w:val="20"/>
          <w:szCs w:val="20"/>
        </w:rPr>
        <w:t>.</w:t>
      </w:r>
    </w:p>
    <w:p w14:paraId="12617967"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407B0E91" w14:textId="191CECC9" w:rsidR="00FB7F00" w:rsidRPr="008C12E6" w:rsidRDefault="00FB7F00" w:rsidP="00FB7F00">
      <w:pPr>
        <w:widowControl w:val="0"/>
        <w:adjustRightInd w:val="0"/>
        <w:spacing w:after="0" w:line="360" w:lineRule="auto"/>
        <w:jc w:val="both"/>
        <w:rPr>
          <w:rFonts w:ascii="Times New Roman" w:hAnsi="Times New Roman" w:cs="Times New Roman"/>
          <w:b/>
          <w:bCs/>
          <w:sz w:val="20"/>
          <w:szCs w:val="20"/>
        </w:rPr>
      </w:pPr>
      <w:r w:rsidRPr="008C12E6">
        <w:rPr>
          <w:rFonts w:ascii="Times New Roman" w:hAnsi="Times New Roman" w:cs="Times New Roman"/>
          <w:b/>
          <w:bCs/>
          <w:sz w:val="20"/>
          <w:szCs w:val="20"/>
        </w:rPr>
        <w:t>Cross-Outcome Synthesis and Heterogeneity Considerations</w:t>
      </w:r>
    </w:p>
    <w:p w14:paraId="4BEA9DF7"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Across the five meta-regression models, a consistent pattern emerged: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demonstrated the lowest pooled rates for all-cause mortality and TV-MI and exhibited the lowest between-study heterogeneity of all stent groups evaluated, with I² values of 0.0% for all-cause mortality and 19.1% for TV-MI, and tau² values approaching zero for both endpoints. This internal consistency likely reflects the homogeneous patient population and </w:t>
      </w:r>
      <w:proofErr w:type="spellStart"/>
      <w:r w:rsidRPr="00FB7F00">
        <w:rPr>
          <w:rFonts w:ascii="Times New Roman" w:hAnsi="Times New Roman" w:cs="Times New Roman"/>
          <w:sz w:val="20"/>
          <w:szCs w:val="20"/>
        </w:rPr>
        <w:t>standardised</w:t>
      </w:r>
      <w:proofErr w:type="spellEnd"/>
      <w:r w:rsidRPr="00FB7F00">
        <w:rPr>
          <w:rFonts w:ascii="Times New Roman" w:hAnsi="Times New Roman" w:cs="Times New Roman"/>
          <w:sz w:val="20"/>
          <w:szCs w:val="20"/>
        </w:rPr>
        <w:t xml:space="preserve"> protocols characteristic of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study </w:t>
      </w:r>
      <w:proofErr w:type="spellStart"/>
      <w:r w:rsidRPr="00FB7F00">
        <w:rPr>
          <w:rFonts w:ascii="Times New Roman" w:hAnsi="Times New Roman" w:cs="Times New Roman"/>
          <w:sz w:val="20"/>
          <w:szCs w:val="20"/>
        </w:rPr>
        <w:t>programme</w:t>
      </w:r>
      <w:proofErr w:type="spellEnd"/>
      <w:r w:rsidRPr="00FB7F00">
        <w:rPr>
          <w:rFonts w:ascii="Times New Roman" w:hAnsi="Times New Roman" w:cs="Times New Roman"/>
          <w:sz w:val="20"/>
          <w:szCs w:val="20"/>
        </w:rPr>
        <w:t>, which predominantly enrolled patients in dedicated single-</w:t>
      </w:r>
      <w:proofErr w:type="spellStart"/>
      <w:r w:rsidRPr="00FB7F00">
        <w:rPr>
          <w:rFonts w:ascii="Times New Roman" w:hAnsi="Times New Roman" w:cs="Times New Roman"/>
          <w:sz w:val="20"/>
          <w:szCs w:val="20"/>
        </w:rPr>
        <w:t>centre</w:t>
      </w:r>
      <w:proofErr w:type="spellEnd"/>
      <w:r w:rsidRPr="00FB7F00">
        <w:rPr>
          <w:rFonts w:ascii="Times New Roman" w:hAnsi="Times New Roman" w:cs="Times New Roman"/>
          <w:sz w:val="20"/>
          <w:szCs w:val="20"/>
        </w:rPr>
        <w:t xml:space="preserve"> bioabsorbable scaffold registries.</w:t>
      </w:r>
    </w:p>
    <w:p w14:paraId="02BAE141"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566029E4"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Biomatrix consistently demonstrated lower revascularization rates relative to the comparator in both TLF (RR 0.744; p = 0.003) and TLR (RR 0.431; p &lt; 0.001), while showing no significant difference in mortality endpoints.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showed significantly higher rates for all-cause mortality, TLF, and TV-MI relative to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though in each case these associations were heavily influenced by the Lee 2019 study, a single-</w:t>
      </w:r>
      <w:proofErr w:type="spellStart"/>
      <w:r w:rsidRPr="00FB7F00">
        <w:rPr>
          <w:rFonts w:ascii="Times New Roman" w:hAnsi="Times New Roman" w:cs="Times New Roman"/>
          <w:sz w:val="20"/>
          <w:szCs w:val="20"/>
        </w:rPr>
        <w:t>centre</w:t>
      </w:r>
      <w:proofErr w:type="spellEnd"/>
      <w:r w:rsidRPr="00FB7F00">
        <w:rPr>
          <w:rFonts w:ascii="Times New Roman" w:hAnsi="Times New Roman" w:cs="Times New Roman"/>
          <w:sz w:val="20"/>
          <w:szCs w:val="20"/>
        </w:rPr>
        <w:t xml:space="preserve"> registry with markedly elevated event rates (TLF 21.7%, TLR 10.4%, TV-MI 8.87%, cardiac death 8.63%). The weighted R² values across models ranged from 3.0% (cardiac death) to 45.0% (all-cause mortality), indicating that stent type accounted for a variable but generally modest to moderate proportion of observed heterogeneity, and that patient-level factors, study design, and follow-up duration represent important residual sources of variance. A full heterogeneity summary is provided in </w:t>
      </w:r>
      <w:r w:rsidRPr="00FB7F00">
        <w:rPr>
          <w:rFonts w:ascii="Times New Roman" w:hAnsi="Times New Roman" w:cs="Times New Roman"/>
          <w:sz w:val="20"/>
          <w:szCs w:val="20"/>
        </w:rPr>
        <w:lastRenderedPageBreak/>
        <w:t>Table S2.</w:t>
      </w:r>
    </w:p>
    <w:p w14:paraId="42340146"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6021A50E" w14:textId="05B4A7D3" w:rsidR="00FB7F00" w:rsidRPr="008C12E6" w:rsidRDefault="00FB7F00" w:rsidP="00FB7F00">
      <w:pPr>
        <w:widowControl w:val="0"/>
        <w:adjustRightInd w:val="0"/>
        <w:spacing w:after="0" w:line="360" w:lineRule="auto"/>
        <w:jc w:val="both"/>
        <w:rPr>
          <w:rFonts w:ascii="Times New Roman" w:hAnsi="Times New Roman" w:cs="Times New Roman"/>
          <w:b/>
          <w:bCs/>
          <w:sz w:val="20"/>
          <w:szCs w:val="20"/>
        </w:rPr>
      </w:pPr>
      <w:r w:rsidRPr="008C12E6">
        <w:rPr>
          <w:rFonts w:ascii="Times New Roman" w:hAnsi="Times New Roman" w:cs="Times New Roman"/>
          <w:b/>
          <w:bCs/>
          <w:sz w:val="20"/>
          <w:szCs w:val="20"/>
        </w:rPr>
        <w:t>Analysis stratified by study design</w:t>
      </w:r>
    </w:p>
    <w:p w14:paraId="05C606FF"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The results of subgroup analyses stratified by study design are presented in the Supplementary Figures. Specifically, study type–stratified forest plots for clinical outcomes with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drug-eluting stent are provided in Figures S57–S60 (cardiac death: Figure S57; all-cause mortality: Figure S58; myocardial infarction: Figure S59; stent thrombosis: Figure S60), and for the Biomatrix drug-eluting stent in Figures S61–S65 (stent thrombosis: Figure S61; cardiac death: Figure S62; target vessel myocardial infarction: Figure S63; target lesion failure: Figure S64; target lesion revascularization: Figure S65).</w:t>
      </w:r>
    </w:p>
    <w:p w14:paraId="1907103F"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p>
    <w:p w14:paraId="3F070FC9" w14:textId="7E970418" w:rsidR="00FB7F00" w:rsidRDefault="00FB7F00" w:rsidP="00FB7F00">
      <w:pPr>
        <w:widowControl w:val="0"/>
        <w:adjustRightInd w:val="0"/>
        <w:spacing w:after="0" w:line="360" w:lineRule="auto"/>
        <w:jc w:val="both"/>
        <w:rPr>
          <w:rFonts w:ascii="Times New Roman" w:hAnsi="Times New Roman" w:cs="Times New Roman"/>
          <w:b/>
          <w:bCs/>
          <w:color w:val="00B0F0"/>
          <w:sz w:val="22"/>
          <w:szCs w:val="22"/>
        </w:rPr>
      </w:pPr>
      <w:r w:rsidRPr="008C12E6">
        <w:rPr>
          <w:rFonts w:ascii="Times New Roman" w:hAnsi="Times New Roman" w:cs="Times New Roman"/>
          <w:b/>
          <w:bCs/>
          <w:color w:val="00B0F0"/>
          <w:sz w:val="22"/>
          <w:szCs w:val="22"/>
        </w:rPr>
        <w:t>Discussion</w:t>
      </w:r>
    </w:p>
    <w:p w14:paraId="1408DC7B" w14:textId="77777777" w:rsidR="00852CCB" w:rsidRPr="008C12E6" w:rsidRDefault="00852CCB" w:rsidP="00FB7F00">
      <w:pPr>
        <w:widowControl w:val="0"/>
        <w:adjustRightInd w:val="0"/>
        <w:spacing w:after="0" w:line="360" w:lineRule="auto"/>
        <w:jc w:val="both"/>
        <w:rPr>
          <w:rFonts w:ascii="Times New Roman" w:hAnsi="Times New Roman" w:cs="Times New Roman"/>
          <w:b/>
          <w:bCs/>
          <w:color w:val="00B0F0"/>
          <w:sz w:val="22"/>
          <w:szCs w:val="22"/>
        </w:rPr>
      </w:pPr>
    </w:p>
    <w:p w14:paraId="0CF57621" w14:textId="7777777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In this systematic review and single-arm meta-analysis, we evaluated clinical outcomes associated with the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bioresorbable magnesium scaffold compared with contemporary second-generation metallic drug-eluting stents—including Biomatrix,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—in patients with de novo coronary artery disease. Overall, our findings demonstrate consistently low rates of TLF, TLR, MI, and stent/scaffold thrombosis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supporting previous observations from dedicated registries and prospective trials. These results add to a growing evidence base indicating that modern resorbable and ultrathin-strut DES platforms offer excellent medium-term safety and efficacy profiles.</w:t>
      </w:r>
    </w:p>
    <w:p w14:paraId="5724AC22" w14:textId="77777777" w:rsidR="00671D8D" w:rsidRPr="00FB7F00" w:rsidRDefault="00671D8D" w:rsidP="00FB7F00">
      <w:pPr>
        <w:widowControl w:val="0"/>
        <w:adjustRightInd w:val="0"/>
        <w:spacing w:after="0" w:line="360" w:lineRule="auto"/>
        <w:jc w:val="both"/>
        <w:rPr>
          <w:rFonts w:ascii="Times New Roman" w:hAnsi="Times New Roman" w:cs="Times New Roman"/>
          <w:sz w:val="20"/>
          <w:szCs w:val="20"/>
        </w:rPr>
      </w:pPr>
    </w:p>
    <w:p w14:paraId="3FC176E0" w14:textId="32FF2949" w:rsidR="00FB7F00" w:rsidRPr="00852CCB" w:rsidRDefault="00FB7F00" w:rsidP="00FB7F00">
      <w:pPr>
        <w:widowControl w:val="0"/>
        <w:adjustRightInd w:val="0"/>
        <w:spacing w:after="0" w:line="360" w:lineRule="auto"/>
        <w:jc w:val="both"/>
        <w:rPr>
          <w:rFonts w:ascii="Times New Roman" w:hAnsi="Times New Roman" w:cs="Times New Roman"/>
          <w:b/>
          <w:bCs/>
          <w:sz w:val="20"/>
          <w:szCs w:val="20"/>
        </w:rPr>
      </w:pPr>
      <w:r w:rsidRPr="00852CCB">
        <w:rPr>
          <w:rFonts w:ascii="Times New Roman" w:hAnsi="Times New Roman" w:cs="Times New Roman"/>
          <w:b/>
          <w:bCs/>
          <w:sz w:val="20"/>
          <w:szCs w:val="20"/>
        </w:rPr>
        <w:t>Principal Findings</w:t>
      </w:r>
    </w:p>
    <w:p w14:paraId="020B0DBC" w14:textId="267B54B7"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Across more than 5,000 patients treated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the pooled incidence of TLF and TLR remained notably low, aligning with the </w:t>
      </w:r>
      <w:proofErr w:type="gramStart"/>
      <w:r w:rsidRPr="00FB7F00">
        <w:rPr>
          <w:rFonts w:ascii="Times New Roman" w:hAnsi="Times New Roman" w:cs="Times New Roman"/>
          <w:sz w:val="20"/>
          <w:szCs w:val="20"/>
        </w:rPr>
        <w:t>encouraging  outcomes</w:t>
      </w:r>
      <w:proofErr w:type="gramEnd"/>
      <w:r w:rsidRPr="00FB7F00">
        <w:rPr>
          <w:rFonts w:ascii="Times New Roman" w:hAnsi="Times New Roman" w:cs="Times New Roman"/>
          <w:sz w:val="20"/>
          <w:szCs w:val="20"/>
        </w:rPr>
        <w:t xml:space="preserve"> previously reported in BIOSOLVE-</w:t>
      </w:r>
      <w:proofErr w:type="gramStart"/>
      <w:r w:rsidRPr="00FB7F00">
        <w:rPr>
          <w:rFonts w:ascii="Times New Roman" w:hAnsi="Times New Roman" w:cs="Times New Roman"/>
          <w:sz w:val="20"/>
          <w:szCs w:val="20"/>
        </w:rPr>
        <w:t>IV ,</w:t>
      </w:r>
      <w:proofErr w:type="gramEnd"/>
      <w:r w:rsidRPr="00FB7F00">
        <w:rPr>
          <w:rFonts w:ascii="Times New Roman" w:hAnsi="Times New Roman" w:cs="Times New Roman"/>
          <w:sz w:val="20"/>
          <w:szCs w:val="20"/>
        </w:rPr>
        <w:t xml:space="preserve"> which demonstrated low event rates and minimal scaffold thrombosis at 6–12 months of follow-up. [6,7] Consistently low rates of MI and target-vessel MI further reinforce the positive vascular healing characteristics described in earlier real-world analyses and first-in-human evaluations of magnesium-based scaffolds. [3–5]</w:t>
      </w:r>
      <w:r w:rsidR="00852CCB">
        <w:rPr>
          <w:rFonts w:ascii="Times New Roman" w:hAnsi="Times New Roman" w:cs="Times New Roman"/>
          <w:sz w:val="20"/>
          <w:szCs w:val="20"/>
        </w:rPr>
        <w:t xml:space="preserve">. </w:t>
      </w:r>
      <w:r w:rsidRPr="00FB7F00">
        <w:rPr>
          <w:rFonts w:ascii="Times New Roman" w:hAnsi="Times New Roman" w:cs="Times New Roman"/>
          <w:sz w:val="20"/>
          <w:szCs w:val="20"/>
        </w:rPr>
        <w:t>Despite these findings, the interpretation of efficacy endpoints such as TLF and TLR is limited by substantial between-study heterogeneity (I² frequently exceeding 60–80%). This degree of variability reduces the robustness of pooled estimates and suggests that the observed effects may not be consistent across different clinical settings. While follow-up duration contributed to this variability, other unmeasured factors—including lesion complexity, implantation technique, and adjunctive imaging—likely play a significant role. Therefore, these pooled estimates should be interpreted as hypothesis-generating rather than definitive. In contrast, MI, target-vessel MI, and scaffold thrombosis showed minimal heterogeneity, underscoring the consistency of safety outcomes across diverse study designs and populations.</w:t>
      </w:r>
      <w:r w:rsidR="00852CCB">
        <w:rPr>
          <w:rFonts w:ascii="Times New Roman" w:hAnsi="Times New Roman" w:cs="Times New Roman"/>
          <w:sz w:val="20"/>
          <w:szCs w:val="20"/>
        </w:rPr>
        <w:t xml:space="preserve"> </w:t>
      </w:r>
      <w:r w:rsidRPr="00FB7F00">
        <w:rPr>
          <w:rFonts w:ascii="Times New Roman" w:hAnsi="Times New Roman" w:cs="Times New Roman"/>
          <w:sz w:val="20"/>
          <w:szCs w:val="20"/>
        </w:rPr>
        <w:t xml:space="preserve">A key finding of this analysis is the time-dependent increase in TLF and TLR observed </w:t>
      </w:r>
      <w:proofErr w:type="gramStart"/>
      <w:r w:rsidRPr="00FB7F00">
        <w:rPr>
          <w:rFonts w:ascii="Times New Roman" w:hAnsi="Times New Roman" w:cs="Times New Roman"/>
          <w:sz w:val="20"/>
          <w:szCs w:val="20"/>
        </w:rPr>
        <w:t>with</w:t>
      </w:r>
      <w:proofErr w:type="gram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Unlike metallic DES, which demonstrate stable long-term outcomes, the progressive rise in adverse events between 1 and 2 years may reflect the biological and mechanical consequences of scaffold degradation. This phase may be associated with transient loss of radial strength, delayed vascular healing, or late recoil. Clinically, this raises important considerations regarding patient selection, </w:t>
      </w:r>
      <w:r w:rsidRPr="00FB7F00">
        <w:rPr>
          <w:rFonts w:ascii="Times New Roman" w:hAnsi="Times New Roman" w:cs="Times New Roman"/>
          <w:sz w:val="20"/>
          <w:szCs w:val="20"/>
        </w:rPr>
        <w:lastRenderedPageBreak/>
        <w:t>lesion preparation, and the potential need for prolonged surveillance in patients receiving bioresorbable scaffolds.</w:t>
      </w:r>
    </w:p>
    <w:p w14:paraId="241AA2AC" w14:textId="77777777" w:rsidR="00867FFE" w:rsidRPr="00FB7F00" w:rsidRDefault="00867FFE" w:rsidP="00FB7F00">
      <w:pPr>
        <w:widowControl w:val="0"/>
        <w:adjustRightInd w:val="0"/>
        <w:spacing w:after="0" w:line="360" w:lineRule="auto"/>
        <w:jc w:val="both"/>
        <w:rPr>
          <w:rFonts w:ascii="Times New Roman" w:hAnsi="Times New Roman" w:cs="Times New Roman"/>
          <w:sz w:val="20"/>
          <w:szCs w:val="20"/>
        </w:rPr>
      </w:pPr>
    </w:p>
    <w:p w14:paraId="7D1A8FC7" w14:textId="646DB124" w:rsidR="00FB7F00" w:rsidRPr="00852CCB" w:rsidRDefault="00FB7F00" w:rsidP="00FB7F00">
      <w:pPr>
        <w:widowControl w:val="0"/>
        <w:adjustRightInd w:val="0"/>
        <w:spacing w:after="0" w:line="360" w:lineRule="auto"/>
        <w:jc w:val="both"/>
        <w:rPr>
          <w:rFonts w:ascii="Times New Roman" w:hAnsi="Times New Roman" w:cs="Times New Roman"/>
          <w:b/>
          <w:bCs/>
          <w:sz w:val="20"/>
          <w:szCs w:val="20"/>
        </w:rPr>
      </w:pPr>
      <w:r w:rsidRPr="00852CCB">
        <w:rPr>
          <w:rFonts w:ascii="Times New Roman" w:hAnsi="Times New Roman" w:cs="Times New Roman"/>
          <w:b/>
          <w:bCs/>
          <w:sz w:val="20"/>
          <w:szCs w:val="20"/>
        </w:rPr>
        <w:t>Comparison With Contemporary DES Technologies</w:t>
      </w:r>
    </w:p>
    <w:p w14:paraId="71802EE6" w14:textId="32722E55"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Second-generation drug-eluting stent (DES) platforms such as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have demonstrated strong clinical performance, particularly in terms of reduced restenosis and late adverse cardiac events. Multiple meta-analyses and randomized trials have shown that thin- and ultrathin-strut biodegradable polymer sirolimus-eluting stents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≈80 </w:t>
      </w:r>
      <w:proofErr w:type="spellStart"/>
      <w:r w:rsidRPr="00FB7F00">
        <w:rPr>
          <w:rFonts w:ascii="Times New Roman" w:hAnsi="Times New Roman" w:cs="Times New Roman"/>
          <w:sz w:val="20"/>
          <w:szCs w:val="20"/>
        </w:rPr>
        <w:t>μm</w:t>
      </w:r>
      <w:proofErr w:type="spellEnd"/>
      <w:r w:rsidRPr="00FB7F00">
        <w:rPr>
          <w:rFonts w:ascii="Times New Roman" w:hAnsi="Times New Roman" w:cs="Times New Roman"/>
          <w:sz w:val="20"/>
          <w:szCs w:val="20"/>
        </w:rPr>
        <w:t xml:space="preserve">;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≈60 </w:t>
      </w:r>
      <w:proofErr w:type="spellStart"/>
      <w:r w:rsidRPr="00FB7F00">
        <w:rPr>
          <w:rFonts w:ascii="Times New Roman" w:hAnsi="Times New Roman" w:cs="Times New Roman"/>
          <w:sz w:val="20"/>
          <w:szCs w:val="20"/>
        </w:rPr>
        <w:t>μm</w:t>
      </w:r>
      <w:proofErr w:type="spellEnd"/>
      <w:r w:rsidRPr="00FB7F00">
        <w:rPr>
          <w:rFonts w:ascii="Times New Roman" w:hAnsi="Times New Roman" w:cs="Times New Roman"/>
          <w:sz w:val="20"/>
          <w:szCs w:val="20"/>
        </w:rPr>
        <w:t>) are highly competitive and, in some settings, may demonstrate advantages over conventional fluoropolymer DES. [1,2,8,9] Likewise, the Biomatrix stent has shown favorable long-term safety and durability in large multicenter analyses. [11]</w:t>
      </w:r>
      <w:r w:rsidR="00852CCB">
        <w:rPr>
          <w:rFonts w:ascii="Times New Roman" w:hAnsi="Times New Roman" w:cs="Times New Roman"/>
          <w:sz w:val="20"/>
          <w:szCs w:val="20"/>
        </w:rPr>
        <w:t xml:space="preserve"> </w:t>
      </w:r>
      <w:r w:rsidRPr="00FB7F00">
        <w:rPr>
          <w:rFonts w:ascii="Times New Roman" w:hAnsi="Times New Roman" w:cs="Times New Roman"/>
          <w:sz w:val="20"/>
          <w:szCs w:val="20"/>
        </w:rPr>
        <w:t xml:space="preserve">Within this broader context, the outcomes observed with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in the present analysis fall within a similar range for key safety endpoints, particularly with respect to low thrombosis rates—a notable consideration given historical concerns associated with earlier-generation bioresorbable scaffolds. The improved radial strength, faster </w:t>
      </w:r>
      <w:proofErr w:type="spellStart"/>
      <w:r w:rsidRPr="00FB7F00">
        <w:rPr>
          <w:rFonts w:ascii="Times New Roman" w:hAnsi="Times New Roman" w:cs="Times New Roman"/>
          <w:sz w:val="20"/>
          <w:szCs w:val="20"/>
        </w:rPr>
        <w:t>endothelialization</w:t>
      </w:r>
      <w:proofErr w:type="spellEnd"/>
      <w:r w:rsidRPr="00FB7F00">
        <w:rPr>
          <w:rFonts w:ascii="Times New Roman" w:hAnsi="Times New Roman" w:cs="Times New Roman"/>
          <w:sz w:val="20"/>
          <w:szCs w:val="20"/>
        </w:rPr>
        <w:t>, and favorable resorption kinetics of magnesium-based platforms have been proposed as potential contributors to these findings, [3,6,7] and the pooled estimates in our analysis are consistent with these mechanistic considerations.</w:t>
      </w:r>
      <w:r w:rsidR="00852CCB">
        <w:rPr>
          <w:rFonts w:ascii="Times New Roman" w:hAnsi="Times New Roman" w:cs="Times New Roman"/>
          <w:sz w:val="20"/>
          <w:szCs w:val="20"/>
        </w:rPr>
        <w:t xml:space="preserve"> </w:t>
      </w:r>
      <w:r w:rsidRPr="00FB7F00">
        <w:rPr>
          <w:rFonts w:ascii="Times New Roman" w:hAnsi="Times New Roman" w:cs="Times New Roman"/>
          <w:sz w:val="20"/>
          <w:szCs w:val="20"/>
        </w:rPr>
        <w:t>Findings from the BIOSOLVE-IV registry, which enrolled over 1,000 patients and reported a 12-month TLF rate of 4.3% with very low scaffold thrombosis (0.5%), [12] and its full 24-month follow-up of 2,066 patients demonstrating a TLF rate of 6.8% and scaffold thrombosis of 0.8%, [13] provide important context. The results of our meta-analysis similarly demonstrate low rates of TLF, MI, and scaffold thrombosis, thereby consolidating evidence from multiple independent single-arm studies across a broader range of clinical settings. By integrating data from real-world registries and diverse patient populations, our analysis enhances the external validity of these observations.</w:t>
      </w:r>
      <w:r w:rsidR="00852CCB">
        <w:rPr>
          <w:rFonts w:ascii="Times New Roman" w:hAnsi="Times New Roman" w:cs="Times New Roman"/>
          <w:sz w:val="20"/>
          <w:szCs w:val="20"/>
        </w:rPr>
        <w:t xml:space="preserve"> </w:t>
      </w:r>
      <w:r w:rsidRPr="00FB7F00">
        <w:rPr>
          <w:rFonts w:ascii="Times New Roman" w:hAnsi="Times New Roman" w:cs="Times New Roman"/>
          <w:sz w:val="20"/>
          <w:szCs w:val="20"/>
        </w:rPr>
        <w:t xml:space="preserve">At the same time, it is important to interpret these findings within the limitations of indirect comparisons. Long-term randomized data for ultrathin-strut DES platforms such as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have demonstrated consistently low rates of TLF and target-vessel MI over 5 years, with stable performance and minimal evidence of late catch-up phenomena. In contrast, the time-dependent increase in TLF and TLR observed in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studies within this analysis suggests a distinct temporal pattern, the clinical implications of which remain to be fully defined. Accordingly, while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represents a promising alternative, current evidence is insufficient to establish equivalence with contemporary DES platforms, particularly for long-term outcomes.</w:t>
      </w:r>
      <w:r w:rsidR="00867FFE">
        <w:rPr>
          <w:rFonts w:ascii="Times New Roman" w:hAnsi="Times New Roman" w:cs="Times New Roman"/>
          <w:sz w:val="20"/>
          <w:szCs w:val="20"/>
        </w:rPr>
        <w:t xml:space="preserve"> </w:t>
      </w:r>
      <w:r w:rsidRPr="00FB7F00">
        <w:rPr>
          <w:rFonts w:ascii="Times New Roman" w:hAnsi="Times New Roman" w:cs="Times New Roman"/>
          <w:sz w:val="20"/>
          <w:szCs w:val="20"/>
        </w:rPr>
        <w:t xml:space="preserve">Further contextual data from the BIOFLOW-V trial demonstrated that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achieved significantly lower TLF and target-vessel MI rates compared to Biomatrix, with very low rates of late and very-late stent thrombosis; at two-year follow-up, reductions of 37% in TLF and 47% in </w:t>
      </w:r>
      <w:proofErr w:type="spellStart"/>
      <w:r w:rsidRPr="00FB7F00">
        <w:rPr>
          <w:rFonts w:ascii="Times New Roman" w:hAnsi="Times New Roman" w:cs="Times New Roman"/>
          <w:sz w:val="20"/>
          <w:szCs w:val="20"/>
        </w:rPr>
        <w:t>ischaemia</w:t>
      </w:r>
      <w:proofErr w:type="spellEnd"/>
      <w:r w:rsidRPr="00FB7F00">
        <w:rPr>
          <w:rFonts w:ascii="Times New Roman" w:hAnsi="Times New Roman" w:cs="Times New Roman"/>
          <w:sz w:val="20"/>
          <w:szCs w:val="20"/>
        </w:rPr>
        <w:t xml:space="preserve">-driven TLR were observed relative to Biomatrix. [13] These findings highlight the high level of performance achieved by contemporary DES platforms. In this context, the present meta-analysis provides a comprehensive and up-to-date synthesis of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outcomes, which may serve as a reference point for future comparative investigations rather than as a basis for direct performance comparisons.</w:t>
      </w:r>
      <w:r w:rsidR="00867FFE">
        <w:rPr>
          <w:rFonts w:ascii="Times New Roman" w:hAnsi="Times New Roman" w:cs="Times New Roman"/>
          <w:sz w:val="20"/>
          <w:szCs w:val="20"/>
        </w:rPr>
        <w:t xml:space="preserve"> </w:t>
      </w:r>
      <w:r w:rsidRPr="00FB7F00">
        <w:rPr>
          <w:rFonts w:ascii="Times New Roman" w:hAnsi="Times New Roman" w:cs="Times New Roman"/>
          <w:sz w:val="20"/>
          <w:szCs w:val="20"/>
        </w:rPr>
        <w:t xml:space="preserve">Importantly, the inclusion of Biomatrix should be interpreted </w:t>
      </w:r>
      <w:proofErr w:type="gramStart"/>
      <w:r w:rsidRPr="00FB7F00">
        <w:rPr>
          <w:rFonts w:ascii="Times New Roman" w:hAnsi="Times New Roman" w:cs="Times New Roman"/>
          <w:sz w:val="20"/>
          <w:szCs w:val="20"/>
        </w:rPr>
        <w:t>in light of</w:t>
      </w:r>
      <w:proofErr w:type="gramEnd"/>
      <w:r w:rsidRPr="00FB7F00">
        <w:rPr>
          <w:rFonts w:ascii="Times New Roman" w:hAnsi="Times New Roman" w:cs="Times New Roman"/>
          <w:sz w:val="20"/>
          <w:szCs w:val="20"/>
        </w:rPr>
        <w:t xml:space="preserve"> its earlier-generation design. Compared with newer ultrathin-strut DES platforms such as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and thin-strut DES such as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Biomatrix represents a transitional technology with thicker struts and distinct polymer characteristics. As such, differences in observed outcomes across studies may, in part, reflect generational evolution in device design rather than intrinsic differences in clinical performance, and should therefore be interpreted with appropriate caution.</w:t>
      </w:r>
    </w:p>
    <w:p w14:paraId="1553A3C4"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lastRenderedPageBreak/>
        <w:t xml:space="preserve"> </w:t>
      </w:r>
    </w:p>
    <w:p w14:paraId="44BE50A6" w14:textId="4EF94DF0" w:rsidR="00FB7F00" w:rsidRPr="008F199E" w:rsidRDefault="00FB7F00" w:rsidP="00FB7F00">
      <w:pPr>
        <w:widowControl w:val="0"/>
        <w:adjustRightInd w:val="0"/>
        <w:spacing w:after="0" w:line="360" w:lineRule="auto"/>
        <w:jc w:val="both"/>
        <w:rPr>
          <w:rFonts w:ascii="Times New Roman" w:hAnsi="Times New Roman" w:cs="Times New Roman"/>
          <w:b/>
          <w:bCs/>
          <w:sz w:val="20"/>
          <w:szCs w:val="20"/>
        </w:rPr>
      </w:pPr>
      <w:r w:rsidRPr="008F199E">
        <w:rPr>
          <w:rFonts w:ascii="Times New Roman" w:hAnsi="Times New Roman" w:cs="Times New Roman"/>
          <w:b/>
          <w:bCs/>
          <w:sz w:val="20"/>
          <w:szCs w:val="20"/>
        </w:rPr>
        <w:t>Clinical Implications</w:t>
      </w:r>
    </w:p>
    <w:p w14:paraId="3A085453" w14:textId="2D251C95"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Our findings support the evolving role of biodegradable scaffolds as a viable alternative to permanent metallic DES in carefully selected patients and lesion subsets. The positive outcomes observed even in higher-risk groups—including diabetics and acute coronary syndrome patients, as reported in recent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cohorts [4,5]—suggest broader applicability than previously assumed. Given increasing interest in restoring vasomotion and reducing long-term metal burden, magnesium-based scaffolds may hold </w:t>
      </w:r>
      <w:proofErr w:type="gramStart"/>
      <w:r w:rsidRPr="00FB7F00">
        <w:rPr>
          <w:rFonts w:ascii="Times New Roman" w:hAnsi="Times New Roman" w:cs="Times New Roman"/>
          <w:sz w:val="20"/>
          <w:szCs w:val="20"/>
        </w:rPr>
        <w:t>particular promise</w:t>
      </w:r>
      <w:proofErr w:type="gramEnd"/>
      <w:r w:rsidRPr="00FB7F00">
        <w:rPr>
          <w:rFonts w:ascii="Times New Roman" w:hAnsi="Times New Roman" w:cs="Times New Roman"/>
          <w:sz w:val="20"/>
          <w:szCs w:val="20"/>
        </w:rPr>
        <w:t xml:space="preserve"> in younger patients or those for whom long-term vessel physiology is of clinical importance.</w:t>
      </w:r>
      <w:r w:rsidR="00867FFE">
        <w:rPr>
          <w:rFonts w:ascii="Times New Roman" w:hAnsi="Times New Roman" w:cs="Times New Roman"/>
          <w:sz w:val="20"/>
          <w:szCs w:val="20"/>
        </w:rPr>
        <w:t xml:space="preserve"> </w:t>
      </w:r>
      <w:r w:rsidRPr="00FB7F00">
        <w:rPr>
          <w:rFonts w:ascii="Times New Roman" w:hAnsi="Times New Roman" w:cs="Times New Roman"/>
          <w:sz w:val="20"/>
          <w:szCs w:val="20"/>
        </w:rPr>
        <w:t xml:space="preserve">However, until adequately powered randomized comparisons are available, the use of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will likely remain complementary rather than fully competitive with contemporary ultrathin-strut DES platforms.</w:t>
      </w:r>
    </w:p>
    <w:p w14:paraId="66D3262D" w14:textId="77777777" w:rsidR="00867FFE" w:rsidRPr="00FB7F00" w:rsidRDefault="00867FFE" w:rsidP="00FB7F00">
      <w:pPr>
        <w:widowControl w:val="0"/>
        <w:adjustRightInd w:val="0"/>
        <w:spacing w:after="0" w:line="360" w:lineRule="auto"/>
        <w:jc w:val="both"/>
        <w:rPr>
          <w:rFonts w:ascii="Times New Roman" w:hAnsi="Times New Roman" w:cs="Times New Roman"/>
          <w:sz w:val="20"/>
          <w:szCs w:val="20"/>
        </w:rPr>
      </w:pPr>
    </w:p>
    <w:p w14:paraId="6C97BEDA" w14:textId="4D2FDBDC" w:rsidR="00FB7F00" w:rsidRPr="008F199E" w:rsidRDefault="00FB7F00" w:rsidP="00FB7F00">
      <w:pPr>
        <w:widowControl w:val="0"/>
        <w:adjustRightInd w:val="0"/>
        <w:spacing w:after="0" w:line="360" w:lineRule="auto"/>
        <w:jc w:val="both"/>
        <w:rPr>
          <w:rFonts w:ascii="Times New Roman" w:hAnsi="Times New Roman" w:cs="Times New Roman"/>
          <w:b/>
          <w:bCs/>
          <w:sz w:val="20"/>
          <w:szCs w:val="20"/>
        </w:rPr>
      </w:pPr>
      <w:r w:rsidRPr="008F199E">
        <w:rPr>
          <w:rFonts w:ascii="Times New Roman" w:hAnsi="Times New Roman" w:cs="Times New Roman"/>
          <w:b/>
          <w:bCs/>
          <w:sz w:val="20"/>
          <w:szCs w:val="20"/>
        </w:rPr>
        <w:t>Sources of Heterogeneity and Methodological Considerations</w:t>
      </w:r>
    </w:p>
    <w:p w14:paraId="411F660D" w14:textId="0172ADF8"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The substantial heterogeneity observed for TLF and TLR likely reflects differences in lesion characteristics, operator technique, imaging guidance, and follow-up duration across studies. Our meta-regression identified follow-up duration as the only consistent moderator of effect size. Importantly, no correlation was found between sample size and event rates, mitigating concerns about exaggerated effects in smaller single-arm cohorts.</w:t>
      </w:r>
      <w:r w:rsidR="00867FFE">
        <w:rPr>
          <w:rFonts w:ascii="Times New Roman" w:hAnsi="Times New Roman" w:cs="Times New Roman"/>
          <w:sz w:val="20"/>
          <w:szCs w:val="20"/>
        </w:rPr>
        <w:t xml:space="preserve"> </w:t>
      </w:r>
      <w:r w:rsidRPr="00FB7F00">
        <w:rPr>
          <w:rFonts w:ascii="Times New Roman" w:hAnsi="Times New Roman" w:cs="Times New Roman"/>
          <w:sz w:val="20"/>
          <w:szCs w:val="20"/>
        </w:rPr>
        <w:t xml:space="preserve">Although most outcomes demonstrated no significant publication bias, the presence of small-study effects in the MI analysis indicates the need for cautious interpretation. Additionally, the observational nature of all included studies introduces inherent limitations related to confounding and lack of comparator arms, despite adherence to prospective data collection and adjudication methods in </w:t>
      </w:r>
      <w:proofErr w:type="gramStart"/>
      <w:r w:rsidRPr="00FB7F00">
        <w:rPr>
          <w:rFonts w:ascii="Times New Roman" w:hAnsi="Times New Roman" w:cs="Times New Roman"/>
          <w:sz w:val="20"/>
          <w:szCs w:val="20"/>
        </w:rPr>
        <w:t>the majority of</w:t>
      </w:r>
      <w:proofErr w:type="gramEnd"/>
      <w:r w:rsidRPr="00FB7F00">
        <w:rPr>
          <w:rFonts w:ascii="Times New Roman" w:hAnsi="Times New Roman" w:cs="Times New Roman"/>
          <w:sz w:val="20"/>
          <w:szCs w:val="20"/>
        </w:rPr>
        <w:t xml:space="preserve"> studies. </w:t>
      </w:r>
      <w:r w:rsidR="00867FFE">
        <w:rPr>
          <w:rFonts w:ascii="Times New Roman" w:hAnsi="Times New Roman" w:cs="Times New Roman"/>
          <w:sz w:val="20"/>
          <w:szCs w:val="20"/>
        </w:rPr>
        <w:t xml:space="preserve"> </w:t>
      </w:r>
      <w:r w:rsidRPr="00FB7F00">
        <w:rPr>
          <w:rFonts w:ascii="Times New Roman" w:hAnsi="Times New Roman" w:cs="Times New Roman"/>
          <w:sz w:val="20"/>
          <w:szCs w:val="20"/>
        </w:rPr>
        <w:t xml:space="preserve">A unique strength of our study is the quantitative exploration of follow-up duration as a driver of between-study heterogeneity: our meta-regression indicates that longer follow-up is significantly associated with variation in TLF and TLR event rates. This temporal insight is critical given the resorbable nature of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and is not thoroughly quantified in prior single-cohort reports. Additionally, signals of publication bias in certain endpoints—particularly myocardial infarction and all-cause mortality in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studies—further limit confidence in pooled estimates and highlight the need for cautious interpretation of comparative findings.</w:t>
      </w:r>
    </w:p>
    <w:p w14:paraId="075B5EB7" w14:textId="77777777" w:rsidR="008F199E" w:rsidRPr="00FB7F00" w:rsidRDefault="008F199E" w:rsidP="00FB7F00">
      <w:pPr>
        <w:widowControl w:val="0"/>
        <w:adjustRightInd w:val="0"/>
        <w:spacing w:after="0" w:line="360" w:lineRule="auto"/>
        <w:jc w:val="both"/>
        <w:rPr>
          <w:rFonts w:ascii="Times New Roman" w:hAnsi="Times New Roman" w:cs="Times New Roman"/>
          <w:sz w:val="20"/>
          <w:szCs w:val="20"/>
        </w:rPr>
      </w:pPr>
    </w:p>
    <w:p w14:paraId="6C9AE6D9" w14:textId="009117B2" w:rsidR="00FB7F00" w:rsidRPr="008F199E" w:rsidRDefault="00FB7F00" w:rsidP="00FB7F00">
      <w:pPr>
        <w:widowControl w:val="0"/>
        <w:adjustRightInd w:val="0"/>
        <w:spacing w:after="0" w:line="360" w:lineRule="auto"/>
        <w:jc w:val="both"/>
        <w:rPr>
          <w:rFonts w:ascii="Times New Roman" w:hAnsi="Times New Roman" w:cs="Times New Roman"/>
          <w:b/>
          <w:bCs/>
          <w:sz w:val="20"/>
          <w:szCs w:val="20"/>
        </w:rPr>
      </w:pPr>
      <w:r w:rsidRPr="008F199E">
        <w:rPr>
          <w:rFonts w:ascii="Times New Roman" w:hAnsi="Times New Roman" w:cs="Times New Roman"/>
          <w:b/>
          <w:bCs/>
          <w:sz w:val="20"/>
          <w:szCs w:val="20"/>
        </w:rPr>
        <w:t>Exploratory Comparison Across Stent Platforms Using Meta-Regression</w:t>
      </w:r>
    </w:p>
    <w:p w14:paraId="2873DC08" w14:textId="763CB344"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To further explore whether stent platform may contribute to variability in clinical outcomes, we performed meta-regression analyses incorporating stent type as a study-level covariate. Importantly, these analyses do not constitute direct comparative effectiveness but rather provide an exploratory framework to assess whether differences in observed event rates across studies may be partially explained by device type.</w:t>
      </w:r>
      <w:r w:rsidR="00A066AE">
        <w:rPr>
          <w:rFonts w:ascii="Times New Roman" w:hAnsi="Times New Roman" w:cs="Times New Roman"/>
          <w:sz w:val="20"/>
          <w:szCs w:val="20"/>
        </w:rPr>
        <w:t xml:space="preserve"> </w:t>
      </w:r>
      <w:r w:rsidRPr="00FB7F00">
        <w:rPr>
          <w:rFonts w:ascii="Times New Roman" w:hAnsi="Times New Roman" w:cs="Times New Roman"/>
          <w:sz w:val="20"/>
          <w:szCs w:val="20"/>
        </w:rPr>
        <w:t xml:space="preserve">Across multiple endpoints, stent type accounted for a variable proportion of between-study heterogeneity, ranging from minimal contribution in cardiac death (R² = 3%) to more substantial explanatory value for all-cause mortality (R² = 45%) and moderate contributions for TLF, TLR, and TV-MI (~24–28%). These findings suggest that while device </w:t>
      </w:r>
      <w:proofErr w:type="gramStart"/>
      <w:r w:rsidRPr="00FB7F00">
        <w:rPr>
          <w:rFonts w:ascii="Times New Roman" w:hAnsi="Times New Roman" w:cs="Times New Roman"/>
          <w:sz w:val="20"/>
          <w:szCs w:val="20"/>
        </w:rPr>
        <w:t>platform</w:t>
      </w:r>
      <w:proofErr w:type="gramEnd"/>
      <w:r w:rsidRPr="00FB7F00">
        <w:rPr>
          <w:rFonts w:ascii="Times New Roman" w:hAnsi="Times New Roman" w:cs="Times New Roman"/>
          <w:sz w:val="20"/>
          <w:szCs w:val="20"/>
        </w:rPr>
        <w:t xml:space="preserve"> may influence observed outcomes, a large proportion of heterogeneity remains attributable to other factors such as patient selection, lesion complexity, procedural technique, and study design.</w:t>
      </w:r>
      <w:r w:rsidR="00A066AE">
        <w:rPr>
          <w:rFonts w:ascii="Times New Roman" w:hAnsi="Times New Roman" w:cs="Times New Roman"/>
          <w:sz w:val="20"/>
          <w:szCs w:val="20"/>
        </w:rPr>
        <w:t xml:space="preserve"> </w:t>
      </w:r>
      <w:r w:rsidRPr="00FB7F00">
        <w:rPr>
          <w:rFonts w:ascii="Times New Roman" w:hAnsi="Times New Roman" w:cs="Times New Roman"/>
          <w:sz w:val="20"/>
          <w:szCs w:val="20"/>
        </w:rPr>
        <w:t xml:space="preserve">For all-cause mortality, studies evaluating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demonstrated consistently low and homogeneous event rates, whereas higher rates were observed in studies of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w:t>
      </w:r>
      <w:r w:rsidRPr="00FB7F00">
        <w:rPr>
          <w:rFonts w:ascii="Times New Roman" w:hAnsi="Times New Roman" w:cs="Times New Roman"/>
          <w:sz w:val="20"/>
          <w:szCs w:val="20"/>
        </w:rPr>
        <w:lastRenderedPageBreak/>
        <w:t xml:space="preserve">and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within the regression framework. However, this pattern should be interpreted cautiously, as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data were predominantly derived from smaller, single-</w:t>
      </w:r>
      <w:proofErr w:type="spellStart"/>
      <w:r w:rsidRPr="00FB7F00">
        <w:rPr>
          <w:rFonts w:ascii="Times New Roman" w:hAnsi="Times New Roman" w:cs="Times New Roman"/>
          <w:sz w:val="20"/>
          <w:szCs w:val="20"/>
        </w:rPr>
        <w:t>centre</w:t>
      </w:r>
      <w:proofErr w:type="spellEnd"/>
      <w:r w:rsidRPr="00FB7F00">
        <w:rPr>
          <w:rFonts w:ascii="Times New Roman" w:hAnsi="Times New Roman" w:cs="Times New Roman"/>
          <w:sz w:val="20"/>
          <w:szCs w:val="20"/>
        </w:rPr>
        <w:t xml:space="preserve"> cohorts with more selected patient populations, while comparator stents were evaluated in larger, </w:t>
      </w:r>
      <w:proofErr w:type="spellStart"/>
      <w:r w:rsidRPr="00FB7F00">
        <w:rPr>
          <w:rFonts w:ascii="Times New Roman" w:hAnsi="Times New Roman" w:cs="Times New Roman"/>
          <w:sz w:val="20"/>
          <w:szCs w:val="20"/>
        </w:rPr>
        <w:t>multicentre</w:t>
      </w:r>
      <w:proofErr w:type="spellEnd"/>
      <w:r w:rsidRPr="00FB7F00">
        <w:rPr>
          <w:rFonts w:ascii="Times New Roman" w:hAnsi="Times New Roman" w:cs="Times New Roman"/>
          <w:sz w:val="20"/>
          <w:szCs w:val="20"/>
        </w:rPr>
        <w:t xml:space="preserve"> studies with broader and potentially higher-risk populations. This imbalance likely contributes to the observed differences and limits causal interpretation.</w:t>
      </w:r>
      <w:r w:rsidR="008F199E">
        <w:rPr>
          <w:rFonts w:ascii="Times New Roman" w:hAnsi="Times New Roman" w:cs="Times New Roman"/>
          <w:sz w:val="20"/>
          <w:szCs w:val="20"/>
        </w:rPr>
        <w:t xml:space="preserve"> </w:t>
      </w:r>
      <w:r w:rsidRPr="00FB7F00">
        <w:rPr>
          <w:rFonts w:ascii="Times New Roman" w:hAnsi="Times New Roman" w:cs="Times New Roman"/>
          <w:sz w:val="20"/>
          <w:szCs w:val="20"/>
        </w:rPr>
        <w:t xml:space="preserve">For efficacy endpoints such as TLF and TLR, absolute pooled rates were broadly similar across stent platforms; however, meta-regression suggested statistical differences in study-level estimates. Notably, these findings were sensitive to influential outlier studies, particularly within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dataset, where a single high-event study contributed disproportionately to both effect estimates and heterogeneity. This underscores the instability of indirect comparisons based on aggregate data and highlights the importance of considering study-level variability.</w:t>
      </w:r>
      <w:r w:rsidR="008F199E">
        <w:rPr>
          <w:rFonts w:ascii="Times New Roman" w:hAnsi="Times New Roman" w:cs="Times New Roman"/>
          <w:sz w:val="20"/>
          <w:szCs w:val="20"/>
        </w:rPr>
        <w:t xml:space="preserve"> </w:t>
      </w:r>
      <w:r w:rsidRPr="00FB7F00">
        <w:rPr>
          <w:rFonts w:ascii="Times New Roman" w:hAnsi="Times New Roman" w:cs="Times New Roman"/>
          <w:sz w:val="20"/>
          <w:szCs w:val="20"/>
        </w:rPr>
        <w:t xml:space="preserve">A similar pattern was observed for TV-MI and stent thrombosis, where regression analyses indicated differences across stent groups; however, these were again accompanied by substantial heterogeneity and potential confounding by study design and population characteristics. In particular, the low heterogeneity observed in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cohorts likely reflects greater uniformity in study protocols rather than inherently superior or inferior device performance.</w:t>
      </w:r>
      <w:r w:rsidR="008F199E">
        <w:rPr>
          <w:rFonts w:ascii="Times New Roman" w:hAnsi="Times New Roman" w:cs="Times New Roman"/>
          <w:sz w:val="20"/>
          <w:szCs w:val="20"/>
        </w:rPr>
        <w:t xml:space="preserve"> </w:t>
      </w:r>
      <w:r w:rsidRPr="00FB7F00">
        <w:rPr>
          <w:rFonts w:ascii="Times New Roman" w:hAnsi="Times New Roman" w:cs="Times New Roman"/>
          <w:sz w:val="20"/>
          <w:szCs w:val="20"/>
        </w:rPr>
        <w:t xml:space="preserve">Taken together, these findings suggest that stent type may act as one of several contributors to </w:t>
      </w:r>
      <w:proofErr w:type="gramStart"/>
      <w:r w:rsidRPr="00FB7F00">
        <w:rPr>
          <w:rFonts w:ascii="Times New Roman" w:hAnsi="Times New Roman" w:cs="Times New Roman"/>
          <w:sz w:val="20"/>
          <w:szCs w:val="20"/>
        </w:rPr>
        <w:t>observed</w:t>
      </w:r>
      <w:proofErr w:type="gramEnd"/>
      <w:r w:rsidRPr="00FB7F00">
        <w:rPr>
          <w:rFonts w:ascii="Times New Roman" w:hAnsi="Times New Roman" w:cs="Times New Roman"/>
          <w:sz w:val="20"/>
          <w:szCs w:val="20"/>
        </w:rPr>
        <w:t xml:space="preserve"> differences in clinical outcomes across </w:t>
      </w:r>
      <w:proofErr w:type="gramStart"/>
      <w:r w:rsidRPr="00FB7F00">
        <w:rPr>
          <w:rFonts w:ascii="Times New Roman" w:hAnsi="Times New Roman" w:cs="Times New Roman"/>
          <w:sz w:val="20"/>
          <w:szCs w:val="20"/>
        </w:rPr>
        <w:t>studies, but</w:t>
      </w:r>
      <w:proofErr w:type="gramEnd"/>
      <w:r w:rsidRPr="00FB7F00">
        <w:rPr>
          <w:rFonts w:ascii="Times New Roman" w:hAnsi="Times New Roman" w:cs="Times New Roman"/>
          <w:sz w:val="20"/>
          <w:szCs w:val="20"/>
        </w:rPr>
        <w:t xml:space="preserve"> should not be interpreted in isolation. The absence of randomized head-to-head comparisons, combined with imbalances in study design and patient populations, precludes definitive conclusions regarding relative efficacy or safety. Accordingly, these meta-regression results should be considered hypothesis-generating and supportive of the need for adequately powered comparative trials.</w:t>
      </w:r>
    </w:p>
    <w:p w14:paraId="7FCCE2B6"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72226F14" w14:textId="444BBF3D" w:rsidR="00FB7F00" w:rsidRPr="008F199E" w:rsidRDefault="00FB7F00" w:rsidP="00FB7F00">
      <w:pPr>
        <w:widowControl w:val="0"/>
        <w:adjustRightInd w:val="0"/>
        <w:spacing w:after="0" w:line="360" w:lineRule="auto"/>
        <w:jc w:val="both"/>
        <w:rPr>
          <w:rFonts w:ascii="Times New Roman" w:hAnsi="Times New Roman" w:cs="Times New Roman"/>
          <w:b/>
          <w:bCs/>
          <w:sz w:val="20"/>
          <w:szCs w:val="20"/>
        </w:rPr>
      </w:pPr>
      <w:r w:rsidRPr="008F199E">
        <w:rPr>
          <w:rFonts w:ascii="Times New Roman" w:hAnsi="Times New Roman" w:cs="Times New Roman"/>
          <w:b/>
          <w:bCs/>
          <w:sz w:val="20"/>
          <w:szCs w:val="20"/>
        </w:rPr>
        <w:t xml:space="preserve">Sensitivity and Subgroup Analysis: RCTs vs. Observational Data </w:t>
      </w:r>
    </w:p>
    <w:p w14:paraId="274C33CB" w14:textId="11984AAF"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A critical finding of this systematic review is the influence of study design on reported stent performance, particularly for the </w:t>
      </w:r>
      <w:proofErr w:type="spellStart"/>
      <w:r w:rsidRPr="00FB7F00">
        <w:rPr>
          <w:rFonts w:ascii="Times New Roman" w:hAnsi="Times New Roman" w:cs="Times New Roman"/>
          <w:sz w:val="20"/>
          <w:szCs w:val="20"/>
        </w:rPr>
        <w:t>Ultimaster</w:t>
      </w:r>
      <w:proofErr w:type="spellEnd"/>
      <w:r w:rsidRPr="00FB7F00">
        <w:rPr>
          <w:rFonts w:ascii="Times New Roman" w:hAnsi="Times New Roman" w:cs="Times New Roman"/>
          <w:sz w:val="20"/>
          <w:szCs w:val="20"/>
        </w:rPr>
        <w:t xml:space="preserve"> drug-eluting stent. Stratified analysis (Figures S57–S60) demonstrates that event rates for cardiac death, all-cause mortality, and myocardial infarction are markedly higher in observational registries than in randomized controlled trials.</w:t>
      </w:r>
      <w:r w:rsidR="00850A2A">
        <w:rPr>
          <w:rFonts w:ascii="Times New Roman" w:hAnsi="Times New Roman" w:cs="Times New Roman"/>
          <w:sz w:val="20"/>
          <w:szCs w:val="20"/>
        </w:rPr>
        <w:t xml:space="preserve"> </w:t>
      </w:r>
      <w:r w:rsidRPr="00FB7F00">
        <w:rPr>
          <w:rFonts w:ascii="Times New Roman" w:hAnsi="Times New Roman" w:cs="Times New Roman"/>
          <w:sz w:val="20"/>
          <w:szCs w:val="20"/>
        </w:rPr>
        <w:t xml:space="preserve">The stratified forest plots reveal that this risk is disproportionately driven by the Lee 2019 observational study, which reported an outlier TV-MI rate of 8.87%. In contrast, data from Biomatrix evaluations showed greater stability across study designs, with its significantly lower rate of stent thrombosis (RR 0.430, p = 0.020) and TLF (RR 0.744, p = 0.003) remaining consistent in both stratified and pooled analyses.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and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study design stratified analysis was not performed as their primary analysis is based on a single type of study design. These findings underscore the necessity of accounting for study design and outlier influence when synthesizing safety data for bioresorbable and drug-eluting platforms, and the results must be interpreted with caution. </w:t>
      </w:r>
    </w:p>
    <w:p w14:paraId="316BC505" w14:textId="77777777" w:rsidR="00FB7F00" w:rsidRP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 </w:t>
      </w:r>
    </w:p>
    <w:p w14:paraId="0E72153B" w14:textId="1A75D379" w:rsidR="00FB7F00" w:rsidRDefault="00FB7F00" w:rsidP="00FB7F00">
      <w:pPr>
        <w:widowControl w:val="0"/>
        <w:adjustRightInd w:val="0"/>
        <w:spacing w:after="0" w:line="360" w:lineRule="auto"/>
        <w:jc w:val="both"/>
        <w:rPr>
          <w:rFonts w:ascii="Times New Roman" w:hAnsi="Times New Roman" w:cs="Times New Roman"/>
          <w:b/>
          <w:bCs/>
          <w:color w:val="00B0F0"/>
          <w:sz w:val="22"/>
          <w:szCs w:val="22"/>
        </w:rPr>
      </w:pPr>
      <w:r w:rsidRPr="00850A2A">
        <w:rPr>
          <w:rFonts w:ascii="Times New Roman" w:hAnsi="Times New Roman" w:cs="Times New Roman"/>
          <w:b/>
          <w:bCs/>
          <w:color w:val="00B0F0"/>
          <w:sz w:val="22"/>
          <w:szCs w:val="22"/>
        </w:rPr>
        <w:t>Strengths and Limitations</w:t>
      </w:r>
    </w:p>
    <w:p w14:paraId="73E195E2" w14:textId="77777777" w:rsidR="008B7739" w:rsidRPr="00850A2A" w:rsidRDefault="008B7739" w:rsidP="00FB7F00">
      <w:pPr>
        <w:widowControl w:val="0"/>
        <w:adjustRightInd w:val="0"/>
        <w:spacing w:after="0" w:line="360" w:lineRule="auto"/>
        <w:jc w:val="both"/>
        <w:rPr>
          <w:rFonts w:ascii="Times New Roman" w:hAnsi="Times New Roman" w:cs="Times New Roman"/>
          <w:b/>
          <w:bCs/>
          <w:color w:val="00B0F0"/>
          <w:sz w:val="22"/>
          <w:szCs w:val="22"/>
        </w:rPr>
      </w:pPr>
    </w:p>
    <w:p w14:paraId="5FA3C60C" w14:textId="1F27B5EB" w:rsidR="00FB7F00"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The strengths of this review include comprehensive literature coverage, strict inclusion criteria, ROBINS-I–guided risk of bias assessment, and robust statistical methodology including subgroup, sensitivity, and meta-regression analyses. These methodological steps enhance the reliability and generalizability of our pooled findings.</w:t>
      </w:r>
      <w:r w:rsidR="00A066AE">
        <w:rPr>
          <w:rFonts w:ascii="Times New Roman" w:hAnsi="Times New Roman" w:cs="Times New Roman"/>
          <w:sz w:val="20"/>
          <w:szCs w:val="20"/>
        </w:rPr>
        <w:t xml:space="preserve"> </w:t>
      </w:r>
      <w:r w:rsidRPr="00FB7F00">
        <w:rPr>
          <w:rFonts w:ascii="Times New Roman" w:hAnsi="Times New Roman" w:cs="Times New Roman"/>
          <w:sz w:val="20"/>
          <w:szCs w:val="20"/>
        </w:rPr>
        <w:t xml:space="preserve">Nevertheless, several limitations must be acknowledged. First, the absence of randomized comparative studies limits direct </w:t>
      </w:r>
      <w:r w:rsidRPr="00FB7F00">
        <w:rPr>
          <w:rFonts w:ascii="Times New Roman" w:hAnsi="Times New Roman" w:cs="Times New Roman"/>
          <w:sz w:val="20"/>
          <w:szCs w:val="20"/>
        </w:rPr>
        <w:lastRenderedPageBreak/>
        <w:t xml:space="preserve">assessment of performance versus established DES platforms such as Biomatrix or </w:t>
      </w:r>
      <w:proofErr w:type="spellStart"/>
      <w:r w:rsidRPr="00FB7F00">
        <w:rPr>
          <w:rFonts w:ascii="Times New Roman" w:hAnsi="Times New Roman" w:cs="Times New Roman"/>
          <w:sz w:val="20"/>
          <w:szCs w:val="20"/>
        </w:rPr>
        <w:t>Orsiro</w:t>
      </w:r>
      <w:proofErr w:type="spellEnd"/>
      <w:r w:rsidRPr="00FB7F00">
        <w:rPr>
          <w:rFonts w:ascii="Times New Roman" w:hAnsi="Times New Roman" w:cs="Times New Roman"/>
          <w:sz w:val="20"/>
          <w:szCs w:val="20"/>
        </w:rPr>
        <w:t xml:space="preserve">. Second, relatively short-term follow-up in many </w:t>
      </w:r>
      <w:proofErr w:type="spellStart"/>
      <w:r w:rsidRPr="00FB7F00">
        <w:rPr>
          <w:rFonts w:ascii="Times New Roman" w:hAnsi="Times New Roman" w:cs="Times New Roman"/>
          <w:sz w:val="20"/>
          <w:szCs w:val="20"/>
        </w:rPr>
        <w:t>Magmaris</w:t>
      </w:r>
      <w:proofErr w:type="spellEnd"/>
      <w:r w:rsidRPr="00FB7F00">
        <w:rPr>
          <w:rFonts w:ascii="Times New Roman" w:hAnsi="Times New Roman" w:cs="Times New Roman"/>
          <w:sz w:val="20"/>
          <w:szCs w:val="20"/>
        </w:rPr>
        <w:t xml:space="preserve"> studies limits conclusions regarding late adverse events, which are particularly relevant for resorbable technologies. Third, device-specific data could not be extracted consistently across all endpoints, and residual confounding remains possible due to the inherent limitations of single-arm designs.</w:t>
      </w:r>
    </w:p>
    <w:p w14:paraId="1E6690CC" w14:textId="77777777" w:rsidR="008B7739" w:rsidRPr="00FB7F00" w:rsidRDefault="008B7739" w:rsidP="00FB7F00">
      <w:pPr>
        <w:widowControl w:val="0"/>
        <w:adjustRightInd w:val="0"/>
        <w:spacing w:after="0" w:line="360" w:lineRule="auto"/>
        <w:jc w:val="both"/>
        <w:rPr>
          <w:rFonts w:ascii="Times New Roman" w:hAnsi="Times New Roman" w:cs="Times New Roman"/>
          <w:sz w:val="20"/>
          <w:szCs w:val="20"/>
        </w:rPr>
      </w:pPr>
    </w:p>
    <w:p w14:paraId="28F1B6E4" w14:textId="089BE6E6" w:rsidR="00FB7F00" w:rsidRDefault="00FB7F00" w:rsidP="00FB7F00">
      <w:pPr>
        <w:widowControl w:val="0"/>
        <w:adjustRightInd w:val="0"/>
        <w:spacing w:after="0" w:line="360" w:lineRule="auto"/>
        <w:jc w:val="both"/>
        <w:rPr>
          <w:rFonts w:ascii="Times New Roman" w:hAnsi="Times New Roman" w:cs="Times New Roman"/>
          <w:b/>
          <w:bCs/>
          <w:color w:val="00B0F0"/>
          <w:sz w:val="22"/>
          <w:szCs w:val="22"/>
        </w:rPr>
      </w:pPr>
      <w:r w:rsidRPr="008B7739">
        <w:rPr>
          <w:rFonts w:ascii="Times New Roman" w:hAnsi="Times New Roman" w:cs="Times New Roman"/>
          <w:b/>
          <w:bCs/>
          <w:color w:val="00B0F0"/>
          <w:sz w:val="22"/>
          <w:szCs w:val="22"/>
        </w:rPr>
        <w:t>Conclusions</w:t>
      </w:r>
    </w:p>
    <w:p w14:paraId="6FB0AD7A" w14:textId="77777777" w:rsidR="008B7739" w:rsidRPr="008B7739" w:rsidRDefault="008B7739" w:rsidP="00FB7F00">
      <w:pPr>
        <w:widowControl w:val="0"/>
        <w:adjustRightInd w:val="0"/>
        <w:spacing w:after="0" w:line="360" w:lineRule="auto"/>
        <w:jc w:val="both"/>
        <w:rPr>
          <w:rFonts w:ascii="Times New Roman" w:hAnsi="Times New Roman" w:cs="Times New Roman"/>
          <w:b/>
          <w:bCs/>
          <w:color w:val="00B0F0"/>
          <w:sz w:val="22"/>
          <w:szCs w:val="22"/>
        </w:rPr>
      </w:pPr>
    </w:p>
    <w:p w14:paraId="04D3D165" w14:textId="2DE9AD1B" w:rsidR="005B5FEC" w:rsidRDefault="00FB7F00" w:rsidP="00FB7F00">
      <w:pPr>
        <w:widowControl w:val="0"/>
        <w:adjustRightInd w:val="0"/>
        <w:spacing w:after="0" w:line="360" w:lineRule="auto"/>
        <w:jc w:val="both"/>
        <w:rPr>
          <w:rFonts w:ascii="Times New Roman" w:hAnsi="Times New Roman" w:cs="Times New Roman"/>
          <w:sz w:val="20"/>
          <w:szCs w:val="20"/>
        </w:rPr>
      </w:pPr>
      <w:r w:rsidRPr="00FB7F00">
        <w:rPr>
          <w:rFonts w:ascii="Times New Roman" w:hAnsi="Times New Roman" w:cs="Times New Roman"/>
          <w:sz w:val="20"/>
          <w:szCs w:val="20"/>
        </w:rPr>
        <w:t xml:space="preserve">This systematic review and meta-analysis </w:t>
      </w:r>
      <w:proofErr w:type="gramStart"/>
      <w:r w:rsidRPr="00FB7F00">
        <w:rPr>
          <w:rFonts w:ascii="Times New Roman" w:hAnsi="Times New Roman" w:cs="Times New Roman"/>
          <w:sz w:val="20"/>
          <w:szCs w:val="20"/>
        </w:rPr>
        <w:t>demonstrates</w:t>
      </w:r>
      <w:proofErr w:type="gramEnd"/>
      <w:r w:rsidRPr="00FB7F00">
        <w:rPr>
          <w:rFonts w:ascii="Times New Roman" w:hAnsi="Times New Roman" w:cs="Times New Roman"/>
          <w:sz w:val="20"/>
          <w:szCs w:val="20"/>
        </w:rPr>
        <w:t xml:space="preserve"> that the </w:t>
      </w:r>
      <w:proofErr w:type="spellStart"/>
      <w:r w:rsidRPr="00FB7F00">
        <w:rPr>
          <w:rFonts w:ascii="Times New Roman" w:hAnsi="Times New Roman" w:cs="Times New Roman"/>
          <w:sz w:val="20"/>
          <w:szCs w:val="20"/>
        </w:rPr>
        <w:t>M</w:t>
      </w:r>
      <w:r w:rsidR="00BE3ED2">
        <w:rPr>
          <w:rFonts w:ascii="Times New Roman" w:hAnsi="Times New Roman" w:cs="Times New Roman"/>
          <w:sz w:val="20"/>
          <w:szCs w:val="20"/>
        </w:rPr>
        <w:t>s</w:t>
      </w:r>
      <w:r w:rsidRPr="00FB7F00">
        <w:rPr>
          <w:rFonts w:ascii="Times New Roman" w:hAnsi="Times New Roman" w:cs="Times New Roman"/>
          <w:sz w:val="20"/>
          <w:szCs w:val="20"/>
        </w:rPr>
        <w:t>agmaris</w:t>
      </w:r>
      <w:proofErr w:type="spellEnd"/>
      <w:r w:rsidRPr="00FB7F00">
        <w:rPr>
          <w:rFonts w:ascii="Times New Roman" w:hAnsi="Times New Roman" w:cs="Times New Roman"/>
          <w:sz w:val="20"/>
          <w:szCs w:val="20"/>
        </w:rPr>
        <w:t xml:space="preserve"> bioresorbable magnesium scaffold is associated with acceptable medium-term safety and efficacy outcomes, with low rates of TLF, </w:t>
      </w:r>
      <w:r w:rsidR="00FD4179" w:rsidRPr="00FB7F00">
        <w:rPr>
          <w:rFonts w:ascii="Times New Roman" w:hAnsi="Times New Roman" w:cs="Times New Roman"/>
          <w:sz w:val="20"/>
          <w:szCs w:val="20"/>
        </w:rPr>
        <w:t>MI, *</w:t>
      </w:r>
      <w:r w:rsidR="00FD4179">
        <w:rPr>
          <w:rFonts w:ascii="Times New Roman" w:hAnsi="Times New Roman" w:cs="Times New Roman"/>
          <w:sz w:val="20"/>
          <w:szCs w:val="20"/>
        </w:rPr>
        <w:t>.</w:t>
      </w:r>
    </w:p>
    <w:p w14:paraId="396BF3C4" w14:textId="77777777" w:rsidR="00167B3D" w:rsidRDefault="00167B3D" w:rsidP="00FB7F00">
      <w:pPr>
        <w:widowControl w:val="0"/>
        <w:adjustRightInd w:val="0"/>
        <w:spacing w:after="0" w:line="360" w:lineRule="auto"/>
        <w:jc w:val="both"/>
        <w:rPr>
          <w:rFonts w:ascii="Times New Roman" w:hAnsi="Times New Roman" w:cs="Times New Roman"/>
          <w:sz w:val="20"/>
          <w:szCs w:val="20"/>
        </w:rPr>
      </w:pPr>
    </w:p>
    <w:p w14:paraId="5043B75A" w14:textId="29222FC3" w:rsidR="00167B3D" w:rsidRDefault="00167B3D" w:rsidP="00FB7F00">
      <w:pPr>
        <w:widowControl w:val="0"/>
        <w:adjustRightInd w:val="0"/>
        <w:spacing w:after="0" w:line="360" w:lineRule="auto"/>
        <w:jc w:val="both"/>
        <w:rPr>
          <w:rFonts w:ascii="Times New Roman" w:hAnsi="Times New Roman" w:cs="Times New Roman"/>
          <w:color w:val="00B0F0"/>
          <w:sz w:val="22"/>
          <w:szCs w:val="22"/>
        </w:rPr>
      </w:pPr>
      <w:r w:rsidRPr="00167B3D">
        <w:rPr>
          <w:rFonts w:ascii="Times New Roman" w:hAnsi="Times New Roman" w:cs="Times New Roman"/>
          <w:color w:val="00B0F0"/>
          <w:sz w:val="22"/>
          <w:szCs w:val="22"/>
        </w:rPr>
        <w:t>References</w:t>
      </w:r>
    </w:p>
    <w:p w14:paraId="41FF808F" w14:textId="77777777" w:rsidR="00BC656F" w:rsidRDefault="00BC656F" w:rsidP="00FB7F00">
      <w:pPr>
        <w:widowControl w:val="0"/>
        <w:adjustRightInd w:val="0"/>
        <w:spacing w:after="0" w:line="360" w:lineRule="auto"/>
        <w:jc w:val="both"/>
        <w:rPr>
          <w:rFonts w:ascii="Times New Roman" w:hAnsi="Times New Roman" w:cs="Times New Roman"/>
          <w:color w:val="00B0F0"/>
          <w:sz w:val="22"/>
          <w:szCs w:val="22"/>
        </w:rPr>
      </w:pPr>
    </w:p>
    <w:p w14:paraId="0A8B2326" w14:textId="52115D8B"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Pr="00F169F0">
        <w:rPr>
          <w:rFonts w:ascii="Times New Roman" w:hAnsi="Times New Roman" w:cs="Times New Roman"/>
          <w:sz w:val="20"/>
          <w:szCs w:val="20"/>
        </w:rPr>
        <w:t xml:space="preserve">Cassese S, </w:t>
      </w:r>
      <w:proofErr w:type="spellStart"/>
      <w:r w:rsidRPr="00F169F0">
        <w:rPr>
          <w:rFonts w:ascii="Times New Roman" w:hAnsi="Times New Roman" w:cs="Times New Roman"/>
          <w:sz w:val="20"/>
          <w:szCs w:val="20"/>
        </w:rPr>
        <w:t>Ndrepepa</w:t>
      </w:r>
      <w:proofErr w:type="spellEnd"/>
      <w:r w:rsidRPr="00F169F0">
        <w:rPr>
          <w:rFonts w:ascii="Times New Roman" w:hAnsi="Times New Roman" w:cs="Times New Roman"/>
          <w:sz w:val="20"/>
          <w:szCs w:val="20"/>
        </w:rPr>
        <w:t xml:space="preserve"> G, Byrne RA, et al: Outcomes of patients treated with ultrathin-strut biodegradable polymer sirolimus-eluting stents versus fluoropolymer-based everolimus-eluting stents: a meta-analysis of </w:t>
      </w:r>
      <w:proofErr w:type="spellStart"/>
      <w:r w:rsidRPr="00F169F0">
        <w:rPr>
          <w:rFonts w:ascii="Times New Roman" w:hAnsi="Times New Roman" w:cs="Times New Roman"/>
          <w:sz w:val="20"/>
          <w:szCs w:val="20"/>
        </w:rPr>
        <w:t>randomised</w:t>
      </w:r>
      <w:proofErr w:type="spellEnd"/>
      <w:r w:rsidRPr="00F169F0">
        <w:rPr>
          <w:rFonts w:ascii="Times New Roman" w:hAnsi="Times New Roman" w:cs="Times New Roman"/>
          <w:sz w:val="20"/>
          <w:szCs w:val="20"/>
        </w:rPr>
        <w:t xml:space="preserve"> trials. </w:t>
      </w:r>
      <w:proofErr w:type="spellStart"/>
      <w:r w:rsidRPr="00F169F0">
        <w:rPr>
          <w:rFonts w:ascii="Times New Roman" w:hAnsi="Times New Roman" w:cs="Times New Roman"/>
          <w:sz w:val="20"/>
          <w:szCs w:val="20"/>
        </w:rPr>
        <w:t>EuroIntervention</w:t>
      </w:r>
      <w:proofErr w:type="spellEnd"/>
      <w:r w:rsidRPr="00F169F0">
        <w:rPr>
          <w:rFonts w:ascii="Times New Roman" w:hAnsi="Times New Roman" w:cs="Times New Roman"/>
          <w:sz w:val="20"/>
          <w:szCs w:val="20"/>
        </w:rPr>
        <w:t xml:space="preserve"> 14 (2018): 224–231. </w:t>
      </w:r>
    </w:p>
    <w:p w14:paraId="16D0105F" w14:textId="5666AAEC"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Pr="00F169F0">
        <w:rPr>
          <w:rFonts w:ascii="Times New Roman" w:hAnsi="Times New Roman" w:cs="Times New Roman"/>
          <w:sz w:val="20"/>
          <w:szCs w:val="20"/>
        </w:rPr>
        <w:t xml:space="preserve">Lupi A, Schaffer A, Bongo AS: Should ultrathin strut drug eluting stents be considered the new benchmark for novel coronary stents approval? J </w:t>
      </w:r>
      <w:proofErr w:type="spellStart"/>
      <w:r w:rsidRPr="00F169F0">
        <w:rPr>
          <w:rFonts w:ascii="Times New Roman" w:hAnsi="Times New Roman" w:cs="Times New Roman"/>
          <w:sz w:val="20"/>
          <w:szCs w:val="20"/>
        </w:rPr>
        <w:t>Thorac</w:t>
      </w:r>
      <w:proofErr w:type="spellEnd"/>
      <w:r w:rsidRPr="00F169F0">
        <w:rPr>
          <w:rFonts w:ascii="Times New Roman" w:hAnsi="Times New Roman" w:cs="Times New Roman"/>
          <w:sz w:val="20"/>
          <w:szCs w:val="20"/>
        </w:rPr>
        <w:t xml:space="preserve"> Dis 10 (2018): 678–681. </w:t>
      </w:r>
    </w:p>
    <w:p w14:paraId="4710BC64" w14:textId="627018B6"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3. </w:t>
      </w:r>
      <w:r w:rsidRPr="00F169F0">
        <w:rPr>
          <w:rFonts w:ascii="Times New Roman" w:hAnsi="Times New Roman" w:cs="Times New Roman"/>
          <w:sz w:val="20"/>
          <w:szCs w:val="20"/>
        </w:rPr>
        <w:t xml:space="preserve">Galli S, Troiano S, </w:t>
      </w:r>
      <w:proofErr w:type="spellStart"/>
      <w:r w:rsidRPr="00F169F0">
        <w:rPr>
          <w:rFonts w:ascii="Times New Roman" w:hAnsi="Times New Roman" w:cs="Times New Roman"/>
          <w:sz w:val="20"/>
          <w:szCs w:val="20"/>
        </w:rPr>
        <w:t>Palloshi</w:t>
      </w:r>
      <w:proofErr w:type="spellEnd"/>
      <w:r w:rsidRPr="00F169F0">
        <w:rPr>
          <w:rFonts w:ascii="Times New Roman" w:hAnsi="Times New Roman" w:cs="Times New Roman"/>
          <w:sz w:val="20"/>
          <w:szCs w:val="20"/>
        </w:rPr>
        <w:t xml:space="preserve"> A, et al: Sustained Safety and Efficacy of Magnesium </w:t>
      </w:r>
      <w:proofErr w:type="spellStart"/>
      <w:r w:rsidRPr="00F169F0">
        <w:rPr>
          <w:rFonts w:ascii="Times New Roman" w:hAnsi="Times New Roman" w:cs="Times New Roman"/>
          <w:sz w:val="20"/>
          <w:szCs w:val="20"/>
        </w:rPr>
        <w:t>Reabsorbable</w:t>
      </w:r>
      <w:proofErr w:type="spellEnd"/>
      <w:r w:rsidRPr="00F169F0">
        <w:rPr>
          <w:rFonts w:ascii="Times New Roman" w:hAnsi="Times New Roman" w:cs="Times New Roman"/>
          <w:sz w:val="20"/>
          <w:szCs w:val="20"/>
        </w:rPr>
        <w:t xml:space="preserve"> Scaffold: 2-Year Follow-Up Analysis </w:t>
      </w:r>
      <w:proofErr w:type="gramStart"/>
      <w:r w:rsidRPr="00F169F0">
        <w:rPr>
          <w:rFonts w:ascii="Times New Roman" w:hAnsi="Times New Roman" w:cs="Times New Roman"/>
          <w:sz w:val="20"/>
          <w:szCs w:val="20"/>
        </w:rPr>
        <w:t>From</w:t>
      </w:r>
      <w:proofErr w:type="gramEnd"/>
      <w:r w:rsidRPr="00F169F0">
        <w:rPr>
          <w:rFonts w:ascii="Times New Roman" w:hAnsi="Times New Roman" w:cs="Times New Roman"/>
          <w:sz w:val="20"/>
          <w:szCs w:val="20"/>
        </w:rPr>
        <w:t xml:space="preserve"> First </w:t>
      </w:r>
      <w:proofErr w:type="spellStart"/>
      <w:r w:rsidRPr="00F169F0">
        <w:rPr>
          <w:rFonts w:ascii="Times New Roman" w:hAnsi="Times New Roman" w:cs="Times New Roman"/>
          <w:sz w:val="20"/>
          <w:szCs w:val="20"/>
        </w:rPr>
        <w:t>Magmaris</w:t>
      </w:r>
      <w:proofErr w:type="spellEnd"/>
      <w:r w:rsidRPr="00F169F0">
        <w:rPr>
          <w:rFonts w:ascii="Times New Roman" w:hAnsi="Times New Roman" w:cs="Times New Roman"/>
          <w:sz w:val="20"/>
          <w:szCs w:val="20"/>
        </w:rPr>
        <w:t xml:space="preserve"> Multicenter Italian Registry. Cardiovasc </w:t>
      </w:r>
      <w:proofErr w:type="spellStart"/>
      <w:r w:rsidRPr="00F169F0">
        <w:rPr>
          <w:rFonts w:ascii="Times New Roman" w:hAnsi="Times New Roman" w:cs="Times New Roman"/>
          <w:sz w:val="20"/>
          <w:szCs w:val="20"/>
        </w:rPr>
        <w:t>Revasc</w:t>
      </w:r>
      <w:proofErr w:type="spellEnd"/>
      <w:r w:rsidRPr="00F169F0">
        <w:rPr>
          <w:rFonts w:ascii="Times New Roman" w:hAnsi="Times New Roman" w:cs="Times New Roman"/>
          <w:sz w:val="20"/>
          <w:szCs w:val="20"/>
        </w:rPr>
        <w:t xml:space="preserve"> Med 41 (2022): 69–75. </w:t>
      </w:r>
    </w:p>
    <w:p w14:paraId="681824CA" w14:textId="22DC1D3E"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4. </w:t>
      </w:r>
      <w:proofErr w:type="spellStart"/>
      <w:r w:rsidRPr="00F169F0">
        <w:rPr>
          <w:rFonts w:ascii="Times New Roman" w:hAnsi="Times New Roman" w:cs="Times New Roman"/>
          <w:sz w:val="20"/>
          <w:szCs w:val="20"/>
        </w:rPr>
        <w:t>Włodarczak</w:t>
      </w:r>
      <w:proofErr w:type="spellEnd"/>
      <w:r w:rsidRPr="00F169F0">
        <w:rPr>
          <w:rFonts w:ascii="Times New Roman" w:hAnsi="Times New Roman" w:cs="Times New Roman"/>
          <w:sz w:val="20"/>
          <w:szCs w:val="20"/>
        </w:rPr>
        <w:t xml:space="preserve"> A, </w:t>
      </w:r>
      <w:proofErr w:type="spellStart"/>
      <w:r w:rsidRPr="00F169F0">
        <w:rPr>
          <w:rFonts w:ascii="Times New Roman" w:hAnsi="Times New Roman" w:cs="Times New Roman"/>
          <w:sz w:val="20"/>
          <w:szCs w:val="20"/>
        </w:rPr>
        <w:t>Łanocha</w:t>
      </w:r>
      <w:proofErr w:type="spellEnd"/>
      <w:r w:rsidRPr="00F169F0">
        <w:rPr>
          <w:rFonts w:ascii="Times New Roman" w:hAnsi="Times New Roman" w:cs="Times New Roman"/>
          <w:sz w:val="20"/>
          <w:szCs w:val="20"/>
        </w:rPr>
        <w:t xml:space="preserve"> M, </w:t>
      </w:r>
      <w:proofErr w:type="spellStart"/>
      <w:r w:rsidRPr="00F169F0">
        <w:rPr>
          <w:rFonts w:ascii="Times New Roman" w:hAnsi="Times New Roman" w:cs="Times New Roman"/>
          <w:sz w:val="20"/>
          <w:szCs w:val="20"/>
        </w:rPr>
        <w:t>Szudrowicz</w:t>
      </w:r>
      <w:proofErr w:type="spellEnd"/>
      <w:r w:rsidRPr="00F169F0">
        <w:rPr>
          <w:rFonts w:ascii="Times New Roman" w:hAnsi="Times New Roman" w:cs="Times New Roman"/>
          <w:sz w:val="20"/>
          <w:szCs w:val="20"/>
        </w:rPr>
        <w:t xml:space="preserve"> M, et al: The 1-Year Safety and Efficacy Outcomes of </w:t>
      </w:r>
      <w:proofErr w:type="spellStart"/>
      <w:r w:rsidRPr="00F169F0">
        <w:rPr>
          <w:rFonts w:ascii="Times New Roman" w:hAnsi="Times New Roman" w:cs="Times New Roman"/>
          <w:sz w:val="20"/>
          <w:szCs w:val="20"/>
        </w:rPr>
        <w:t>Magmaris</w:t>
      </w:r>
      <w:proofErr w:type="spellEnd"/>
      <w:r w:rsidRPr="00F169F0">
        <w:rPr>
          <w:rFonts w:ascii="Times New Roman" w:hAnsi="Times New Roman" w:cs="Times New Roman"/>
          <w:sz w:val="20"/>
          <w:szCs w:val="20"/>
        </w:rPr>
        <w:t xml:space="preserve">, Novel Magnesium Bioresorbable Vascular Scaffolds in Diabetes Mellitus Patients with Acute Coronary Syndrome. J Clin Med 10 (2021): 3166. </w:t>
      </w:r>
    </w:p>
    <w:p w14:paraId="014838C5" w14:textId="4AF508B1"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5. </w:t>
      </w:r>
      <w:proofErr w:type="spellStart"/>
      <w:r w:rsidRPr="00F169F0">
        <w:rPr>
          <w:rFonts w:ascii="Times New Roman" w:hAnsi="Times New Roman" w:cs="Times New Roman"/>
          <w:sz w:val="20"/>
          <w:szCs w:val="20"/>
        </w:rPr>
        <w:t>Włodarczak</w:t>
      </w:r>
      <w:proofErr w:type="spellEnd"/>
      <w:r w:rsidRPr="00F169F0">
        <w:rPr>
          <w:rFonts w:ascii="Times New Roman" w:hAnsi="Times New Roman" w:cs="Times New Roman"/>
          <w:sz w:val="20"/>
          <w:szCs w:val="20"/>
        </w:rPr>
        <w:t xml:space="preserve"> A, Rola P, </w:t>
      </w:r>
      <w:proofErr w:type="spellStart"/>
      <w:r w:rsidRPr="00F169F0">
        <w:rPr>
          <w:rFonts w:ascii="Times New Roman" w:hAnsi="Times New Roman" w:cs="Times New Roman"/>
          <w:sz w:val="20"/>
          <w:szCs w:val="20"/>
        </w:rPr>
        <w:t>Barycki</w:t>
      </w:r>
      <w:proofErr w:type="spellEnd"/>
      <w:r w:rsidRPr="00F169F0">
        <w:rPr>
          <w:rFonts w:ascii="Times New Roman" w:hAnsi="Times New Roman" w:cs="Times New Roman"/>
          <w:sz w:val="20"/>
          <w:szCs w:val="20"/>
        </w:rPr>
        <w:t xml:space="preserve"> M, et al: Mid-term safety and efficacy of magnesium bioresorbable vascular scaffolds – </w:t>
      </w:r>
      <w:proofErr w:type="spellStart"/>
      <w:r w:rsidRPr="00F169F0">
        <w:rPr>
          <w:rFonts w:ascii="Times New Roman" w:hAnsi="Times New Roman" w:cs="Times New Roman"/>
          <w:sz w:val="20"/>
          <w:szCs w:val="20"/>
        </w:rPr>
        <w:t>Magmaris</w:t>
      </w:r>
      <w:proofErr w:type="spellEnd"/>
      <w:r w:rsidRPr="00F169F0">
        <w:rPr>
          <w:rFonts w:ascii="Times New Roman" w:hAnsi="Times New Roman" w:cs="Times New Roman"/>
          <w:sz w:val="20"/>
          <w:szCs w:val="20"/>
        </w:rPr>
        <w:t xml:space="preserve"> in diabetic population. 2-Years outcome in acute coronary syndrome cohort. Diabetes </w:t>
      </w:r>
      <w:proofErr w:type="spellStart"/>
      <w:r w:rsidRPr="00F169F0">
        <w:rPr>
          <w:rFonts w:ascii="Times New Roman" w:hAnsi="Times New Roman" w:cs="Times New Roman"/>
          <w:sz w:val="20"/>
          <w:szCs w:val="20"/>
        </w:rPr>
        <w:t>Vasc</w:t>
      </w:r>
      <w:proofErr w:type="spellEnd"/>
      <w:r w:rsidRPr="00F169F0">
        <w:rPr>
          <w:rFonts w:ascii="Times New Roman" w:hAnsi="Times New Roman" w:cs="Times New Roman"/>
          <w:sz w:val="20"/>
          <w:szCs w:val="20"/>
        </w:rPr>
        <w:t xml:space="preserve"> Dis Res 20 (2023): 14791641231188705. </w:t>
      </w:r>
    </w:p>
    <w:p w14:paraId="4AB699CF" w14:textId="75C3CAB2"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6. </w:t>
      </w:r>
      <w:proofErr w:type="spellStart"/>
      <w:r w:rsidRPr="00F169F0">
        <w:rPr>
          <w:rFonts w:ascii="Times New Roman" w:hAnsi="Times New Roman" w:cs="Times New Roman"/>
          <w:sz w:val="20"/>
          <w:szCs w:val="20"/>
        </w:rPr>
        <w:t>Verheye</w:t>
      </w:r>
      <w:proofErr w:type="spellEnd"/>
      <w:r w:rsidRPr="00F169F0">
        <w:rPr>
          <w:rFonts w:ascii="Times New Roman" w:hAnsi="Times New Roman" w:cs="Times New Roman"/>
          <w:sz w:val="20"/>
          <w:szCs w:val="20"/>
        </w:rPr>
        <w:t xml:space="preserve"> S, </w:t>
      </w:r>
      <w:proofErr w:type="spellStart"/>
      <w:r w:rsidRPr="00F169F0">
        <w:rPr>
          <w:rFonts w:ascii="Times New Roman" w:hAnsi="Times New Roman" w:cs="Times New Roman"/>
          <w:sz w:val="20"/>
          <w:szCs w:val="20"/>
        </w:rPr>
        <w:t>Wlodarczak</w:t>
      </w:r>
      <w:proofErr w:type="spellEnd"/>
      <w:r w:rsidRPr="00F169F0">
        <w:rPr>
          <w:rFonts w:ascii="Times New Roman" w:hAnsi="Times New Roman" w:cs="Times New Roman"/>
          <w:sz w:val="20"/>
          <w:szCs w:val="20"/>
        </w:rPr>
        <w:t xml:space="preserve"> A, </w:t>
      </w:r>
      <w:proofErr w:type="spellStart"/>
      <w:r w:rsidRPr="00F169F0">
        <w:rPr>
          <w:rFonts w:ascii="Times New Roman" w:hAnsi="Times New Roman" w:cs="Times New Roman"/>
          <w:sz w:val="20"/>
          <w:szCs w:val="20"/>
        </w:rPr>
        <w:t>Montorsi</w:t>
      </w:r>
      <w:proofErr w:type="spellEnd"/>
      <w:r w:rsidRPr="00F169F0">
        <w:rPr>
          <w:rFonts w:ascii="Times New Roman" w:hAnsi="Times New Roman" w:cs="Times New Roman"/>
          <w:sz w:val="20"/>
          <w:szCs w:val="20"/>
        </w:rPr>
        <w:t xml:space="preserve"> P, et al: BIOSOLVE-IV-registry: Safety and performance of the </w:t>
      </w:r>
      <w:proofErr w:type="spellStart"/>
      <w:r w:rsidRPr="00F169F0">
        <w:rPr>
          <w:rFonts w:ascii="Times New Roman" w:hAnsi="Times New Roman" w:cs="Times New Roman"/>
          <w:sz w:val="20"/>
          <w:szCs w:val="20"/>
        </w:rPr>
        <w:t>Magmaris</w:t>
      </w:r>
      <w:proofErr w:type="spellEnd"/>
      <w:r w:rsidRPr="00F169F0">
        <w:rPr>
          <w:rFonts w:ascii="Times New Roman" w:hAnsi="Times New Roman" w:cs="Times New Roman"/>
          <w:sz w:val="20"/>
          <w:szCs w:val="20"/>
        </w:rPr>
        <w:t xml:space="preserve"> scaffold: 12-month outcomes of the first cohort of 1,075 patients. Catheter Cardiovasc </w:t>
      </w:r>
      <w:proofErr w:type="spellStart"/>
      <w:r w:rsidRPr="00F169F0">
        <w:rPr>
          <w:rFonts w:ascii="Times New Roman" w:hAnsi="Times New Roman" w:cs="Times New Roman"/>
          <w:sz w:val="20"/>
          <w:szCs w:val="20"/>
        </w:rPr>
        <w:t>Interv</w:t>
      </w:r>
      <w:proofErr w:type="spellEnd"/>
      <w:r w:rsidRPr="00F169F0">
        <w:rPr>
          <w:rFonts w:ascii="Times New Roman" w:hAnsi="Times New Roman" w:cs="Times New Roman"/>
          <w:sz w:val="20"/>
          <w:szCs w:val="20"/>
        </w:rPr>
        <w:t xml:space="preserve"> 98 (2021): E1–E8. </w:t>
      </w:r>
    </w:p>
    <w:p w14:paraId="5A377589" w14:textId="379F5D22"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7. </w:t>
      </w:r>
      <w:r w:rsidRPr="00F169F0">
        <w:rPr>
          <w:rFonts w:ascii="Times New Roman" w:hAnsi="Times New Roman" w:cs="Times New Roman"/>
          <w:sz w:val="20"/>
          <w:szCs w:val="20"/>
        </w:rPr>
        <w:t xml:space="preserve">Wells GA, Shea B, O’Connell D, et al: The Newcastle–Ottawa Scale (NOS) for assessing the quality of </w:t>
      </w:r>
      <w:proofErr w:type="spellStart"/>
      <w:r w:rsidRPr="00F169F0">
        <w:rPr>
          <w:rFonts w:ascii="Times New Roman" w:hAnsi="Times New Roman" w:cs="Times New Roman"/>
          <w:sz w:val="20"/>
          <w:szCs w:val="20"/>
        </w:rPr>
        <w:t>nonrandomised</w:t>
      </w:r>
      <w:proofErr w:type="spellEnd"/>
      <w:r w:rsidRPr="00F169F0">
        <w:rPr>
          <w:rFonts w:ascii="Times New Roman" w:hAnsi="Times New Roman" w:cs="Times New Roman"/>
          <w:sz w:val="20"/>
          <w:szCs w:val="20"/>
        </w:rPr>
        <w:t xml:space="preserve"> studies in meta-analyses. Ottawa Hospital Research Institute.</w:t>
      </w:r>
    </w:p>
    <w:p w14:paraId="1CA4FE2F" w14:textId="466AA235"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8. </w:t>
      </w:r>
      <w:r w:rsidRPr="00F169F0">
        <w:rPr>
          <w:rFonts w:ascii="Times New Roman" w:hAnsi="Times New Roman" w:cs="Times New Roman"/>
          <w:sz w:val="20"/>
          <w:szCs w:val="20"/>
        </w:rPr>
        <w:t xml:space="preserve">Chisari A, Pistritto AM, Piccolo R, et al: The </w:t>
      </w:r>
      <w:proofErr w:type="spellStart"/>
      <w:r w:rsidRPr="00F169F0">
        <w:rPr>
          <w:rFonts w:ascii="Times New Roman" w:hAnsi="Times New Roman" w:cs="Times New Roman"/>
          <w:sz w:val="20"/>
          <w:szCs w:val="20"/>
        </w:rPr>
        <w:t>Ultimaster</w:t>
      </w:r>
      <w:proofErr w:type="spellEnd"/>
      <w:r w:rsidRPr="00F169F0">
        <w:rPr>
          <w:rFonts w:ascii="Times New Roman" w:hAnsi="Times New Roman" w:cs="Times New Roman"/>
          <w:sz w:val="20"/>
          <w:szCs w:val="20"/>
        </w:rPr>
        <w:t xml:space="preserve"> Biodegradable-Polymer Sirolimus-Eluting Stent: An Updated Review of Clinical Evidence. Int J Mol Sci 17(2016): 1490. </w:t>
      </w:r>
    </w:p>
    <w:p w14:paraId="00B81CC2" w14:textId="11E3C93C"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9. </w:t>
      </w:r>
      <w:r w:rsidRPr="00F169F0">
        <w:rPr>
          <w:rFonts w:ascii="Times New Roman" w:hAnsi="Times New Roman" w:cs="Times New Roman"/>
          <w:sz w:val="20"/>
          <w:szCs w:val="20"/>
        </w:rPr>
        <w:t xml:space="preserve">Hansen KN, Jensen LO, Maeng M, et al. Five-Year Clinical Outcome of the Biodegradable Polymer Ultrathin Strut Sirolimus-Eluting Stent Compared to the Biodegradable Polymer </w:t>
      </w:r>
      <w:proofErr w:type="spellStart"/>
      <w:r w:rsidRPr="00F169F0">
        <w:rPr>
          <w:rFonts w:ascii="Times New Roman" w:hAnsi="Times New Roman" w:cs="Times New Roman"/>
          <w:sz w:val="20"/>
          <w:szCs w:val="20"/>
        </w:rPr>
        <w:t>Biolimus</w:t>
      </w:r>
      <w:proofErr w:type="spellEnd"/>
      <w:r w:rsidRPr="00F169F0">
        <w:rPr>
          <w:rFonts w:ascii="Times New Roman" w:hAnsi="Times New Roman" w:cs="Times New Roman"/>
          <w:sz w:val="20"/>
          <w:szCs w:val="20"/>
        </w:rPr>
        <w:t xml:space="preserve">-Eluting Stent: From the SORT OUT VII Trial. Circ Cardiovasc </w:t>
      </w:r>
      <w:proofErr w:type="spellStart"/>
      <w:r w:rsidRPr="00F169F0">
        <w:rPr>
          <w:rFonts w:ascii="Times New Roman" w:hAnsi="Times New Roman" w:cs="Times New Roman"/>
          <w:sz w:val="20"/>
          <w:szCs w:val="20"/>
        </w:rPr>
        <w:t>Interv</w:t>
      </w:r>
      <w:proofErr w:type="spellEnd"/>
      <w:r w:rsidRPr="00F169F0">
        <w:rPr>
          <w:rFonts w:ascii="Times New Roman" w:hAnsi="Times New Roman" w:cs="Times New Roman"/>
          <w:sz w:val="20"/>
          <w:szCs w:val="20"/>
        </w:rPr>
        <w:t xml:space="preserve"> 16(2023): e012332. </w:t>
      </w:r>
    </w:p>
    <w:p w14:paraId="3233DD20" w14:textId="524FEB25"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10. </w:t>
      </w:r>
      <w:r w:rsidRPr="00F169F0">
        <w:rPr>
          <w:rFonts w:ascii="Times New Roman" w:hAnsi="Times New Roman" w:cs="Times New Roman"/>
          <w:sz w:val="20"/>
          <w:szCs w:val="20"/>
        </w:rPr>
        <w:t xml:space="preserve">Park S, Rha SW, Choi BG, et al: Efficacy and Safety of Sirolimus-Eluting Stent </w:t>
      </w:r>
      <w:proofErr w:type="gramStart"/>
      <w:r w:rsidRPr="00F169F0">
        <w:rPr>
          <w:rFonts w:ascii="Times New Roman" w:hAnsi="Times New Roman" w:cs="Times New Roman"/>
          <w:sz w:val="20"/>
          <w:szCs w:val="20"/>
        </w:rPr>
        <w:t>With</w:t>
      </w:r>
      <w:proofErr w:type="gramEnd"/>
      <w:r w:rsidRPr="00F169F0">
        <w:rPr>
          <w:rFonts w:ascii="Times New Roman" w:hAnsi="Times New Roman" w:cs="Times New Roman"/>
          <w:sz w:val="20"/>
          <w:szCs w:val="20"/>
        </w:rPr>
        <w:t xml:space="preserve"> Biodegradable Polymer </w:t>
      </w:r>
      <w:proofErr w:type="spellStart"/>
      <w:r w:rsidRPr="00F169F0">
        <w:rPr>
          <w:rFonts w:ascii="Times New Roman" w:hAnsi="Times New Roman" w:cs="Times New Roman"/>
          <w:sz w:val="20"/>
          <w:szCs w:val="20"/>
        </w:rPr>
        <w:t>Ultimaster</w:t>
      </w:r>
      <w:proofErr w:type="spellEnd"/>
      <w:r w:rsidRPr="00F169F0">
        <w:rPr>
          <w:rFonts w:ascii="Times New Roman" w:hAnsi="Times New Roman" w:cs="Times New Roman"/>
          <w:sz w:val="20"/>
          <w:szCs w:val="20"/>
        </w:rPr>
        <w:t xml:space="preserve">™ in Unselected Korean Population. Korean Circ J 54 (2024): 339–350. </w:t>
      </w:r>
    </w:p>
    <w:p w14:paraId="0AB6D345" w14:textId="1A3AED00"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11. </w:t>
      </w:r>
      <w:r w:rsidRPr="00F169F0">
        <w:rPr>
          <w:rFonts w:ascii="Times New Roman" w:hAnsi="Times New Roman" w:cs="Times New Roman"/>
          <w:sz w:val="20"/>
          <w:szCs w:val="20"/>
        </w:rPr>
        <w:t xml:space="preserve">Eccleston DS, Chowdhury E, Rafter T, et al: Long-Term Outcomes of Contemporary Percutaneous Coronary </w:t>
      </w:r>
      <w:r w:rsidRPr="00F169F0">
        <w:rPr>
          <w:rFonts w:ascii="Times New Roman" w:hAnsi="Times New Roman" w:cs="Times New Roman"/>
          <w:sz w:val="20"/>
          <w:szCs w:val="20"/>
        </w:rPr>
        <w:lastRenderedPageBreak/>
        <w:t xml:space="preserve">Intervention with the </w:t>
      </w:r>
      <w:proofErr w:type="spellStart"/>
      <w:r w:rsidRPr="00F169F0">
        <w:rPr>
          <w:rFonts w:ascii="Times New Roman" w:hAnsi="Times New Roman" w:cs="Times New Roman"/>
          <w:sz w:val="20"/>
          <w:szCs w:val="20"/>
        </w:rPr>
        <w:t>Xience</w:t>
      </w:r>
      <w:proofErr w:type="spellEnd"/>
      <w:r w:rsidRPr="00F169F0">
        <w:rPr>
          <w:rFonts w:ascii="Times New Roman" w:hAnsi="Times New Roman" w:cs="Times New Roman"/>
          <w:sz w:val="20"/>
          <w:szCs w:val="20"/>
        </w:rPr>
        <w:t xml:space="preserve"> Drug-Eluting Stent: Results from a </w:t>
      </w:r>
      <w:proofErr w:type="spellStart"/>
      <w:r w:rsidRPr="00F169F0">
        <w:rPr>
          <w:rFonts w:ascii="Times New Roman" w:hAnsi="Times New Roman" w:cs="Times New Roman"/>
          <w:sz w:val="20"/>
          <w:szCs w:val="20"/>
        </w:rPr>
        <w:t>Multicentre</w:t>
      </w:r>
      <w:proofErr w:type="spellEnd"/>
      <w:r w:rsidRPr="00F169F0">
        <w:rPr>
          <w:rFonts w:ascii="Times New Roman" w:hAnsi="Times New Roman" w:cs="Times New Roman"/>
          <w:sz w:val="20"/>
          <w:szCs w:val="20"/>
        </w:rPr>
        <w:t xml:space="preserve"> Australian Registry. J Clin Med 12 (2022): 280. </w:t>
      </w:r>
    </w:p>
    <w:p w14:paraId="22D3B75A" w14:textId="4245A47F"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12. </w:t>
      </w:r>
      <w:proofErr w:type="spellStart"/>
      <w:r w:rsidRPr="00F169F0">
        <w:rPr>
          <w:rFonts w:ascii="Times New Roman" w:hAnsi="Times New Roman" w:cs="Times New Roman"/>
          <w:sz w:val="20"/>
          <w:szCs w:val="20"/>
        </w:rPr>
        <w:t>Verheye</w:t>
      </w:r>
      <w:proofErr w:type="spellEnd"/>
      <w:r w:rsidRPr="00F169F0">
        <w:rPr>
          <w:rFonts w:ascii="Times New Roman" w:hAnsi="Times New Roman" w:cs="Times New Roman"/>
          <w:sz w:val="20"/>
          <w:szCs w:val="20"/>
        </w:rPr>
        <w:t xml:space="preserve"> S, </w:t>
      </w:r>
      <w:proofErr w:type="spellStart"/>
      <w:r w:rsidRPr="00F169F0">
        <w:rPr>
          <w:rFonts w:ascii="Times New Roman" w:hAnsi="Times New Roman" w:cs="Times New Roman"/>
          <w:sz w:val="20"/>
          <w:szCs w:val="20"/>
        </w:rPr>
        <w:t>Wlodarczak</w:t>
      </w:r>
      <w:proofErr w:type="spellEnd"/>
      <w:r w:rsidRPr="00F169F0">
        <w:rPr>
          <w:rFonts w:ascii="Times New Roman" w:hAnsi="Times New Roman" w:cs="Times New Roman"/>
          <w:sz w:val="20"/>
          <w:szCs w:val="20"/>
        </w:rPr>
        <w:t xml:space="preserve"> A, </w:t>
      </w:r>
      <w:proofErr w:type="spellStart"/>
      <w:r w:rsidRPr="00F169F0">
        <w:rPr>
          <w:rFonts w:ascii="Times New Roman" w:hAnsi="Times New Roman" w:cs="Times New Roman"/>
          <w:sz w:val="20"/>
          <w:szCs w:val="20"/>
        </w:rPr>
        <w:t>Montorsi</w:t>
      </w:r>
      <w:proofErr w:type="spellEnd"/>
      <w:r w:rsidRPr="00F169F0">
        <w:rPr>
          <w:rFonts w:ascii="Times New Roman" w:hAnsi="Times New Roman" w:cs="Times New Roman"/>
          <w:sz w:val="20"/>
          <w:szCs w:val="20"/>
        </w:rPr>
        <w:t xml:space="preserve"> P, et al: BIOSOLVE-IV-registry: Safety and performance of the </w:t>
      </w:r>
      <w:proofErr w:type="spellStart"/>
      <w:r w:rsidRPr="00F169F0">
        <w:rPr>
          <w:rFonts w:ascii="Times New Roman" w:hAnsi="Times New Roman" w:cs="Times New Roman"/>
          <w:sz w:val="20"/>
          <w:szCs w:val="20"/>
        </w:rPr>
        <w:t>Magmaris</w:t>
      </w:r>
      <w:proofErr w:type="spellEnd"/>
      <w:r w:rsidRPr="00F169F0">
        <w:rPr>
          <w:rFonts w:ascii="Times New Roman" w:hAnsi="Times New Roman" w:cs="Times New Roman"/>
          <w:sz w:val="20"/>
          <w:szCs w:val="20"/>
        </w:rPr>
        <w:t xml:space="preserve"> scaffold: 12-month outcomes of the first cohort of 1,075 patients. Catheter Cardiovasc </w:t>
      </w:r>
      <w:proofErr w:type="spellStart"/>
      <w:r w:rsidRPr="00F169F0">
        <w:rPr>
          <w:rFonts w:ascii="Times New Roman" w:hAnsi="Times New Roman" w:cs="Times New Roman"/>
          <w:sz w:val="20"/>
          <w:szCs w:val="20"/>
        </w:rPr>
        <w:t>Interv</w:t>
      </w:r>
      <w:proofErr w:type="spellEnd"/>
      <w:r w:rsidRPr="00F169F0">
        <w:rPr>
          <w:rFonts w:ascii="Times New Roman" w:hAnsi="Times New Roman" w:cs="Times New Roman"/>
          <w:sz w:val="20"/>
          <w:szCs w:val="20"/>
        </w:rPr>
        <w:t xml:space="preserve"> 98 (2021): E1–E8. </w:t>
      </w:r>
    </w:p>
    <w:p w14:paraId="2F2DB926" w14:textId="16C85E70" w:rsidR="00F169F0" w:rsidRPr="00F169F0"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13. </w:t>
      </w:r>
      <w:proofErr w:type="spellStart"/>
      <w:r w:rsidRPr="00F169F0">
        <w:rPr>
          <w:rFonts w:ascii="Times New Roman" w:hAnsi="Times New Roman" w:cs="Times New Roman"/>
          <w:sz w:val="20"/>
          <w:szCs w:val="20"/>
        </w:rPr>
        <w:t>Wlodarczak</w:t>
      </w:r>
      <w:proofErr w:type="spellEnd"/>
      <w:r w:rsidRPr="00F169F0">
        <w:rPr>
          <w:rFonts w:ascii="Times New Roman" w:hAnsi="Times New Roman" w:cs="Times New Roman"/>
          <w:sz w:val="20"/>
          <w:szCs w:val="20"/>
        </w:rPr>
        <w:t xml:space="preserve"> A, </w:t>
      </w:r>
      <w:proofErr w:type="spellStart"/>
      <w:r w:rsidRPr="00F169F0">
        <w:rPr>
          <w:rFonts w:ascii="Times New Roman" w:hAnsi="Times New Roman" w:cs="Times New Roman"/>
          <w:sz w:val="20"/>
          <w:szCs w:val="20"/>
        </w:rPr>
        <w:t>Montorsi</w:t>
      </w:r>
      <w:proofErr w:type="spellEnd"/>
      <w:r w:rsidRPr="00F169F0">
        <w:rPr>
          <w:rFonts w:ascii="Times New Roman" w:hAnsi="Times New Roman" w:cs="Times New Roman"/>
          <w:sz w:val="20"/>
          <w:szCs w:val="20"/>
        </w:rPr>
        <w:t xml:space="preserve"> P, Torzewski J, et al: One- and two-year clinical outcomes of treatment with resorbable magnesium scaffolds for coronary artery disease: the prospective, international, </w:t>
      </w:r>
      <w:proofErr w:type="spellStart"/>
      <w:r w:rsidRPr="00F169F0">
        <w:rPr>
          <w:rFonts w:ascii="Times New Roman" w:hAnsi="Times New Roman" w:cs="Times New Roman"/>
          <w:sz w:val="20"/>
          <w:szCs w:val="20"/>
        </w:rPr>
        <w:t>multicentre</w:t>
      </w:r>
      <w:proofErr w:type="spellEnd"/>
      <w:r w:rsidRPr="00F169F0">
        <w:rPr>
          <w:rFonts w:ascii="Times New Roman" w:hAnsi="Times New Roman" w:cs="Times New Roman"/>
          <w:sz w:val="20"/>
          <w:szCs w:val="20"/>
        </w:rPr>
        <w:t xml:space="preserve"> BIOSOLVE-IV registry. </w:t>
      </w:r>
      <w:proofErr w:type="spellStart"/>
      <w:r w:rsidRPr="00F169F0">
        <w:rPr>
          <w:rFonts w:ascii="Times New Roman" w:hAnsi="Times New Roman" w:cs="Times New Roman"/>
          <w:sz w:val="20"/>
          <w:szCs w:val="20"/>
        </w:rPr>
        <w:t>EuroIntervention</w:t>
      </w:r>
      <w:proofErr w:type="spellEnd"/>
      <w:r w:rsidRPr="00F169F0">
        <w:rPr>
          <w:rFonts w:ascii="Times New Roman" w:hAnsi="Times New Roman" w:cs="Times New Roman"/>
          <w:sz w:val="20"/>
          <w:szCs w:val="20"/>
        </w:rPr>
        <w:t xml:space="preserve"> 19 (2023): 232–239. </w:t>
      </w:r>
    </w:p>
    <w:p w14:paraId="4F49B10A" w14:textId="0DB1752B" w:rsidR="00167B3D" w:rsidRDefault="00F169F0" w:rsidP="00F169F0">
      <w:pPr>
        <w:widowControl w:val="0"/>
        <w:adjustRightInd w:val="0"/>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14. </w:t>
      </w:r>
      <w:r w:rsidRPr="00F169F0">
        <w:rPr>
          <w:rFonts w:ascii="Times New Roman" w:hAnsi="Times New Roman" w:cs="Times New Roman"/>
          <w:sz w:val="20"/>
          <w:szCs w:val="20"/>
        </w:rPr>
        <w:t xml:space="preserve">BIOTRONIK AG, </w:t>
      </w:r>
      <w:proofErr w:type="spellStart"/>
      <w:r w:rsidRPr="00F169F0">
        <w:rPr>
          <w:rFonts w:ascii="Times New Roman" w:hAnsi="Times New Roman" w:cs="Times New Roman"/>
          <w:sz w:val="20"/>
          <w:szCs w:val="20"/>
        </w:rPr>
        <w:t>Orsiro</w:t>
      </w:r>
      <w:proofErr w:type="spellEnd"/>
      <w:r w:rsidRPr="00F169F0">
        <w:rPr>
          <w:rFonts w:ascii="Times New Roman" w:hAnsi="Times New Roman" w:cs="Times New Roman"/>
          <w:sz w:val="20"/>
          <w:szCs w:val="20"/>
        </w:rPr>
        <w:t xml:space="preserve"> (</w:t>
      </w:r>
      <w:proofErr w:type="gramStart"/>
      <w:r w:rsidRPr="00F169F0">
        <w:rPr>
          <w:rFonts w:ascii="Times New Roman" w:hAnsi="Times New Roman" w:cs="Times New Roman"/>
          <w:sz w:val="20"/>
          <w:szCs w:val="20"/>
        </w:rPr>
        <w:t>SES) —</w:t>
      </w:r>
      <w:proofErr w:type="gramEnd"/>
      <w:r w:rsidRPr="00F169F0">
        <w:rPr>
          <w:rFonts w:ascii="Times New Roman" w:hAnsi="Times New Roman" w:cs="Times New Roman"/>
          <w:sz w:val="20"/>
          <w:szCs w:val="20"/>
        </w:rPr>
        <w:t xml:space="preserve"> 24-Month Clinical Results (BIOFLOW V). Berlin: BIOTRONIK </w:t>
      </w:r>
      <w:proofErr w:type="gramStart"/>
      <w:r w:rsidRPr="00F169F0">
        <w:rPr>
          <w:rFonts w:ascii="Times New Roman" w:hAnsi="Times New Roman" w:cs="Times New Roman"/>
          <w:sz w:val="20"/>
          <w:szCs w:val="20"/>
        </w:rPr>
        <w:t>AG  (</w:t>
      </w:r>
      <w:proofErr w:type="gramEnd"/>
      <w:r w:rsidRPr="00F169F0">
        <w:rPr>
          <w:rFonts w:ascii="Times New Roman" w:hAnsi="Times New Roman" w:cs="Times New Roman"/>
          <w:sz w:val="20"/>
          <w:szCs w:val="20"/>
        </w:rPr>
        <w:t>2018).</w:t>
      </w:r>
    </w:p>
    <w:p w14:paraId="7CBDF18C" w14:textId="77777777" w:rsidR="00A06CDA" w:rsidRDefault="00A06CDA" w:rsidP="00F169F0">
      <w:pPr>
        <w:widowControl w:val="0"/>
        <w:adjustRightInd w:val="0"/>
        <w:spacing w:after="0" w:line="360" w:lineRule="auto"/>
        <w:jc w:val="both"/>
        <w:rPr>
          <w:rFonts w:ascii="Times New Roman" w:hAnsi="Times New Roman" w:cs="Times New Roman"/>
          <w:sz w:val="20"/>
          <w:szCs w:val="20"/>
        </w:rPr>
      </w:pPr>
    </w:p>
    <w:p w14:paraId="7B40106C" w14:textId="77777777" w:rsidR="00A06CDA" w:rsidRDefault="00A06CDA" w:rsidP="00F169F0">
      <w:pPr>
        <w:widowControl w:val="0"/>
        <w:adjustRightInd w:val="0"/>
        <w:spacing w:after="0" w:line="360" w:lineRule="auto"/>
        <w:jc w:val="both"/>
        <w:rPr>
          <w:rFonts w:ascii="Times New Roman" w:hAnsi="Times New Roman" w:cs="Times New Roman"/>
          <w:sz w:val="20"/>
          <w:szCs w:val="20"/>
        </w:rPr>
      </w:pPr>
    </w:p>
    <w:p w14:paraId="4B275980" w14:textId="77777777" w:rsidR="00A06CDA" w:rsidRPr="00167B3D" w:rsidRDefault="00A06CDA" w:rsidP="00F169F0">
      <w:pPr>
        <w:widowControl w:val="0"/>
        <w:adjustRightInd w:val="0"/>
        <w:spacing w:after="0" w:line="360" w:lineRule="auto"/>
        <w:jc w:val="both"/>
        <w:rPr>
          <w:rFonts w:ascii="Times New Roman" w:hAnsi="Times New Roman" w:cs="Times New Roman"/>
          <w:sz w:val="20"/>
          <w:szCs w:val="20"/>
        </w:rPr>
      </w:pPr>
    </w:p>
    <w:p w14:paraId="658A72B3" w14:textId="77777777" w:rsidR="0043410A" w:rsidRPr="00307263" w:rsidRDefault="0043410A" w:rsidP="00307263">
      <w:pPr>
        <w:widowControl w:val="0"/>
        <w:adjustRightInd w:val="0"/>
        <w:spacing w:after="0" w:line="360" w:lineRule="auto"/>
        <w:jc w:val="both"/>
        <w:rPr>
          <w:rFonts w:ascii="Times New Roman" w:eastAsia="DengXian" w:hAnsi="Times New Roman" w:cs="Times New Roman"/>
          <w:kern w:val="2"/>
          <w:sz w:val="20"/>
          <w:szCs w:val="20"/>
          <w:lang w:eastAsia="zh-CN"/>
        </w:rPr>
      </w:pPr>
    </w:p>
    <w:p w14:paraId="448FC163" w14:textId="77777777" w:rsidR="00BD0C0E" w:rsidRDefault="00BD0C0E" w:rsidP="00BD0C0E">
      <w:pPr>
        <w:spacing w:after="0" w:line="360" w:lineRule="auto"/>
        <w:ind w:left="1077" w:hanging="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5"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6"/>
      <w:headerReference w:type="default" r:id="rId17"/>
      <w:footerReference w:type="even" r:id="rId18"/>
      <w:footerReference w:type="default" r:id="rId19"/>
      <w:headerReference w:type="first" r:id="rId20"/>
      <w:footerReference w:type="first" r:id="rId21"/>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C928A" w14:textId="77777777" w:rsidR="00A03E19" w:rsidRDefault="00A03E19" w:rsidP="00A62EFF">
      <w:pPr>
        <w:spacing w:after="0" w:line="240" w:lineRule="auto"/>
      </w:pPr>
      <w:r>
        <w:separator/>
      </w:r>
    </w:p>
  </w:endnote>
  <w:endnote w:type="continuationSeparator" w:id="0">
    <w:p w14:paraId="7DFBE6DD" w14:textId="77777777" w:rsidR="00A03E19" w:rsidRDefault="00A03E19"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88D6752" w14:textId="5F6A1177" w:rsidR="00891703" w:rsidRPr="000A1553" w:rsidRDefault="00891703" w:rsidP="00891703">
    <w:pPr>
      <w:pStyle w:val="Footer"/>
      <w:rPr>
        <w:color w:val="0070C0"/>
        <w:sz w:val="20"/>
        <w:szCs w:val="20"/>
        <w:lang w:val="en-IN"/>
      </w:rPr>
    </w:pPr>
    <w:r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Pr>
        <w:rFonts w:asciiTheme="majorBidi" w:hAnsiTheme="majorBidi" w:cstheme="majorBidi"/>
        <w:b/>
        <w:bCs/>
        <w:color w:val="0070C0"/>
        <w:sz w:val="20"/>
        <w:szCs w:val="20"/>
      </w:rPr>
      <w:t>25</w:t>
    </w:r>
    <w:r w:rsidRPr="000A1553">
      <w:rPr>
        <w:rFonts w:asciiTheme="majorBidi" w:hAnsiTheme="majorBidi" w:cstheme="majorBidi"/>
        <w:b/>
        <w:bCs/>
        <w:noProof/>
        <w:color w:val="0070C0"/>
        <w:sz w:val="20"/>
        <w:szCs w:val="20"/>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08945" w14:textId="77777777" w:rsidR="00A03E19" w:rsidRDefault="00A03E19" w:rsidP="00A62EFF">
      <w:pPr>
        <w:spacing w:after="0" w:line="240" w:lineRule="auto"/>
      </w:pPr>
      <w:r>
        <w:separator/>
      </w:r>
    </w:p>
  </w:footnote>
  <w:footnote w:type="continuationSeparator" w:id="0">
    <w:p w14:paraId="1E62E1E1" w14:textId="77777777" w:rsidR="00A03E19" w:rsidRDefault="00A03E19"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29581BA0" w:rsidR="00891703" w:rsidRPr="00762E20" w:rsidRDefault="00891703" w:rsidP="00891703">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w:t>
    </w:r>
    <w:r w:rsidR="00726B23">
      <w:rPr>
        <w:rFonts w:asciiTheme="majorBidi" w:hAnsiTheme="majorBidi" w:cstheme="majorBidi"/>
        <w:b/>
        <w:bCs/>
        <w:color w:val="0070C0"/>
        <w:sz w:val="20"/>
        <w:szCs w:val="20"/>
      </w:rPr>
      <w:t>3</w:t>
    </w:r>
    <w:r w:rsidRPr="00762E20">
      <w:rPr>
        <w:rFonts w:asciiTheme="majorBidi" w:hAnsiTheme="majorBidi" w:cstheme="majorBidi"/>
        <w:b/>
        <w:bCs/>
        <w:color w:val="0070C0"/>
        <w:sz w:val="20"/>
        <w:szCs w:val="20"/>
      </w:rPr>
      <w:t>):</w:t>
    </w:r>
    <w:r w:rsidR="00C31C2D">
      <w:rPr>
        <w:rFonts w:asciiTheme="majorBidi" w:hAnsiTheme="majorBidi" w:cstheme="majorBidi"/>
        <w:b/>
        <w:bCs/>
        <w:color w:val="0070C0"/>
        <w:sz w:val="20"/>
        <w:szCs w:val="20"/>
      </w:rPr>
      <w:t>1</w:t>
    </w:r>
    <w:r w:rsidR="009B708D">
      <w:rPr>
        <w:rFonts w:asciiTheme="majorBidi" w:hAnsiTheme="majorBidi" w:cstheme="majorBidi"/>
        <w:b/>
        <w:bCs/>
        <w:color w:val="0070C0"/>
        <w:sz w:val="20"/>
        <w:szCs w:val="20"/>
      </w:rPr>
      <w:t>71-191</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 xml:space="preserve"> DOI:10.26502/fccm.92920</w:t>
    </w:r>
    <w:r w:rsidR="00C31C2D">
      <w:rPr>
        <w:rFonts w:asciiTheme="majorBidi" w:hAnsiTheme="majorBidi" w:cstheme="majorBidi"/>
        <w:b/>
        <w:bCs/>
        <w:color w:val="0070C0"/>
        <w:sz w:val="20"/>
        <w:szCs w:val="20"/>
      </w:rPr>
      <w:t>49</w:t>
    </w:r>
    <w:r w:rsidR="009B708D">
      <w:rPr>
        <w:rFonts w:asciiTheme="majorBidi" w:hAnsiTheme="majorBidi" w:cstheme="majorBidi"/>
        <w:b/>
        <w:bCs/>
        <w:color w:val="0070C0"/>
        <w:sz w:val="20"/>
        <w:szCs w:val="20"/>
      </w:rPr>
      <w:t>6</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4AD8A4F8"/>
    <w:lvl w:ilvl="0" w:tplc="6A0CC98A">
      <w:start w:val="1"/>
      <w:numFmt w:val="decimal"/>
      <w:lvlText w:val="%1."/>
      <w:lvlJc w:val="left"/>
      <w:pPr>
        <w:ind w:left="1077" w:hanging="360"/>
      </w:pPr>
      <w:rPr>
        <w:rFonts w:ascii="Times New Roman" w:eastAsiaTheme="minorEastAsia" w:hAnsi="Times New Roman" w:cs="Times New Roman"/>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4"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4"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7"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2"/>
  </w:num>
  <w:num w:numId="2" w16cid:durableId="881751739">
    <w:abstractNumId w:val="14"/>
  </w:num>
  <w:num w:numId="3" w16cid:durableId="1557858791">
    <w:abstractNumId w:val="5"/>
  </w:num>
  <w:num w:numId="4" w16cid:durableId="1452282351">
    <w:abstractNumId w:val="10"/>
  </w:num>
  <w:num w:numId="5" w16cid:durableId="2055155220">
    <w:abstractNumId w:val="36"/>
  </w:num>
  <w:num w:numId="6" w16cid:durableId="777725767">
    <w:abstractNumId w:val="0"/>
  </w:num>
  <w:num w:numId="7" w16cid:durableId="90123003">
    <w:abstractNumId w:val="7"/>
  </w:num>
  <w:num w:numId="8" w16cid:durableId="62989795">
    <w:abstractNumId w:val="18"/>
  </w:num>
  <w:num w:numId="9" w16cid:durableId="1593203606">
    <w:abstractNumId w:val="11"/>
  </w:num>
  <w:num w:numId="10" w16cid:durableId="199784957">
    <w:abstractNumId w:val="15"/>
  </w:num>
  <w:num w:numId="11" w16cid:durableId="1302930511">
    <w:abstractNumId w:val="37"/>
  </w:num>
  <w:num w:numId="12" w16cid:durableId="723144596">
    <w:abstractNumId w:val="32"/>
  </w:num>
  <w:num w:numId="13" w16cid:durableId="1329407569">
    <w:abstractNumId w:val="9"/>
  </w:num>
  <w:num w:numId="14" w16cid:durableId="736631971">
    <w:abstractNumId w:val="22"/>
  </w:num>
  <w:num w:numId="15" w16cid:durableId="994064963">
    <w:abstractNumId w:val="33"/>
  </w:num>
  <w:num w:numId="16" w16cid:durableId="1315993066">
    <w:abstractNumId w:val="30"/>
  </w:num>
  <w:num w:numId="17" w16cid:durableId="1775586322">
    <w:abstractNumId w:val="2"/>
  </w:num>
  <w:num w:numId="18" w16cid:durableId="695272741">
    <w:abstractNumId w:val="38"/>
  </w:num>
  <w:num w:numId="19" w16cid:durableId="2037198484">
    <w:abstractNumId w:val="26"/>
  </w:num>
  <w:num w:numId="20" w16cid:durableId="475530544">
    <w:abstractNumId w:val="27"/>
  </w:num>
  <w:num w:numId="21" w16cid:durableId="664086365">
    <w:abstractNumId w:val="28"/>
  </w:num>
  <w:num w:numId="22" w16cid:durableId="1370912985">
    <w:abstractNumId w:val="29"/>
  </w:num>
  <w:num w:numId="23" w16cid:durableId="1529948825">
    <w:abstractNumId w:val="8"/>
  </w:num>
  <w:num w:numId="24" w16cid:durableId="1772428237">
    <w:abstractNumId w:val="19"/>
  </w:num>
  <w:num w:numId="25" w16cid:durableId="295724694">
    <w:abstractNumId w:val="39"/>
  </w:num>
  <w:num w:numId="26" w16cid:durableId="1293824798">
    <w:abstractNumId w:val="24"/>
  </w:num>
  <w:num w:numId="27" w16cid:durableId="1596014857">
    <w:abstractNumId w:val="35"/>
  </w:num>
  <w:num w:numId="28" w16cid:durableId="1274631221">
    <w:abstractNumId w:val="17"/>
  </w:num>
  <w:num w:numId="29" w16cid:durableId="651103143">
    <w:abstractNumId w:val="16"/>
  </w:num>
  <w:num w:numId="30" w16cid:durableId="2122217136">
    <w:abstractNumId w:val="6"/>
  </w:num>
  <w:num w:numId="31" w16cid:durableId="1189565611">
    <w:abstractNumId w:val="31"/>
  </w:num>
  <w:num w:numId="32" w16cid:durableId="2097479920">
    <w:abstractNumId w:val="20"/>
  </w:num>
  <w:num w:numId="33" w16cid:durableId="75134129">
    <w:abstractNumId w:val="34"/>
  </w:num>
  <w:num w:numId="34" w16cid:durableId="782531063">
    <w:abstractNumId w:val="21"/>
  </w:num>
  <w:num w:numId="35" w16cid:durableId="850217954">
    <w:abstractNumId w:val="25"/>
  </w:num>
  <w:num w:numId="36" w16cid:durableId="747461938">
    <w:abstractNumId w:val="4"/>
  </w:num>
  <w:num w:numId="37" w16cid:durableId="1165245287">
    <w:abstractNumId w:val="3"/>
  </w:num>
  <w:num w:numId="38" w16cid:durableId="1832209744">
    <w:abstractNumId w:val="23"/>
  </w:num>
  <w:num w:numId="39" w16cid:durableId="1414670185">
    <w:abstractNumId w:val="13"/>
  </w:num>
  <w:num w:numId="40" w16cid:durableId="144160341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1A4"/>
    <w:rsid w:val="0000029F"/>
    <w:rsid w:val="00000344"/>
    <w:rsid w:val="00000B4A"/>
    <w:rsid w:val="0000153A"/>
    <w:rsid w:val="000015D2"/>
    <w:rsid w:val="00001FB0"/>
    <w:rsid w:val="000027C2"/>
    <w:rsid w:val="00002C88"/>
    <w:rsid w:val="00002CC0"/>
    <w:rsid w:val="000035E4"/>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07F00"/>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50"/>
    <w:rsid w:val="00015D3F"/>
    <w:rsid w:val="00015EBE"/>
    <w:rsid w:val="00017406"/>
    <w:rsid w:val="00017935"/>
    <w:rsid w:val="00017A69"/>
    <w:rsid w:val="000203AF"/>
    <w:rsid w:val="0002077E"/>
    <w:rsid w:val="00020CB2"/>
    <w:rsid w:val="00020F7C"/>
    <w:rsid w:val="00021254"/>
    <w:rsid w:val="00021AFD"/>
    <w:rsid w:val="00021E53"/>
    <w:rsid w:val="00021F19"/>
    <w:rsid w:val="000223F6"/>
    <w:rsid w:val="0002287E"/>
    <w:rsid w:val="000232DB"/>
    <w:rsid w:val="000233E6"/>
    <w:rsid w:val="00023D69"/>
    <w:rsid w:val="00023DBE"/>
    <w:rsid w:val="00023F64"/>
    <w:rsid w:val="000240AF"/>
    <w:rsid w:val="00024650"/>
    <w:rsid w:val="00024668"/>
    <w:rsid w:val="00024A98"/>
    <w:rsid w:val="00025EF7"/>
    <w:rsid w:val="0002611D"/>
    <w:rsid w:val="00026E02"/>
    <w:rsid w:val="000271F8"/>
    <w:rsid w:val="00027EAB"/>
    <w:rsid w:val="00027FE9"/>
    <w:rsid w:val="00031954"/>
    <w:rsid w:val="00031BFD"/>
    <w:rsid w:val="00031FB8"/>
    <w:rsid w:val="000322CF"/>
    <w:rsid w:val="00032624"/>
    <w:rsid w:val="00032E84"/>
    <w:rsid w:val="00032F8B"/>
    <w:rsid w:val="000330C6"/>
    <w:rsid w:val="0003337F"/>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703"/>
    <w:rsid w:val="0004074D"/>
    <w:rsid w:val="0004089F"/>
    <w:rsid w:val="000409AA"/>
    <w:rsid w:val="00040A76"/>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F50"/>
    <w:rsid w:val="000530DE"/>
    <w:rsid w:val="000538E6"/>
    <w:rsid w:val="00053D18"/>
    <w:rsid w:val="000542A9"/>
    <w:rsid w:val="00054502"/>
    <w:rsid w:val="0005496B"/>
    <w:rsid w:val="000550A0"/>
    <w:rsid w:val="00055667"/>
    <w:rsid w:val="00055899"/>
    <w:rsid w:val="00055968"/>
    <w:rsid w:val="00055AC7"/>
    <w:rsid w:val="00055CB5"/>
    <w:rsid w:val="00055F9A"/>
    <w:rsid w:val="00057298"/>
    <w:rsid w:val="000577A8"/>
    <w:rsid w:val="00057D88"/>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87"/>
    <w:rsid w:val="000645FD"/>
    <w:rsid w:val="0006472E"/>
    <w:rsid w:val="00064E15"/>
    <w:rsid w:val="000659ED"/>
    <w:rsid w:val="00065D4C"/>
    <w:rsid w:val="00065F85"/>
    <w:rsid w:val="00066680"/>
    <w:rsid w:val="00066B0A"/>
    <w:rsid w:val="00066D99"/>
    <w:rsid w:val="00066E4C"/>
    <w:rsid w:val="000676FA"/>
    <w:rsid w:val="00067866"/>
    <w:rsid w:val="000678FD"/>
    <w:rsid w:val="00067BAB"/>
    <w:rsid w:val="00067DD9"/>
    <w:rsid w:val="000701E9"/>
    <w:rsid w:val="000701EE"/>
    <w:rsid w:val="00070291"/>
    <w:rsid w:val="000703AC"/>
    <w:rsid w:val="00070929"/>
    <w:rsid w:val="0007095D"/>
    <w:rsid w:val="00070963"/>
    <w:rsid w:val="00070C70"/>
    <w:rsid w:val="00070DC1"/>
    <w:rsid w:val="0007111A"/>
    <w:rsid w:val="000715E6"/>
    <w:rsid w:val="0007308C"/>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B6"/>
    <w:rsid w:val="00093BC7"/>
    <w:rsid w:val="00095606"/>
    <w:rsid w:val="000956DA"/>
    <w:rsid w:val="00095835"/>
    <w:rsid w:val="000959EA"/>
    <w:rsid w:val="00095C07"/>
    <w:rsid w:val="000964CD"/>
    <w:rsid w:val="000967BF"/>
    <w:rsid w:val="00096895"/>
    <w:rsid w:val="00096C16"/>
    <w:rsid w:val="00096DD0"/>
    <w:rsid w:val="00097B03"/>
    <w:rsid w:val="00097F0F"/>
    <w:rsid w:val="000A0F4D"/>
    <w:rsid w:val="000A1156"/>
    <w:rsid w:val="000A1241"/>
    <w:rsid w:val="000A1553"/>
    <w:rsid w:val="000A1CA0"/>
    <w:rsid w:val="000A2B48"/>
    <w:rsid w:val="000A2D08"/>
    <w:rsid w:val="000A2D52"/>
    <w:rsid w:val="000A38BF"/>
    <w:rsid w:val="000A3EEB"/>
    <w:rsid w:val="000A3F8D"/>
    <w:rsid w:val="000A43F8"/>
    <w:rsid w:val="000A44B9"/>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1FA9"/>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22CD"/>
    <w:rsid w:val="000D299E"/>
    <w:rsid w:val="000D3516"/>
    <w:rsid w:val="000D3710"/>
    <w:rsid w:val="000D3A0D"/>
    <w:rsid w:val="000D3D79"/>
    <w:rsid w:val="000D41C8"/>
    <w:rsid w:val="000D4372"/>
    <w:rsid w:val="000D47F4"/>
    <w:rsid w:val="000D4821"/>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181"/>
    <w:rsid w:val="000E0415"/>
    <w:rsid w:val="000E0452"/>
    <w:rsid w:val="000E0BA0"/>
    <w:rsid w:val="000E11F6"/>
    <w:rsid w:val="000E1F0B"/>
    <w:rsid w:val="000E23A3"/>
    <w:rsid w:val="000E2553"/>
    <w:rsid w:val="000E276A"/>
    <w:rsid w:val="000E3324"/>
    <w:rsid w:val="000E3576"/>
    <w:rsid w:val="000E35CE"/>
    <w:rsid w:val="000E3920"/>
    <w:rsid w:val="000E3FD3"/>
    <w:rsid w:val="000E3FEF"/>
    <w:rsid w:val="000E41F8"/>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7FA"/>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11F"/>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886"/>
    <w:rsid w:val="001208E3"/>
    <w:rsid w:val="00120959"/>
    <w:rsid w:val="001209FE"/>
    <w:rsid w:val="00120CF6"/>
    <w:rsid w:val="00120E5E"/>
    <w:rsid w:val="00121492"/>
    <w:rsid w:val="00121591"/>
    <w:rsid w:val="00121BC8"/>
    <w:rsid w:val="00122156"/>
    <w:rsid w:val="00122162"/>
    <w:rsid w:val="001224A5"/>
    <w:rsid w:val="00122A38"/>
    <w:rsid w:val="00122A97"/>
    <w:rsid w:val="00122E16"/>
    <w:rsid w:val="00122FF7"/>
    <w:rsid w:val="001234F9"/>
    <w:rsid w:val="00123B78"/>
    <w:rsid w:val="00123E3E"/>
    <w:rsid w:val="001242BB"/>
    <w:rsid w:val="00124D87"/>
    <w:rsid w:val="0012556F"/>
    <w:rsid w:val="00125FA3"/>
    <w:rsid w:val="00126A45"/>
    <w:rsid w:val="00126B84"/>
    <w:rsid w:val="001272EA"/>
    <w:rsid w:val="00127535"/>
    <w:rsid w:val="0012786A"/>
    <w:rsid w:val="00130295"/>
    <w:rsid w:val="00130743"/>
    <w:rsid w:val="00130981"/>
    <w:rsid w:val="00130C6C"/>
    <w:rsid w:val="00130DF9"/>
    <w:rsid w:val="00131097"/>
    <w:rsid w:val="00131E87"/>
    <w:rsid w:val="00131F86"/>
    <w:rsid w:val="001323BB"/>
    <w:rsid w:val="001323F3"/>
    <w:rsid w:val="00132780"/>
    <w:rsid w:val="00132AB0"/>
    <w:rsid w:val="00132B93"/>
    <w:rsid w:val="001355A2"/>
    <w:rsid w:val="00135C3B"/>
    <w:rsid w:val="00135D0E"/>
    <w:rsid w:val="00136998"/>
    <w:rsid w:val="00136B21"/>
    <w:rsid w:val="00136F71"/>
    <w:rsid w:val="00137474"/>
    <w:rsid w:val="0013793C"/>
    <w:rsid w:val="00137979"/>
    <w:rsid w:val="00137C09"/>
    <w:rsid w:val="00137C14"/>
    <w:rsid w:val="00137DB1"/>
    <w:rsid w:val="00137E7F"/>
    <w:rsid w:val="001404D3"/>
    <w:rsid w:val="001407B2"/>
    <w:rsid w:val="001409FF"/>
    <w:rsid w:val="00140AD7"/>
    <w:rsid w:val="00141236"/>
    <w:rsid w:val="00141910"/>
    <w:rsid w:val="00141AE9"/>
    <w:rsid w:val="00141E81"/>
    <w:rsid w:val="001428C7"/>
    <w:rsid w:val="0014292E"/>
    <w:rsid w:val="0014303C"/>
    <w:rsid w:val="001441C9"/>
    <w:rsid w:val="001441D9"/>
    <w:rsid w:val="00144340"/>
    <w:rsid w:val="0014462E"/>
    <w:rsid w:val="00144ACC"/>
    <w:rsid w:val="00145211"/>
    <w:rsid w:val="001456DC"/>
    <w:rsid w:val="00145811"/>
    <w:rsid w:val="00145B6C"/>
    <w:rsid w:val="00145B85"/>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B55"/>
    <w:rsid w:val="00152D88"/>
    <w:rsid w:val="001532F5"/>
    <w:rsid w:val="00153442"/>
    <w:rsid w:val="00153724"/>
    <w:rsid w:val="001539A4"/>
    <w:rsid w:val="00153A03"/>
    <w:rsid w:val="00153FFD"/>
    <w:rsid w:val="00154B38"/>
    <w:rsid w:val="0015571D"/>
    <w:rsid w:val="00155E12"/>
    <w:rsid w:val="00156405"/>
    <w:rsid w:val="00156672"/>
    <w:rsid w:val="00156A6F"/>
    <w:rsid w:val="00156A71"/>
    <w:rsid w:val="00156A9F"/>
    <w:rsid w:val="00156C45"/>
    <w:rsid w:val="00156F80"/>
    <w:rsid w:val="00157477"/>
    <w:rsid w:val="001574DD"/>
    <w:rsid w:val="001574FC"/>
    <w:rsid w:val="001575B1"/>
    <w:rsid w:val="001579D6"/>
    <w:rsid w:val="00157BFD"/>
    <w:rsid w:val="00157C38"/>
    <w:rsid w:val="00157C61"/>
    <w:rsid w:val="00157C88"/>
    <w:rsid w:val="001603F9"/>
    <w:rsid w:val="00160754"/>
    <w:rsid w:val="00160DA4"/>
    <w:rsid w:val="0016106B"/>
    <w:rsid w:val="0016144D"/>
    <w:rsid w:val="00161724"/>
    <w:rsid w:val="00161ED0"/>
    <w:rsid w:val="00162211"/>
    <w:rsid w:val="00162D1E"/>
    <w:rsid w:val="00162DFE"/>
    <w:rsid w:val="0016552B"/>
    <w:rsid w:val="00166B8A"/>
    <w:rsid w:val="00166CC4"/>
    <w:rsid w:val="00166EBD"/>
    <w:rsid w:val="0016711C"/>
    <w:rsid w:val="0016766B"/>
    <w:rsid w:val="00167B3D"/>
    <w:rsid w:val="001714C5"/>
    <w:rsid w:val="00171BEB"/>
    <w:rsid w:val="00171E4B"/>
    <w:rsid w:val="001721D3"/>
    <w:rsid w:val="00172866"/>
    <w:rsid w:val="00172A12"/>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080E"/>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56C"/>
    <w:rsid w:val="001B5ED4"/>
    <w:rsid w:val="001B61E8"/>
    <w:rsid w:val="001B620C"/>
    <w:rsid w:val="001B6543"/>
    <w:rsid w:val="001B66FF"/>
    <w:rsid w:val="001B6DF1"/>
    <w:rsid w:val="001B6F23"/>
    <w:rsid w:val="001B7385"/>
    <w:rsid w:val="001C025E"/>
    <w:rsid w:val="001C0856"/>
    <w:rsid w:val="001C1898"/>
    <w:rsid w:val="001C1B63"/>
    <w:rsid w:val="001C1E78"/>
    <w:rsid w:val="001C2020"/>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025"/>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97C"/>
    <w:rsid w:val="001D7DFC"/>
    <w:rsid w:val="001E005C"/>
    <w:rsid w:val="001E0748"/>
    <w:rsid w:val="001E0956"/>
    <w:rsid w:val="001E0BAC"/>
    <w:rsid w:val="001E19BB"/>
    <w:rsid w:val="001E1E38"/>
    <w:rsid w:val="001E20D4"/>
    <w:rsid w:val="001E2353"/>
    <w:rsid w:val="001E2471"/>
    <w:rsid w:val="001E2AC4"/>
    <w:rsid w:val="001E2BBF"/>
    <w:rsid w:val="001E3445"/>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BC7"/>
    <w:rsid w:val="001F500B"/>
    <w:rsid w:val="001F50CD"/>
    <w:rsid w:val="001F53F0"/>
    <w:rsid w:val="001F54A3"/>
    <w:rsid w:val="001F581C"/>
    <w:rsid w:val="001F5970"/>
    <w:rsid w:val="001F5E43"/>
    <w:rsid w:val="001F5EDD"/>
    <w:rsid w:val="001F6962"/>
    <w:rsid w:val="001F6C7A"/>
    <w:rsid w:val="001F712B"/>
    <w:rsid w:val="001F71BD"/>
    <w:rsid w:val="001F76AD"/>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545"/>
    <w:rsid w:val="00204693"/>
    <w:rsid w:val="0020475C"/>
    <w:rsid w:val="002049ED"/>
    <w:rsid w:val="00204B3C"/>
    <w:rsid w:val="00204B54"/>
    <w:rsid w:val="00204B60"/>
    <w:rsid w:val="00204F2A"/>
    <w:rsid w:val="00205443"/>
    <w:rsid w:val="00206014"/>
    <w:rsid w:val="00206454"/>
    <w:rsid w:val="00206B48"/>
    <w:rsid w:val="00206D11"/>
    <w:rsid w:val="00207135"/>
    <w:rsid w:val="00207656"/>
    <w:rsid w:val="00207C39"/>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B87"/>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172"/>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ECC"/>
    <w:rsid w:val="00253F20"/>
    <w:rsid w:val="00253F9B"/>
    <w:rsid w:val="00254001"/>
    <w:rsid w:val="00254116"/>
    <w:rsid w:val="00254214"/>
    <w:rsid w:val="00254639"/>
    <w:rsid w:val="00254640"/>
    <w:rsid w:val="00254641"/>
    <w:rsid w:val="00254A3B"/>
    <w:rsid w:val="00255888"/>
    <w:rsid w:val="00255ADC"/>
    <w:rsid w:val="00256BF6"/>
    <w:rsid w:val="002600BC"/>
    <w:rsid w:val="00260369"/>
    <w:rsid w:val="002604BC"/>
    <w:rsid w:val="0026051D"/>
    <w:rsid w:val="00260A3D"/>
    <w:rsid w:val="002610C3"/>
    <w:rsid w:val="002616D3"/>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0635"/>
    <w:rsid w:val="00271D40"/>
    <w:rsid w:val="00272027"/>
    <w:rsid w:val="002723D4"/>
    <w:rsid w:val="002724B1"/>
    <w:rsid w:val="002729E1"/>
    <w:rsid w:val="00272EEC"/>
    <w:rsid w:val="00273511"/>
    <w:rsid w:val="00273697"/>
    <w:rsid w:val="00273793"/>
    <w:rsid w:val="00273809"/>
    <w:rsid w:val="0027422B"/>
    <w:rsid w:val="00274519"/>
    <w:rsid w:val="00274605"/>
    <w:rsid w:val="00274818"/>
    <w:rsid w:val="00274A92"/>
    <w:rsid w:val="00274E14"/>
    <w:rsid w:val="0027565E"/>
    <w:rsid w:val="0027597E"/>
    <w:rsid w:val="00275A06"/>
    <w:rsid w:val="00275A52"/>
    <w:rsid w:val="00275B7B"/>
    <w:rsid w:val="00275BC7"/>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2A8"/>
    <w:rsid w:val="002924E6"/>
    <w:rsid w:val="002926A4"/>
    <w:rsid w:val="00292975"/>
    <w:rsid w:val="00292A35"/>
    <w:rsid w:val="00292C60"/>
    <w:rsid w:val="0029342A"/>
    <w:rsid w:val="002939E2"/>
    <w:rsid w:val="002946A1"/>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83"/>
    <w:rsid w:val="002A68C7"/>
    <w:rsid w:val="002A69D0"/>
    <w:rsid w:val="002A7628"/>
    <w:rsid w:val="002A77A1"/>
    <w:rsid w:val="002A77B4"/>
    <w:rsid w:val="002A78EC"/>
    <w:rsid w:val="002A78F2"/>
    <w:rsid w:val="002A7A2B"/>
    <w:rsid w:val="002B0EC1"/>
    <w:rsid w:val="002B0FE2"/>
    <w:rsid w:val="002B1264"/>
    <w:rsid w:val="002B1982"/>
    <w:rsid w:val="002B1F2B"/>
    <w:rsid w:val="002B1F69"/>
    <w:rsid w:val="002B3630"/>
    <w:rsid w:val="002B3897"/>
    <w:rsid w:val="002B3E90"/>
    <w:rsid w:val="002B403C"/>
    <w:rsid w:val="002B4A67"/>
    <w:rsid w:val="002B4E76"/>
    <w:rsid w:val="002B5A8A"/>
    <w:rsid w:val="002B6B86"/>
    <w:rsid w:val="002B705C"/>
    <w:rsid w:val="002B7679"/>
    <w:rsid w:val="002B7A66"/>
    <w:rsid w:val="002B7EC8"/>
    <w:rsid w:val="002C0359"/>
    <w:rsid w:val="002C05E2"/>
    <w:rsid w:val="002C0643"/>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726"/>
    <w:rsid w:val="002D0C50"/>
    <w:rsid w:val="002D0D58"/>
    <w:rsid w:val="002D0F80"/>
    <w:rsid w:val="002D10B4"/>
    <w:rsid w:val="002D19E8"/>
    <w:rsid w:val="002D1D80"/>
    <w:rsid w:val="002D1E2C"/>
    <w:rsid w:val="002D2AC5"/>
    <w:rsid w:val="002D2BAF"/>
    <w:rsid w:val="002D3212"/>
    <w:rsid w:val="002D322E"/>
    <w:rsid w:val="002D3799"/>
    <w:rsid w:val="002D3F83"/>
    <w:rsid w:val="002D45D1"/>
    <w:rsid w:val="002D49C0"/>
    <w:rsid w:val="002D4A3B"/>
    <w:rsid w:val="002D4E0E"/>
    <w:rsid w:val="002D4F69"/>
    <w:rsid w:val="002D54A0"/>
    <w:rsid w:val="002D590E"/>
    <w:rsid w:val="002D5D80"/>
    <w:rsid w:val="002D6DAE"/>
    <w:rsid w:val="002E04B1"/>
    <w:rsid w:val="002E1B73"/>
    <w:rsid w:val="002E1BE4"/>
    <w:rsid w:val="002E1E04"/>
    <w:rsid w:val="002E30C6"/>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E25"/>
    <w:rsid w:val="00307263"/>
    <w:rsid w:val="00307829"/>
    <w:rsid w:val="0031003A"/>
    <w:rsid w:val="003102F2"/>
    <w:rsid w:val="0031076F"/>
    <w:rsid w:val="00310ABF"/>
    <w:rsid w:val="00310E04"/>
    <w:rsid w:val="003112A1"/>
    <w:rsid w:val="00311344"/>
    <w:rsid w:val="00311B01"/>
    <w:rsid w:val="00311CE7"/>
    <w:rsid w:val="00311F59"/>
    <w:rsid w:val="003123AF"/>
    <w:rsid w:val="003124CE"/>
    <w:rsid w:val="00312865"/>
    <w:rsid w:val="00312AE6"/>
    <w:rsid w:val="00313167"/>
    <w:rsid w:val="0031320A"/>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15D"/>
    <w:rsid w:val="003206D3"/>
    <w:rsid w:val="00320F50"/>
    <w:rsid w:val="0032179C"/>
    <w:rsid w:val="00321C5D"/>
    <w:rsid w:val="00322710"/>
    <w:rsid w:val="00322C16"/>
    <w:rsid w:val="0032322F"/>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B9D"/>
    <w:rsid w:val="00334CC7"/>
    <w:rsid w:val="00334E76"/>
    <w:rsid w:val="003356BB"/>
    <w:rsid w:val="00335929"/>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06"/>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0EA3"/>
    <w:rsid w:val="003716E9"/>
    <w:rsid w:val="00371B8C"/>
    <w:rsid w:val="00371EE6"/>
    <w:rsid w:val="003726F3"/>
    <w:rsid w:val="00373738"/>
    <w:rsid w:val="003737C2"/>
    <w:rsid w:val="00373AB5"/>
    <w:rsid w:val="003745E4"/>
    <w:rsid w:val="00374F10"/>
    <w:rsid w:val="0037573A"/>
    <w:rsid w:val="0037581A"/>
    <w:rsid w:val="00375F81"/>
    <w:rsid w:val="00375FE7"/>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633"/>
    <w:rsid w:val="00385CC3"/>
    <w:rsid w:val="00385E05"/>
    <w:rsid w:val="00385F46"/>
    <w:rsid w:val="0038671A"/>
    <w:rsid w:val="00386915"/>
    <w:rsid w:val="00386E50"/>
    <w:rsid w:val="0038724B"/>
    <w:rsid w:val="003876BE"/>
    <w:rsid w:val="0039046C"/>
    <w:rsid w:val="00390A68"/>
    <w:rsid w:val="003915C1"/>
    <w:rsid w:val="003916E7"/>
    <w:rsid w:val="003917E9"/>
    <w:rsid w:val="003917EC"/>
    <w:rsid w:val="00391C66"/>
    <w:rsid w:val="00391D35"/>
    <w:rsid w:val="003921B4"/>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BA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EAF"/>
    <w:rsid w:val="003B41C1"/>
    <w:rsid w:val="003B43E9"/>
    <w:rsid w:val="003B4CFF"/>
    <w:rsid w:val="003B513E"/>
    <w:rsid w:val="003B566A"/>
    <w:rsid w:val="003B5CD8"/>
    <w:rsid w:val="003B5D1E"/>
    <w:rsid w:val="003B5FB2"/>
    <w:rsid w:val="003B62EA"/>
    <w:rsid w:val="003B6391"/>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73"/>
    <w:rsid w:val="003D06D3"/>
    <w:rsid w:val="003D1390"/>
    <w:rsid w:val="003D1A0B"/>
    <w:rsid w:val="003D1B56"/>
    <w:rsid w:val="003D268D"/>
    <w:rsid w:val="003D2781"/>
    <w:rsid w:val="003D28B7"/>
    <w:rsid w:val="003D2CB3"/>
    <w:rsid w:val="003D2F45"/>
    <w:rsid w:val="003D31A0"/>
    <w:rsid w:val="003D36EC"/>
    <w:rsid w:val="003D383F"/>
    <w:rsid w:val="003D3841"/>
    <w:rsid w:val="003D45E5"/>
    <w:rsid w:val="003D4605"/>
    <w:rsid w:val="003D4661"/>
    <w:rsid w:val="003D47F9"/>
    <w:rsid w:val="003D4F38"/>
    <w:rsid w:val="003D4FDE"/>
    <w:rsid w:val="003D5B29"/>
    <w:rsid w:val="003D5E33"/>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2C32"/>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8A4"/>
    <w:rsid w:val="003F2C16"/>
    <w:rsid w:val="003F2C2A"/>
    <w:rsid w:val="003F2F71"/>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7E0"/>
    <w:rsid w:val="003F7807"/>
    <w:rsid w:val="003F7B41"/>
    <w:rsid w:val="0040042C"/>
    <w:rsid w:val="00400746"/>
    <w:rsid w:val="0040088D"/>
    <w:rsid w:val="00400A56"/>
    <w:rsid w:val="0040120D"/>
    <w:rsid w:val="004012ED"/>
    <w:rsid w:val="004013D6"/>
    <w:rsid w:val="00401BC4"/>
    <w:rsid w:val="00401C85"/>
    <w:rsid w:val="00401CD9"/>
    <w:rsid w:val="00402135"/>
    <w:rsid w:val="004022E2"/>
    <w:rsid w:val="00402500"/>
    <w:rsid w:val="0040297C"/>
    <w:rsid w:val="00403CFD"/>
    <w:rsid w:val="00405391"/>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2AC2"/>
    <w:rsid w:val="00412CAB"/>
    <w:rsid w:val="00412CC6"/>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98D"/>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F5"/>
    <w:rsid w:val="0042595E"/>
    <w:rsid w:val="0042597C"/>
    <w:rsid w:val="004260B5"/>
    <w:rsid w:val="004260BC"/>
    <w:rsid w:val="00426123"/>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10A"/>
    <w:rsid w:val="0043439E"/>
    <w:rsid w:val="00434A4B"/>
    <w:rsid w:val="00434D8A"/>
    <w:rsid w:val="0043550A"/>
    <w:rsid w:val="00436210"/>
    <w:rsid w:val="00436247"/>
    <w:rsid w:val="004365A4"/>
    <w:rsid w:val="004366CD"/>
    <w:rsid w:val="00437950"/>
    <w:rsid w:val="00437CA0"/>
    <w:rsid w:val="00437F53"/>
    <w:rsid w:val="004400F2"/>
    <w:rsid w:val="00440299"/>
    <w:rsid w:val="004409D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525A"/>
    <w:rsid w:val="0044558C"/>
    <w:rsid w:val="004455C9"/>
    <w:rsid w:val="00445618"/>
    <w:rsid w:val="00445F5A"/>
    <w:rsid w:val="0044614D"/>
    <w:rsid w:val="00446C83"/>
    <w:rsid w:val="00447304"/>
    <w:rsid w:val="00447BB7"/>
    <w:rsid w:val="00447F14"/>
    <w:rsid w:val="00450251"/>
    <w:rsid w:val="00450502"/>
    <w:rsid w:val="004506EA"/>
    <w:rsid w:val="00450E29"/>
    <w:rsid w:val="00450F22"/>
    <w:rsid w:val="004516E2"/>
    <w:rsid w:val="00451C22"/>
    <w:rsid w:val="00451D16"/>
    <w:rsid w:val="00452446"/>
    <w:rsid w:val="004527E4"/>
    <w:rsid w:val="00452FA7"/>
    <w:rsid w:val="0045315D"/>
    <w:rsid w:val="004531A4"/>
    <w:rsid w:val="00453A4A"/>
    <w:rsid w:val="00453C6C"/>
    <w:rsid w:val="00453CDD"/>
    <w:rsid w:val="00454283"/>
    <w:rsid w:val="00454305"/>
    <w:rsid w:val="00454574"/>
    <w:rsid w:val="00454D1F"/>
    <w:rsid w:val="0045593A"/>
    <w:rsid w:val="00455DCC"/>
    <w:rsid w:val="00455E16"/>
    <w:rsid w:val="00455FB2"/>
    <w:rsid w:val="00456029"/>
    <w:rsid w:val="0045657A"/>
    <w:rsid w:val="00456954"/>
    <w:rsid w:val="00456A41"/>
    <w:rsid w:val="00456BA6"/>
    <w:rsid w:val="00456E29"/>
    <w:rsid w:val="00456EB6"/>
    <w:rsid w:val="004579C5"/>
    <w:rsid w:val="00457FA2"/>
    <w:rsid w:val="00460002"/>
    <w:rsid w:val="00460089"/>
    <w:rsid w:val="004603E9"/>
    <w:rsid w:val="0046085D"/>
    <w:rsid w:val="004608A2"/>
    <w:rsid w:val="00461816"/>
    <w:rsid w:val="00461A00"/>
    <w:rsid w:val="004620D0"/>
    <w:rsid w:val="0046226B"/>
    <w:rsid w:val="00462319"/>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C66"/>
    <w:rsid w:val="00470DD1"/>
    <w:rsid w:val="00470FAC"/>
    <w:rsid w:val="00471280"/>
    <w:rsid w:val="0047178B"/>
    <w:rsid w:val="0047325C"/>
    <w:rsid w:val="00473A9F"/>
    <w:rsid w:val="00473E10"/>
    <w:rsid w:val="00474648"/>
    <w:rsid w:val="00474B79"/>
    <w:rsid w:val="00475039"/>
    <w:rsid w:val="00475105"/>
    <w:rsid w:val="0047536E"/>
    <w:rsid w:val="004756DB"/>
    <w:rsid w:val="0047580A"/>
    <w:rsid w:val="00475CF8"/>
    <w:rsid w:val="00475D4A"/>
    <w:rsid w:val="00475DEE"/>
    <w:rsid w:val="00475ECF"/>
    <w:rsid w:val="00476254"/>
    <w:rsid w:val="00476F72"/>
    <w:rsid w:val="004777BA"/>
    <w:rsid w:val="00477D46"/>
    <w:rsid w:val="00477F1A"/>
    <w:rsid w:val="00477FAD"/>
    <w:rsid w:val="00480077"/>
    <w:rsid w:val="004803FC"/>
    <w:rsid w:val="004806DB"/>
    <w:rsid w:val="00481375"/>
    <w:rsid w:val="00481AB2"/>
    <w:rsid w:val="00481BEE"/>
    <w:rsid w:val="004821DA"/>
    <w:rsid w:val="004824CE"/>
    <w:rsid w:val="00482516"/>
    <w:rsid w:val="00482B0F"/>
    <w:rsid w:val="0048310D"/>
    <w:rsid w:val="0048335C"/>
    <w:rsid w:val="00483451"/>
    <w:rsid w:val="00483946"/>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D5C"/>
    <w:rsid w:val="004938F6"/>
    <w:rsid w:val="00493B33"/>
    <w:rsid w:val="00493CD0"/>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CA0"/>
    <w:rsid w:val="004D111F"/>
    <w:rsid w:val="004D1BE5"/>
    <w:rsid w:val="004D2609"/>
    <w:rsid w:val="004D2BE2"/>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969"/>
    <w:rsid w:val="004D7DD5"/>
    <w:rsid w:val="004D7F1B"/>
    <w:rsid w:val="004D7F4F"/>
    <w:rsid w:val="004E01F6"/>
    <w:rsid w:val="004E0556"/>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76C"/>
    <w:rsid w:val="0051199D"/>
    <w:rsid w:val="00511A7A"/>
    <w:rsid w:val="00511D3C"/>
    <w:rsid w:val="00511D8A"/>
    <w:rsid w:val="00511F99"/>
    <w:rsid w:val="005126C1"/>
    <w:rsid w:val="00513FAC"/>
    <w:rsid w:val="00515503"/>
    <w:rsid w:val="005156E8"/>
    <w:rsid w:val="00516ECD"/>
    <w:rsid w:val="00516FD4"/>
    <w:rsid w:val="005172B0"/>
    <w:rsid w:val="005172C3"/>
    <w:rsid w:val="005175C2"/>
    <w:rsid w:val="00517864"/>
    <w:rsid w:val="00517D1A"/>
    <w:rsid w:val="005201D9"/>
    <w:rsid w:val="0052030A"/>
    <w:rsid w:val="00520451"/>
    <w:rsid w:val="005207E7"/>
    <w:rsid w:val="005213AE"/>
    <w:rsid w:val="005216C2"/>
    <w:rsid w:val="005222BE"/>
    <w:rsid w:val="00522A2A"/>
    <w:rsid w:val="00522AE6"/>
    <w:rsid w:val="00522DEC"/>
    <w:rsid w:val="00523357"/>
    <w:rsid w:val="005233CB"/>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48"/>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4088"/>
    <w:rsid w:val="005349C5"/>
    <w:rsid w:val="0053536E"/>
    <w:rsid w:val="00535B29"/>
    <w:rsid w:val="00535C3A"/>
    <w:rsid w:val="0053621B"/>
    <w:rsid w:val="00536BCE"/>
    <w:rsid w:val="00536EE8"/>
    <w:rsid w:val="005370E9"/>
    <w:rsid w:val="0053792E"/>
    <w:rsid w:val="005379A9"/>
    <w:rsid w:val="00537E22"/>
    <w:rsid w:val="0054086A"/>
    <w:rsid w:val="00540AC3"/>
    <w:rsid w:val="00541462"/>
    <w:rsid w:val="005414CB"/>
    <w:rsid w:val="00542F1E"/>
    <w:rsid w:val="005438E0"/>
    <w:rsid w:val="00543918"/>
    <w:rsid w:val="00543AE7"/>
    <w:rsid w:val="005442E6"/>
    <w:rsid w:val="005448C8"/>
    <w:rsid w:val="00544A03"/>
    <w:rsid w:val="00545375"/>
    <w:rsid w:val="005453A9"/>
    <w:rsid w:val="005454D9"/>
    <w:rsid w:val="0054618D"/>
    <w:rsid w:val="005462DC"/>
    <w:rsid w:val="0054646E"/>
    <w:rsid w:val="00546BE0"/>
    <w:rsid w:val="00547190"/>
    <w:rsid w:val="005478CA"/>
    <w:rsid w:val="00547BC2"/>
    <w:rsid w:val="00547BC4"/>
    <w:rsid w:val="005508D5"/>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3FC3"/>
    <w:rsid w:val="00555231"/>
    <w:rsid w:val="00555471"/>
    <w:rsid w:val="00555EF3"/>
    <w:rsid w:val="00556257"/>
    <w:rsid w:val="00556600"/>
    <w:rsid w:val="0055690B"/>
    <w:rsid w:val="00556C0B"/>
    <w:rsid w:val="00556D0E"/>
    <w:rsid w:val="00557098"/>
    <w:rsid w:val="00557104"/>
    <w:rsid w:val="0055754F"/>
    <w:rsid w:val="005576DF"/>
    <w:rsid w:val="00557718"/>
    <w:rsid w:val="00557EF3"/>
    <w:rsid w:val="00560175"/>
    <w:rsid w:val="00560235"/>
    <w:rsid w:val="00560649"/>
    <w:rsid w:val="005612D8"/>
    <w:rsid w:val="00561A62"/>
    <w:rsid w:val="00561C3D"/>
    <w:rsid w:val="00561C8E"/>
    <w:rsid w:val="00561D30"/>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62C"/>
    <w:rsid w:val="005719F5"/>
    <w:rsid w:val="00571BE7"/>
    <w:rsid w:val="00571CCF"/>
    <w:rsid w:val="00571F49"/>
    <w:rsid w:val="005723AF"/>
    <w:rsid w:val="0057295F"/>
    <w:rsid w:val="00572A08"/>
    <w:rsid w:val="00573264"/>
    <w:rsid w:val="00573ED5"/>
    <w:rsid w:val="00574115"/>
    <w:rsid w:val="0057419B"/>
    <w:rsid w:val="00574754"/>
    <w:rsid w:val="00574F98"/>
    <w:rsid w:val="00575188"/>
    <w:rsid w:val="00575198"/>
    <w:rsid w:val="00575D35"/>
    <w:rsid w:val="005764BC"/>
    <w:rsid w:val="00576D5F"/>
    <w:rsid w:val="005772FC"/>
    <w:rsid w:val="00577835"/>
    <w:rsid w:val="00577D9B"/>
    <w:rsid w:val="00580255"/>
    <w:rsid w:val="00580A4E"/>
    <w:rsid w:val="00581229"/>
    <w:rsid w:val="00581550"/>
    <w:rsid w:val="00581725"/>
    <w:rsid w:val="005817A4"/>
    <w:rsid w:val="00581A65"/>
    <w:rsid w:val="00581D95"/>
    <w:rsid w:val="005822EF"/>
    <w:rsid w:val="005830DE"/>
    <w:rsid w:val="00583848"/>
    <w:rsid w:val="00583C63"/>
    <w:rsid w:val="00583CC7"/>
    <w:rsid w:val="00583D5A"/>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E0"/>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1639"/>
    <w:rsid w:val="005A1AE1"/>
    <w:rsid w:val="005A1D30"/>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46F"/>
    <w:rsid w:val="005A69B0"/>
    <w:rsid w:val="005A711E"/>
    <w:rsid w:val="005A7386"/>
    <w:rsid w:val="005A74FA"/>
    <w:rsid w:val="005A7980"/>
    <w:rsid w:val="005B0533"/>
    <w:rsid w:val="005B0993"/>
    <w:rsid w:val="005B0FB7"/>
    <w:rsid w:val="005B1396"/>
    <w:rsid w:val="005B14D5"/>
    <w:rsid w:val="005B19D3"/>
    <w:rsid w:val="005B1F59"/>
    <w:rsid w:val="005B2259"/>
    <w:rsid w:val="005B2372"/>
    <w:rsid w:val="005B268F"/>
    <w:rsid w:val="005B2CBD"/>
    <w:rsid w:val="005B35E6"/>
    <w:rsid w:val="005B3A3B"/>
    <w:rsid w:val="005B4932"/>
    <w:rsid w:val="005B4BE0"/>
    <w:rsid w:val="005B5027"/>
    <w:rsid w:val="005B5AD2"/>
    <w:rsid w:val="005B5D85"/>
    <w:rsid w:val="005B5FEC"/>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629"/>
    <w:rsid w:val="005C2AE0"/>
    <w:rsid w:val="005C2B1C"/>
    <w:rsid w:val="005C2CE4"/>
    <w:rsid w:val="005C2D7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118"/>
    <w:rsid w:val="005D7422"/>
    <w:rsid w:val="005D77CE"/>
    <w:rsid w:val="005D7926"/>
    <w:rsid w:val="005D7A01"/>
    <w:rsid w:val="005E050E"/>
    <w:rsid w:val="005E071D"/>
    <w:rsid w:val="005E0D1C"/>
    <w:rsid w:val="005E1CC9"/>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62E"/>
    <w:rsid w:val="005F326B"/>
    <w:rsid w:val="005F3518"/>
    <w:rsid w:val="005F35DC"/>
    <w:rsid w:val="005F3B09"/>
    <w:rsid w:val="005F3D27"/>
    <w:rsid w:val="005F4848"/>
    <w:rsid w:val="005F4D9B"/>
    <w:rsid w:val="005F5376"/>
    <w:rsid w:val="005F5F06"/>
    <w:rsid w:val="005F5F0D"/>
    <w:rsid w:val="005F6EA0"/>
    <w:rsid w:val="005F710A"/>
    <w:rsid w:val="005F710C"/>
    <w:rsid w:val="005F7435"/>
    <w:rsid w:val="00600950"/>
    <w:rsid w:val="00600C7A"/>
    <w:rsid w:val="00601707"/>
    <w:rsid w:val="00601865"/>
    <w:rsid w:val="00601B0B"/>
    <w:rsid w:val="00601B17"/>
    <w:rsid w:val="00601E00"/>
    <w:rsid w:val="00601E05"/>
    <w:rsid w:val="00601FAB"/>
    <w:rsid w:val="0060253A"/>
    <w:rsid w:val="00602549"/>
    <w:rsid w:val="006025A3"/>
    <w:rsid w:val="006038AE"/>
    <w:rsid w:val="00603A64"/>
    <w:rsid w:val="00603C47"/>
    <w:rsid w:val="00603C7B"/>
    <w:rsid w:val="00603EF6"/>
    <w:rsid w:val="0060410C"/>
    <w:rsid w:val="0060471E"/>
    <w:rsid w:val="00604EEB"/>
    <w:rsid w:val="006056AC"/>
    <w:rsid w:val="006059E1"/>
    <w:rsid w:val="00605D21"/>
    <w:rsid w:val="00605DFA"/>
    <w:rsid w:val="0060623B"/>
    <w:rsid w:val="006064DE"/>
    <w:rsid w:val="006065A8"/>
    <w:rsid w:val="00606CED"/>
    <w:rsid w:val="00606D80"/>
    <w:rsid w:val="006073B6"/>
    <w:rsid w:val="006077F8"/>
    <w:rsid w:val="00607FC3"/>
    <w:rsid w:val="00610396"/>
    <w:rsid w:val="0061069B"/>
    <w:rsid w:val="00610B09"/>
    <w:rsid w:val="00611926"/>
    <w:rsid w:val="00611A2D"/>
    <w:rsid w:val="0061207C"/>
    <w:rsid w:val="0061286B"/>
    <w:rsid w:val="006128C2"/>
    <w:rsid w:val="00612C88"/>
    <w:rsid w:val="006132BE"/>
    <w:rsid w:val="00613333"/>
    <w:rsid w:val="006134C9"/>
    <w:rsid w:val="00613A5E"/>
    <w:rsid w:val="00613DE1"/>
    <w:rsid w:val="0061407F"/>
    <w:rsid w:val="0061444D"/>
    <w:rsid w:val="006145B4"/>
    <w:rsid w:val="00614675"/>
    <w:rsid w:val="00614903"/>
    <w:rsid w:val="00614E37"/>
    <w:rsid w:val="0061523C"/>
    <w:rsid w:val="00615618"/>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C97"/>
    <w:rsid w:val="00623300"/>
    <w:rsid w:val="00623658"/>
    <w:rsid w:val="006236D7"/>
    <w:rsid w:val="00623864"/>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0B"/>
    <w:rsid w:val="00631416"/>
    <w:rsid w:val="00631742"/>
    <w:rsid w:val="00632D46"/>
    <w:rsid w:val="00632E2B"/>
    <w:rsid w:val="00632E52"/>
    <w:rsid w:val="006337D0"/>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6170A"/>
    <w:rsid w:val="00661EC5"/>
    <w:rsid w:val="0066226F"/>
    <w:rsid w:val="006622E2"/>
    <w:rsid w:val="00662C79"/>
    <w:rsid w:val="00663985"/>
    <w:rsid w:val="00663CFD"/>
    <w:rsid w:val="00663F5B"/>
    <w:rsid w:val="006642A0"/>
    <w:rsid w:val="006643C2"/>
    <w:rsid w:val="006651E1"/>
    <w:rsid w:val="006658BA"/>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1D8D"/>
    <w:rsid w:val="0067224C"/>
    <w:rsid w:val="0067245A"/>
    <w:rsid w:val="00672485"/>
    <w:rsid w:val="006726A4"/>
    <w:rsid w:val="00672A23"/>
    <w:rsid w:val="00672CBC"/>
    <w:rsid w:val="00673822"/>
    <w:rsid w:val="00673A85"/>
    <w:rsid w:val="00673BDD"/>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F0C"/>
    <w:rsid w:val="006870EA"/>
    <w:rsid w:val="006871CC"/>
    <w:rsid w:val="006879FC"/>
    <w:rsid w:val="00687A99"/>
    <w:rsid w:val="00690152"/>
    <w:rsid w:val="00690254"/>
    <w:rsid w:val="00690809"/>
    <w:rsid w:val="00690F42"/>
    <w:rsid w:val="00692497"/>
    <w:rsid w:val="00692866"/>
    <w:rsid w:val="00692C51"/>
    <w:rsid w:val="00692D46"/>
    <w:rsid w:val="0069340A"/>
    <w:rsid w:val="006937AB"/>
    <w:rsid w:val="0069437F"/>
    <w:rsid w:val="006944DC"/>
    <w:rsid w:val="0069490C"/>
    <w:rsid w:val="00694CC3"/>
    <w:rsid w:val="0069565B"/>
    <w:rsid w:val="0069593E"/>
    <w:rsid w:val="0069648D"/>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AC8"/>
    <w:rsid w:val="006B0E36"/>
    <w:rsid w:val="006B1937"/>
    <w:rsid w:val="006B1A17"/>
    <w:rsid w:val="006B1B2B"/>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E97"/>
    <w:rsid w:val="006C2EDD"/>
    <w:rsid w:val="006C2F7A"/>
    <w:rsid w:val="006C2FCA"/>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BC"/>
    <w:rsid w:val="006D3E3F"/>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185"/>
    <w:rsid w:val="006E2786"/>
    <w:rsid w:val="006E28E6"/>
    <w:rsid w:val="006E2B81"/>
    <w:rsid w:val="006E38D6"/>
    <w:rsid w:val="006E38FF"/>
    <w:rsid w:val="006E3F1A"/>
    <w:rsid w:val="006E476C"/>
    <w:rsid w:val="006E4B0C"/>
    <w:rsid w:val="006E5044"/>
    <w:rsid w:val="006E5B91"/>
    <w:rsid w:val="006E6169"/>
    <w:rsid w:val="006E6B5F"/>
    <w:rsid w:val="006E6CD9"/>
    <w:rsid w:val="006E7253"/>
    <w:rsid w:val="006E7461"/>
    <w:rsid w:val="006E7635"/>
    <w:rsid w:val="006E7D6C"/>
    <w:rsid w:val="006F02C2"/>
    <w:rsid w:val="006F0504"/>
    <w:rsid w:val="006F0D82"/>
    <w:rsid w:val="006F0E23"/>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527"/>
    <w:rsid w:val="00705930"/>
    <w:rsid w:val="00705E40"/>
    <w:rsid w:val="00705F19"/>
    <w:rsid w:val="00706745"/>
    <w:rsid w:val="00706D71"/>
    <w:rsid w:val="00706FB4"/>
    <w:rsid w:val="0070710A"/>
    <w:rsid w:val="00707C18"/>
    <w:rsid w:val="00707FB8"/>
    <w:rsid w:val="0071060D"/>
    <w:rsid w:val="00710714"/>
    <w:rsid w:val="00710ABD"/>
    <w:rsid w:val="00710C6A"/>
    <w:rsid w:val="00710EEF"/>
    <w:rsid w:val="00711270"/>
    <w:rsid w:val="007112B9"/>
    <w:rsid w:val="00711AF7"/>
    <w:rsid w:val="00711CCB"/>
    <w:rsid w:val="007120C0"/>
    <w:rsid w:val="00712299"/>
    <w:rsid w:val="00712759"/>
    <w:rsid w:val="00712CB6"/>
    <w:rsid w:val="00712DB7"/>
    <w:rsid w:val="00713687"/>
    <w:rsid w:val="00713916"/>
    <w:rsid w:val="00714482"/>
    <w:rsid w:val="007145C2"/>
    <w:rsid w:val="007145EE"/>
    <w:rsid w:val="00714798"/>
    <w:rsid w:val="007149E7"/>
    <w:rsid w:val="00714D66"/>
    <w:rsid w:val="00715B83"/>
    <w:rsid w:val="00716389"/>
    <w:rsid w:val="00716973"/>
    <w:rsid w:val="00716BE0"/>
    <w:rsid w:val="0071721E"/>
    <w:rsid w:val="007173F1"/>
    <w:rsid w:val="0071746F"/>
    <w:rsid w:val="0071757B"/>
    <w:rsid w:val="00717E81"/>
    <w:rsid w:val="00720FF7"/>
    <w:rsid w:val="00721AAA"/>
    <w:rsid w:val="0072217C"/>
    <w:rsid w:val="00722305"/>
    <w:rsid w:val="00722419"/>
    <w:rsid w:val="00722ADB"/>
    <w:rsid w:val="00722EC8"/>
    <w:rsid w:val="0072306B"/>
    <w:rsid w:val="0072321A"/>
    <w:rsid w:val="0072321E"/>
    <w:rsid w:val="00723545"/>
    <w:rsid w:val="00723AB6"/>
    <w:rsid w:val="00724025"/>
    <w:rsid w:val="007247D6"/>
    <w:rsid w:val="00724B52"/>
    <w:rsid w:val="00724BA2"/>
    <w:rsid w:val="007251A8"/>
    <w:rsid w:val="00725484"/>
    <w:rsid w:val="0072624A"/>
    <w:rsid w:val="00726282"/>
    <w:rsid w:val="007263AF"/>
    <w:rsid w:val="00726405"/>
    <w:rsid w:val="007266E4"/>
    <w:rsid w:val="00726B23"/>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6D"/>
    <w:rsid w:val="007331F7"/>
    <w:rsid w:val="00733207"/>
    <w:rsid w:val="00733279"/>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37E61"/>
    <w:rsid w:val="00740CD0"/>
    <w:rsid w:val="0074141A"/>
    <w:rsid w:val="00741981"/>
    <w:rsid w:val="00741CF1"/>
    <w:rsid w:val="00742699"/>
    <w:rsid w:val="00742D15"/>
    <w:rsid w:val="0074334D"/>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2913"/>
    <w:rsid w:val="00753105"/>
    <w:rsid w:val="00753304"/>
    <w:rsid w:val="00753334"/>
    <w:rsid w:val="0075345A"/>
    <w:rsid w:val="007534E0"/>
    <w:rsid w:val="0075350F"/>
    <w:rsid w:val="00753B4D"/>
    <w:rsid w:val="00753F5E"/>
    <w:rsid w:val="00754241"/>
    <w:rsid w:val="0075430D"/>
    <w:rsid w:val="007552DC"/>
    <w:rsid w:val="007556D0"/>
    <w:rsid w:val="007557B8"/>
    <w:rsid w:val="00755AE3"/>
    <w:rsid w:val="00755B19"/>
    <w:rsid w:val="00755B86"/>
    <w:rsid w:val="00756D1B"/>
    <w:rsid w:val="0075711E"/>
    <w:rsid w:val="00757C6F"/>
    <w:rsid w:val="00757E5C"/>
    <w:rsid w:val="00757ECE"/>
    <w:rsid w:val="00760A28"/>
    <w:rsid w:val="00760D44"/>
    <w:rsid w:val="007610E5"/>
    <w:rsid w:val="007616E5"/>
    <w:rsid w:val="0076221C"/>
    <w:rsid w:val="007624C0"/>
    <w:rsid w:val="00762E20"/>
    <w:rsid w:val="00763704"/>
    <w:rsid w:val="00763C14"/>
    <w:rsid w:val="00764423"/>
    <w:rsid w:val="0076462D"/>
    <w:rsid w:val="00764A6C"/>
    <w:rsid w:val="0076502B"/>
    <w:rsid w:val="007651E1"/>
    <w:rsid w:val="007652A2"/>
    <w:rsid w:val="00765795"/>
    <w:rsid w:val="00765C80"/>
    <w:rsid w:val="00766305"/>
    <w:rsid w:val="0076699D"/>
    <w:rsid w:val="00766BFD"/>
    <w:rsid w:val="00766CC5"/>
    <w:rsid w:val="0076733F"/>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4759"/>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5B6"/>
    <w:rsid w:val="007A27F6"/>
    <w:rsid w:val="007A2C28"/>
    <w:rsid w:val="007A2D84"/>
    <w:rsid w:val="007A31C5"/>
    <w:rsid w:val="007A31FF"/>
    <w:rsid w:val="007A381D"/>
    <w:rsid w:val="007A4492"/>
    <w:rsid w:val="007A4853"/>
    <w:rsid w:val="007A4D0F"/>
    <w:rsid w:val="007A4DAE"/>
    <w:rsid w:val="007A4E13"/>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73B"/>
    <w:rsid w:val="007B3A3C"/>
    <w:rsid w:val="007B3D11"/>
    <w:rsid w:val="007B44B2"/>
    <w:rsid w:val="007B465D"/>
    <w:rsid w:val="007B482C"/>
    <w:rsid w:val="007B5128"/>
    <w:rsid w:val="007B52B7"/>
    <w:rsid w:val="007B56CC"/>
    <w:rsid w:val="007B57B4"/>
    <w:rsid w:val="007B594E"/>
    <w:rsid w:val="007B5BF6"/>
    <w:rsid w:val="007B6297"/>
    <w:rsid w:val="007B7118"/>
    <w:rsid w:val="007B74B1"/>
    <w:rsid w:val="007B7829"/>
    <w:rsid w:val="007B7A6D"/>
    <w:rsid w:val="007B7F20"/>
    <w:rsid w:val="007C03D4"/>
    <w:rsid w:val="007C0574"/>
    <w:rsid w:val="007C0932"/>
    <w:rsid w:val="007C12F7"/>
    <w:rsid w:val="007C1857"/>
    <w:rsid w:val="007C19AF"/>
    <w:rsid w:val="007C1DA0"/>
    <w:rsid w:val="007C23B6"/>
    <w:rsid w:val="007C2DA9"/>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70D1"/>
    <w:rsid w:val="007C73E4"/>
    <w:rsid w:val="007C75F5"/>
    <w:rsid w:val="007C7DAB"/>
    <w:rsid w:val="007D050E"/>
    <w:rsid w:val="007D057C"/>
    <w:rsid w:val="007D07BA"/>
    <w:rsid w:val="007D0C21"/>
    <w:rsid w:val="007D19B5"/>
    <w:rsid w:val="007D1C34"/>
    <w:rsid w:val="007D2010"/>
    <w:rsid w:val="007D2DA4"/>
    <w:rsid w:val="007D31A7"/>
    <w:rsid w:val="007D3642"/>
    <w:rsid w:val="007D3EEA"/>
    <w:rsid w:val="007D3FC8"/>
    <w:rsid w:val="007D48A3"/>
    <w:rsid w:val="007D4A94"/>
    <w:rsid w:val="007D515E"/>
    <w:rsid w:val="007D59AB"/>
    <w:rsid w:val="007D6C45"/>
    <w:rsid w:val="007D6D92"/>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A85"/>
    <w:rsid w:val="007E7D44"/>
    <w:rsid w:val="007F1115"/>
    <w:rsid w:val="007F1449"/>
    <w:rsid w:val="007F1600"/>
    <w:rsid w:val="007F1764"/>
    <w:rsid w:val="007F176F"/>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AE2"/>
    <w:rsid w:val="007F7C63"/>
    <w:rsid w:val="008009A4"/>
    <w:rsid w:val="00800C4D"/>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A87"/>
    <w:rsid w:val="00805C60"/>
    <w:rsid w:val="00806173"/>
    <w:rsid w:val="00806541"/>
    <w:rsid w:val="008065A7"/>
    <w:rsid w:val="008065B5"/>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77F8"/>
    <w:rsid w:val="00817A47"/>
    <w:rsid w:val="00817C73"/>
    <w:rsid w:val="00817FD6"/>
    <w:rsid w:val="008205FF"/>
    <w:rsid w:val="00820FB8"/>
    <w:rsid w:val="00821558"/>
    <w:rsid w:val="00821853"/>
    <w:rsid w:val="0082190C"/>
    <w:rsid w:val="00821DB1"/>
    <w:rsid w:val="00822C51"/>
    <w:rsid w:val="008233F7"/>
    <w:rsid w:val="00823D5C"/>
    <w:rsid w:val="008241AA"/>
    <w:rsid w:val="00824275"/>
    <w:rsid w:val="00824B5B"/>
    <w:rsid w:val="00824BB9"/>
    <w:rsid w:val="0082558A"/>
    <w:rsid w:val="0082569A"/>
    <w:rsid w:val="008264D0"/>
    <w:rsid w:val="008267AF"/>
    <w:rsid w:val="008268DF"/>
    <w:rsid w:val="00826EAB"/>
    <w:rsid w:val="00827562"/>
    <w:rsid w:val="008308F2"/>
    <w:rsid w:val="00831083"/>
    <w:rsid w:val="008313F6"/>
    <w:rsid w:val="00831F59"/>
    <w:rsid w:val="00832653"/>
    <w:rsid w:val="00833586"/>
    <w:rsid w:val="00834B41"/>
    <w:rsid w:val="008357D5"/>
    <w:rsid w:val="00835B60"/>
    <w:rsid w:val="0083664D"/>
    <w:rsid w:val="00836CE3"/>
    <w:rsid w:val="00836E69"/>
    <w:rsid w:val="00837121"/>
    <w:rsid w:val="008371CE"/>
    <w:rsid w:val="008375FA"/>
    <w:rsid w:val="008405DE"/>
    <w:rsid w:val="00840799"/>
    <w:rsid w:val="00840852"/>
    <w:rsid w:val="00841302"/>
    <w:rsid w:val="00841834"/>
    <w:rsid w:val="00841EA7"/>
    <w:rsid w:val="00842358"/>
    <w:rsid w:val="00842A24"/>
    <w:rsid w:val="00842BFB"/>
    <w:rsid w:val="00842C6B"/>
    <w:rsid w:val="0084303F"/>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2A"/>
    <w:rsid w:val="00850AEA"/>
    <w:rsid w:val="00850B4C"/>
    <w:rsid w:val="00850F72"/>
    <w:rsid w:val="00851391"/>
    <w:rsid w:val="00851679"/>
    <w:rsid w:val="00851BFE"/>
    <w:rsid w:val="008522A0"/>
    <w:rsid w:val="008526A1"/>
    <w:rsid w:val="00852CCB"/>
    <w:rsid w:val="008539C4"/>
    <w:rsid w:val="00853A6F"/>
    <w:rsid w:val="00853E7F"/>
    <w:rsid w:val="00854097"/>
    <w:rsid w:val="00854346"/>
    <w:rsid w:val="00854491"/>
    <w:rsid w:val="00854C8E"/>
    <w:rsid w:val="0085584E"/>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67FFE"/>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ED3"/>
    <w:rsid w:val="0088104E"/>
    <w:rsid w:val="00881259"/>
    <w:rsid w:val="00881837"/>
    <w:rsid w:val="008818A9"/>
    <w:rsid w:val="008819B5"/>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CB5"/>
    <w:rsid w:val="008869EA"/>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ECF"/>
    <w:rsid w:val="008A21C1"/>
    <w:rsid w:val="008A21DA"/>
    <w:rsid w:val="008A2A08"/>
    <w:rsid w:val="008A40AB"/>
    <w:rsid w:val="008A43A1"/>
    <w:rsid w:val="008A440C"/>
    <w:rsid w:val="008A4415"/>
    <w:rsid w:val="008A468E"/>
    <w:rsid w:val="008A4A8C"/>
    <w:rsid w:val="008A4AE1"/>
    <w:rsid w:val="008A5FE1"/>
    <w:rsid w:val="008A65FF"/>
    <w:rsid w:val="008A67F1"/>
    <w:rsid w:val="008A6A27"/>
    <w:rsid w:val="008A6FBF"/>
    <w:rsid w:val="008A70D3"/>
    <w:rsid w:val="008A740A"/>
    <w:rsid w:val="008A777A"/>
    <w:rsid w:val="008A7CB1"/>
    <w:rsid w:val="008B0104"/>
    <w:rsid w:val="008B12E1"/>
    <w:rsid w:val="008B1EF8"/>
    <w:rsid w:val="008B24A5"/>
    <w:rsid w:val="008B2A34"/>
    <w:rsid w:val="008B316B"/>
    <w:rsid w:val="008B34BE"/>
    <w:rsid w:val="008B37AC"/>
    <w:rsid w:val="008B3B8B"/>
    <w:rsid w:val="008B3D8D"/>
    <w:rsid w:val="008B4218"/>
    <w:rsid w:val="008B43C5"/>
    <w:rsid w:val="008B48AB"/>
    <w:rsid w:val="008B5230"/>
    <w:rsid w:val="008B67A9"/>
    <w:rsid w:val="008B6B55"/>
    <w:rsid w:val="008B75F8"/>
    <w:rsid w:val="008B7739"/>
    <w:rsid w:val="008B7DD5"/>
    <w:rsid w:val="008C0118"/>
    <w:rsid w:val="008C01D1"/>
    <w:rsid w:val="008C0AAE"/>
    <w:rsid w:val="008C12E6"/>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61C5"/>
    <w:rsid w:val="008C64A2"/>
    <w:rsid w:val="008C6671"/>
    <w:rsid w:val="008C6F5D"/>
    <w:rsid w:val="008C74C8"/>
    <w:rsid w:val="008C7A0E"/>
    <w:rsid w:val="008C7AEA"/>
    <w:rsid w:val="008C7D66"/>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06A"/>
    <w:rsid w:val="008D42D8"/>
    <w:rsid w:val="008D42F9"/>
    <w:rsid w:val="008D44D4"/>
    <w:rsid w:val="008D48D0"/>
    <w:rsid w:val="008D4BA4"/>
    <w:rsid w:val="008D4D62"/>
    <w:rsid w:val="008D4D7C"/>
    <w:rsid w:val="008D4E75"/>
    <w:rsid w:val="008D534C"/>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AD7"/>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99E"/>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A26"/>
    <w:rsid w:val="00907C5F"/>
    <w:rsid w:val="009106AF"/>
    <w:rsid w:val="00911159"/>
    <w:rsid w:val="009116FB"/>
    <w:rsid w:val="009117B4"/>
    <w:rsid w:val="009118B8"/>
    <w:rsid w:val="009121CF"/>
    <w:rsid w:val="009121D6"/>
    <w:rsid w:val="00912C58"/>
    <w:rsid w:val="00912E03"/>
    <w:rsid w:val="00912E48"/>
    <w:rsid w:val="0091306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1F5B"/>
    <w:rsid w:val="009220BA"/>
    <w:rsid w:val="00922118"/>
    <w:rsid w:val="00922A10"/>
    <w:rsid w:val="00922B7A"/>
    <w:rsid w:val="00922DEB"/>
    <w:rsid w:val="00922FE9"/>
    <w:rsid w:val="00923861"/>
    <w:rsid w:val="00923C58"/>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1EB"/>
    <w:rsid w:val="00936216"/>
    <w:rsid w:val="009365C2"/>
    <w:rsid w:val="00936ACD"/>
    <w:rsid w:val="00936B03"/>
    <w:rsid w:val="00936F8F"/>
    <w:rsid w:val="00937184"/>
    <w:rsid w:val="0093766C"/>
    <w:rsid w:val="009376F8"/>
    <w:rsid w:val="00937A61"/>
    <w:rsid w:val="00940422"/>
    <w:rsid w:val="0094071B"/>
    <w:rsid w:val="00940C4A"/>
    <w:rsid w:val="009410AC"/>
    <w:rsid w:val="0094141F"/>
    <w:rsid w:val="0094149B"/>
    <w:rsid w:val="00942136"/>
    <w:rsid w:val="00942146"/>
    <w:rsid w:val="00942739"/>
    <w:rsid w:val="00942A57"/>
    <w:rsid w:val="00942B5E"/>
    <w:rsid w:val="00942D4C"/>
    <w:rsid w:val="00943262"/>
    <w:rsid w:val="00943282"/>
    <w:rsid w:val="00943478"/>
    <w:rsid w:val="009439B3"/>
    <w:rsid w:val="00943E48"/>
    <w:rsid w:val="00944192"/>
    <w:rsid w:val="009446C5"/>
    <w:rsid w:val="0094583D"/>
    <w:rsid w:val="00945A2F"/>
    <w:rsid w:val="00945BC5"/>
    <w:rsid w:val="0094600B"/>
    <w:rsid w:val="00946A2F"/>
    <w:rsid w:val="00947823"/>
    <w:rsid w:val="0095033F"/>
    <w:rsid w:val="00950802"/>
    <w:rsid w:val="009515AB"/>
    <w:rsid w:val="009517E9"/>
    <w:rsid w:val="00952175"/>
    <w:rsid w:val="0095257F"/>
    <w:rsid w:val="00952890"/>
    <w:rsid w:val="00952A92"/>
    <w:rsid w:val="00952E56"/>
    <w:rsid w:val="00952F89"/>
    <w:rsid w:val="00953772"/>
    <w:rsid w:val="00953AF9"/>
    <w:rsid w:val="00953C2D"/>
    <w:rsid w:val="009545B9"/>
    <w:rsid w:val="00955480"/>
    <w:rsid w:val="00955497"/>
    <w:rsid w:val="00955A20"/>
    <w:rsid w:val="00955A52"/>
    <w:rsid w:val="00955FD1"/>
    <w:rsid w:val="00956226"/>
    <w:rsid w:val="009562DC"/>
    <w:rsid w:val="00956E09"/>
    <w:rsid w:val="0095712A"/>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4F9"/>
    <w:rsid w:val="009645A0"/>
    <w:rsid w:val="0096476F"/>
    <w:rsid w:val="00964BF8"/>
    <w:rsid w:val="00964F9D"/>
    <w:rsid w:val="009652B7"/>
    <w:rsid w:val="009652BE"/>
    <w:rsid w:val="00965312"/>
    <w:rsid w:val="00965546"/>
    <w:rsid w:val="009658C7"/>
    <w:rsid w:val="00965F88"/>
    <w:rsid w:val="00966217"/>
    <w:rsid w:val="009668F3"/>
    <w:rsid w:val="0096698C"/>
    <w:rsid w:val="00966C32"/>
    <w:rsid w:val="00967715"/>
    <w:rsid w:val="0096772E"/>
    <w:rsid w:val="009701C8"/>
    <w:rsid w:val="00970482"/>
    <w:rsid w:val="009705D8"/>
    <w:rsid w:val="00970BAA"/>
    <w:rsid w:val="00970C33"/>
    <w:rsid w:val="00971179"/>
    <w:rsid w:val="00971421"/>
    <w:rsid w:val="00971BAD"/>
    <w:rsid w:val="009731C6"/>
    <w:rsid w:val="00973438"/>
    <w:rsid w:val="0097363A"/>
    <w:rsid w:val="0097411B"/>
    <w:rsid w:val="0097445B"/>
    <w:rsid w:val="00974A76"/>
    <w:rsid w:val="00974D7F"/>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92"/>
    <w:rsid w:val="009915BD"/>
    <w:rsid w:val="00991715"/>
    <w:rsid w:val="00991769"/>
    <w:rsid w:val="009919A4"/>
    <w:rsid w:val="00991EB6"/>
    <w:rsid w:val="009920E0"/>
    <w:rsid w:val="009922D8"/>
    <w:rsid w:val="009924B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81"/>
    <w:rsid w:val="009A4193"/>
    <w:rsid w:val="009A419B"/>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B708D"/>
    <w:rsid w:val="009C00E7"/>
    <w:rsid w:val="009C0200"/>
    <w:rsid w:val="009C05D7"/>
    <w:rsid w:val="009C069D"/>
    <w:rsid w:val="009C0AB7"/>
    <w:rsid w:val="009C0CCE"/>
    <w:rsid w:val="009C0F4D"/>
    <w:rsid w:val="009C1239"/>
    <w:rsid w:val="009C1363"/>
    <w:rsid w:val="009C1776"/>
    <w:rsid w:val="009C1AC0"/>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EBE"/>
    <w:rsid w:val="009F4662"/>
    <w:rsid w:val="009F4918"/>
    <w:rsid w:val="009F49CE"/>
    <w:rsid w:val="009F4EC8"/>
    <w:rsid w:val="009F5717"/>
    <w:rsid w:val="009F6394"/>
    <w:rsid w:val="009F63BB"/>
    <w:rsid w:val="009F66AA"/>
    <w:rsid w:val="009F6E53"/>
    <w:rsid w:val="009F765A"/>
    <w:rsid w:val="009F7BE8"/>
    <w:rsid w:val="009F7CD9"/>
    <w:rsid w:val="00A0004A"/>
    <w:rsid w:val="00A00078"/>
    <w:rsid w:val="00A001A9"/>
    <w:rsid w:val="00A00850"/>
    <w:rsid w:val="00A010F2"/>
    <w:rsid w:val="00A0135C"/>
    <w:rsid w:val="00A01419"/>
    <w:rsid w:val="00A0162E"/>
    <w:rsid w:val="00A01E79"/>
    <w:rsid w:val="00A02C1A"/>
    <w:rsid w:val="00A03097"/>
    <w:rsid w:val="00A034DD"/>
    <w:rsid w:val="00A03E19"/>
    <w:rsid w:val="00A03E5F"/>
    <w:rsid w:val="00A04484"/>
    <w:rsid w:val="00A0496A"/>
    <w:rsid w:val="00A04C11"/>
    <w:rsid w:val="00A05BD3"/>
    <w:rsid w:val="00A066AE"/>
    <w:rsid w:val="00A067ED"/>
    <w:rsid w:val="00A068B1"/>
    <w:rsid w:val="00A06CDA"/>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2CA"/>
    <w:rsid w:val="00A1369C"/>
    <w:rsid w:val="00A13F47"/>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7AD"/>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33E"/>
    <w:rsid w:val="00A54708"/>
    <w:rsid w:val="00A55166"/>
    <w:rsid w:val="00A551DB"/>
    <w:rsid w:val="00A55E82"/>
    <w:rsid w:val="00A561EE"/>
    <w:rsid w:val="00A565A5"/>
    <w:rsid w:val="00A56D34"/>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45F4"/>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47A"/>
    <w:rsid w:val="00A748EF"/>
    <w:rsid w:val="00A749F5"/>
    <w:rsid w:val="00A74B8D"/>
    <w:rsid w:val="00A74BEE"/>
    <w:rsid w:val="00A74F33"/>
    <w:rsid w:val="00A74F7B"/>
    <w:rsid w:val="00A75940"/>
    <w:rsid w:val="00A75B4F"/>
    <w:rsid w:val="00A75BCF"/>
    <w:rsid w:val="00A75CD5"/>
    <w:rsid w:val="00A75D26"/>
    <w:rsid w:val="00A76154"/>
    <w:rsid w:val="00A76559"/>
    <w:rsid w:val="00A76A5B"/>
    <w:rsid w:val="00A7789D"/>
    <w:rsid w:val="00A8089F"/>
    <w:rsid w:val="00A80C05"/>
    <w:rsid w:val="00A80C39"/>
    <w:rsid w:val="00A80FD7"/>
    <w:rsid w:val="00A81101"/>
    <w:rsid w:val="00A8157C"/>
    <w:rsid w:val="00A815A5"/>
    <w:rsid w:val="00A81B67"/>
    <w:rsid w:val="00A826EA"/>
    <w:rsid w:val="00A828B2"/>
    <w:rsid w:val="00A829A9"/>
    <w:rsid w:val="00A82C5B"/>
    <w:rsid w:val="00A830AD"/>
    <w:rsid w:val="00A834A2"/>
    <w:rsid w:val="00A83C58"/>
    <w:rsid w:val="00A84460"/>
    <w:rsid w:val="00A84700"/>
    <w:rsid w:val="00A84B7A"/>
    <w:rsid w:val="00A84F47"/>
    <w:rsid w:val="00A851B0"/>
    <w:rsid w:val="00A85617"/>
    <w:rsid w:val="00A856E1"/>
    <w:rsid w:val="00A8592E"/>
    <w:rsid w:val="00A8626D"/>
    <w:rsid w:val="00A86BB6"/>
    <w:rsid w:val="00A86D37"/>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7E3"/>
    <w:rsid w:val="00AA41F0"/>
    <w:rsid w:val="00AA42EA"/>
    <w:rsid w:val="00AA4418"/>
    <w:rsid w:val="00AA4716"/>
    <w:rsid w:val="00AA4732"/>
    <w:rsid w:val="00AA4A0C"/>
    <w:rsid w:val="00AA4B94"/>
    <w:rsid w:val="00AA4ECA"/>
    <w:rsid w:val="00AA5212"/>
    <w:rsid w:val="00AA626D"/>
    <w:rsid w:val="00AA680A"/>
    <w:rsid w:val="00AA6FBC"/>
    <w:rsid w:val="00AA7A26"/>
    <w:rsid w:val="00AA7B0F"/>
    <w:rsid w:val="00AB0CA3"/>
    <w:rsid w:val="00AB1242"/>
    <w:rsid w:val="00AB1C0D"/>
    <w:rsid w:val="00AB20EA"/>
    <w:rsid w:val="00AB2292"/>
    <w:rsid w:val="00AB2664"/>
    <w:rsid w:val="00AB26C7"/>
    <w:rsid w:val="00AB2E1E"/>
    <w:rsid w:val="00AB3023"/>
    <w:rsid w:val="00AB31EA"/>
    <w:rsid w:val="00AB34F8"/>
    <w:rsid w:val="00AB38D6"/>
    <w:rsid w:val="00AB4420"/>
    <w:rsid w:val="00AB4A0D"/>
    <w:rsid w:val="00AB4BE8"/>
    <w:rsid w:val="00AB4C50"/>
    <w:rsid w:val="00AB4CBB"/>
    <w:rsid w:val="00AB4EC1"/>
    <w:rsid w:val="00AB624C"/>
    <w:rsid w:val="00AB67F0"/>
    <w:rsid w:val="00AB6982"/>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253"/>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63A0"/>
    <w:rsid w:val="00AD6417"/>
    <w:rsid w:val="00AD67E3"/>
    <w:rsid w:val="00AD6809"/>
    <w:rsid w:val="00AD74B3"/>
    <w:rsid w:val="00AD7901"/>
    <w:rsid w:val="00AD7A47"/>
    <w:rsid w:val="00AD7C11"/>
    <w:rsid w:val="00AE0A9C"/>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527B"/>
    <w:rsid w:val="00AE5713"/>
    <w:rsid w:val="00AE5D81"/>
    <w:rsid w:val="00AE5FAE"/>
    <w:rsid w:val="00AE61CE"/>
    <w:rsid w:val="00AE66BF"/>
    <w:rsid w:val="00AE6C40"/>
    <w:rsid w:val="00AE6E1B"/>
    <w:rsid w:val="00AE7491"/>
    <w:rsid w:val="00AE7503"/>
    <w:rsid w:val="00AE7FF7"/>
    <w:rsid w:val="00AF0173"/>
    <w:rsid w:val="00AF0F73"/>
    <w:rsid w:val="00AF10A8"/>
    <w:rsid w:val="00AF1663"/>
    <w:rsid w:val="00AF1CC2"/>
    <w:rsid w:val="00AF1CCB"/>
    <w:rsid w:val="00AF20C7"/>
    <w:rsid w:val="00AF23ED"/>
    <w:rsid w:val="00AF2988"/>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E6A"/>
    <w:rsid w:val="00B00F9A"/>
    <w:rsid w:val="00B01104"/>
    <w:rsid w:val="00B0110A"/>
    <w:rsid w:val="00B015E5"/>
    <w:rsid w:val="00B026F3"/>
    <w:rsid w:val="00B02831"/>
    <w:rsid w:val="00B029F6"/>
    <w:rsid w:val="00B02FAD"/>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7758"/>
    <w:rsid w:val="00B101AD"/>
    <w:rsid w:val="00B10D7E"/>
    <w:rsid w:val="00B10E73"/>
    <w:rsid w:val="00B10FD4"/>
    <w:rsid w:val="00B118B7"/>
    <w:rsid w:val="00B11B39"/>
    <w:rsid w:val="00B12300"/>
    <w:rsid w:val="00B1244C"/>
    <w:rsid w:val="00B12EAB"/>
    <w:rsid w:val="00B135FF"/>
    <w:rsid w:val="00B1375D"/>
    <w:rsid w:val="00B13E57"/>
    <w:rsid w:val="00B14509"/>
    <w:rsid w:val="00B148A1"/>
    <w:rsid w:val="00B15277"/>
    <w:rsid w:val="00B153D2"/>
    <w:rsid w:val="00B15430"/>
    <w:rsid w:val="00B15459"/>
    <w:rsid w:val="00B15551"/>
    <w:rsid w:val="00B15D65"/>
    <w:rsid w:val="00B16161"/>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568"/>
    <w:rsid w:val="00B22745"/>
    <w:rsid w:val="00B227A2"/>
    <w:rsid w:val="00B22936"/>
    <w:rsid w:val="00B22B7F"/>
    <w:rsid w:val="00B22DCA"/>
    <w:rsid w:val="00B230C1"/>
    <w:rsid w:val="00B23BC2"/>
    <w:rsid w:val="00B23CD1"/>
    <w:rsid w:val="00B242E2"/>
    <w:rsid w:val="00B2464D"/>
    <w:rsid w:val="00B24C89"/>
    <w:rsid w:val="00B251E1"/>
    <w:rsid w:val="00B25226"/>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B5C"/>
    <w:rsid w:val="00B43C70"/>
    <w:rsid w:val="00B43DF3"/>
    <w:rsid w:val="00B43FD0"/>
    <w:rsid w:val="00B442C7"/>
    <w:rsid w:val="00B443C4"/>
    <w:rsid w:val="00B44C52"/>
    <w:rsid w:val="00B45487"/>
    <w:rsid w:val="00B45B63"/>
    <w:rsid w:val="00B45CCA"/>
    <w:rsid w:val="00B45E4A"/>
    <w:rsid w:val="00B4609B"/>
    <w:rsid w:val="00B46296"/>
    <w:rsid w:val="00B465AB"/>
    <w:rsid w:val="00B4677F"/>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AA0"/>
    <w:rsid w:val="00B56D4F"/>
    <w:rsid w:val="00B56F6A"/>
    <w:rsid w:val="00B57450"/>
    <w:rsid w:val="00B57674"/>
    <w:rsid w:val="00B5769F"/>
    <w:rsid w:val="00B576EA"/>
    <w:rsid w:val="00B603D7"/>
    <w:rsid w:val="00B606C2"/>
    <w:rsid w:val="00B607D6"/>
    <w:rsid w:val="00B60D6E"/>
    <w:rsid w:val="00B60E9A"/>
    <w:rsid w:val="00B61DD5"/>
    <w:rsid w:val="00B62016"/>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CB"/>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6ED"/>
    <w:rsid w:val="00B927B6"/>
    <w:rsid w:val="00B92D4B"/>
    <w:rsid w:val="00B930C2"/>
    <w:rsid w:val="00B93254"/>
    <w:rsid w:val="00B93597"/>
    <w:rsid w:val="00B936AB"/>
    <w:rsid w:val="00B93B24"/>
    <w:rsid w:val="00B9605E"/>
    <w:rsid w:val="00B964F9"/>
    <w:rsid w:val="00B96BB4"/>
    <w:rsid w:val="00B96D36"/>
    <w:rsid w:val="00B97016"/>
    <w:rsid w:val="00B97148"/>
    <w:rsid w:val="00B9751C"/>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556"/>
    <w:rsid w:val="00BA4A8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A3F"/>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949"/>
    <w:rsid w:val="00BC005E"/>
    <w:rsid w:val="00BC054E"/>
    <w:rsid w:val="00BC09B1"/>
    <w:rsid w:val="00BC0BDA"/>
    <w:rsid w:val="00BC0C5F"/>
    <w:rsid w:val="00BC0CA6"/>
    <w:rsid w:val="00BC0F98"/>
    <w:rsid w:val="00BC0FBC"/>
    <w:rsid w:val="00BC1BA6"/>
    <w:rsid w:val="00BC1BB3"/>
    <w:rsid w:val="00BC219E"/>
    <w:rsid w:val="00BC3D6B"/>
    <w:rsid w:val="00BC3EF3"/>
    <w:rsid w:val="00BC4976"/>
    <w:rsid w:val="00BC4B55"/>
    <w:rsid w:val="00BC4C7F"/>
    <w:rsid w:val="00BC50B0"/>
    <w:rsid w:val="00BC51EA"/>
    <w:rsid w:val="00BC5EA0"/>
    <w:rsid w:val="00BC6088"/>
    <w:rsid w:val="00BC656F"/>
    <w:rsid w:val="00BC677E"/>
    <w:rsid w:val="00BC6F1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ABF"/>
    <w:rsid w:val="00BD3FE5"/>
    <w:rsid w:val="00BD49FB"/>
    <w:rsid w:val="00BD4D15"/>
    <w:rsid w:val="00BD5984"/>
    <w:rsid w:val="00BD6ADE"/>
    <w:rsid w:val="00BD6BBC"/>
    <w:rsid w:val="00BD6C2D"/>
    <w:rsid w:val="00BD6F39"/>
    <w:rsid w:val="00BD7278"/>
    <w:rsid w:val="00BD7280"/>
    <w:rsid w:val="00BD740E"/>
    <w:rsid w:val="00BD7812"/>
    <w:rsid w:val="00BD7C32"/>
    <w:rsid w:val="00BD7C63"/>
    <w:rsid w:val="00BD7D55"/>
    <w:rsid w:val="00BE00F5"/>
    <w:rsid w:val="00BE02D5"/>
    <w:rsid w:val="00BE0A8F"/>
    <w:rsid w:val="00BE108D"/>
    <w:rsid w:val="00BE1807"/>
    <w:rsid w:val="00BE1A0A"/>
    <w:rsid w:val="00BE1C87"/>
    <w:rsid w:val="00BE1EDD"/>
    <w:rsid w:val="00BE1FC4"/>
    <w:rsid w:val="00BE2AC6"/>
    <w:rsid w:val="00BE3596"/>
    <w:rsid w:val="00BE3ED2"/>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3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347"/>
    <w:rsid w:val="00BF43DF"/>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3A5"/>
    <w:rsid w:val="00C133D2"/>
    <w:rsid w:val="00C13EFF"/>
    <w:rsid w:val="00C147EB"/>
    <w:rsid w:val="00C14A0B"/>
    <w:rsid w:val="00C14FD6"/>
    <w:rsid w:val="00C15540"/>
    <w:rsid w:val="00C1558C"/>
    <w:rsid w:val="00C158F5"/>
    <w:rsid w:val="00C15D93"/>
    <w:rsid w:val="00C15E5F"/>
    <w:rsid w:val="00C16FA3"/>
    <w:rsid w:val="00C17A40"/>
    <w:rsid w:val="00C17B85"/>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2D"/>
    <w:rsid w:val="00C31C68"/>
    <w:rsid w:val="00C31D00"/>
    <w:rsid w:val="00C31E26"/>
    <w:rsid w:val="00C327FC"/>
    <w:rsid w:val="00C32922"/>
    <w:rsid w:val="00C33012"/>
    <w:rsid w:val="00C33373"/>
    <w:rsid w:val="00C3390C"/>
    <w:rsid w:val="00C33B17"/>
    <w:rsid w:val="00C33BAD"/>
    <w:rsid w:val="00C33D75"/>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DB2"/>
    <w:rsid w:val="00C42194"/>
    <w:rsid w:val="00C427E1"/>
    <w:rsid w:val="00C42B30"/>
    <w:rsid w:val="00C42EA5"/>
    <w:rsid w:val="00C430D0"/>
    <w:rsid w:val="00C4344C"/>
    <w:rsid w:val="00C43745"/>
    <w:rsid w:val="00C438D3"/>
    <w:rsid w:val="00C43A0D"/>
    <w:rsid w:val="00C443AD"/>
    <w:rsid w:val="00C448B1"/>
    <w:rsid w:val="00C4749D"/>
    <w:rsid w:val="00C47B01"/>
    <w:rsid w:val="00C47D3D"/>
    <w:rsid w:val="00C50920"/>
    <w:rsid w:val="00C50FAA"/>
    <w:rsid w:val="00C513F8"/>
    <w:rsid w:val="00C51683"/>
    <w:rsid w:val="00C517F5"/>
    <w:rsid w:val="00C51A62"/>
    <w:rsid w:val="00C51B9D"/>
    <w:rsid w:val="00C51E8E"/>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A2B"/>
    <w:rsid w:val="00C61EFF"/>
    <w:rsid w:val="00C61F81"/>
    <w:rsid w:val="00C62889"/>
    <w:rsid w:val="00C62AA5"/>
    <w:rsid w:val="00C63004"/>
    <w:rsid w:val="00C639EA"/>
    <w:rsid w:val="00C63FA6"/>
    <w:rsid w:val="00C63FB6"/>
    <w:rsid w:val="00C6418E"/>
    <w:rsid w:val="00C642F2"/>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C42"/>
    <w:rsid w:val="00C73DB9"/>
    <w:rsid w:val="00C73F85"/>
    <w:rsid w:val="00C740B1"/>
    <w:rsid w:val="00C7436D"/>
    <w:rsid w:val="00C74577"/>
    <w:rsid w:val="00C7472F"/>
    <w:rsid w:val="00C75BCF"/>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1D2"/>
    <w:rsid w:val="00CA2212"/>
    <w:rsid w:val="00CA247F"/>
    <w:rsid w:val="00CA26DD"/>
    <w:rsid w:val="00CA27FC"/>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6DD"/>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B90"/>
    <w:rsid w:val="00CB7E06"/>
    <w:rsid w:val="00CC0B3F"/>
    <w:rsid w:val="00CC0DD1"/>
    <w:rsid w:val="00CC1028"/>
    <w:rsid w:val="00CC1372"/>
    <w:rsid w:val="00CC1996"/>
    <w:rsid w:val="00CC238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2DC"/>
    <w:rsid w:val="00CD4335"/>
    <w:rsid w:val="00CD447E"/>
    <w:rsid w:val="00CD44C6"/>
    <w:rsid w:val="00CD47D7"/>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4FFF"/>
    <w:rsid w:val="00CF5407"/>
    <w:rsid w:val="00CF562A"/>
    <w:rsid w:val="00CF56C4"/>
    <w:rsid w:val="00CF5C3F"/>
    <w:rsid w:val="00CF5DA8"/>
    <w:rsid w:val="00CF670C"/>
    <w:rsid w:val="00CF6786"/>
    <w:rsid w:val="00CF6846"/>
    <w:rsid w:val="00CF69AC"/>
    <w:rsid w:val="00CF6F49"/>
    <w:rsid w:val="00CF739C"/>
    <w:rsid w:val="00D00358"/>
    <w:rsid w:val="00D004E0"/>
    <w:rsid w:val="00D00AB2"/>
    <w:rsid w:val="00D00FE2"/>
    <w:rsid w:val="00D01065"/>
    <w:rsid w:val="00D01381"/>
    <w:rsid w:val="00D02061"/>
    <w:rsid w:val="00D020A0"/>
    <w:rsid w:val="00D0235C"/>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9C2"/>
    <w:rsid w:val="00D07D93"/>
    <w:rsid w:val="00D07E02"/>
    <w:rsid w:val="00D10220"/>
    <w:rsid w:val="00D1052B"/>
    <w:rsid w:val="00D10B69"/>
    <w:rsid w:val="00D10E30"/>
    <w:rsid w:val="00D10F70"/>
    <w:rsid w:val="00D1123C"/>
    <w:rsid w:val="00D11270"/>
    <w:rsid w:val="00D11A9D"/>
    <w:rsid w:val="00D11B05"/>
    <w:rsid w:val="00D12117"/>
    <w:rsid w:val="00D1211D"/>
    <w:rsid w:val="00D1268E"/>
    <w:rsid w:val="00D12E54"/>
    <w:rsid w:val="00D13D40"/>
    <w:rsid w:val="00D13DCD"/>
    <w:rsid w:val="00D13E39"/>
    <w:rsid w:val="00D14827"/>
    <w:rsid w:val="00D149AE"/>
    <w:rsid w:val="00D15032"/>
    <w:rsid w:val="00D1608B"/>
    <w:rsid w:val="00D16163"/>
    <w:rsid w:val="00D16865"/>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7B1"/>
    <w:rsid w:val="00D43F30"/>
    <w:rsid w:val="00D44491"/>
    <w:rsid w:val="00D446C6"/>
    <w:rsid w:val="00D44FDD"/>
    <w:rsid w:val="00D45854"/>
    <w:rsid w:val="00D45AAB"/>
    <w:rsid w:val="00D45AC8"/>
    <w:rsid w:val="00D4601C"/>
    <w:rsid w:val="00D4678D"/>
    <w:rsid w:val="00D467A9"/>
    <w:rsid w:val="00D4688A"/>
    <w:rsid w:val="00D46FCA"/>
    <w:rsid w:val="00D47253"/>
    <w:rsid w:val="00D47CBE"/>
    <w:rsid w:val="00D47EE6"/>
    <w:rsid w:val="00D47FF8"/>
    <w:rsid w:val="00D5016F"/>
    <w:rsid w:val="00D5070D"/>
    <w:rsid w:val="00D50964"/>
    <w:rsid w:val="00D509CC"/>
    <w:rsid w:val="00D50FB5"/>
    <w:rsid w:val="00D512D3"/>
    <w:rsid w:val="00D5171C"/>
    <w:rsid w:val="00D51AAB"/>
    <w:rsid w:val="00D51E4E"/>
    <w:rsid w:val="00D520FE"/>
    <w:rsid w:val="00D527BD"/>
    <w:rsid w:val="00D52E31"/>
    <w:rsid w:val="00D52F42"/>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0E88"/>
    <w:rsid w:val="00D61A05"/>
    <w:rsid w:val="00D61DFE"/>
    <w:rsid w:val="00D61E62"/>
    <w:rsid w:val="00D62205"/>
    <w:rsid w:val="00D6238D"/>
    <w:rsid w:val="00D6248A"/>
    <w:rsid w:val="00D62531"/>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4FC6"/>
    <w:rsid w:val="00D7583B"/>
    <w:rsid w:val="00D75B3E"/>
    <w:rsid w:val="00D75E05"/>
    <w:rsid w:val="00D75F87"/>
    <w:rsid w:val="00D762DF"/>
    <w:rsid w:val="00D7630D"/>
    <w:rsid w:val="00D765F4"/>
    <w:rsid w:val="00D76E9F"/>
    <w:rsid w:val="00D76F8E"/>
    <w:rsid w:val="00D7709A"/>
    <w:rsid w:val="00D778D3"/>
    <w:rsid w:val="00D77B2D"/>
    <w:rsid w:val="00D77F59"/>
    <w:rsid w:val="00D8148D"/>
    <w:rsid w:val="00D81509"/>
    <w:rsid w:val="00D81A0A"/>
    <w:rsid w:val="00D82083"/>
    <w:rsid w:val="00D822D1"/>
    <w:rsid w:val="00D8261B"/>
    <w:rsid w:val="00D82C50"/>
    <w:rsid w:val="00D82D97"/>
    <w:rsid w:val="00D832FE"/>
    <w:rsid w:val="00D83A20"/>
    <w:rsid w:val="00D83CB7"/>
    <w:rsid w:val="00D83E44"/>
    <w:rsid w:val="00D83FD2"/>
    <w:rsid w:val="00D843B6"/>
    <w:rsid w:val="00D84534"/>
    <w:rsid w:val="00D84BBE"/>
    <w:rsid w:val="00D84BDA"/>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5CDC"/>
    <w:rsid w:val="00D96396"/>
    <w:rsid w:val="00D96422"/>
    <w:rsid w:val="00D96970"/>
    <w:rsid w:val="00D972E4"/>
    <w:rsid w:val="00D973BF"/>
    <w:rsid w:val="00D97485"/>
    <w:rsid w:val="00D9756C"/>
    <w:rsid w:val="00D97628"/>
    <w:rsid w:val="00D978DF"/>
    <w:rsid w:val="00D97D04"/>
    <w:rsid w:val="00DA009E"/>
    <w:rsid w:val="00DA0225"/>
    <w:rsid w:val="00DA02A3"/>
    <w:rsid w:val="00DA15DA"/>
    <w:rsid w:val="00DA16BA"/>
    <w:rsid w:val="00DA1957"/>
    <w:rsid w:val="00DA1A7F"/>
    <w:rsid w:val="00DA1B6A"/>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ED3"/>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7CA0"/>
    <w:rsid w:val="00DC7D6F"/>
    <w:rsid w:val="00DD0464"/>
    <w:rsid w:val="00DD12D5"/>
    <w:rsid w:val="00DD1417"/>
    <w:rsid w:val="00DD15B2"/>
    <w:rsid w:val="00DD1635"/>
    <w:rsid w:val="00DD18AB"/>
    <w:rsid w:val="00DD2231"/>
    <w:rsid w:val="00DD2B43"/>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39"/>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93"/>
    <w:rsid w:val="00DE52DE"/>
    <w:rsid w:val="00DE5AC0"/>
    <w:rsid w:val="00DE5E3C"/>
    <w:rsid w:val="00DE62D1"/>
    <w:rsid w:val="00DE65F8"/>
    <w:rsid w:val="00DE69E3"/>
    <w:rsid w:val="00DE72C3"/>
    <w:rsid w:val="00DE740F"/>
    <w:rsid w:val="00DF0040"/>
    <w:rsid w:val="00DF05F2"/>
    <w:rsid w:val="00DF0AAD"/>
    <w:rsid w:val="00DF0B5F"/>
    <w:rsid w:val="00DF0C76"/>
    <w:rsid w:val="00DF0D26"/>
    <w:rsid w:val="00DF103A"/>
    <w:rsid w:val="00DF1271"/>
    <w:rsid w:val="00DF1CF5"/>
    <w:rsid w:val="00DF2013"/>
    <w:rsid w:val="00DF2432"/>
    <w:rsid w:val="00DF2A00"/>
    <w:rsid w:val="00DF2B3E"/>
    <w:rsid w:val="00DF323B"/>
    <w:rsid w:val="00DF3A44"/>
    <w:rsid w:val="00DF3B08"/>
    <w:rsid w:val="00DF3EF7"/>
    <w:rsid w:val="00DF3F06"/>
    <w:rsid w:val="00DF46B7"/>
    <w:rsid w:val="00DF559E"/>
    <w:rsid w:val="00DF57D7"/>
    <w:rsid w:val="00DF58D6"/>
    <w:rsid w:val="00DF5AC1"/>
    <w:rsid w:val="00DF5D8F"/>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DFC"/>
    <w:rsid w:val="00E01E0A"/>
    <w:rsid w:val="00E021B4"/>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611"/>
    <w:rsid w:val="00E077D0"/>
    <w:rsid w:val="00E07AC1"/>
    <w:rsid w:val="00E07C13"/>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3ECE"/>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B0"/>
    <w:rsid w:val="00E260CB"/>
    <w:rsid w:val="00E262AD"/>
    <w:rsid w:val="00E26852"/>
    <w:rsid w:val="00E269D1"/>
    <w:rsid w:val="00E26A50"/>
    <w:rsid w:val="00E278E1"/>
    <w:rsid w:val="00E27A13"/>
    <w:rsid w:val="00E27B0B"/>
    <w:rsid w:val="00E30030"/>
    <w:rsid w:val="00E30533"/>
    <w:rsid w:val="00E30676"/>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25D"/>
    <w:rsid w:val="00E375CA"/>
    <w:rsid w:val="00E379D2"/>
    <w:rsid w:val="00E37D94"/>
    <w:rsid w:val="00E400FC"/>
    <w:rsid w:val="00E401AF"/>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572"/>
    <w:rsid w:val="00E56C5F"/>
    <w:rsid w:val="00E56FCA"/>
    <w:rsid w:val="00E56FE3"/>
    <w:rsid w:val="00E5786B"/>
    <w:rsid w:val="00E5795E"/>
    <w:rsid w:val="00E57EA9"/>
    <w:rsid w:val="00E600D8"/>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CAE"/>
    <w:rsid w:val="00E6757B"/>
    <w:rsid w:val="00E67C97"/>
    <w:rsid w:val="00E67CA6"/>
    <w:rsid w:val="00E67E99"/>
    <w:rsid w:val="00E70A02"/>
    <w:rsid w:val="00E711DF"/>
    <w:rsid w:val="00E714E0"/>
    <w:rsid w:val="00E7151E"/>
    <w:rsid w:val="00E722B7"/>
    <w:rsid w:val="00E7236D"/>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9B2"/>
    <w:rsid w:val="00E85C9F"/>
    <w:rsid w:val="00E86168"/>
    <w:rsid w:val="00E86218"/>
    <w:rsid w:val="00E871A3"/>
    <w:rsid w:val="00E871B4"/>
    <w:rsid w:val="00E8742D"/>
    <w:rsid w:val="00E87F35"/>
    <w:rsid w:val="00E90069"/>
    <w:rsid w:val="00E90916"/>
    <w:rsid w:val="00E90C00"/>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71"/>
    <w:rsid w:val="00E961E0"/>
    <w:rsid w:val="00E9630A"/>
    <w:rsid w:val="00E963FB"/>
    <w:rsid w:val="00E964A0"/>
    <w:rsid w:val="00E96827"/>
    <w:rsid w:val="00E96D6D"/>
    <w:rsid w:val="00E96E52"/>
    <w:rsid w:val="00EA050E"/>
    <w:rsid w:val="00EA06AA"/>
    <w:rsid w:val="00EA113E"/>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85E"/>
    <w:rsid w:val="00EA6E86"/>
    <w:rsid w:val="00EA6F43"/>
    <w:rsid w:val="00EA768D"/>
    <w:rsid w:val="00EA789A"/>
    <w:rsid w:val="00EA7C62"/>
    <w:rsid w:val="00EA7FC6"/>
    <w:rsid w:val="00EB0707"/>
    <w:rsid w:val="00EB1212"/>
    <w:rsid w:val="00EB1A54"/>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E0C"/>
    <w:rsid w:val="00EC3F2A"/>
    <w:rsid w:val="00EC40EA"/>
    <w:rsid w:val="00EC4794"/>
    <w:rsid w:val="00EC4A8C"/>
    <w:rsid w:val="00EC4BC5"/>
    <w:rsid w:val="00EC4EA0"/>
    <w:rsid w:val="00EC564B"/>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726"/>
    <w:rsid w:val="00EE7AE1"/>
    <w:rsid w:val="00EE7D42"/>
    <w:rsid w:val="00EF01A9"/>
    <w:rsid w:val="00EF1A95"/>
    <w:rsid w:val="00EF1BFB"/>
    <w:rsid w:val="00EF1DB0"/>
    <w:rsid w:val="00EF20E8"/>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64A2"/>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9F0"/>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0A"/>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084"/>
    <w:rsid w:val="00F414B9"/>
    <w:rsid w:val="00F41A65"/>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738D"/>
    <w:rsid w:val="00F477DE"/>
    <w:rsid w:val="00F47C21"/>
    <w:rsid w:val="00F50741"/>
    <w:rsid w:val="00F50A2B"/>
    <w:rsid w:val="00F50E19"/>
    <w:rsid w:val="00F51184"/>
    <w:rsid w:val="00F516B2"/>
    <w:rsid w:val="00F516E6"/>
    <w:rsid w:val="00F518AE"/>
    <w:rsid w:val="00F52127"/>
    <w:rsid w:val="00F524D9"/>
    <w:rsid w:val="00F52863"/>
    <w:rsid w:val="00F52E6A"/>
    <w:rsid w:val="00F52FF0"/>
    <w:rsid w:val="00F53165"/>
    <w:rsid w:val="00F53393"/>
    <w:rsid w:val="00F5353F"/>
    <w:rsid w:val="00F53715"/>
    <w:rsid w:val="00F53A90"/>
    <w:rsid w:val="00F53B23"/>
    <w:rsid w:val="00F53F8B"/>
    <w:rsid w:val="00F54493"/>
    <w:rsid w:val="00F5453A"/>
    <w:rsid w:val="00F545F1"/>
    <w:rsid w:val="00F54B4B"/>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8FE"/>
    <w:rsid w:val="00F649C3"/>
    <w:rsid w:val="00F64CA9"/>
    <w:rsid w:val="00F64CCC"/>
    <w:rsid w:val="00F65698"/>
    <w:rsid w:val="00F65B7C"/>
    <w:rsid w:val="00F65D35"/>
    <w:rsid w:val="00F66BB5"/>
    <w:rsid w:val="00F67165"/>
    <w:rsid w:val="00F67BD1"/>
    <w:rsid w:val="00F7034C"/>
    <w:rsid w:val="00F7042F"/>
    <w:rsid w:val="00F7043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4CC2"/>
    <w:rsid w:val="00F75148"/>
    <w:rsid w:val="00F753F8"/>
    <w:rsid w:val="00F755FE"/>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AC8"/>
    <w:rsid w:val="00F82D52"/>
    <w:rsid w:val="00F82E22"/>
    <w:rsid w:val="00F83184"/>
    <w:rsid w:val="00F83818"/>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06F"/>
    <w:rsid w:val="00FA6DAB"/>
    <w:rsid w:val="00FA72D0"/>
    <w:rsid w:val="00FA76E4"/>
    <w:rsid w:val="00FA7EAA"/>
    <w:rsid w:val="00FB0653"/>
    <w:rsid w:val="00FB065E"/>
    <w:rsid w:val="00FB0D2F"/>
    <w:rsid w:val="00FB169D"/>
    <w:rsid w:val="00FB1A26"/>
    <w:rsid w:val="00FB2375"/>
    <w:rsid w:val="00FB2B02"/>
    <w:rsid w:val="00FB2C43"/>
    <w:rsid w:val="00FB358C"/>
    <w:rsid w:val="00FB3920"/>
    <w:rsid w:val="00FB4028"/>
    <w:rsid w:val="00FB53D4"/>
    <w:rsid w:val="00FB5A4F"/>
    <w:rsid w:val="00FB5C98"/>
    <w:rsid w:val="00FB5CC0"/>
    <w:rsid w:val="00FB5D76"/>
    <w:rsid w:val="00FB5F6B"/>
    <w:rsid w:val="00FB6425"/>
    <w:rsid w:val="00FB69F7"/>
    <w:rsid w:val="00FB6B03"/>
    <w:rsid w:val="00FB6E00"/>
    <w:rsid w:val="00FB6E22"/>
    <w:rsid w:val="00FB75A8"/>
    <w:rsid w:val="00FB75C0"/>
    <w:rsid w:val="00FB7677"/>
    <w:rsid w:val="00FB77B9"/>
    <w:rsid w:val="00FB78B8"/>
    <w:rsid w:val="00FB7CF7"/>
    <w:rsid w:val="00FB7EBC"/>
    <w:rsid w:val="00FB7F00"/>
    <w:rsid w:val="00FC045D"/>
    <w:rsid w:val="00FC05B4"/>
    <w:rsid w:val="00FC068B"/>
    <w:rsid w:val="00FC07BD"/>
    <w:rsid w:val="00FC08FE"/>
    <w:rsid w:val="00FC1003"/>
    <w:rsid w:val="00FC105D"/>
    <w:rsid w:val="00FC105E"/>
    <w:rsid w:val="00FC10E5"/>
    <w:rsid w:val="00FC233C"/>
    <w:rsid w:val="00FC284A"/>
    <w:rsid w:val="00FC2B46"/>
    <w:rsid w:val="00FC393D"/>
    <w:rsid w:val="00FC3CA2"/>
    <w:rsid w:val="00FC4144"/>
    <w:rsid w:val="00FC4145"/>
    <w:rsid w:val="00FC4626"/>
    <w:rsid w:val="00FC4A9A"/>
    <w:rsid w:val="00FC4BC5"/>
    <w:rsid w:val="00FC52EE"/>
    <w:rsid w:val="00FC55EB"/>
    <w:rsid w:val="00FC562A"/>
    <w:rsid w:val="00FC5703"/>
    <w:rsid w:val="00FC6151"/>
    <w:rsid w:val="00FC6A16"/>
    <w:rsid w:val="00FC7143"/>
    <w:rsid w:val="00FC7C24"/>
    <w:rsid w:val="00FD032F"/>
    <w:rsid w:val="00FD057D"/>
    <w:rsid w:val="00FD0B5E"/>
    <w:rsid w:val="00FD0B85"/>
    <w:rsid w:val="00FD0E42"/>
    <w:rsid w:val="00FD114B"/>
    <w:rsid w:val="00FD141C"/>
    <w:rsid w:val="00FD1A55"/>
    <w:rsid w:val="00FD23E0"/>
    <w:rsid w:val="00FD269B"/>
    <w:rsid w:val="00FD281C"/>
    <w:rsid w:val="00FD28E2"/>
    <w:rsid w:val="00FD3205"/>
    <w:rsid w:val="00FD3C6D"/>
    <w:rsid w:val="00FD3F70"/>
    <w:rsid w:val="00FD404D"/>
    <w:rsid w:val="00FD4179"/>
    <w:rsid w:val="00FD417B"/>
    <w:rsid w:val="00FD4321"/>
    <w:rsid w:val="00FD43C3"/>
    <w:rsid w:val="00FD4458"/>
    <w:rsid w:val="00FD46CE"/>
    <w:rsid w:val="00FD46D2"/>
    <w:rsid w:val="00FD4F74"/>
    <w:rsid w:val="00FD4FB1"/>
    <w:rsid w:val="00FD5613"/>
    <w:rsid w:val="00FD6C58"/>
    <w:rsid w:val="00FD7078"/>
    <w:rsid w:val="00FD7108"/>
    <w:rsid w:val="00FD736A"/>
    <w:rsid w:val="00FD7423"/>
    <w:rsid w:val="00FD7A34"/>
    <w:rsid w:val="00FE0060"/>
    <w:rsid w:val="00FE01E0"/>
    <w:rsid w:val="00FE049C"/>
    <w:rsid w:val="00FE053C"/>
    <w:rsid w:val="00FE0789"/>
    <w:rsid w:val="00FE0921"/>
    <w:rsid w:val="00FE0DC0"/>
    <w:rsid w:val="00FE1B15"/>
    <w:rsid w:val="00FE1C83"/>
    <w:rsid w:val="00FE21A4"/>
    <w:rsid w:val="00FE2D0D"/>
    <w:rsid w:val="00FE2F05"/>
    <w:rsid w:val="00FE325D"/>
    <w:rsid w:val="00FE369B"/>
    <w:rsid w:val="00FE4688"/>
    <w:rsid w:val="00FE4D0B"/>
    <w:rsid w:val="00FE4D23"/>
    <w:rsid w:val="00FE54A9"/>
    <w:rsid w:val="00FE5DE8"/>
    <w:rsid w:val="00FE5F49"/>
    <w:rsid w:val="00FE5FDF"/>
    <w:rsid w:val="00FE6142"/>
    <w:rsid w:val="00FE6DC1"/>
    <w:rsid w:val="00FE6DCA"/>
    <w:rsid w:val="00FE6EE7"/>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 w:val="00FF7E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38</Pages>
  <Words>11848</Words>
  <Characters>67535</Characters>
  <Application>Microsoft Office Word</Application>
  <DocSecurity>0</DocSecurity>
  <Lines>562</Lines>
  <Paragraphs>158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79225</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321</cp:revision>
  <cp:lastPrinted>2023-05-30T11:26:00Z</cp:lastPrinted>
  <dcterms:created xsi:type="dcterms:W3CDTF">2026-06-19T05:53:00Z</dcterms:created>
  <dcterms:modified xsi:type="dcterms:W3CDTF">2026-06-26T06:20:00Z</dcterms:modified>
  <cp:contentStatus/>
</cp:coreProperties>
</file>