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B4C5" w14:textId="0779FFA9" w:rsidR="007D4FA6" w:rsidRDefault="00B11C8E">
      <w:pPr>
        <w:pStyle w:val="BodyText"/>
      </w:pPr>
      <w:r>
        <w:t xml:space="preserve"> </w:t>
      </w:r>
    </w:p>
    <w:p w14:paraId="460DBCA9" w14:textId="77777777" w:rsidR="007D4FA6" w:rsidRDefault="007D4FA6">
      <w:pPr>
        <w:pStyle w:val="BodyText"/>
        <w:spacing w:before="10"/>
        <w:rPr>
          <w:sz w:val="25"/>
        </w:rPr>
      </w:pPr>
    </w:p>
    <w:p w14:paraId="180B8A18" w14:textId="586942CE" w:rsidR="007D4FA6" w:rsidRDefault="00DF5DDA">
      <w:pPr>
        <w:tabs>
          <w:tab w:val="left" w:pos="9390"/>
        </w:tabs>
        <w:spacing w:before="89"/>
        <w:ind w:right="6"/>
        <w:jc w:val="center"/>
        <w:rPr>
          <w:b/>
          <w:sz w:val="28"/>
        </w:rPr>
      </w:pPr>
      <w:r>
        <w:rPr>
          <w:noProof/>
          <w:lang w:val="en-IN" w:eastAsia="en-IN"/>
        </w:rPr>
        <mc:AlternateContent>
          <mc:Choice Requires="wpg">
            <w:drawing>
              <wp:anchor distT="0" distB="0" distL="114300" distR="114300" simplePos="0" relativeHeight="251654144" behindDoc="1" locked="0" layoutInCell="1" allowOverlap="1" wp14:anchorId="05EECDB4" wp14:editId="4ADB8118">
                <wp:simplePos x="0" y="0"/>
                <wp:positionH relativeFrom="page">
                  <wp:posOffset>5347970</wp:posOffset>
                </wp:positionH>
                <wp:positionV relativeFrom="paragraph">
                  <wp:posOffset>-452755</wp:posOffset>
                </wp:positionV>
                <wp:extent cx="1645920" cy="725805"/>
                <wp:effectExtent l="0" t="0" r="0" b="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5920" cy="725805"/>
                          <a:chOff x="8422" y="-713"/>
                          <a:chExt cx="2592" cy="1143"/>
                        </a:xfrm>
                      </wpg:grpSpPr>
                      <pic:pic xmlns:pic="http://schemas.openxmlformats.org/drawingml/2006/picture">
                        <pic:nvPicPr>
                          <pic:cNvPr id="9"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421" y="-714"/>
                            <a:ext cx="1400" cy="1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878" y="-714"/>
                            <a:ext cx="1136" cy="98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0404481" id="Group 2" o:spid="_x0000_s1026" style="position:absolute;margin-left:421.1pt;margin-top:-35.65pt;width:129.6pt;height:57.15pt;z-index:-251662336;mso-position-horizontal-relative:page" coordorigin="8422,-713" coordsize="2592,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8421;top:-714;width:1400;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">
                  <v:imagedata r:id="rId10" o:title=""/>
                </v:shape>
                <v:shape id="Picture 3" o:spid="_x0000_s1028" type="#_x0000_t75" style="position:absolute;left:9878;top:-714;width:1136;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">
                  <v:imagedata r:id="rId11" o:title=""/>
                </v:shape>
                <w10:wrap anchorx="page"/>
              </v:group>
            </w:pict>
          </mc:Fallback>
        </mc:AlternateContent>
      </w:r>
      <w:r w:rsidR="007A0C90">
        <w:rPr>
          <w:b/>
          <w:color w:val="FFFFFF"/>
          <w:sz w:val="28"/>
          <w:shd w:val="clear" w:color="auto" w:fill="4F7A31"/>
        </w:rPr>
        <w:t>R</w:t>
      </w:r>
      <w:r w:rsidR="006C7885">
        <w:rPr>
          <w:b/>
          <w:color w:val="FFFFFF"/>
          <w:sz w:val="28"/>
          <w:shd w:val="clear" w:color="auto" w:fill="4F7A31"/>
        </w:rPr>
        <w:t>e</w:t>
      </w:r>
      <w:r w:rsidR="007A0C90">
        <w:rPr>
          <w:b/>
          <w:color w:val="FFFFFF"/>
          <w:sz w:val="28"/>
          <w:shd w:val="clear" w:color="auto" w:fill="4F7A31"/>
        </w:rPr>
        <w:t>view</w:t>
      </w:r>
      <w:r w:rsidR="007C0E63">
        <w:rPr>
          <w:b/>
          <w:color w:val="FFFFFF"/>
          <w:sz w:val="28"/>
          <w:shd w:val="clear" w:color="auto" w:fill="4F7A31"/>
        </w:rPr>
        <w:t xml:space="preserve"> </w:t>
      </w:r>
      <w:r w:rsidR="007A0C90">
        <w:rPr>
          <w:b/>
          <w:color w:val="FFFFFF"/>
          <w:sz w:val="28"/>
          <w:shd w:val="clear" w:color="auto" w:fill="4F7A31"/>
        </w:rPr>
        <w:t>A</w:t>
      </w:r>
      <w:r w:rsidR="006C7885">
        <w:rPr>
          <w:b/>
          <w:color w:val="FFFFFF"/>
          <w:sz w:val="28"/>
          <w:shd w:val="clear" w:color="auto" w:fill="4F7A31"/>
        </w:rPr>
        <w:t>r</w:t>
      </w:r>
      <w:r w:rsidR="00D72677">
        <w:rPr>
          <w:b/>
          <w:color w:val="FFFFFF"/>
          <w:sz w:val="28"/>
          <w:shd w:val="clear" w:color="auto" w:fill="4F7A31"/>
        </w:rPr>
        <w:t>t</w:t>
      </w:r>
      <w:r w:rsidR="007A0C90">
        <w:rPr>
          <w:b/>
          <w:color w:val="FFFFFF"/>
          <w:sz w:val="28"/>
          <w:shd w:val="clear" w:color="auto" w:fill="4F7A31"/>
        </w:rPr>
        <w:t>icle</w:t>
      </w:r>
      <w:r w:rsidR="00A87346">
        <w:rPr>
          <w:b/>
          <w:color w:val="FFFFFF"/>
          <w:sz w:val="28"/>
          <w:shd w:val="clear" w:color="auto" w:fill="4F7A31"/>
        </w:rPr>
        <w:tab/>
      </w:r>
    </w:p>
    <w:p w14:paraId="0DBD8760" w14:textId="77777777" w:rsidR="007D4FA6" w:rsidRDefault="007D4FA6">
      <w:pPr>
        <w:pStyle w:val="BodyText"/>
        <w:spacing w:before="9"/>
        <w:rPr>
          <w:b/>
          <w:sz w:val="27"/>
        </w:rPr>
      </w:pPr>
    </w:p>
    <w:p w14:paraId="4980E0D7" w14:textId="618FF0AE" w:rsidR="009F271C" w:rsidRDefault="009F271C" w:rsidP="009F271C">
      <w:pPr>
        <w:spacing w:line="360" w:lineRule="auto"/>
        <w:jc w:val="center"/>
        <w:rPr>
          <w:b/>
          <w:bCs/>
          <w:sz w:val="32"/>
          <w:szCs w:val="32"/>
        </w:rPr>
      </w:pPr>
      <w:r w:rsidRPr="009F271C">
        <w:rPr>
          <w:b/>
          <w:bCs/>
          <w:sz w:val="32"/>
          <w:szCs w:val="32"/>
        </w:rPr>
        <w:t xml:space="preserve">Vibration-Controlled Transient Elastography Devices for </w:t>
      </w:r>
      <w:r w:rsidR="008971DB">
        <w:rPr>
          <w:b/>
          <w:bCs/>
          <w:sz w:val="32"/>
          <w:szCs w:val="32"/>
        </w:rPr>
        <w:t>d</w:t>
      </w:r>
      <w:r w:rsidRPr="009F271C">
        <w:rPr>
          <w:b/>
          <w:bCs/>
          <w:sz w:val="32"/>
          <w:szCs w:val="32"/>
        </w:rPr>
        <w:t xml:space="preserve">etecting Liver Fibrosis in </w:t>
      </w:r>
      <w:r w:rsidR="008971DB">
        <w:rPr>
          <w:b/>
          <w:bCs/>
          <w:sz w:val="32"/>
          <w:szCs w:val="32"/>
        </w:rPr>
        <w:t>p</w:t>
      </w:r>
      <w:r w:rsidRPr="009F271C">
        <w:rPr>
          <w:b/>
          <w:bCs/>
          <w:sz w:val="32"/>
          <w:szCs w:val="32"/>
        </w:rPr>
        <w:t>atients with Multiple Etiologies: A Systematic Review and Diagnostic Accuracy Meta-Analysis</w:t>
      </w:r>
    </w:p>
    <w:p w14:paraId="0C3D1549" w14:textId="792382FD" w:rsidR="003F291B" w:rsidRDefault="00074AB8" w:rsidP="004E6E6B">
      <w:pPr>
        <w:spacing w:line="360" w:lineRule="auto"/>
        <w:jc w:val="both"/>
        <w:rPr>
          <w:b/>
          <w:bCs/>
          <w:color w:val="000000" w:themeColor="text1"/>
          <w:sz w:val="24"/>
        </w:rPr>
      </w:pPr>
      <w:r>
        <w:rPr>
          <w:b/>
          <w:bCs/>
          <w:color w:val="000000" w:themeColor="text1"/>
          <w:sz w:val="24"/>
          <w:szCs w:val="24"/>
        </w:rPr>
        <w:br/>
      </w:r>
      <w:r w:rsidR="004E6E6B" w:rsidRPr="0046311E">
        <w:rPr>
          <w:b/>
          <w:bCs/>
          <w:color w:val="000000" w:themeColor="text1"/>
          <w:lang w:val="en-IN"/>
        </w:rPr>
        <w:t>Sunny Kumar</w:t>
      </w:r>
      <w:r w:rsidR="004E6E6B" w:rsidRPr="0046311E">
        <w:rPr>
          <w:b/>
          <w:bCs/>
          <w:color w:val="000000" w:themeColor="text1"/>
          <w:vertAlign w:val="superscript"/>
          <w:lang w:val="en-IN"/>
        </w:rPr>
        <w:t>¹</w:t>
      </w:r>
      <w:r w:rsidR="004E6E6B" w:rsidRPr="0046311E">
        <w:rPr>
          <w:b/>
          <w:bCs/>
          <w:color w:val="000000" w:themeColor="text1"/>
          <w:lang w:val="en-IN"/>
        </w:rPr>
        <w:t>, FNU Riya</w:t>
      </w:r>
      <w:r w:rsidR="004E6E6B" w:rsidRPr="0046311E">
        <w:rPr>
          <w:b/>
          <w:bCs/>
          <w:color w:val="000000" w:themeColor="text1"/>
          <w:vertAlign w:val="superscript"/>
          <w:lang w:val="en-IN"/>
        </w:rPr>
        <w:t>²</w:t>
      </w:r>
      <w:r w:rsidR="004E6E6B" w:rsidRPr="0046311E">
        <w:rPr>
          <w:b/>
          <w:bCs/>
          <w:color w:val="000000" w:themeColor="text1"/>
          <w:lang w:val="en-IN"/>
        </w:rPr>
        <w:t xml:space="preserve">, </w:t>
      </w:r>
      <w:proofErr w:type="spellStart"/>
      <w:r w:rsidR="004E6E6B" w:rsidRPr="0046311E">
        <w:rPr>
          <w:b/>
          <w:bCs/>
          <w:color w:val="000000" w:themeColor="text1"/>
          <w:lang w:val="en-IN"/>
        </w:rPr>
        <w:t>Gauhar</w:t>
      </w:r>
      <w:proofErr w:type="spellEnd"/>
      <w:r w:rsidR="004E6E6B" w:rsidRPr="0046311E">
        <w:rPr>
          <w:b/>
          <w:bCs/>
          <w:color w:val="000000" w:themeColor="text1"/>
          <w:lang w:val="en-IN"/>
        </w:rPr>
        <w:t xml:space="preserve"> Hamid</w:t>
      </w:r>
      <w:r w:rsidR="004E6E6B" w:rsidRPr="0046311E">
        <w:rPr>
          <w:b/>
          <w:bCs/>
          <w:color w:val="000000" w:themeColor="text1"/>
          <w:vertAlign w:val="superscript"/>
          <w:lang w:val="en-IN"/>
        </w:rPr>
        <w:t>³</w:t>
      </w:r>
      <w:r w:rsidR="004E6E6B" w:rsidRPr="0046311E">
        <w:rPr>
          <w:b/>
          <w:bCs/>
          <w:color w:val="000000" w:themeColor="text1"/>
          <w:lang w:val="en-IN"/>
        </w:rPr>
        <w:t>, Bushra Ghafar</w:t>
      </w:r>
      <w:r w:rsidR="004E6E6B" w:rsidRPr="0046311E">
        <w:rPr>
          <w:b/>
          <w:bCs/>
          <w:color w:val="000000" w:themeColor="text1"/>
          <w:vertAlign w:val="superscript"/>
          <w:lang w:val="en-IN"/>
        </w:rPr>
        <w:t>⁴</w:t>
      </w:r>
      <w:r w:rsidR="004E6E6B" w:rsidRPr="0046311E">
        <w:rPr>
          <w:b/>
          <w:bCs/>
          <w:color w:val="000000" w:themeColor="text1"/>
          <w:lang w:val="en-IN"/>
        </w:rPr>
        <w:t>, FNU Payal</w:t>
      </w:r>
      <w:r w:rsidR="004E6E6B" w:rsidRPr="0046311E">
        <w:rPr>
          <w:b/>
          <w:bCs/>
          <w:color w:val="000000" w:themeColor="text1"/>
          <w:vertAlign w:val="superscript"/>
          <w:lang w:val="en-IN"/>
        </w:rPr>
        <w:t>⁵</w:t>
      </w:r>
      <w:r w:rsidR="004E6E6B" w:rsidRPr="0046311E">
        <w:rPr>
          <w:b/>
          <w:bCs/>
          <w:color w:val="000000" w:themeColor="text1"/>
          <w:lang w:val="en-IN"/>
        </w:rPr>
        <w:t>, Nisha</w:t>
      </w:r>
      <w:r w:rsidR="0046311E" w:rsidRPr="0046311E">
        <w:rPr>
          <w:b/>
          <w:bCs/>
          <w:color w:val="000000" w:themeColor="text1"/>
          <w:lang w:val="en-IN"/>
        </w:rPr>
        <w:t xml:space="preserve"> </w:t>
      </w:r>
      <w:r w:rsidR="004E6E6B" w:rsidRPr="0046311E">
        <w:rPr>
          <w:b/>
          <w:bCs/>
          <w:color w:val="000000" w:themeColor="text1"/>
          <w:lang w:val="en-IN"/>
        </w:rPr>
        <w:t>Kumari³, FNU Gyaneshwari</w:t>
      </w:r>
      <w:r w:rsidR="004E6E6B" w:rsidRPr="0046311E">
        <w:rPr>
          <w:b/>
          <w:bCs/>
          <w:color w:val="000000" w:themeColor="text1"/>
          <w:vertAlign w:val="superscript"/>
          <w:lang w:val="en-IN"/>
        </w:rPr>
        <w:t>³</w:t>
      </w:r>
      <w:r w:rsidR="004E6E6B" w:rsidRPr="0046311E">
        <w:rPr>
          <w:b/>
          <w:bCs/>
          <w:color w:val="000000" w:themeColor="text1"/>
          <w:lang w:val="en-IN"/>
        </w:rPr>
        <w:t>, Adil Mushtaq</w:t>
      </w:r>
      <w:r w:rsidR="004E6E6B" w:rsidRPr="0046311E">
        <w:rPr>
          <w:b/>
          <w:bCs/>
          <w:color w:val="000000" w:themeColor="text1"/>
          <w:vertAlign w:val="superscript"/>
          <w:lang w:val="en-IN"/>
        </w:rPr>
        <w:t>⁶</w:t>
      </w:r>
      <w:r w:rsidR="004E6E6B" w:rsidRPr="0046311E">
        <w:rPr>
          <w:b/>
          <w:bCs/>
          <w:color w:val="000000" w:themeColor="text1"/>
          <w:lang w:val="en-IN"/>
        </w:rPr>
        <w:t>, Rubab Faisal</w:t>
      </w:r>
      <w:r w:rsidR="004E6E6B" w:rsidRPr="0046311E">
        <w:rPr>
          <w:b/>
          <w:bCs/>
          <w:color w:val="000000" w:themeColor="text1"/>
          <w:vertAlign w:val="superscript"/>
          <w:lang w:val="en-IN"/>
        </w:rPr>
        <w:t>⁷</w:t>
      </w:r>
      <w:r w:rsidR="004E6E6B" w:rsidRPr="0046311E">
        <w:rPr>
          <w:b/>
          <w:bCs/>
          <w:color w:val="000000" w:themeColor="text1"/>
          <w:lang w:val="en-IN"/>
        </w:rPr>
        <w:t>, Mandeep Kumar</w:t>
      </w:r>
      <w:r w:rsidR="004E6E6B" w:rsidRPr="0046311E">
        <w:rPr>
          <w:b/>
          <w:bCs/>
          <w:color w:val="000000" w:themeColor="text1"/>
          <w:vertAlign w:val="superscript"/>
          <w:lang w:val="en-IN"/>
        </w:rPr>
        <w:t>⁸</w:t>
      </w:r>
      <w:r w:rsidR="004E6E6B" w:rsidRPr="0046311E">
        <w:rPr>
          <w:b/>
          <w:bCs/>
          <w:color w:val="000000" w:themeColor="text1"/>
          <w:lang w:val="en-IN"/>
        </w:rPr>
        <w:t>,</w:t>
      </w:r>
      <w:r w:rsidR="0046311E" w:rsidRPr="0046311E">
        <w:rPr>
          <w:b/>
          <w:bCs/>
          <w:color w:val="000000" w:themeColor="text1"/>
          <w:lang w:val="en-IN"/>
        </w:rPr>
        <w:t xml:space="preserve"> </w:t>
      </w:r>
      <w:r w:rsidR="004E6E6B" w:rsidRPr="0046311E">
        <w:rPr>
          <w:b/>
          <w:bCs/>
          <w:color w:val="000000" w:themeColor="text1"/>
          <w:lang w:val="en-IN"/>
        </w:rPr>
        <w:t>Rahul Rai</w:t>
      </w:r>
      <w:r w:rsidR="004E6E6B" w:rsidRPr="0046311E">
        <w:rPr>
          <w:b/>
          <w:bCs/>
          <w:color w:val="000000" w:themeColor="text1"/>
          <w:vertAlign w:val="superscript"/>
          <w:lang w:val="en-IN"/>
        </w:rPr>
        <w:t>³</w:t>
      </w:r>
      <w:r w:rsidR="004E6E6B" w:rsidRPr="0046311E">
        <w:rPr>
          <w:b/>
          <w:bCs/>
          <w:color w:val="000000" w:themeColor="text1"/>
          <w:lang w:val="en-IN"/>
        </w:rPr>
        <w:t>, Suneel Arwani</w:t>
      </w:r>
      <w:r w:rsidR="004E6E6B" w:rsidRPr="0046311E">
        <w:rPr>
          <w:b/>
          <w:bCs/>
          <w:color w:val="000000" w:themeColor="text1"/>
          <w:vertAlign w:val="superscript"/>
          <w:lang w:val="en-IN"/>
        </w:rPr>
        <w:t>⁹</w:t>
      </w:r>
      <w:r w:rsidR="004E6E6B" w:rsidRPr="0046311E">
        <w:rPr>
          <w:b/>
          <w:bCs/>
          <w:color w:val="000000" w:themeColor="text1"/>
          <w:lang w:val="en-IN"/>
        </w:rPr>
        <w:t>, Mohammad Jawwad</w:t>
      </w:r>
      <w:r w:rsidR="004E6E6B" w:rsidRPr="0046311E">
        <w:rPr>
          <w:b/>
          <w:bCs/>
          <w:color w:val="000000" w:themeColor="text1"/>
          <w:vertAlign w:val="superscript"/>
          <w:lang w:val="en-IN"/>
        </w:rPr>
        <w:t>²</w:t>
      </w:r>
      <w:r w:rsidR="004E6E6B" w:rsidRPr="0046311E">
        <w:rPr>
          <w:b/>
          <w:bCs/>
          <w:color w:val="000000" w:themeColor="text1"/>
          <w:lang w:val="en-IN"/>
        </w:rPr>
        <w:t>, Hira Riaz</w:t>
      </w:r>
      <w:r w:rsidR="004E6E6B" w:rsidRPr="0046311E">
        <w:rPr>
          <w:b/>
          <w:bCs/>
          <w:color w:val="000000" w:themeColor="text1"/>
          <w:vertAlign w:val="superscript"/>
          <w:lang w:val="en-IN"/>
        </w:rPr>
        <w:t>¹⁰</w:t>
      </w:r>
    </w:p>
    <w:p w14:paraId="1B17834C" w14:textId="77777777" w:rsidR="00670EE6" w:rsidRPr="00670EE6" w:rsidRDefault="00670EE6" w:rsidP="00670EE6">
      <w:pPr>
        <w:spacing w:line="360" w:lineRule="auto"/>
        <w:rPr>
          <w:sz w:val="20"/>
          <w:szCs w:val="20"/>
        </w:rPr>
      </w:pPr>
      <w:r w:rsidRPr="00670EE6">
        <w:rPr>
          <w:sz w:val="20"/>
          <w:szCs w:val="20"/>
        </w:rPr>
        <w:t>¹Wright Center for Graduate Medical Education, Scranton, Pennsylvania, United States</w:t>
      </w:r>
    </w:p>
    <w:p w14:paraId="7014B833" w14:textId="77777777" w:rsidR="00670EE6" w:rsidRPr="00670EE6" w:rsidRDefault="00670EE6" w:rsidP="00670EE6">
      <w:pPr>
        <w:spacing w:line="360" w:lineRule="auto"/>
        <w:rPr>
          <w:sz w:val="20"/>
          <w:szCs w:val="20"/>
        </w:rPr>
      </w:pPr>
      <w:r w:rsidRPr="00670EE6">
        <w:rPr>
          <w:sz w:val="20"/>
          <w:szCs w:val="20"/>
        </w:rPr>
        <w:t>²Dow University of Health Sciences, Karachi, Pakistan</w:t>
      </w:r>
    </w:p>
    <w:p w14:paraId="65EB6234" w14:textId="77777777" w:rsidR="00670EE6" w:rsidRPr="00670EE6" w:rsidRDefault="00670EE6" w:rsidP="00670EE6">
      <w:pPr>
        <w:spacing w:line="360" w:lineRule="auto"/>
        <w:rPr>
          <w:sz w:val="20"/>
          <w:szCs w:val="20"/>
        </w:rPr>
      </w:pPr>
      <w:r w:rsidRPr="00670EE6">
        <w:rPr>
          <w:sz w:val="20"/>
          <w:szCs w:val="20"/>
        </w:rPr>
        <w:t>³Liaquat University of Medical and Health Sciences, Jamshoro, Pakistan</w:t>
      </w:r>
    </w:p>
    <w:p w14:paraId="12235177" w14:textId="77777777" w:rsidR="00670EE6" w:rsidRPr="00670EE6" w:rsidRDefault="00670EE6" w:rsidP="00670EE6">
      <w:pPr>
        <w:spacing w:line="360" w:lineRule="auto"/>
        <w:rPr>
          <w:sz w:val="20"/>
          <w:szCs w:val="20"/>
        </w:rPr>
      </w:pPr>
      <w:r w:rsidRPr="00670EE6">
        <w:rPr>
          <w:sz w:val="20"/>
          <w:szCs w:val="20"/>
        </w:rPr>
        <w:t>⁴Quaid-e-Azam Medical College, Bahawalpur, Pakistan</w:t>
      </w:r>
    </w:p>
    <w:p w14:paraId="6FF8FD45" w14:textId="77777777" w:rsidR="00670EE6" w:rsidRPr="00670EE6" w:rsidRDefault="00670EE6" w:rsidP="00670EE6">
      <w:pPr>
        <w:spacing w:line="360" w:lineRule="auto"/>
        <w:rPr>
          <w:sz w:val="20"/>
          <w:szCs w:val="20"/>
        </w:rPr>
      </w:pPr>
      <w:r w:rsidRPr="00670EE6">
        <w:rPr>
          <w:sz w:val="20"/>
          <w:szCs w:val="20"/>
        </w:rPr>
        <w:t>⁵Ghulam Muhammad Mahar Medical College, Sukkur, Pakistan</w:t>
      </w:r>
    </w:p>
    <w:p w14:paraId="3E19455D" w14:textId="77777777" w:rsidR="00670EE6" w:rsidRPr="00670EE6" w:rsidRDefault="00670EE6" w:rsidP="00670EE6">
      <w:pPr>
        <w:spacing w:line="360" w:lineRule="auto"/>
        <w:rPr>
          <w:sz w:val="20"/>
          <w:szCs w:val="20"/>
        </w:rPr>
      </w:pPr>
      <w:r w:rsidRPr="00670EE6">
        <w:rPr>
          <w:sz w:val="20"/>
          <w:szCs w:val="20"/>
          <w:vertAlign w:val="superscript"/>
        </w:rPr>
        <w:t>⁶</w:t>
      </w:r>
      <w:r w:rsidRPr="00670EE6">
        <w:rPr>
          <w:sz w:val="20"/>
          <w:szCs w:val="20"/>
        </w:rPr>
        <w:t>Akhtar Saeed Medical &amp; Dental College, Lahore, Pakistan</w:t>
      </w:r>
    </w:p>
    <w:p w14:paraId="6A86E004" w14:textId="77777777" w:rsidR="00670EE6" w:rsidRPr="00670EE6" w:rsidRDefault="00670EE6" w:rsidP="00670EE6">
      <w:pPr>
        <w:spacing w:line="360" w:lineRule="auto"/>
        <w:rPr>
          <w:sz w:val="20"/>
          <w:szCs w:val="20"/>
        </w:rPr>
      </w:pPr>
      <w:r w:rsidRPr="00670EE6">
        <w:rPr>
          <w:sz w:val="20"/>
          <w:szCs w:val="20"/>
          <w:vertAlign w:val="superscript"/>
        </w:rPr>
        <w:t>⁷</w:t>
      </w:r>
      <w:r w:rsidRPr="00670EE6">
        <w:rPr>
          <w:sz w:val="20"/>
          <w:szCs w:val="20"/>
        </w:rPr>
        <w:t>Islam Medical and Dental College, Sialkot, Pakistan</w:t>
      </w:r>
    </w:p>
    <w:p w14:paraId="534CF47C" w14:textId="77777777" w:rsidR="00670EE6" w:rsidRPr="00670EE6" w:rsidRDefault="00670EE6" w:rsidP="00670EE6">
      <w:pPr>
        <w:spacing w:line="360" w:lineRule="auto"/>
        <w:rPr>
          <w:sz w:val="20"/>
          <w:szCs w:val="20"/>
        </w:rPr>
      </w:pPr>
      <w:r w:rsidRPr="00670EE6">
        <w:rPr>
          <w:sz w:val="20"/>
          <w:szCs w:val="20"/>
          <w:vertAlign w:val="superscript"/>
        </w:rPr>
        <w:t>⁸</w:t>
      </w:r>
      <w:r w:rsidRPr="00670EE6">
        <w:rPr>
          <w:sz w:val="20"/>
          <w:szCs w:val="20"/>
        </w:rPr>
        <w:t>Jinnah Medical and Dental College (JMDC), Karachi, Pakistan</w:t>
      </w:r>
    </w:p>
    <w:p w14:paraId="4A4C1CA0" w14:textId="77777777" w:rsidR="00670EE6" w:rsidRPr="00670EE6" w:rsidRDefault="00670EE6" w:rsidP="00670EE6">
      <w:pPr>
        <w:spacing w:line="360" w:lineRule="auto"/>
        <w:rPr>
          <w:sz w:val="20"/>
          <w:szCs w:val="20"/>
        </w:rPr>
      </w:pPr>
      <w:r w:rsidRPr="00670EE6">
        <w:rPr>
          <w:sz w:val="20"/>
          <w:szCs w:val="20"/>
          <w:vertAlign w:val="superscript"/>
        </w:rPr>
        <w:t>⁹</w:t>
      </w:r>
      <w:r w:rsidRPr="00670EE6">
        <w:rPr>
          <w:sz w:val="20"/>
          <w:szCs w:val="20"/>
        </w:rPr>
        <w:t>University of Mississippi Medical Center, Jackson, Mississippi, United States</w:t>
      </w:r>
    </w:p>
    <w:p w14:paraId="49BAC76E" w14:textId="5B9FBDE4" w:rsidR="003F291B" w:rsidRDefault="00670EE6" w:rsidP="00670EE6">
      <w:pPr>
        <w:spacing w:line="360" w:lineRule="auto"/>
        <w:rPr>
          <w:sz w:val="20"/>
          <w:szCs w:val="20"/>
        </w:rPr>
      </w:pPr>
      <w:r w:rsidRPr="00670EE6">
        <w:rPr>
          <w:sz w:val="20"/>
          <w:szCs w:val="20"/>
          <w:vertAlign w:val="superscript"/>
        </w:rPr>
        <w:t>¹⁰</w:t>
      </w:r>
      <w:r w:rsidRPr="00670EE6">
        <w:rPr>
          <w:sz w:val="20"/>
          <w:szCs w:val="20"/>
        </w:rPr>
        <w:t>Kabul Medical University, Kabul, Afghanistan</w:t>
      </w:r>
    </w:p>
    <w:p w14:paraId="0B2E463E" w14:textId="77777777" w:rsidR="002376D6" w:rsidRDefault="002376D6" w:rsidP="00670EE6">
      <w:pPr>
        <w:spacing w:line="360" w:lineRule="auto"/>
        <w:rPr>
          <w:b/>
          <w:bCs/>
          <w:sz w:val="24"/>
          <w:szCs w:val="24"/>
          <w:vertAlign w:val="superscript"/>
        </w:rPr>
      </w:pPr>
    </w:p>
    <w:p w14:paraId="405E5D00" w14:textId="2ABFC41A" w:rsidR="009D3C2F" w:rsidRPr="005423FA" w:rsidRDefault="00A87346" w:rsidP="005423FA">
      <w:pPr>
        <w:spacing w:line="360" w:lineRule="auto"/>
        <w:rPr>
          <w:sz w:val="20"/>
          <w:szCs w:val="20"/>
        </w:rPr>
      </w:pPr>
      <w:r>
        <w:rPr>
          <w:b/>
          <w:color w:val="006FC0"/>
          <w:vertAlign w:val="superscript"/>
        </w:rPr>
        <w:t>*</w:t>
      </w:r>
      <w:r>
        <w:rPr>
          <w:b/>
          <w:color w:val="006FC0"/>
        </w:rPr>
        <w:t xml:space="preserve">Corresponding </w:t>
      </w:r>
      <w:r w:rsidR="004D73D8">
        <w:rPr>
          <w:b/>
          <w:color w:val="006FC0"/>
        </w:rPr>
        <w:t>A</w:t>
      </w:r>
      <w:r>
        <w:rPr>
          <w:b/>
          <w:color w:val="006FC0"/>
        </w:rPr>
        <w:t>uthor:</w:t>
      </w:r>
      <w:r w:rsidR="00E82B49">
        <w:rPr>
          <w:b/>
          <w:color w:val="006FC0"/>
        </w:rPr>
        <w:t xml:space="preserve"> </w:t>
      </w:r>
      <w:r w:rsidR="002376D6" w:rsidRPr="002376D6">
        <w:rPr>
          <w:sz w:val="20"/>
          <w:szCs w:val="20"/>
          <w:lang w:val="pt-BR"/>
        </w:rPr>
        <w:t>Hira Riaz</w:t>
      </w:r>
      <w:r w:rsidR="005423FA">
        <w:rPr>
          <w:sz w:val="20"/>
          <w:szCs w:val="20"/>
          <w:lang w:val="pt-BR"/>
        </w:rPr>
        <w:t>,</w:t>
      </w:r>
      <w:r w:rsidR="005423FA" w:rsidRPr="001B0AD0">
        <w:rPr>
          <w:sz w:val="20"/>
          <w:szCs w:val="20"/>
          <w:lang w:val="pt-BR"/>
        </w:rPr>
        <w:t xml:space="preserve"> </w:t>
      </w:r>
      <w:r w:rsidR="006E3BBD" w:rsidRPr="00670EE6">
        <w:rPr>
          <w:sz w:val="20"/>
          <w:szCs w:val="20"/>
        </w:rPr>
        <w:t>Kabul Medical University, Kabul, Afghanistan</w:t>
      </w:r>
    </w:p>
    <w:p w14:paraId="21006751" w14:textId="77777777" w:rsidR="001B0AD0" w:rsidRPr="00905E63" w:rsidRDefault="001B0AD0" w:rsidP="001B0AD0">
      <w:pPr>
        <w:pStyle w:val="BodyText"/>
        <w:spacing w:line="360" w:lineRule="auto"/>
        <w:jc w:val="both"/>
        <w:rPr>
          <w:lang w:val="en-IN"/>
        </w:rPr>
      </w:pPr>
    </w:p>
    <w:p w14:paraId="48C76D9C" w14:textId="2F9734B6" w:rsidR="007D4FA6" w:rsidRDefault="00A87346" w:rsidP="008959C6">
      <w:pPr>
        <w:pStyle w:val="BodyText"/>
        <w:spacing w:line="360" w:lineRule="auto"/>
        <w:jc w:val="both"/>
      </w:pPr>
      <w:r>
        <w:rPr>
          <w:b/>
          <w:color w:val="006FC0"/>
        </w:rPr>
        <w:t xml:space="preserve">Received: </w:t>
      </w:r>
      <w:r w:rsidR="006C61BB">
        <w:t>2</w:t>
      </w:r>
      <w:r w:rsidR="00EC0316">
        <w:t>6</w:t>
      </w:r>
      <w:r w:rsidR="008959C6" w:rsidRPr="008959C6">
        <w:t xml:space="preserve"> </w:t>
      </w:r>
      <w:r w:rsidR="00D72677">
        <w:t>June</w:t>
      </w:r>
      <w:r w:rsidR="00D87CD8" w:rsidRPr="007E6227">
        <w:t xml:space="preserve"> </w:t>
      </w:r>
      <w:r w:rsidR="00161D5E">
        <w:t>202</w:t>
      </w:r>
      <w:r w:rsidR="0051657F">
        <w:t>6</w:t>
      </w:r>
      <w:r>
        <w:t xml:space="preserve">; </w:t>
      </w:r>
      <w:r>
        <w:rPr>
          <w:b/>
          <w:color w:val="006FC0"/>
        </w:rPr>
        <w:t>Accepted</w:t>
      </w:r>
      <w:proofErr w:type="gramStart"/>
      <w:r>
        <w:rPr>
          <w:b/>
          <w:color w:val="006FC0"/>
        </w:rPr>
        <w:t xml:space="preserve">: </w:t>
      </w:r>
      <w:r>
        <w:t xml:space="preserve"> </w:t>
      </w:r>
      <w:r w:rsidR="00F2476F">
        <w:t>03</w:t>
      </w:r>
      <w:proofErr w:type="gramEnd"/>
      <w:r w:rsidR="00F2476F">
        <w:t xml:space="preserve"> </w:t>
      </w:r>
      <w:r w:rsidR="00D72677">
        <w:t>Ju</w:t>
      </w:r>
      <w:r w:rsidR="00F2476F">
        <w:t>ly</w:t>
      </w:r>
      <w:r w:rsidR="00D72677" w:rsidRPr="007E6227">
        <w:t xml:space="preserve"> </w:t>
      </w:r>
      <w:r w:rsidR="004D73D8">
        <w:t>202</w:t>
      </w:r>
      <w:r w:rsidR="0051657F">
        <w:t>6</w:t>
      </w:r>
      <w:r>
        <w:t xml:space="preserve">; </w:t>
      </w:r>
      <w:r>
        <w:rPr>
          <w:b/>
          <w:color w:val="006FC0"/>
        </w:rPr>
        <w:t xml:space="preserve">Published: </w:t>
      </w:r>
      <w:r w:rsidR="00ED0717">
        <w:t>15</w:t>
      </w:r>
      <w:r w:rsidR="008959C6">
        <w:t xml:space="preserve"> </w:t>
      </w:r>
      <w:r w:rsidR="00D72677">
        <w:t>Ju</w:t>
      </w:r>
      <w:r w:rsidR="00EC0316">
        <w:t>ly</w:t>
      </w:r>
      <w:r w:rsidR="00D72677" w:rsidRPr="007E6227">
        <w:t xml:space="preserve"> </w:t>
      </w:r>
      <w:r w:rsidR="00FD4316">
        <w:t>202</w:t>
      </w:r>
      <w:r w:rsidR="0051657F">
        <w:t>6</w:t>
      </w:r>
    </w:p>
    <w:p w14:paraId="3406ED8D" w14:textId="77777777" w:rsidR="001B0AD0" w:rsidRDefault="001B0AD0" w:rsidP="008959C6">
      <w:pPr>
        <w:pStyle w:val="BodyText"/>
        <w:spacing w:line="360" w:lineRule="auto"/>
        <w:jc w:val="both"/>
      </w:pPr>
    </w:p>
    <w:p w14:paraId="25C4DDA1" w14:textId="77777777" w:rsidR="007D4FA6" w:rsidRPr="0072373D" w:rsidRDefault="007D4FA6">
      <w:pPr>
        <w:pStyle w:val="BodyText"/>
      </w:pPr>
    </w:p>
    <w:p w14:paraId="71A31A44" w14:textId="3CA99DF4" w:rsidR="00971666" w:rsidRDefault="00A87346" w:rsidP="001B0AD0">
      <w:pPr>
        <w:spacing w:line="360" w:lineRule="auto"/>
        <w:contextualSpacing/>
        <w:jc w:val="both"/>
        <w:rPr>
          <w:sz w:val="20"/>
          <w:szCs w:val="20"/>
          <w:lang w:val="pt-BR"/>
        </w:rPr>
      </w:pPr>
      <w:r w:rsidRPr="00BD5407">
        <w:rPr>
          <w:b/>
          <w:color w:val="006FC0"/>
          <w:lang w:val="pt-BR"/>
        </w:rPr>
        <w:t>Citation</w:t>
      </w:r>
      <w:r w:rsidR="00397C38" w:rsidRPr="00BD5407">
        <w:rPr>
          <w:b/>
          <w:color w:val="006FC0"/>
          <w:lang w:val="pt-BR"/>
        </w:rPr>
        <w:t>:</w:t>
      </w:r>
      <w:r w:rsidR="00450A02" w:rsidRPr="00BD5407">
        <w:rPr>
          <w:lang w:val="pt-BR"/>
        </w:rPr>
        <w:t xml:space="preserve"> </w:t>
      </w:r>
      <w:r w:rsidR="00387AEC" w:rsidRPr="00387AEC">
        <w:rPr>
          <w:sz w:val="20"/>
          <w:szCs w:val="20"/>
          <w:lang w:val="pt-BR"/>
        </w:rPr>
        <w:t>Sunny Kumar, FNU Riya, Gauhar Hamid, Bushra Ghafar, FNU Payal, Nisha Kumari, FNU Gyaneshwari, Adil Mushtaq, Rubab Faisal, Mandeep Kumar, Rahul Rai, Suneel Arwani, Mohammad Jawwad, Hira Riaz</w:t>
      </w:r>
      <w:r w:rsidR="005E10F9">
        <w:rPr>
          <w:sz w:val="20"/>
          <w:szCs w:val="20"/>
          <w:lang w:val="pt-BR"/>
        </w:rPr>
        <w:t>.</w:t>
      </w:r>
      <w:r w:rsidR="001B0AD0" w:rsidRPr="001B0AD0">
        <w:rPr>
          <w:sz w:val="20"/>
          <w:szCs w:val="20"/>
          <w:lang w:val="pt-BR"/>
        </w:rPr>
        <w:t xml:space="preserve"> </w:t>
      </w:r>
      <w:r w:rsidR="00387AEC" w:rsidRPr="00387AEC">
        <w:rPr>
          <w:sz w:val="20"/>
          <w:szCs w:val="20"/>
          <w:lang w:val="pt-BR"/>
        </w:rPr>
        <w:t>Vibration-Controlled Transient Elastography Devices for detecting Liver Fibrosis in patients with Multiple Etiologies: A Systematic Review and Diagnostic Accuracy Meta-Analysis</w:t>
      </w:r>
      <w:r w:rsidR="001B0AD0" w:rsidRPr="001B0AD0">
        <w:rPr>
          <w:sz w:val="20"/>
          <w:szCs w:val="20"/>
          <w:lang w:val="pt-BR"/>
        </w:rPr>
        <w:t>. Journal of</w:t>
      </w:r>
      <w:r w:rsidR="001B0AD0">
        <w:rPr>
          <w:sz w:val="20"/>
          <w:szCs w:val="20"/>
          <w:lang w:val="pt-BR"/>
        </w:rPr>
        <w:t xml:space="preserve"> </w:t>
      </w:r>
      <w:r w:rsidR="00822BBB">
        <w:rPr>
          <w:sz w:val="20"/>
          <w:szCs w:val="20"/>
          <w:lang w:val="pt-BR"/>
        </w:rPr>
        <w:t>Surgery</w:t>
      </w:r>
      <w:r w:rsidR="001B0AD0" w:rsidRPr="001B0AD0">
        <w:rPr>
          <w:sz w:val="20"/>
          <w:szCs w:val="20"/>
          <w:lang w:val="pt-BR"/>
        </w:rPr>
        <w:t xml:space="preserve"> and </w:t>
      </w:r>
      <w:r w:rsidR="00822BBB">
        <w:rPr>
          <w:sz w:val="20"/>
          <w:szCs w:val="20"/>
          <w:lang w:val="pt-BR"/>
        </w:rPr>
        <w:t>Research</w:t>
      </w:r>
      <w:r w:rsidR="001B0AD0" w:rsidRPr="001B0AD0">
        <w:rPr>
          <w:sz w:val="20"/>
          <w:szCs w:val="20"/>
          <w:lang w:val="pt-BR"/>
        </w:rPr>
        <w:t xml:space="preserve">. </w:t>
      </w:r>
      <w:r w:rsidR="00822BBB">
        <w:rPr>
          <w:sz w:val="20"/>
          <w:szCs w:val="20"/>
          <w:lang w:val="pt-BR"/>
        </w:rPr>
        <w:t>9</w:t>
      </w:r>
      <w:r w:rsidR="001B0AD0">
        <w:rPr>
          <w:sz w:val="20"/>
          <w:szCs w:val="20"/>
          <w:lang w:val="pt-BR"/>
        </w:rPr>
        <w:t xml:space="preserve"> </w:t>
      </w:r>
      <w:r w:rsidR="001B0AD0" w:rsidRPr="001B0AD0">
        <w:rPr>
          <w:sz w:val="20"/>
          <w:szCs w:val="20"/>
          <w:lang w:val="pt-BR"/>
        </w:rPr>
        <w:t xml:space="preserve">(2026): </w:t>
      </w:r>
      <w:r w:rsidR="003D18D3">
        <w:rPr>
          <w:sz w:val="20"/>
          <w:szCs w:val="20"/>
          <w:lang w:val="pt-BR"/>
        </w:rPr>
        <w:t>228</w:t>
      </w:r>
      <w:r w:rsidR="001B0AD0" w:rsidRPr="001B0AD0">
        <w:rPr>
          <w:sz w:val="20"/>
          <w:szCs w:val="20"/>
          <w:lang w:val="pt-BR"/>
        </w:rPr>
        <w:t>-</w:t>
      </w:r>
      <w:r w:rsidR="003D18D3">
        <w:rPr>
          <w:sz w:val="20"/>
          <w:szCs w:val="20"/>
          <w:lang w:val="pt-BR"/>
        </w:rPr>
        <w:t>237</w:t>
      </w:r>
      <w:r w:rsidR="001B0AD0" w:rsidRPr="001B0AD0">
        <w:rPr>
          <w:sz w:val="20"/>
          <w:szCs w:val="20"/>
          <w:lang w:val="pt-BR"/>
        </w:rPr>
        <w:t>.</w:t>
      </w:r>
    </w:p>
    <w:p w14:paraId="1FD04477" w14:textId="74F5D88A" w:rsidR="001B0AD0" w:rsidRPr="006F6C9F" w:rsidRDefault="001B0AD0" w:rsidP="001B0AD0">
      <w:pPr>
        <w:spacing w:line="360" w:lineRule="auto"/>
        <w:contextualSpacing/>
        <w:jc w:val="both"/>
        <w:rPr>
          <w:sz w:val="20"/>
          <w:szCs w:val="20"/>
        </w:rPr>
        <w:sectPr w:rsidR="001B0AD0" w:rsidRPr="006F6C9F" w:rsidSect="00E60186">
          <w:headerReference w:type="default" r:id="rId12"/>
          <w:footerReference w:type="default" r:id="rId13"/>
          <w:type w:val="continuous"/>
          <w:pgSz w:w="12240" w:h="15840"/>
          <w:pgMar w:top="1120" w:right="1300" w:bottom="1080" w:left="1340" w:header="871" w:footer="883" w:gutter="0"/>
          <w:pgNumType w:start="278"/>
          <w:cols w:space="720"/>
        </w:sectPr>
      </w:pPr>
    </w:p>
    <w:p w14:paraId="7B69C8F9" w14:textId="77777777" w:rsidR="00F46F01" w:rsidRDefault="00F46F01" w:rsidP="007540A1">
      <w:pPr>
        <w:spacing w:line="360" w:lineRule="auto"/>
        <w:jc w:val="both"/>
        <w:rPr>
          <w:b/>
          <w:color w:val="006FC0"/>
        </w:rPr>
      </w:pPr>
      <w:bookmarkStart w:id="0" w:name="_Hlk188854891"/>
    </w:p>
    <w:p w14:paraId="594867D8" w14:textId="77777777" w:rsidR="004C474D" w:rsidRPr="00D30E70" w:rsidRDefault="007540A1" w:rsidP="0044387B">
      <w:pPr>
        <w:spacing w:line="360" w:lineRule="auto"/>
        <w:jc w:val="both"/>
        <w:rPr>
          <w:b/>
          <w:color w:val="006FC0"/>
        </w:rPr>
      </w:pPr>
      <w:r w:rsidRPr="00D30E70">
        <w:rPr>
          <w:b/>
          <w:color w:val="006FC0"/>
        </w:rPr>
        <w:t>Abstract</w:t>
      </w:r>
    </w:p>
    <w:p w14:paraId="6F3BF688" w14:textId="77777777" w:rsidR="0044387B" w:rsidRPr="0044387B" w:rsidRDefault="0044387B" w:rsidP="0044387B">
      <w:pPr>
        <w:spacing w:line="360" w:lineRule="auto"/>
        <w:jc w:val="both"/>
        <w:rPr>
          <w:sz w:val="20"/>
          <w:szCs w:val="20"/>
        </w:rPr>
      </w:pPr>
      <w:bookmarkStart w:id="1" w:name="_Hlk181004646"/>
      <w:bookmarkEnd w:id="0"/>
      <w:r w:rsidRPr="00D30E70">
        <w:rPr>
          <w:b/>
          <w:color w:val="006FC0"/>
          <w:sz w:val="20"/>
          <w:szCs w:val="20"/>
        </w:rPr>
        <w:t xml:space="preserve">Background: </w:t>
      </w:r>
      <w:r w:rsidRPr="0044387B">
        <w:rPr>
          <w:sz w:val="20"/>
          <w:szCs w:val="20"/>
        </w:rPr>
        <w:t xml:space="preserve">Accurate staging of liver fibrosis is essential to prevent progression to cirrhosis and hepatocellular carcinoma. Vibration-Controlled Transient Elastography (VCTE), a form of Shear Wave Elastography (SWE), has </w:t>
      </w:r>
      <w:r w:rsidRPr="0044387B">
        <w:rPr>
          <w:sz w:val="20"/>
          <w:szCs w:val="20"/>
        </w:rPr>
        <w:lastRenderedPageBreak/>
        <w:t xml:space="preserve">significantly advanced the non-invasive assessment of liver stiffness. </w:t>
      </w:r>
      <w:proofErr w:type="spellStart"/>
      <w:r w:rsidRPr="0044387B">
        <w:rPr>
          <w:sz w:val="20"/>
          <w:szCs w:val="20"/>
        </w:rPr>
        <w:t>FibroScan</w:t>
      </w:r>
      <w:proofErr w:type="spellEnd"/>
      <w:r w:rsidRPr="0044387B">
        <w:rPr>
          <w:sz w:val="20"/>
          <w:szCs w:val="20"/>
        </w:rPr>
        <w:t>® (</w:t>
      </w:r>
      <w:proofErr w:type="spellStart"/>
      <w:r w:rsidRPr="0044387B">
        <w:rPr>
          <w:sz w:val="20"/>
          <w:szCs w:val="20"/>
        </w:rPr>
        <w:t>Echosens</w:t>
      </w:r>
      <w:proofErr w:type="spellEnd"/>
      <w:r w:rsidRPr="0044387B">
        <w:rPr>
          <w:sz w:val="20"/>
          <w:szCs w:val="20"/>
        </w:rPr>
        <w:t xml:space="preserve">, Paris, France) is the reference commercial VCTE platform with multiple validated probe configurations. </w:t>
      </w:r>
      <w:proofErr w:type="spellStart"/>
      <w:r w:rsidRPr="0044387B">
        <w:rPr>
          <w:sz w:val="20"/>
          <w:szCs w:val="20"/>
        </w:rPr>
        <w:t>FibroTouch</w:t>
      </w:r>
      <w:proofErr w:type="spellEnd"/>
      <w:r w:rsidRPr="0044387B">
        <w:rPr>
          <w:sz w:val="20"/>
          <w:szCs w:val="20"/>
        </w:rPr>
        <w:t xml:space="preserve">® (Wuxi </w:t>
      </w:r>
      <w:proofErr w:type="spellStart"/>
      <w:r w:rsidRPr="0044387B">
        <w:rPr>
          <w:sz w:val="20"/>
          <w:szCs w:val="20"/>
        </w:rPr>
        <w:t>Hisky</w:t>
      </w:r>
      <w:proofErr w:type="spellEnd"/>
      <w:r w:rsidRPr="0044387B">
        <w:rPr>
          <w:sz w:val="20"/>
          <w:szCs w:val="20"/>
        </w:rPr>
        <w:t xml:space="preserve"> Medical Technologies Co., Ltd., Wuxi, China) has emerged as an alternative system; however, its comparative diagnostic performance across liver disease etiologies, and its practical differences from </w:t>
      </w:r>
      <w:proofErr w:type="spellStart"/>
      <w:r w:rsidRPr="0044387B">
        <w:rPr>
          <w:sz w:val="20"/>
          <w:szCs w:val="20"/>
        </w:rPr>
        <w:t>FibroScan</w:t>
      </w:r>
      <w:proofErr w:type="spellEnd"/>
      <w:r w:rsidRPr="0044387B">
        <w:rPr>
          <w:sz w:val="20"/>
          <w:szCs w:val="20"/>
        </w:rPr>
        <w:t xml:space="preserve"> in terms of probes, calibration requirements, and cost, remain incompletely evaluated.</w:t>
      </w:r>
    </w:p>
    <w:p w14:paraId="6A6DC4C7" w14:textId="77777777" w:rsidR="0044387B" w:rsidRPr="0044387B" w:rsidRDefault="0044387B" w:rsidP="0044387B">
      <w:pPr>
        <w:spacing w:line="360" w:lineRule="auto"/>
        <w:jc w:val="both"/>
        <w:rPr>
          <w:sz w:val="20"/>
          <w:szCs w:val="20"/>
        </w:rPr>
      </w:pPr>
      <w:r w:rsidRPr="00D30E70">
        <w:rPr>
          <w:b/>
          <w:color w:val="006FC0"/>
          <w:sz w:val="20"/>
          <w:szCs w:val="20"/>
        </w:rPr>
        <w:t xml:space="preserve">Objective: </w:t>
      </w:r>
      <w:r w:rsidRPr="0044387B">
        <w:rPr>
          <w:sz w:val="20"/>
          <w:szCs w:val="20"/>
        </w:rPr>
        <w:t xml:space="preserve">To systematically evaluate and compare the diagnostic accuracy of </w:t>
      </w:r>
      <w:proofErr w:type="spellStart"/>
      <w:r w:rsidRPr="0044387B">
        <w:rPr>
          <w:sz w:val="20"/>
          <w:szCs w:val="20"/>
        </w:rPr>
        <w:t>FibroScan</w:t>
      </w:r>
      <w:proofErr w:type="spellEnd"/>
      <w:r w:rsidRPr="0044387B">
        <w:rPr>
          <w:sz w:val="20"/>
          <w:szCs w:val="20"/>
        </w:rPr>
        <w:t xml:space="preserve"> and </w:t>
      </w:r>
      <w:proofErr w:type="spellStart"/>
      <w:r w:rsidRPr="0044387B">
        <w:rPr>
          <w:sz w:val="20"/>
          <w:szCs w:val="20"/>
        </w:rPr>
        <w:t>FibroTouch</w:t>
      </w:r>
      <w:proofErr w:type="spellEnd"/>
      <w:r w:rsidRPr="0044387B">
        <w:rPr>
          <w:sz w:val="20"/>
          <w:szCs w:val="20"/>
        </w:rPr>
        <w:t xml:space="preserve"> for detecting significant fibrosis (F2), advanced fibrosis (F3), and cirrhosis (F4) in patients with chronic liver diseases of multiple etiologies, and to contextualize differences in clinical applicability, probe availability, maintenance requirements, and cost.</w:t>
      </w:r>
    </w:p>
    <w:p w14:paraId="1022EC6C" w14:textId="77777777" w:rsidR="0044387B" w:rsidRPr="0044387B" w:rsidRDefault="0044387B" w:rsidP="0044387B">
      <w:pPr>
        <w:spacing w:line="360" w:lineRule="auto"/>
        <w:jc w:val="both"/>
        <w:rPr>
          <w:sz w:val="20"/>
          <w:szCs w:val="20"/>
        </w:rPr>
      </w:pPr>
      <w:r w:rsidRPr="00D30E70">
        <w:rPr>
          <w:b/>
          <w:color w:val="006FC0"/>
          <w:sz w:val="20"/>
          <w:szCs w:val="20"/>
        </w:rPr>
        <w:t>Methods:</w:t>
      </w:r>
      <w:r w:rsidRPr="0044387B">
        <w:rPr>
          <w:b/>
          <w:bCs/>
          <w:sz w:val="20"/>
          <w:szCs w:val="20"/>
        </w:rPr>
        <w:t xml:space="preserve"> </w:t>
      </w:r>
      <w:r w:rsidRPr="0044387B">
        <w:rPr>
          <w:sz w:val="20"/>
          <w:szCs w:val="20"/>
        </w:rPr>
        <w:t>A systematic review and diagnostic accuracy meta-analysis was conducted following comprehensive searches of PubMed, Scopus, and Web of Science from database inception to January 1, 2026. Studies reporting sensitivity, specificity, and/or area under the receiver operating characteristic curve (AUROC) for fibrosis staging were included. Study quality was assessed using the QUADAS-2 tool. Pooled sensitivity, specificity, and AUROC values were calculated using a random-effects model. Summary receiver operating characteristic (SROC) curves and subgroup analyses according to liver disease etiology were performed. This study was registered in PROSPERO (CRD420251135490).</w:t>
      </w:r>
    </w:p>
    <w:p w14:paraId="26D4B4D1" w14:textId="77777777" w:rsidR="0044387B" w:rsidRPr="0044387B" w:rsidRDefault="0044387B" w:rsidP="0044387B">
      <w:pPr>
        <w:spacing w:line="360" w:lineRule="auto"/>
        <w:jc w:val="both"/>
        <w:rPr>
          <w:sz w:val="20"/>
          <w:szCs w:val="20"/>
        </w:rPr>
      </w:pPr>
      <w:r w:rsidRPr="00D30E70">
        <w:rPr>
          <w:b/>
          <w:color w:val="006FC0"/>
          <w:sz w:val="20"/>
          <w:szCs w:val="20"/>
        </w:rPr>
        <w:t xml:space="preserve">Results: </w:t>
      </w:r>
      <w:r w:rsidRPr="0044387B">
        <w:rPr>
          <w:sz w:val="20"/>
          <w:szCs w:val="20"/>
        </w:rPr>
        <w:t xml:space="preserve">A total of 41 studies involving 7,597 patients were included, comprising 9 studies evaluating </w:t>
      </w:r>
      <w:proofErr w:type="spellStart"/>
      <w:r w:rsidRPr="0044387B">
        <w:rPr>
          <w:sz w:val="20"/>
          <w:szCs w:val="20"/>
        </w:rPr>
        <w:t>FibroTouch</w:t>
      </w:r>
      <w:proofErr w:type="spellEnd"/>
      <w:r w:rsidRPr="0044387B">
        <w:rPr>
          <w:sz w:val="20"/>
          <w:szCs w:val="20"/>
        </w:rPr>
        <w:t xml:space="preserve"> (1,563 patients) and 32 studies evaluating </w:t>
      </w:r>
      <w:proofErr w:type="spellStart"/>
      <w:r w:rsidRPr="0044387B">
        <w:rPr>
          <w:sz w:val="20"/>
          <w:szCs w:val="20"/>
        </w:rPr>
        <w:t>FibroScan</w:t>
      </w:r>
      <w:proofErr w:type="spellEnd"/>
      <w:r w:rsidRPr="0044387B">
        <w:rPr>
          <w:sz w:val="20"/>
          <w:szCs w:val="20"/>
        </w:rPr>
        <w:t xml:space="preserve"> (6,034 patients). For detection of significant fibrosis (F2), pooled AUROC values were 0.81 for </w:t>
      </w:r>
      <w:proofErr w:type="spellStart"/>
      <w:r w:rsidRPr="0044387B">
        <w:rPr>
          <w:sz w:val="20"/>
          <w:szCs w:val="20"/>
        </w:rPr>
        <w:t>FibroTouch</w:t>
      </w:r>
      <w:proofErr w:type="spellEnd"/>
      <w:r w:rsidRPr="0044387B">
        <w:rPr>
          <w:sz w:val="20"/>
          <w:szCs w:val="20"/>
        </w:rPr>
        <w:t xml:space="preserve"> and 0.91 for </w:t>
      </w:r>
      <w:proofErr w:type="spellStart"/>
      <w:r w:rsidRPr="0044387B">
        <w:rPr>
          <w:sz w:val="20"/>
          <w:szCs w:val="20"/>
        </w:rPr>
        <w:t>FibroScan</w:t>
      </w:r>
      <w:proofErr w:type="spellEnd"/>
      <w:r w:rsidRPr="0044387B">
        <w:rPr>
          <w:sz w:val="20"/>
          <w:szCs w:val="20"/>
        </w:rPr>
        <w:t xml:space="preserve">. For advanced fibrosis (F3), AUROC values were 0.92 and 0.94, respectively. For cirrhosis (F4), AUROC values were 0.89 for </w:t>
      </w:r>
      <w:proofErr w:type="spellStart"/>
      <w:r w:rsidRPr="0044387B">
        <w:rPr>
          <w:sz w:val="20"/>
          <w:szCs w:val="20"/>
        </w:rPr>
        <w:t>FibroTouch</w:t>
      </w:r>
      <w:proofErr w:type="spellEnd"/>
      <w:r w:rsidRPr="0044387B">
        <w:rPr>
          <w:sz w:val="20"/>
          <w:szCs w:val="20"/>
        </w:rPr>
        <w:t xml:space="preserve"> and 0.96 for </w:t>
      </w:r>
      <w:proofErr w:type="spellStart"/>
      <w:r w:rsidRPr="0044387B">
        <w:rPr>
          <w:sz w:val="20"/>
          <w:szCs w:val="20"/>
        </w:rPr>
        <w:t>FibroScan</w:t>
      </w:r>
      <w:proofErr w:type="spellEnd"/>
      <w:r w:rsidRPr="0044387B">
        <w:rPr>
          <w:sz w:val="20"/>
          <w:szCs w:val="20"/>
        </w:rPr>
        <w:t xml:space="preserve">. Across fibrosis stages and disease etiologies, </w:t>
      </w:r>
      <w:proofErr w:type="spellStart"/>
      <w:r w:rsidRPr="0044387B">
        <w:rPr>
          <w:sz w:val="20"/>
          <w:szCs w:val="20"/>
        </w:rPr>
        <w:t>FibroScan</w:t>
      </w:r>
      <w:proofErr w:type="spellEnd"/>
      <w:r w:rsidRPr="0044387B">
        <w:rPr>
          <w:sz w:val="20"/>
          <w:szCs w:val="20"/>
        </w:rPr>
        <w:t xml:space="preserve"> demonstrated consistently higher pooled sensitivity and specificity.</w:t>
      </w:r>
    </w:p>
    <w:p w14:paraId="492977A3" w14:textId="77777777" w:rsidR="0044387B" w:rsidRDefault="0044387B" w:rsidP="0044387B">
      <w:pPr>
        <w:spacing w:line="360" w:lineRule="auto"/>
        <w:jc w:val="both"/>
        <w:rPr>
          <w:sz w:val="20"/>
          <w:szCs w:val="20"/>
        </w:rPr>
      </w:pPr>
      <w:r w:rsidRPr="00D30E70">
        <w:rPr>
          <w:b/>
          <w:color w:val="006FC0"/>
          <w:sz w:val="20"/>
          <w:szCs w:val="20"/>
        </w:rPr>
        <w:t xml:space="preserve">Conclusion: </w:t>
      </w:r>
      <w:proofErr w:type="spellStart"/>
      <w:r w:rsidRPr="0044387B">
        <w:rPr>
          <w:sz w:val="20"/>
          <w:szCs w:val="20"/>
        </w:rPr>
        <w:t>FibroScan</w:t>
      </w:r>
      <w:proofErr w:type="spellEnd"/>
      <w:r w:rsidRPr="0044387B">
        <w:rPr>
          <w:sz w:val="20"/>
          <w:szCs w:val="20"/>
        </w:rPr>
        <w:t xml:space="preserve"> demonstrates superior and more consistent diagnostic accuracy compared with </w:t>
      </w:r>
      <w:proofErr w:type="spellStart"/>
      <w:r w:rsidRPr="0044387B">
        <w:rPr>
          <w:sz w:val="20"/>
          <w:szCs w:val="20"/>
        </w:rPr>
        <w:t>FibroTouch</w:t>
      </w:r>
      <w:proofErr w:type="spellEnd"/>
      <w:r w:rsidRPr="0044387B">
        <w:rPr>
          <w:sz w:val="20"/>
          <w:szCs w:val="20"/>
        </w:rPr>
        <w:t xml:space="preserve"> across fibrosis stages and chronic liver disease etiologies. When combined with its broader probe range, extensive validation, and the practical trade-off of mandatory annual probe calibration versus </w:t>
      </w:r>
      <w:proofErr w:type="spellStart"/>
      <w:r w:rsidRPr="0044387B">
        <w:rPr>
          <w:sz w:val="20"/>
          <w:szCs w:val="20"/>
        </w:rPr>
        <w:t>FibroTouch’s</w:t>
      </w:r>
      <w:proofErr w:type="spellEnd"/>
      <w:r w:rsidRPr="0044387B">
        <w:rPr>
          <w:sz w:val="20"/>
          <w:szCs w:val="20"/>
        </w:rPr>
        <w:t xml:space="preserve"> calibration-free operation, the choice between platforms should incorporate both performance data and institutional resource considerations.</w:t>
      </w:r>
    </w:p>
    <w:p w14:paraId="75FE8F50" w14:textId="77777777" w:rsidR="00D30E70" w:rsidRPr="0044387B" w:rsidRDefault="00D30E70" w:rsidP="0044387B">
      <w:pPr>
        <w:spacing w:line="360" w:lineRule="auto"/>
        <w:jc w:val="both"/>
        <w:rPr>
          <w:sz w:val="20"/>
          <w:szCs w:val="20"/>
        </w:rPr>
      </w:pPr>
    </w:p>
    <w:p w14:paraId="56DF8D84" w14:textId="0E94CE32" w:rsidR="0044387B" w:rsidRDefault="0044387B" w:rsidP="0044387B">
      <w:pPr>
        <w:spacing w:line="360" w:lineRule="auto"/>
        <w:jc w:val="both"/>
        <w:rPr>
          <w:sz w:val="20"/>
          <w:szCs w:val="20"/>
        </w:rPr>
      </w:pPr>
      <w:r w:rsidRPr="00D30E70">
        <w:rPr>
          <w:b/>
          <w:color w:val="006FC0"/>
        </w:rPr>
        <w:t xml:space="preserve">Keywords: </w:t>
      </w:r>
      <w:r w:rsidRPr="0044387B">
        <w:rPr>
          <w:sz w:val="20"/>
          <w:szCs w:val="20"/>
        </w:rPr>
        <w:t xml:space="preserve">Liver fibrosis; Vibration-Controlled Transient Elastography; VCTE; Shear Wave Elastography; </w:t>
      </w:r>
      <w:proofErr w:type="spellStart"/>
      <w:r w:rsidRPr="0044387B">
        <w:rPr>
          <w:sz w:val="20"/>
          <w:szCs w:val="20"/>
        </w:rPr>
        <w:t>FibroScan</w:t>
      </w:r>
      <w:proofErr w:type="spellEnd"/>
      <w:r w:rsidRPr="0044387B">
        <w:rPr>
          <w:sz w:val="20"/>
          <w:szCs w:val="20"/>
        </w:rPr>
        <w:t xml:space="preserve">; </w:t>
      </w:r>
      <w:proofErr w:type="spellStart"/>
      <w:r w:rsidRPr="0044387B">
        <w:rPr>
          <w:sz w:val="20"/>
          <w:szCs w:val="20"/>
        </w:rPr>
        <w:t>FibroTouch</w:t>
      </w:r>
      <w:proofErr w:type="spellEnd"/>
      <w:r w:rsidRPr="0044387B">
        <w:rPr>
          <w:sz w:val="20"/>
          <w:szCs w:val="20"/>
        </w:rPr>
        <w:t>; Diagnostic accuracy; MASLD</w:t>
      </w:r>
    </w:p>
    <w:p w14:paraId="6DA038A8" w14:textId="77777777" w:rsidR="00D30E70" w:rsidRPr="0044387B" w:rsidRDefault="00D30E70" w:rsidP="0044387B">
      <w:pPr>
        <w:spacing w:line="360" w:lineRule="auto"/>
        <w:jc w:val="both"/>
        <w:rPr>
          <w:sz w:val="20"/>
          <w:szCs w:val="20"/>
        </w:rPr>
      </w:pPr>
    </w:p>
    <w:p w14:paraId="5944F0F8" w14:textId="1CF98073" w:rsidR="0044387B" w:rsidRPr="00D30E70" w:rsidRDefault="0044387B" w:rsidP="0044387B">
      <w:pPr>
        <w:pStyle w:val="Heading1"/>
        <w:spacing w:line="360" w:lineRule="auto"/>
        <w:ind w:left="0"/>
        <w:jc w:val="both"/>
        <w:rPr>
          <w:bCs w:val="0"/>
          <w:color w:val="006FC0"/>
        </w:rPr>
      </w:pPr>
      <w:bookmarkStart w:id="2" w:name="_heading=h.uxg3qhgcch0u" w:colFirst="0" w:colLast="0"/>
      <w:bookmarkEnd w:id="2"/>
      <w:r w:rsidRPr="00D30E70">
        <w:rPr>
          <w:bCs w:val="0"/>
          <w:color w:val="006FC0"/>
        </w:rPr>
        <w:t>Introduction</w:t>
      </w:r>
    </w:p>
    <w:p w14:paraId="44DD4923" w14:textId="40B9DEF5" w:rsidR="0044387B" w:rsidRPr="0044387B" w:rsidRDefault="0044387B" w:rsidP="0044387B">
      <w:pPr>
        <w:spacing w:line="360" w:lineRule="auto"/>
        <w:jc w:val="both"/>
        <w:rPr>
          <w:sz w:val="20"/>
          <w:szCs w:val="20"/>
        </w:rPr>
      </w:pPr>
      <w:r w:rsidRPr="0044387B">
        <w:rPr>
          <w:sz w:val="20"/>
          <w:szCs w:val="20"/>
        </w:rPr>
        <w:t>Liver fibrosis represents an intermediate stage in the progression of chronic liver diseases and poses a significant threat to global health due to its potential to advance to cirrhosis and hepatocellular carcinoma (HCC)</w:t>
      </w:r>
      <w:r w:rsidR="00B7536D">
        <w:rPr>
          <w:sz w:val="20"/>
          <w:szCs w:val="20"/>
        </w:rPr>
        <w:t xml:space="preserve"> [1]</w:t>
      </w:r>
      <w:r w:rsidRPr="0044387B">
        <w:rPr>
          <w:sz w:val="20"/>
          <w:szCs w:val="20"/>
        </w:rPr>
        <w:t>. Early detection is crucial because fibrosis remains partially reversible, highlighting the need for timely intervention to prevent complications and improve patient outcomes</w:t>
      </w:r>
      <w:r w:rsidR="00B7536D">
        <w:rPr>
          <w:sz w:val="20"/>
          <w:szCs w:val="20"/>
        </w:rPr>
        <w:t xml:space="preserve"> [2]</w:t>
      </w:r>
      <w:r w:rsidRPr="0044387B">
        <w:rPr>
          <w:sz w:val="20"/>
          <w:szCs w:val="20"/>
        </w:rPr>
        <w:t>.</w:t>
      </w:r>
    </w:p>
    <w:p w14:paraId="784BA4E5" w14:textId="3B3E4512" w:rsidR="0044387B" w:rsidRPr="0044387B" w:rsidRDefault="0044387B" w:rsidP="0044387B">
      <w:pPr>
        <w:spacing w:line="360" w:lineRule="auto"/>
        <w:jc w:val="both"/>
        <w:rPr>
          <w:sz w:val="20"/>
          <w:szCs w:val="20"/>
        </w:rPr>
      </w:pPr>
      <w:r w:rsidRPr="0044387B">
        <w:rPr>
          <w:sz w:val="20"/>
          <w:szCs w:val="20"/>
        </w:rPr>
        <w:t xml:space="preserve">Historically, liver biopsy was regarded as the gold standard for diagnosing and staging fibrosis. However, its invasive </w:t>
      </w:r>
      <w:r w:rsidRPr="0044387B">
        <w:rPr>
          <w:sz w:val="20"/>
          <w:szCs w:val="20"/>
        </w:rPr>
        <w:lastRenderedPageBreak/>
        <w:t>nature, associated risks (bleeding, pain), and inherent limitations including sampling variability have driven the development of non-invasive diagnostic modalities</w:t>
      </w:r>
      <w:r w:rsidR="00B7536D">
        <w:rPr>
          <w:sz w:val="20"/>
          <w:szCs w:val="20"/>
        </w:rPr>
        <w:t xml:space="preserve"> [3]</w:t>
      </w:r>
      <w:r w:rsidRPr="0044387B">
        <w:rPr>
          <w:sz w:val="20"/>
          <w:szCs w:val="20"/>
        </w:rPr>
        <w:t xml:space="preserve">. Among these, Vibration-Controlled Transient Elastography (VCTE), a validated form of Shear Wave Elastography (SWE), has emerged as the leading non-invasive approach to liver stiffness measurement (LSM). The commercial implementation of VCTE by </w:t>
      </w:r>
      <w:proofErr w:type="spellStart"/>
      <w:r w:rsidRPr="0044387B">
        <w:rPr>
          <w:sz w:val="20"/>
          <w:szCs w:val="20"/>
        </w:rPr>
        <w:t>Echosens</w:t>
      </w:r>
      <w:proofErr w:type="spellEnd"/>
      <w:r w:rsidRPr="0044387B">
        <w:rPr>
          <w:sz w:val="20"/>
          <w:szCs w:val="20"/>
        </w:rPr>
        <w:t xml:space="preserve"> (Paris, France) under the trade name </w:t>
      </w:r>
      <w:proofErr w:type="spellStart"/>
      <w:r w:rsidRPr="0044387B">
        <w:rPr>
          <w:sz w:val="20"/>
          <w:szCs w:val="20"/>
        </w:rPr>
        <w:t>FibroScan</w:t>
      </w:r>
      <w:proofErr w:type="spellEnd"/>
      <w:r w:rsidRPr="0044387B">
        <w:rPr>
          <w:sz w:val="20"/>
          <w:szCs w:val="20"/>
        </w:rPr>
        <w:t>® has gained the widest clinical adoption, supported by more than 6,000 peer-reviewed publications and over 250 international clinical guidelines</w:t>
      </w:r>
      <w:r w:rsidR="00B7536D">
        <w:rPr>
          <w:sz w:val="20"/>
          <w:szCs w:val="20"/>
        </w:rPr>
        <w:t xml:space="preserve"> [4]</w:t>
      </w:r>
      <w:r w:rsidRPr="0044387B">
        <w:rPr>
          <w:sz w:val="20"/>
          <w:szCs w:val="20"/>
        </w:rPr>
        <w:t xml:space="preserve">. </w:t>
      </w:r>
      <w:proofErr w:type="spellStart"/>
      <w:r w:rsidRPr="0044387B">
        <w:rPr>
          <w:sz w:val="20"/>
          <w:szCs w:val="20"/>
        </w:rPr>
        <w:t>FibroTouch</w:t>
      </w:r>
      <w:proofErr w:type="spellEnd"/>
      <w:r w:rsidRPr="0044387B">
        <w:rPr>
          <w:sz w:val="20"/>
          <w:szCs w:val="20"/>
        </w:rPr>
        <w:t xml:space="preserve">® (Wuxi </w:t>
      </w:r>
      <w:proofErr w:type="spellStart"/>
      <w:r w:rsidRPr="0044387B">
        <w:rPr>
          <w:sz w:val="20"/>
          <w:szCs w:val="20"/>
        </w:rPr>
        <w:t>Hisky</w:t>
      </w:r>
      <w:proofErr w:type="spellEnd"/>
      <w:r w:rsidRPr="0044387B">
        <w:rPr>
          <w:sz w:val="20"/>
          <w:szCs w:val="20"/>
        </w:rPr>
        <w:t xml:space="preserve"> Medical Technologies Co., Ltd., Wuxi, China) is a more recently introduced commercial VCTE platform that has attracted increasing attention, particularly in Asian clinical settings, as a potentially lower-cost alternative</w:t>
      </w:r>
      <w:r w:rsidR="00B7536D">
        <w:rPr>
          <w:sz w:val="20"/>
          <w:szCs w:val="20"/>
        </w:rPr>
        <w:t xml:space="preserve"> [5,6]</w:t>
      </w:r>
      <w:r w:rsidRPr="0044387B">
        <w:rPr>
          <w:sz w:val="20"/>
          <w:szCs w:val="20"/>
        </w:rPr>
        <w:t xml:space="preserve">. </w:t>
      </w:r>
    </w:p>
    <w:p w14:paraId="0901D596" w14:textId="1B8DBDB3" w:rsidR="0044387B" w:rsidRPr="0044387B" w:rsidRDefault="0044387B" w:rsidP="0044387B">
      <w:pPr>
        <w:spacing w:line="360" w:lineRule="auto"/>
        <w:jc w:val="both"/>
        <w:rPr>
          <w:sz w:val="20"/>
          <w:szCs w:val="20"/>
        </w:rPr>
      </w:pPr>
      <w:r w:rsidRPr="0044387B">
        <w:rPr>
          <w:sz w:val="20"/>
          <w:szCs w:val="20"/>
        </w:rPr>
        <w:t xml:space="preserve">Despite their shared underlying principle—transmitting low-frequency (50 Hz) shear waves through liver tissue and measuring propagation velocity as a surrogate for stiffness—these two platforms differ substantially in their probe configurations, calibration requirements, and associated costs. These practical considerations are as clinically relevant as raw diagnostic performance, yet they have not been systematically evaluated in prior comparative analyses. This systematic review and meta-analysis therefore </w:t>
      </w:r>
      <w:proofErr w:type="gramStart"/>
      <w:r w:rsidRPr="0044387B">
        <w:rPr>
          <w:sz w:val="20"/>
          <w:szCs w:val="20"/>
        </w:rPr>
        <w:t>aims</w:t>
      </w:r>
      <w:proofErr w:type="gramEnd"/>
      <w:r w:rsidRPr="0044387B">
        <w:rPr>
          <w:sz w:val="20"/>
          <w:szCs w:val="20"/>
        </w:rPr>
        <w:t xml:space="preserve"> both to compare the diagnostic accuracy of </w:t>
      </w:r>
      <w:proofErr w:type="spellStart"/>
      <w:r w:rsidRPr="0044387B">
        <w:rPr>
          <w:sz w:val="20"/>
          <w:szCs w:val="20"/>
        </w:rPr>
        <w:t>FibroScan</w:t>
      </w:r>
      <w:proofErr w:type="spellEnd"/>
      <w:r w:rsidRPr="0044387B">
        <w:rPr>
          <w:sz w:val="20"/>
          <w:szCs w:val="20"/>
        </w:rPr>
        <w:t xml:space="preserve"> and </w:t>
      </w:r>
      <w:proofErr w:type="spellStart"/>
      <w:r w:rsidRPr="0044387B">
        <w:rPr>
          <w:sz w:val="20"/>
          <w:szCs w:val="20"/>
        </w:rPr>
        <w:t>FibroTouch</w:t>
      </w:r>
      <w:proofErr w:type="spellEnd"/>
      <w:r w:rsidRPr="0044387B">
        <w:rPr>
          <w:sz w:val="20"/>
          <w:szCs w:val="20"/>
        </w:rPr>
        <w:t xml:space="preserve"> across fibrosis stages and disease etiologies, and to provide a structured assessment of the practical differences between the two platforms that are relevant to clinical decision-making</w:t>
      </w:r>
      <w:r w:rsidR="00B7536D">
        <w:rPr>
          <w:sz w:val="20"/>
          <w:szCs w:val="20"/>
        </w:rPr>
        <w:t xml:space="preserve"> [4]</w:t>
      </w:r>
      <w:r w:rsidRPr="0044387B">
        <w:rPr>
          <w:sz w:val="20"/>
          <w:szCs w:val="20"/>
        </w:rPr>
        <w:t xml:space="preserve">. </w:t>
      </w:r>
    </w:p>
    <w:p w14:paraId="0E3CF9DC" w14:textId="77777777" w:rsidR="00D30E70" w:rsidRDefault="00D30E70" w:rsidP="0044387B">
      <w:pPr>
        <w:pStyle w:val="Heading1"/>
        <w:spacing w:line="360" w:lineRule="auto"/>
        <w:ind w:left="0"/>
        <w:jc w:val="both"/>
        <w:rPr>
          <w:bCs w:val="0"/>
          <w:color w:val="006FC0"/>
          <w:sz w:val="20"/>
          <w:szCs w:val="20"/>
        </w:rPr>
      </w:pPr>
      <w:bookmarkStart w:id="3" w:name="_heading=h.sx4m35xz17m1" w:colFirst="0" w:colLast="0"/>
      <w:bookmarkEnd w:id="3"/>
    </w:p>
    <w:p w14:paraId="266BA0A7" w14:textId="133C6009" w:rsidR="0044387B" w:rsidRPr="00D30E70" w:rsidRDefault="0044387B" w:rsidP="0044387B">
      <w:pPr>
        <w:pStyle w:val="Heading1"/>
        <w:spacing w:line="360" w:lineRule="auto"/>
        <w:ind w:left="0"/>
        <w:jc w:val="both"/>
        <w:rPr>
          <w:bCs w:val="0"/>
          <w:color w:val="006FC0"/>
          <w:sz w:val="20"/>
          <w:szCs w:val="20"/>
        </w:rPr>
      </w:pPr>
      <w:r w:rsidRPr="00D30E70">
        <w:rPr>
          <w:bCs w:val="0"/>
          <w:color w:val="006FC0"/>
          <w:sz w:val="20"/>
          <w:szCs w:val="20"/>
        </w:rPr>
        <w:t>Technical Background and Device Comparison</w:t>
      </w:r>
    </w:p>
    <w:p w14:paraId="09FEF340" w14:textId="77777777" w:rsidR="0044387B" w:rsidRPr="00D30E70" w:rsidRDefault="0044387B" w:rsidP="0044387B">
      <w:pPr>
        <w:pStyle w:val="Heading2"/>
        <w:keepNext w:val="0"/>
        <w:keepLines w:val="0"/>
        <w:spacing w:before="0" w:line="360" w:lineRule="auto"/>
        <w:jc w:val="both"/>
        <w:rPr>
          <w:rFonts w:ascii="Times New Roman" w:eastAsia="Times New Roman" w:hAnsi="Times New Roman" w:cs="Times New Roman"/>
          <w:b w:val="0"/>
          <w:bCs w:val="0"/>
          <w:color w:val="auto"/>
          <w:sz w:val="20"/>
          <w:szCs w:val="20"/>
        </w:rPr>
      </w:pPr>
      <w:bookmarkStart w:id="4" w:name="_heading=h.sh27hoia5ei8" w:colFirst="0" w:colLast="0"/>
      <w:bookmarkEnd w:id="4"/>
      <w:r w:rsidRPr="00D30E70">
        <w:rPr>
          <w:rFonts w:ascii="Times New Roman" w:eastAsia="Times New Roman" w:hAnsi="Times New Roman" w:cs="Times New Roman"/>
          <w:b w:val="0"/>
          <w:bCs w:val="0"/>
          <w:color w:val="auto"/>
          <w:sz w:val="20"/>
          <w:szCs w:val="20"/>
        </w:rPr>
        <w:t xml:space="preserve">Noninvasive assessment of liver fibrosis has become a cornerstone in the management of chronic liver diseases, with vibration-controlled transient elastography (VCTE) emerging as one of the most widely adopted modalities within the broader framework of shear wave elastography (SWE). Among commercially available platforms, </w:t>
      </w:r>
      <w:proofErr w:type="spellStart"/>
      <w:r w:rsidRPr="00D30E70">
        <w:rPr>
          <w:rFonts w:ascii="Times New Roman" w:eastAsia="Times New Roman" w:hAnsi="Times New Roman" w:cs="Times New Roman"/>
          <w:b w:val="0"/>
          <w:bCs w:val="0"/>
          <w:color w:val="auto"/>
          <w:sz w:val="20"/>
          <w:szCs w:val="20"/>
        </w:rPr>
        <w:t>FibroScan</w:t>
      </w:r>
      <w:proofErr w:type="spellEnd"/>
      <w:r w:rsidRPr="00D30E70">
        <w:rPr>
          <w:rFonts w:ascii="Times New Roman" w:eastAsia="Times New Roman" w:hAnsi="Times New Roman" w:cs="Times New Roman"/>
          <w:b w:val="0"/>
          <w:bCs w:val="0"/>
          <w:color w:val="auto"/>
          <w:sz w:val="20"/>
          <w:szCs w:val="20"/>
        </w:rPr>
        <w:t xml:space="preserve"> (</w:t>
      </w:r>
      <w:proofErr w:type="spellStart"/>
      <w:r w:rsidRPr="00D30E70">
        <w:rPr>
          <w:rFonts w:ascii="Times New Roman" w:eastAsia="Times New Roman" w:hAnsi="Times New Roman" w:cs="Times New Roman"/>
          <w:b w:val="0"/>
          <w:bCs w:val="0"/>
          <w:color w:val="auto"/>
          <w:sz w:val="20"/>
          <w:szCs w:val="20"/>
        </w:rPr>
        <w:t>Echosens</w:t>
      </w:r>
      <w:proofErr w:type="spellEnd"/>
      <w:r w:rsidRPr="00D30E70">
        <w:rPr>
          <w:rFonts w:ascii="Times New Roman" w:eastAsia="Times New Roman" w:hAnsi="Times New Roman" w:cs="Times New Roman"/>
          <w:b w:val="0"/>
          <w:bCs w:val="0"/>
          <w:color w:val="auto"/>
          <w:sz w:val="20"/>
          <w:szCs w:val="20"/>
        </w:rPr>
        <w:t xml:space="preserve">, Paris, France) has long been considered the reference standard for VCTE-based liver stiffness measurement, supported by extensive validation across diverse patient populations. More recently, </w:t>
      </w:r>
      <w:proofErr w:type="spellStart"/>
      <w:r w:rsidRPr="00D30E70">
        <w:rPr>
          <w:rFonts w:ascii="Times New Roman" w:eastAsia="Times New Roman" w:hAnsi="Times New Roman" w:cs="Times New Roman"/>
          <w:b w:val="0"/>
          <w:bCs w:val="0"/>
          <w:color w:val="auto"/>
          <w:sz w:val="20"/>
          <w:szCs w:val="20"/>
        </w:rPr>
        <w:t>FibroTouch</w:t>
      </w:r>
      <w:proofErr w:type="spellEnd"/>
      <w:r w:rsidRPr="00D30E70">
        <w:rPr>
          <w:rFonts w:ascii="Times New Roman" w:eastAsia="Times New Roman" w:hAnsi="Times New Roman" w:cs="Times New Roman"/>
          <w:b w:val="0"/>
          <w:bCs w:val="0"/>
          <w:color w:val="auto"/>
          <w:sz w:val="20"/>
          <w:szCs w:val="20"/>
        </w:rPr>
        <w:t xml:space="preserve"> has been introduced as a cost-accessible alternative that operates on a similar VCTE principle but incorporates distinct proprietary algorithms, probe configurations, and maintenance requirements.</w:t>
      </w:r>
    </w:p>
    <w:p w14:paraId="14C683CB" w14:textId="77777777" w:rsidR="0044387B" w:rsidRPr="00D30E70" w:rsidRDefault="0044387B" w:rsidP="0044387B">
      <w:pPr>
        <w:pStyle w:val="Heading2"/>
        <w:keepNext w:val="0"/>
        <w:keepLines w:val="0"/>
        <w:spacing w:before="0" w:line="360" w:lineRule="auto"/>
        <w:jc w:val="both"/>
        <w:rPr>
          <w:rFonts w:ascii="Times New Roman" w:eastAsia="Times New Roman" w:hAnsi="Times New Roman" w:cs="Times New Roman"/>
          <w:b w:val="0"/>
          <w:bCs w:val="0"/>
          <w:color w:val="auto"/>
          <w:sz w:val="20"/>
          <w:szCs w:val="20"/>
        </w:rPr>
      </w:pPr>
      <w:bookmarkStart w:id="5" w:name="_heading=h.l7uqso4p2k4a" w:colFirst="0" w:colLast="0"/>
      <w:bookmarkEnd w:id="5"/>
      <w:r w:rsidRPr="00D30E70">
        <w:rPr>
          <w:rFonts w:ascii="Times New Roman" w:eastAsia="Times New Roman" w:hAnsi="Times New Roman" w:cs="Times New Roman"/>
          <w:b w:val="0"/>
          <w:bCs w:val="0"/>
          <w:color w:val="auto"/>
          <w:sz w:val="20"/>
          <w:szCs w:val="20"/>
        </w:rPr>
        <w:t xml:space="preserve">Despite their shared technological foundation, important differences exist between these devices, including probe availability, measurement reproducibility, calibration requirements, and acquisition costs. </w:t>
      </w:r>
      <w:proofErr w:type="spellStart"/>
      <w:r w:rsidRPr="00D30E70">
        <w:rPr>
          <w:rFonts w:ascii="Times New Roman" w:eastAsia="Times New Roman" w:hAnsi="Times New Roman" w:cs="Times New Roman"/>
          <w:b w:val="0"/>
          <w:bCs w:val="0"/>
          <w:color w:val="auto"/>
          <w:sz w:val="20"/>
          <w:szCs w:val="20"/>
        </w:rPr>
        <w:t>FibroScan</w:t>
      </w:r>
      <w:proofErr w:type="spellEnd"/>
      <w:r w:rsidRPr="00D30E70">
        <w:rPr>
          <w:rFonts w:ascii="Times New Roman" w:eastAsia="Times New Roman" w:hAnsi="Times New Roman" w:cs="Times New Roman"/>
          <w:b w:val="0"/>
          <w:bCs w:val="0"/>
          <w:color w:val="auto"/>
          <w:sz w:val="20"/>
          <w:szCs w:val="20"/>
        </w:rPr>
        <w:t xml:space="preserve"> offers multiple probe options tailored to patient body </w:t>
      </w:r>
      <w:proofErr w:type="gramStart"/>
      <w:r w:rsidRPr="00D30E70">
        <w:rPr>
          <w:rFonts w:ascii="Times New Roman" w:eastAsia="Times New Roman" w:hAnsi="Times New Roman" w:cs="Times New Roman"/>
          <w:b w:val="0"/>
          <w:bCs w:val="0"/>
          <w:color w:val="auto"/>
          <w:sz w:val="20"/>
          <w:szCs w:val="20"/>
        </w:rPr>
        <w:t>habitus</w:t>
      </w:r>
      <w:proofErr w:type="gramEnd"/>
      <w:r w:rsidRPr="00D30E70">
        <w:rPr>
          <w:rFonts w:ascii="Times New Roman" w:eastAsia="Times New Roman" w:hAnsi="Times New Roman" w:cs="Times New Roman"/>
          <w:b w:val="0"/>
          <w:bCs w:val="0"/>
          <w:color w:val="auto"/>
          <w:sz w:val="20"/>
          <w:szCs w:val="20"/>
        </w:rPr>
        <w:t xml:space="preserve">, whereas </w:t>
      </w:r>
      <w:proofErr w:type="spellStart"/>
      <w:r w:rsidRPr="00D30E70">
        <w:rPr>
          <w:rFonts w:ascii="Times New Roman" w:eastAsia="Times New Roman" w:hAnsi="Times New Roman" w:cs="Times New Roman"/>
          <w:b w:val="0"/>
          <w:bCs w:val="0"/>
          <w:color w:val="auto"/>
          <w:sz w:val="20"/>
          <w:szCs w:val="20"/>
        </w:rPr>
        <w:t>FibroTouch</w:t>
      </w:r>
      <w:proofErr w:type="spellEnd"/>
      <w:r w:rsidRPr="00D30E70">
        <w:rPr>
          <w:rFonts w:ascii="Times New Roman" w:eastAsia="Times New Roman" w:hAnsi="Times New Roman" w:cs="Times New Roman"/>
          <w:b w:val="0"/>
          <w:bCs w:val="0"/>
          <w:color w:val="auto"/>
          <w:sz w:val="20"/>
          <w:szCs w:val="20"/>
        </w:rPr>
        <w:t xml:space="preserve"> utilizes a single-probe design, potentially limiting its applicability in certain populations. Furthermore, while </w:t>
      </w:r>
      <w:proofErr w:type="spellStart"/>
      <w:r w:rsidRPr="00D30E70">
        <w:rPr>
          <w:rFonts w:ascii="Times New Roman" w:eastAsia="Times New Roman" w:hAnsi="Times New Roman" w:cs="Times New Roman"/>
          <w:b w:val="0"/>
          <w:bCs w:val="0"/>
          <w:color w:val="auto"/>
          <w:sz w:val="20"/>
          <w:szCs w:val="20"/>
        </w:rPr>
        <w:t>FibroScan</w:t>
      </w:r>
      <w:proofErr w:type="spellEnd"/>
      <w:r w:rsidRPr="00D30E70">
        <w:rPr>
          <w:rFonts w:ascii="Times New Roman" w:eastAsia="Times New Roman" w:hAnsi="Times New Roman" w:cs="Times New Roman"/>
          <w:b w:val="0"/>
          <w:bCs w:val="0"/>
          <w:color w:val="auto"/>
          <w:sz w:val="20"/>
          <w:szCs w:val="20"/>
        </w:rPr>
        <w:t xml:space="preserve"> requires regular manufacturer calibration with associated maintenance costs, </w:t>
      </w:r>
      <w:proofErr w:type="spellStart"/>
      <w:r w:rsidRPr="00D30E70">
        <w:rPr>
          <w:rFonts w:ascii="Times New Roman" w:eastAsia="Times New Roman" w:hAnsi="Times New Roman" w:cs="Times New Roman"/>
          <w:b w:val="0"/>
          <w:bCs w:val="0"/>
          <w:color w:val="auto"/>
          <w:sz w:val="20"/>
          <w:szCs w:val="20"/>
        </w:rPr>
        <w:t>FibroTouch</w:t>
      </w:r>
      <w:proofErr w:type="spellEnd"/>
      <w:r w:rsidRPr="00D30E70">
        <w:rPr>
          <w:rFonts w:ascii="Times New Roman" w:eastAsia="Times New Roman" w:hAnsi="Times New Roman" w:cs="Times New Roman"/>
          <w:b w:val="0"/>
          <w:bCs w:val="0"/>
          <w:color w:val="auto"/>
          <w:sz w:val="20"/>
          <w:szCs w:val="20"/>
        </w:rPr>
        <w:t xml:space="preserve"> adopts a different operational model without mandatory scheduled calibration. Preliminary comparative studies suggest good correlation in liver stiffness measurements between the two devices but raise concerns regarding systematic differences and variability.</w:t>
      </w:r>
    </w:p>
    <w:p w14:paraId="1EBAB64D" w14:textId="77777777" w:rsidR="0044387B" w:rsidRPr="00D30E70" w:rsidRDefault="0044387B" w:rsidP="0044387B">
      <w:pPr>
        <w:pStyle w:val="Heading2"/>
        <w:keepNext w:val="0"/>
        <w:keepLines w:val="0"/>
        <w:spacing w:before="0" w:line="360" w:lineRule="auto"/>
        <w:jc w:val="both"/>
        <w:rPr>
          <w:rFonts w:ascii="Times New Roman" w:eastAsia="Times New Roman" w:hAnsi="Times New Roman" w:cs="Times New Roman"/>
          <w:b w:val="0"/>
          <w:bCs w:val="0"/>
          <w:color w:val="auto"/>
          <w:sz w:val="20"/>
          <w:szCs w:val="20"/>
        </w:rPr>
      </w:pPr>
      <w:bookmarkStart w:id="6" w:name="_heading=h.1zta4n19nyrk" w:colFirst="0" w:colLast="0"/>
      <w:bookmarkEnd w:id="6"/>
      <w:r w:rsidRPr="00D30E70">
        <w:rPr>
          <w:rFonts w:ascii="Times New Roman" w:eastAsia="Times New Roman" w:hAnsi="Times New Roman" w:cs="Times New Roman"/>
          <w:b w:val="0"/>
          <w:bCs w:val="0"/>
          <w:color w:val="auto"/>
          <w:sz w:val="20"/>
          <w:szCs w:val="20"/>
        </w:rPr>
        <w:t>Notably, while diagnostic accuracy and technical performance of VCTE devices have been explored, there remains a significant gap in the literature regarding comprehensive cost comparisons and real-world economic implications of these platforms. In particular, the absence of standardized evaluations incorporating acquisition costs, maintenance expenses, and long-term operational considerations limits evidence-based decision-making, especially in resource-constrained settings. Addressing this gap is essential to contextualize device selection beyond technical performance and to inform cost-effective implementation of noninvasive fibrosis assessment strategies.</w:t>
      </w:r>
    </w:p>
    <w:p w14:paraId="7BF05A3F"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sz w:val="20"/>
          <w:szCs w:val="20"/>
        </w:rPr>
      </w:pPr>
      <w:bookmarkStart w:id="7" w:name="_heading=h.fivk3dxgln9t" w:colFirst="0" w:colLast="0"/>
      <w:bookmarkEnd w:id="7"/>
      <w:r w:rsidRPr="0044387B">
        <w:rPr>
          <w:rFonts w:ascii="Times New Roman" w:eastAsia="Times New Roman" w:hAnsi="Times New Roman" w:cs="Times New Roman"/>
          <w:sz w:val="20"/>
          <w:szCs w:val="20"/>
        </w:rPr>
        <w:t xml:space="preserve"> </w:t>
      </w:r>
    </w:p>
    <w:p w14:paraId="4EC31E85" w14:textId="77777777" w:rsidR="0044387B" w:rsidRPr="005C7292" w:rsidRDefault="0044387B" w:rsidP="0044387B">
      <w:pPr>
        <w:pStyle w:val="Heading1"/>
        <w:spacing w:line="360" w:lineRule="auto"/>
        <w:ind w:left="0"/>
        <w:jc w:val="both"/>
        <w:rPr>
          <w:bCs w:val="0"/>
          <w:color w:val="006FC0"/>
        </w:rPr>
      </w:pPr>
      <w:bookmarkStart w:id="8" w:name="_heading=h.q41uj7dsahm6" w:colFirst="0" w:colLast="0"/>
      <w:bookmarkEnd w:id="8"/>
      <w:r w:rsidRPr="005C7292">
        <w:rPr>
          <w:bCs w:val="0"/>
          <w:color w:val="006FC0"/>
        </w:rPr>
        <w:lastRenderedPageBreak/>
        <w:t>3. Methods</w:t>
      </w:r>
    </w:p>
    <w:p w14:paraId="2E76A311"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9" w:name="_heading=h.8o3tslw0642a" w:colFirst="0" w:colLast="0"/>
      <w:bookmarkEnd w:id="9"/>
      <w:r w:rsidRPr="0044387B">
        <w:rPr>
          <w:rFonts w:ascii="Times New Roman" w:eastAsia="Times New Roman" w:hAnsi="Times New Roman" w:cs="Times New Roman"/>
          <w:sz w:val="20"/>
          <w:szCs w:val="20"/>
        </w:rPr>
        <w:t>3.1 Search Strategy</w:t>
      </w:r>
    </w:p>
    <w:p w14:paraId="185A9959" w14:textId="271A1577" w:rsidR="0044387B" w:rsidRDefault="0044387B" w:rsidP="0044387B">
      <w:pPr>
        <w:spacing w:line="360" w:lineRule="auto"/>
        <w:jc w:val="both"/>
        <w:rPr>
          <w:sz w:val="20"/>
          <w:szCs w:val="20"/>
        </w:rPr>
      </w:pPr>
      <w:r w:rsidRPr="0044387B">
        <w:rPr>
          <w:sz w:val="20"/>
          <w:szCs w:val="20"/>
        </w:rPr>
        <w:t xml:space="preserve">A comprehensive literature search was conducted across PubMed, Scopus, and Web of Science from database inception to January 1, 2026. The search combined controlled vocabulary and free-text keywords including: “liver fibrosis,” “hepatic fibrosis,” “cirrhosis,” “metabolic dysfunction-associated </w:t>
      </w:r>
      <w:proofErr w:type="spellStart"/>
      <w:r w:rsidRPr="0044387B">
        <w:rPr>
          <w:sz w:val="20"/>
          <w:szCs w:val="20"/>
        </w:rPr>
        <w:t>steatotic</w:t>
      </w:r>
      <w:proofErr w:type="spellEnd"/>
      <w:r w:rsidRPr="0044387B">
        <w:rPr>
          <w:sz w:val="20"/>
          <w:szCs w:val="20"/>
        </w:rPr>
        <w:t xml:space="preserve"> liver disease,” “MASLD,” “hepatitis B,” “hepatitis C,” “alcoholic liver disease,” “</w:t>
      </w:r>
      <w:proofErr w:type="spellStart"/>
      <w:r w:rsidRPr="0044387B">
        <w:rPr>
          <w:sz w:val="20"/>
          <w:szCs w:val="20"/>
        </w:rPr>
        <w:t>FibroScan</w:t>
      </w:r>
      <w:proofErr w:type="spellEnd"/>
      <w:r w:rsidRPr="0044387B">
        <w:rPr>
          <w:sz w:val="20"/>
          <w:szCs w:val="20"/>
        </w:rPr>
        <w:t>,” “</w:t>
      </w:r>
      <w:proofErr w:type="spellStart"/>
      <w:r w:rsidRPr="0044387B">
        <w:rPr>
          <w:sz w:val="20"/>
          <w:szCs w:val="20"/>
        </w:rPr>
        <w:t>FibroTouch</w:t>
      </w:r>
      <w:proofErr w:type="spellEnd"/>
      <w:r w:rsidRPr="0044387B">
        <w:rPr>
          <w:sz w:val="20"/>
          <w:szCs w:val="20"/>
        </w:rPr>
        <w:t xml:space="preserve">,” “transient elastography,” “VCTE,” “shear wave elastography,” “diagnostic accuracy,” “sensitivity,” “specificity,” and “AUROC.” Boolean operators (AND/OR) were applied. Filters were applied for human studies, English-language articles, and original diagnostic accuracy studies. Duplicate records were removed prior to screening. Detailed search strategy is provided in </w:t>
      </w:r>
      <w:r w:rsidR="00261DDE">
        <w:rPr>
          <w:sz w:val="20"/>
          <w:szCs w:val="20"/>
        </w:rPr>
        <w:t>t</w:t>
      </w:r>
      <w:r w:rsidRPr="0044387B">
        <w:rPr>
          <w:sz w:val="20"/>
          <w:szCs w:val="20"/>
        </w:rPr>
        <w:t xml:space="preserve">able </w:t>
      </w:r>
      <w:r w:rsidR="00FE6435">
        <w:rPr>
          <w:sz w:val="20"/>
          <w:szCs w:val="20"/>
        </w:rPr>
        <w:t>1</w:t>
      </w:r>
      <w:r w:rsidRPr="0044387B">
        <w:rPr>
          <w:sz w:val="20"/>
          <w:szCs w:val="20"/>
        </w:rPr>
        <w:t>.</w:t>
      </w:r>
    </w:p>
    <w:p w14:paraId="6D88A3E2" w14:textId="77777777" w:rsidR="00C32131" w:rsidRDefault="00C32131" w:rsidP="0044387B">
      <w:pPr>
        <w:spacing w:line="360" w:lineRule="auto"/>
        <w:jc w:val="both"/>
        <w:rPr>
          <w:sz w:val="20"/>
          <w:szCs w:val="20"/>
        </w:rPr>
      </w:pPr>
    </w:p>
    <w:tbl>
      <w:tblPr>
        <w:tblW w:w="9703" w:type="dxa"/>
        <w:tblInd w:w="113" w:type="dxa"/>
        <w:tblLook w:val="04A0" w:firstRow="1" w:lastRow="0" w:firstColumn="1" w:lastColumn="0" w:noHBand="0" w:noVBand="1"/>
      </w:tblPr>
      <w:tblGrid>
        <w:gridCol w:w="1124"/>
        <w:gridCol w:w="7660"/>
        <w:gridCol w:w="919"/>
      </w:tblGrid>
      <w:tr w:rsidR="00C32131" w:rsidRPr="00C32131" w14:paraId="2ADAEC15" w14:textId="77777777" w:rsidTr="00C32131">
        <w:trPr>
          <w:trHeight w:val="300"/>
        </w:trPr>
        <w:tc>
          <w:tcPr>
            <w:tcW w:w="1124" w:type="dxa"/>
            <w:tcBorders>
              <w:top w:val="single" w:sz="4" w:space="0" w:color="auto"/>
              <w:left w:val="single" w:sz="4" w:space="0" w:color="auto"/>
              <w:bottom w:val="single" w:sz="4" w:space="0" w:color="auto"/>
              <w:right w:val="single" w:sz="4" w:space="0" w:color="auto"/>
            </w:tcBorders>
            <w:noWrap/>
            <w:vAlign w:val="center"/>
            <w:hideMark/>
          </w:tcPr>
          <w:p w14:paraId="6D7D8CC4" w14:textId="77777777" w:rsidR="00C32131" w:rsidRPr="00C32131" w:rsidRDefault="00C32131" w:rsidP="00C32131">
            <w:pPr>
              <w:widowControl/>
              <w:autoSpaceDE/>
              <w:autoSpaceDN/>
              <w:jc w:val="center"/>
              <w:rPr>
                <w:b/>
                <w:bCs/>
                <w:color w:val="000000"/>
                <w:sz w:val="20"/>
                <w:szCs w:val="20"/>
                <w:lang w:val="en-IN" w:eastAsia="en-IN"/>
              </w:rPr>
            </w:pPr>
            <w:r w:rsidRPr="00C32131">
              <w:rPr>
                <w:b/>
                <w:bCs/>
                <w:color w:val="000000"/>
                <w:sz w:val="20"/>
                <w:szCs w:val="20"/>
                <w:lang w:val="en" w:eastAsia="en-IN"/>
              </w:rPr>
              <w:t>Database</w:t>
            </w:r>
          </w:p>
        </w:tc>
        <w:tc>
          <w:tcPr>
            <w:tcW w:w="7660" w:type="dxa"/>
            <w:tcBorders>
              <w:top w:val="single" w:sz="4" w:space="0" w:color="auto"/>
              <w:left w:val="nil"/>
              <w:bottom w:val="single" w:sz="4" w:space="0" w:color="auto"/>
              <w:right w:val="single" w:sz="4" w:space="0" w:color="auto"/>
            </w:tcBorders>
            <w:noWrap/>
            <w:vAlign w:val="center"/>
            <w:hideMark/>
          </w:tcPr>
          <w:p w14:paraId="048E2920" w14:textId="77777777" w:rsidR="00C32131" w:rsidRPr="00C32131" w:rsidRDefault="00C32131" w:rsidP="00C32131">
            <w:pPr>
              <w:widowControl/>
              <w:autoSpaceDE/>
              <w:autoSpaceDN/>
              <w:jc w:val="center"/>
              <w:rPr>
                <w:b/>
                <w:bCs/>
                <w:color w:val="000000"/>
                <w:sz w:val="20"/>
                <w:szCs w:val="20"/>
                <w:lang w:val="en-IN" w:eastAsia="en-IN"/>
              </w:rPr>
            </w:pPr>
            <w:r w:rsidRPr="00C32131">
              <w:rPr>
                <w:b/>
                <w:bCs/>
                <w:color w:val="000000"/>
                <w:sz w:val="20"/>
                <w:szCs w:val="20"/>
                <w:lang w:val="en" w:eastAsia="en-IN"/>
              </w:rPr>
              <w:t>Search String</w:t>
            </w:r>
          </w:p>
        </w:tc>
        <w:tc>
          <w:tcPr>
            <w:tcW w:w="919" w:type="dxa"/>
            <w:tcBorders>
              <w:top w:val="single" w:sz="4" w:space="0" w:color="auto"/>
              <w:left w:val="nil"/>
              <w:bottom w:val="single" w:sz="4" w:space="0" w:color="auto"/>
              <w:right w:val="single" w:sz="4" w:space="0" w:color="auto"/>
            </w:tcBorders>
            <w:noWrap/>
            <w:vAlign w:val="center"/>
            <w:hideMark/>
          </w:tcPr>
          <w:p w14:paraId="5CCC7615" w14:textId="77777777" w:rsidR="00C32131" w:rsidRPr="00C32131" w:rsidRDefault="00C32131" w:rsidP="00C32131">
            <w:pPr>
              <w:widowControl/>
              <w:autoSpaceDE/>
              <w:autoSpaceDN/>
              <w:jc w:val="center"/>
              <w:rPr>
                <w:b/>
                <w:bCs/>
                <w:color w:val="000000"/>
                <w:sz w:val="20"/>
                <w:szCs w:val="20"/>
                <w:lang w:val="en-IN" w:eastAsia="en-IN"/>
              </w:rPr>
            </w:pPr>
            <w:r w:rsidRPr="00C32131">
              <w:rPr>
                <w:b/>
                <w:bCs/>
                <w:color w:val="000000"/>
                <w:sz w:val="20"/>
                <w:szCs w:val="20"/>
                <w:lang w:val="en" w:eastAsia="en-IN"/>
              </w:rPr>
              <w:t>Search results</w:t>
            </w:r>
          </w:p>
        </w:tc>
      </w:tr>
      <w:tr w:rsidR="00C32131" w:rsidRPr="00C32131" w14:paraId="63A2729E" w14:textId="77777777" w:rsidTr="00C32131">
        <w:trPr>
          <w:trHeight w:val="300"/>
        </w:trPr>
        <w:tc>
          <w:tcPr>
            <w:tcW w:w="1124" w:type="dxa"/>
            <w:tcBorders>
              <w:top w:val="nil"/>
              <w:left w:val="single" w:sz="4" w:space="0" w:color="auto"/>
              <w:bottom w:val="single" w:sz="4" w:space="0" w:color="auto"/>
              <w:right w:val="single" w:sz="4" w:space="0" w:color="auto"/>
            </w:tcBorders>
            <w:noWrap/>
            <w:vAlign w:val="center"/>
            <w:hideMark/>
          </w:tcPr>
          <w:p w14:paraId="2B9F9D0C" w14:textId="77777777" w:rsidR="00C32131" w:rsidRPr="00C32131" w:rsidRDefault="00C32131" w:rsidP="00C32131">
            <w:pPr>
              <w:widowControl/>
              <w:autoSpaceDE/>
              <w:autoSpaceDN/>
              <w:rPr>
                <w:color w:val="000000"/>
                <w:sz w:val="20"/>
                <w:szCs w:val="20"/>
                <w:lang w:val="en-IN" w:eastAsia="en-IN"/>
              </w:rPr>
            </w:pPr>
            <w:r w:rsidRPr="00C32131">
              <w:rPr>
                <w:color w:val="000000"/>
                <w:sz w:val="20"/>
                <w:szCs w:val="20"/>
                <w:lang w:val="en" w:eastAsia="en-IN"/>
              </w:rPr>
              <w:t>PubMed</w:t>
            </w:r>
          </w:p>
        </w:tc>
        <w:tc>
          <w:tcPr>
            <w:tcW w:w="7660" w:type="dxa"/>
            <w:tcBorders>
              <w:top w:val="nil"/>
              <w:left w:val="nil"/>
              <w:bottom w:val="single" w:sz="4" w:space="0" w:color="auto"/>
              <w:right w:val="single" w:sz="4" w:space="0" w:color="auto"/>
            </w:tcBorders>
            <w:noWrap/>
            <w:vAlign w:val="center"/>
            <w:hideMark/>
          </w:tcPr>
          <w:p w14:paraId="2558B0C6" w14:textId="77777777" w:rsidR="00C32131" w:rsidRPr="00C32131" w:rsidRDefault="00C32131" w:rsidP="00C32131">
            <w:pPr>
              <w:widowControl/>
              <w:autoSpaceDE/>
              <w:autoSpaceDN/>
              <w:rPr>
                <w:color w:val="000000"/>
                <w:sz w:val="20"/>
                <w:szCs w:val="20"/>
                <w:lang w:val="en-IN" w:eastAsia="en-IN"/>
              </w:rPr>
            </w:pPr>
            <w:r w:rsidRPr="00C32131">
              <w:rPr>
                <w:color w:val="000000"/>
                <w:sz w:val="20"/>
                <w:szCs w:val="20"/>
                <w:lang w:val="en" w:eastAsia="en-IN"/>
              </w:rPr>
              <w:t>("Liver Fibrosis"[Mesh] OR "hepatic fibrosis" OR "liver cirrhosis"[Mesh] OR "NAFLD" OR "non-alcoholic fatty liver disease" OR "Hepatitis B"[Mesh] OR "Hepatitis C"[Mesh] OR "alcoholic liver disease") AND ("</w:t>
            </w:r>
            <w:proofErr w:type="spellStart"/>
            <w:r w:rsidRPr="00C32131">
              <w:rPr>
                <w:color w:val="000000"/>
                <w:sz w:val="20"/>
                <w:szCs w:val="20"/>
                <w:lang w:val="en" w:eastAsia="en-IN"/>
              </w:rPr>
              <w:t>Fibroscan</w:t>
            </w:r>
            <w:proofErr w:type="spellEnd"/>
            <w:r w:rsidRPr="00C32131">
              <w:rPr>
                <w:color w:val="000000"/>
                <w:sz w:val="20"/>
                <w:szCs w:val="20"/>
                <w:lang w:val="en" w:eastAsia="en-IN"/>
              </w:rPr>
              <w:t>" OR "transient elastography" OR "</w:t>
            </w:r>
            <w:proofErr w:type="spellStart"/>
            <w:r w:rsidRPr="00C32131">
              <w:rPr>
                <w:color w:val="000000"/>
                <w:sz w:val="20"/>
                <w:szCs w:val="20"/>
                <w:lang w:val="en" w:eastAsia="en-IN"/>
              </w:rPr>
              <w:t>Fibrotouch</w:t>
            </w:r>
            <w:proofErr w:type="spellEnd"/>
            <w:r w:rsidRPr="00C32131">
              <w:rPr>
                <w:color w:val="000000"/>
                <w:sz w:val="20"/>
                <w:szCs w:val="20"/>
                <w:lang w:val="en" w:eastAsia="en-IN"/>
              </w:rPr>
              <w:t>" OR "elastography") AND ("Sensitivity and Specificity"[Mesh] OR "diagnostic accuracy" OR "AUROC" OR "ROC curve" OR "predictive value" OR "likelihood ratio")</w:t>
            </w:r>
          </w:p>
        </w:tc>
        <w:tc>
          <w:tcPr>
            <w:tcW w:w="919" w:type="dxa"/>
            <w:tcBorders>
              <w:top w:val="nil"/>
              <w:left w:val="nil"/>
              <w:bottom w:val="single" w:sz="4" w:space="0" w:color="auto"/>
              <w:right w:val="single" w:sz="4" w:space="0" w:color="auto"/>
            </w:tcBorders>
            <w:noWrap/>
            <w:vAlign w:val="center"/>
            <w:hideMark/>
          </w:tcPr>
          <w:p w14:paraId="5682667B" w14:textId="77777777" w:rsidR="00C32131" w:rsidRPr="00C32131" w:rsidRDefault="00C32131" w:rsidP="00C32131">
            <w:pPr>
              <w:widowControl/>
              <w:autoSpaceDE/>
              <w:autoSpaceDN/>
              <w:jc w:val="right"/>
              <w:rPr>
                <w:color w:val="000000"/>
                <w:sz w:val="20"/>
                <w:szCs w:val="20"/>
                <w:lang w:val="en-IN" w:eastAsia="en-IN"/>
              </w:rPr>
            </w:pPr>
            <w:r w:rsidRPr="00C32131">
              <w:rPr>
                <w:color w:val="000000"/>
                <w:sz w:val="20"/>
                <w:szCs w:val="20"/>
                <w:lang w:val="en" w:eastAsia="en-IN"/>
              </w:rPr>
              <w:t>2029</w:t>
            </w:r>
          </w:p>
        </w:tc>
      </w:tr>
      <w:tr w:rsidR="00C32131" w:rsidRPr="00C32131" w14:paraId="22085779" w14:textId="77777777" w:rsidTr="00C32131">
        <w:trPr>
          <w:trHeight w:val="300"/>
        </w:trPr>
        <w:tc>
          <w:tcPr>
            <w:tcW w:w="1124" w:type="dxa"/>
            <w:tcBorders>
              <w:top w:val="nil"/>
              <w:left w:val="single" w:sz="4" w:space="0" w:color="auto"/>
              <w:bottom w:val="single" w:sz="4" w:space="0" w:color="auto"/>
              <w:right w:val="single" w:sz="4" w:space="0" w:color="auto"/>
            </w:tcBorders>
            <w:noWrap/>
            <w:vAlign w:val="center"/>
            <w:hideMark/>
          </w:tcPr>
          <w:p w14:paraId="6A1413DA" w14:textId="77777777" w:rsidR="00C32131" w:rsidRPr="00C32131" w:rsidRDefault="00C32131" w:rsidP="00C32131">
            <w:pPr>
              <w:widowControl/>
              <w:autoSpaceDE/>
              <w:autoSpaceDN/>
              <w:rPr>
                <w:color w:val="000000"/>
                <w:sz w:val="20"/>
                <w:szCs w:val="20"/>
                <w:lang w:val="en-IN" w:eastAsia="en-IN"/>
              </w:rPr>
            </w:pPr>
            <w:r w:rsidRPr="00C32131">
              <w:rPr>
                <w:color w:val="000000"/>
                <w:sz w:val="20"/>
                <w:szCs w:val="20"/>
                <w:lang w:val="en" w:eastAsia="en-IN"/>
              </w:rPr>
              <w:t>Scopus</w:t>
            </w:r>
          </w:p>
        </w:tc>
        <w:tc>
          <w:tcPr>
            <w:tcW w:w="7660" w:type="dxa"/>
            <w:tcBorders>
              <w:top w:val="nil"/>
              <w:left w:val="nil"/>
              <w:bottom w:val="single" w:sz="4" w:space="0" w:color="auto"/>
              <w:right w:val="single" w:sz="4" w:space="0" w:color="auto"/>
            </w:tcBorders>
            <w:noWrap/>
            <w:vAlign w:val="center"/>
            <w:hideMark/>
          </w:tcPr>
          <w:p w14:paraId="1F4A8716" w14:textId="77777777" w:rsidR="00C32131" w:rsidRPr="00C32131" w:rsidRDefault="00C32131" w:rsidP="00C32131">
            <w:pPr>
              <w:widowControl/>
              <w:autoSpaceDE/>
              <w:autoSpaceDN/>
              <w:rPr>
                <w:color w:val="000000"/>
                <w:sz w:val="20"/>
                <w:szCs w:val="20"/>
                <w:lang w:val="en-IN" w:eastAsia="en-IN"/>
              </w:rPr>
            </w:pPr>
            <w:r w:rsidRPr="00C32131">
              <w:rPr>
                <w:color w:val="000000"/>
                <w:sz w:val="20"/>
                <w:szCs w:val="20"/>
                <w:lang w:val="en" w:eastAsia="en-IN"/>
              </w:rPr>
              <w:t>TITLE-ABS-</w:t>
            </w:r>
            <w:proofErr w:type="gramStart"/>
            <w:r w:rsidRPr="00C32131">
              <w:rPr>
                <w:color w:val="000000"/>
                <w:sz w:val="20"/>
                <w:szCs w:val="20"/>
                <w:lang w:val="en" w:eastAsia="en-IN"/>
              </w:rPr>
              <w:t>KEY(</w:t>
            </w:r>
            <w:proofErr w:type="gramEnd"/>
            <w:r w:rsidRPr="00C32131">
              <w:rPr>
                <w:color w:val="000000"/>
                <w:sz w:val="20"/>
                <w:szCs w:val="20"/>
                <w:lang w:val="en" w:eastAsia="en-IN"/>
              </w:rPr>
              <w:t>"liver fibrosis" OR "hepatic fibrosis" OR "cirrhosis" OR "NAFLD" OR "non-alcoholic fatty liver" OR "hepatitis B" OR "hepatitis C" OR "alcoholic liver disease") AND TITLE-ABS-</w:t>
            </w:r>
            <w:proofErr w:type="gramStart"/>
            <w:r w:rsidRPr="00C32131">
              <w:rPr>
                <w:color w:val="000000"/>
                <w:sz w:val="20"/>
                <w:szCs w:val="20"/>
                <w:lang w:val="en" w:eastAsia="en-IN"/>
              </w:rPr>
              <w:t>KEY(</w:t>
            </w:r>
            <w:proofErr w:type="gramEnd"/>
            <w:r w:rsidRPr="00C32131">
              <w:rPr>
                <w:color w:val="000000"/>
                <w:sz w:val="20"/>
                <w:szCs w:val="20"/>
                <w:lang w:val="en" w:eastAsia="en-IN"/>
              </w:rPr>
              <w:t>"</w:t>
            </w:r>
            <w:proofErr w:type="spellStart"/>
            <w:r w:rsidRPr="00C32131">
              <w:rPr>
                <w:color w:val="000000"/>
                <w:sz w:val="20"/>
                <w:szCs w:val="20"/>
                <w:lang w:val="en" w:eastAsia="en-IN"/>
              </w:rPr>
              <w:t>Fibroscan</w:t>
            </w:r>
            <w:proofErr w:type="spellEnd"/>
            <w:r w:rsidRPr="00C32131">
              <w:rPr>
                <w:color w:val="000000"/>
                <w:sz w:val="20"/>
                <w:szCs w:val="20"/>
                <w:lang w:val="en" w:eastAsia="en-IN"/>
              </w:rPr>
              <w:t>" OR "</w:t>
            </w:r>
            <w:proofErr w:type="spellStart"/>
            <w:r w:rsidRPr="00C32131">
              <w:rPr>
                <w:color w:val="000000"/>
                <w:sz w:val="20"/>
                <w:szCs w:val="20"/>
                <w:lang w:val="en" w:eastAsia="en-IN"/>
              </w:rPr>
              <w:t>Fibrotouch</w:t>
            </w:r>
            <w:proofErr w:type="spellEnd"/>
            <w:r w:rsidRPr="00C32131">
              <w:rPr>
                <w:color w:val="000000"/>
                <w:sz w:val="20"/>
                <w:szCs w:val="20"/>
                <w:lang w:val="en" w:eastAsia="en-IN"/>
              </w:rPr>
              <w:t>" OR "transient elastography" OR "elastography") AND TITLE-ABS-</w:t>
            </w:r>
            <w:proofErr w:type="gramStart"/>
            <w:r w:rsidRPr="00C32131">
              <w:rPr>
                <w:color w:val="000000"/>
                <w:sz w:val="20"/>
                <w:szCs w:val="20"/>
                <w:lang w:val="en" w:eastAsia="en-IN"/>
              </w:rPr>
              <w:t>KEY(</w:t>
            </w:r>
            <w:proofErr w:type="gramEnd"/>
            <w:r w:rsidRPr="00C32131">
              <w:rPr>
                <w:color w:val="000000"/>
                <w:sz w:val="20"/>
                <w:szCs w:val="20"/>
                <w:lang w:val="en" w:eastAsia="en-IN"/>
              </w:rPr>
              <w:t>"diagnostic accuracy" OR "sensitivity" OR "specificity" OR "AUROC" OR "ROC curve" OR "diagnostic performance")</w:t>
            </w:r>
          </w:p>
        </w:tc>
        <w:tc>
          <w:tcPr>
            <w:tcW w:w="919" w:type="dxa"/>
            <w:tcBorders>
              <w:top w:val="nil"/>
              <w:left w:val="nil"/>
              <w:bottom w:val="single" w:sz="4" w:space="0" w:color="auto"/>
              <w:right w:val="single" w:sz="4" w:space="0" w:color="auto"/>
            </w:tcBorders>
            <w:noWrap/>
            <w:vAlign w:val="center"/>
            <w:hideMark/>
          </w:tcPr>
          <w:p w14:paraId="092D1842" w14:textId="77777777" w:rsidR="00C32131" w:rsidRPr="00C32131" w:rsidRDefault="00C32131" w:rsidP="00C32131">
            <w:pPr>
              <w:widowControl/>
              <w:autoSpaceDE/>
              <w:autoSpaceDN/>
              <w:jc w:val="right"/>
              <w:rPr>
                <w:color w:val="000000"/>
                <w:sz w:val="20"/>
                <w:szCs w:val="20"/>
                <w:lang w:val="en-IN" w:eastAsia="en-IN"/>
              </w:rPr>
            </w:pPr>
            <w:r w:rsidRPr="00C32131">
              <w:rPr>
                <w:color w:val="000000"/>
                <w:sz w:val="20"/>
                <w:szCs w:val="20"/>
                <w:lang w:val="en" w:eastAsia="en-IN"/>
              </w:rPr>
              <w:t>1034</w:t>
            </w:r>
          </w:p>
        </w:tc>
      </w:tr>
      <w:tr w:rsidR="00C32131" w:rsidRPr="00C32131" w14:paraId="0ECEDCE3" w14:textId="77777777" w:rsidTr="00C32131">
        <w:trPr>
          <w:trHeight w:val="300"/>
        </w:trPr>
        <w:tc>
          <w:tcPr>
            <w:tcW w:w="1124" w:type="dxa"/>
            <w:tcBorders>
              <w:top w:val="nil"/>
              <w:left w:val="single" w:sz="4" w:space="0" w:color="auto"/>
              <w:bottom w:val="single" w:sz="4" w:space="0" w:color="auto"/>
              <w:right w:val="single" w:sz="4" w:space="0" w:color="auto"/>
            </w:tcBorders>
            <w:noWrap/>
            <w:vAlign w:val="center"/>
            <w:hideMark/>
          </w:tcPr>
          <w:p w14:paraId="351078FA" w14:textId="77777777" w:rsidR="00C32131" w:rsidRPr="00C32131" w:rsidRDefault="00C32131" w:rsidP="00C32131">
            <w:pPr>
              <w:widowControl/>
              <w:autoSpaceDE/>
              <w:autoSpaceDN/>
              <w:rPr>
                <w:color w:val="000000"/>
                <w:sz w:val="20"/>
                <w:szCs w:val="20"/>
                <w:lang w:val="en-IN" w:eastAsia="en-IN"/>
              </w:rPr>
            </w:pPr>
            <w:r w:rsidRPr="00C32131">
              <w:rPr>
                <w:color w:val="000000"/>
                <w:sz w:val="20"/>
                <w:szCs w:val="20"/>
                <w:lang w:val="en" w:eastAsia="en-IN"/>
              </w:rPr>
              <w:t>Web of Science</w:t>
            </w:r>
          </w:p>
        </w:tc>
        <w:tc>
          <w:tcPr>
            <w:tcW w:w="7660" w:type="dxa"/>
            <w:tcBorders>
              <w:top w:val="nil"/>
              <w:left w:val="nil"/>
              <w:bottom w:val="single" w:sz="4" w:space="0" w:color="auto"/>
              <w:right w:val="single" w:sz="4" w:space="0" w:color="auto"/>
            </w:tcBorders>
            <w:noWrap/>
            <w:vAlign w:val="center"/>
            <w:hideMark/>
          </w:tcPr>
          <w:p w14:paraId="53FDD541" w14:textId="77777777" w:rsidR="00C32131" w:rsidRPr="00C32131" w:rsidRDefault="00C32131" w:rsidP="00C32131">
            <w:pPr>
              <w:widowControl/>
              <w:autoSpaceDE/>
              <w:autoSpaceDN/>
              <w:rPr>
                <w:color w:val="000000"/>
                <w:sz w:val="20"/>
                <w:szCs w:val="20"/>
                <w:lang w:val="en-IN" w:eastAsia="en-IN"/>
              </w:rPr>
            </w:pPr>
            <w:r w:rsidRPr="00C32131">
              <w:rPr>
                <w:color w:val="000000"/>
                <w:sz w:val="20"/>
                <w:szCs w:val="20"/>
                <w:lang w:val="en" w:eastAsia="en-IN"/>
              </w:rPr>
              <w:t>TS</w:t>
            </w:r>
            <w:proofErr w:type="gramStart"/>
            <w:r w:rsidRPr="00C32131">
              <w:rPr>
                <w:color w:val="000000"/>
                <w:sz w:val="20"/>
                <w:szCs w:val="20"/>
                <w:lang w:val="en" w:eastAsia="en-IN"/>
              </w:rPr>
              <w:t>=(</w:t>
            </w:r>
            <w:proofErr w:type="gramEnd"/>
            <w:r w:rsidRPr="00C32131">
              <w:rPr>
                <w:color w:val="000000"/>
                <w:sz w:val="20"/>
                <w:szCs w:val="20"/>
                <w:lang w:val="en" w:eastAsia="en-IN"/>
              </w:rPr>
              <w:t>"liver fibrosis" OR "hepatic fibrosis" OR "cirrhosis" OR "non-alcoholic fatty liver" OR "NAFLD" OR "hepatitis B" OR "hepatitis C" OR "alcoholic liver disease") AND TS</w:t>
            </w:r>
            <w:proofErr w:type="gramStart"/>
            <w:r w:rsidRPr="00C32131">
              <w:rPr>
                <w:color w:val="000000"/>
                <w:sz w:val="20"/>
                <w:szCs w:val="20"/>
                <w:lang w:val="en" w:eastAsia="en-IN"/>
              </w:rPr>
              <w:t>=(</w:t>
            </w:r>
            <w:proofErr w:type="gramEnd"/>
            <w:r w:rsidRPr="00C32131">
              <w:rPr>
                <w:color w:val="000000"/>
                <w:sz w:val="20"/>
                <w:szCs w:val="20"/>
                <w:lang w:val="en" w:eastAsia="en-IN"/>
              </w:rPr>
              <w:t>"</w:t>
            </w:r>
            <w:proofErr w:type="spellStart"/>
            <w:r w:rsidRPr="00C32131">
              <w:rPr>
                <w:color w:val="000000"/>
                <w:sz w:val="20"/>
                <w:szCs w:val="20"/>
                <w:lang w:val="en" w:eastAsia="en-IN"/>
              </w:rPr>
              <w:t>Fibroscan</w:t>
            </w:r>
            <w:proofErr w:type="spellEnd"/>
            <w:r w:rsidRPr="00C32131">
              <w:rPr>
                <w:color w:val="000000"/>
                <w:sz w:val="20"/>
                <w:szCs w:val="20"/>
                <w:lang w:val="en" w:eastAsia="en-IN"/>
              </w:rPr>
              <w:t>" OR "</w:t>
            </w:r>
            <w:proofErr w:type="spellStart"/>
            <w:r w:rsidRPr="00C32131">
              <w:rPr>
                <w:color w:val="000000"/>
                <w:sz w:val="20"/>
                <w:szCs w:val="20"/>
                <w:lang w:val="en" w:eastAsia="en-IN"/>
              </w:rPr>
              <w:t>Fibrotouch</w:t>
            </w:r>
            <w:proofErr w:type="spellEnd"/>
            <w:r w:rsidRPr="00C32131">
              <w:rPr>
                <w:color w:val="000000"/>
                <w:sz w:val="20"/>
                <w:szCs w:val="20"/>
                <w:lang w:val="en" w:eastAsia="en-IN"/>
              </w:rPr>
              <w:t>" OR "transient elastography" OR "elastography") AND TS</w:t>
            </w:r>
            <w:proofErr w:type="gramStart"/>
            <w:r w:rsidRPr="00C32131">
              <w:rPr>
                <w:color w:val="000000"/>
                <w:sz w:val="20"/>
                <w:szCs w:val="20"/>
                <w:lang w:val="en" w:eastAsia="en-IN"/>
              </w:rPr>
              <w:t>=(</w:t>
            </w:r>
            <w:proofErr w:type="gramEnd"/>
            <w:r w:rsidRPr="00C32131">
              <w:rPr>
                <w:color w:val="000000"/>
                <w:sz w:val="20"/>
                <w:szCs w:val="20"/>
                <w:lang w:val="en" w:eastAsia="en-IN"/>
              </w:rPr>
              <w:t>"diagnostic accuracy" OR "sensitivity" OR "specificity" OR "AUROC" OR "ROC curve")</w:t>
            </w:r>
          </w:p>
        </w:tc>
        <w:tc>
          <w:tcPr>
            <w:tcW w:w="919" w:type="dxa"/>
            <w:tcBorders>
              <w:top w:val="nil"/>
              <w:left w:val="nil"/>
              <w:bottom w:val="single" w:sz="4" w:space="0" w:color="auto"/>
              <w:right w:val="single" w:sz="4" w:space="0" w:color="auto"/>
            </w:tcBorders>
            <w:noWrap/>
            <w:vAlign w:val="center"/>
            <w:hideMark/>
          </w:tcPr>
          <w:p w14:paraId="4BEAEE90" w14:textId="77777777" w:rsidR="00C32131" w:rsidRPr="00C32131" w:rsidRDefault="00C32131" w:rsidP="00C32131">
            <w:pPr>
              <w:widowControl/>
              <w:autoSpaceDE/>
              <w:autoSpaceDN/>
              <w:jc w:val="right"/>
              <w:rPr>
                <w:color w:val="000000"/>
                <w:sz w:val="20"/>
                <w:szCs w:val="20"/>
                <w:lang w:val="en-IN" w:eastAsia="en-IN"/>
              </w:rPr>
            </w:pPr>
            <w:r w:rsidRPr="00C32131">
              <w:rPr>
                <w:color w:val="000000"/>
                <w:sz w:val="20"/>
                <w:szCs w:val="20"/>
                <w:lang w:val="en" w:eastAsia="en-IN"/>
              </w:rPr>
              <w:t>1560</w:t>
            </w:r>
          </w:p>
        </w:tc>
      </w:tr>
    </w:tbl>
    <w:p w14:paraId="6B64DDAB" w14:textId="77777777" w:rsidR="00C32131" w:rsidRPr="00C95C4A" w:rsidRDefault="00C32131" w:rsidP="00C95C4A">
      <w:pPr>
        <w:spacing w:line="360" w:lineRule="auto"/>
        <w:jc w:val="center"/>
        <w:rPr>
          <w:sz w:val="16"/>
          <w:szCs w:val="16"/>
        </w:rPr>
      </w:pPr>
    </w:p>
    <w:p w14:paraId="36958456" w14:textId="72363B12" w:rsidR="00C95C4A" w:rsidRPr="00C95C4A" w:rsidRDefault="00C95C4A" w:rsidP="00C95C4A">
      <w:pPr>
        <w:jc w:val="center"/>
        <w:rPr>
          <w:sz w:val="16"/>
          <w:szCs w:val="16"/>
        </w:rPr>
      </w:pPr>
      <w:r w:rsidRPr="00C95C4A">
        <w:rPr>
          <w:b/>
          <w:bCs/>
          <w:color w:val="4F81BD" w:themeColor="accent1"/>
          <w:sz w:val="18"/>
          <w:szCs w:val="18"/>
        </w:rPr>
        <w:t>Table 4</w:t>
      </w:r>
      <w:r>
        <w:rPr>
          <w:b/>
          <w:bCs/>
          <w:color w:val="4F81BD" w:themeColor="accent1"/>
          <w:sz w:val="18"/>
          <w:szCs w:val="18"/>
        </w:rPr>
        <w:t>:</w:t>
      </w:r>
      <w:r w:rsidRPr="00C95C4A">
        <w:rPr>
          <w:b/>
          <w:bCs/>
          <w:color w:val="4F81BD" w:themeColor="accent1"/>
          <w:sz w:val="18"/>
          <w:szCs w:val="18"/>
        </w:rPr>
        <w:t xml:space="preserve"> </w:t>
      </w:r>
      <w:r w:rsidRPr="00C95C4A">
        <w:rPr>
          <w:sz w:val="18"/>
          <w:szCs w:val="18"/>
        </w:rPr>
        <w:t>Search strategy</w:t>
      </w:r>
    </w:p>
    <w:p w14:paraId="16A0EC4A" w14:textId="77777777" w:rsidR="00C95C4A" w:rsidRPr="0044387B" w:rsidRDefault="00C95C4A" w:rsidP="0044387B">
      <w:pPr>
        <w:spacing w:line="360" w:lineRule="auto"/>
        <w:jc w:val="both"/>
        <w:rPr>
          <w:sz w:val="20"/>
          <w:szCs w:val="20"/>
        </w:rPr>
      </w:pPr>
    </w:p>
    <w:p w14:paraId="66B99A76"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10" w:name="_heading=h.nkvyuoepb0u" w:colFirst="0" w:colLast="0"/>
      <w:bookmarkEnd w:id="10"/>
      <w:r w:rsidRPr="0044387B">
        <w:rPr>
          <w:rFonts w:ascii="Times New Roman" w:eastAsia="Times New Roman" w:hAnsi="Times New Roman" w:cs="Times New Roman"/>
          <w:sz w:val="20"/>
          <w:szCs w:val="20"/>
        </w:rPr>
        <w:t>3.2 Study Selection and Inclusion Criteria</w:t>
      </w:r>
    </w:p>
    <w:p w14:paraId="7967845E" w14:textId="77777777" w:rsidR="0044387B" w:rsidRPr="0044387B" w:rsidRDefault="0044387B" w:rsidP="0044387B">
      <w:pPr>
        <w:spacing w:line="360" w:lineRule="auto"/>
        <w:jc w:val="both"/>
        <w:rPr>
          <w:sz w:val="20"/>
          <w:szCs w:val="20"/>
        </w:rPr>
      </w:pPr>
      <w:r w:rsidRPr="0044387B">
        <w:rPr>
          <w:sz w:val="20"/>
          <w:szCs w:val="20"/>
        </w:rPr>
        <w:t xml:space="preserve">Studies were eligible if they evaluated the diagnostic accuracy of </w:t>
      </w:r>
      <w:proofErr w:type="spellStart"/>
      <w:r w:rsidRPr="0044387B">
        <w:rPr>
          <w:sz w:val="20"/>
          <w:szCs w:val="20"/>
        </w:rPr>
        <w:t>FibroTouch</w:t>
      </w:r>
      <w:proofErr w:type="spellEnd"/>
      <w:r w:rsidRPr="0044387B">
        <w:rPr>
          <w:sz w:val="20"/>
          <w:szCs w:val="20"/>
        </w:rPr>
        <w:t xml:space="preserve"> or </w:t>
      </w:r>
      <w:proofErr w:type="spellStart"/>
      <w:r w:rsidRPr="0044387B">
        <w:rPr>
          <w:sz w:val="20"/>
          <w:szCs w:val="20"/>
        </w:rPr>
        <w:t>FibroScan</w:t>
      </w:r>
      <w:proofErr w:type="spellEnd"/>
      <w:r w:rsidRPr="0044387B">
        <w:rPr>
          <w:sz w:val="20"/>
          <w:szCs w:val="20"/>
        </w:rPr>
        <w:t xml:space="preserve"> in detecting liver fibrosis stages in patients with chronic liver diseases, including hepatitis B, hepatitis C, alcoholic liver disease, and metabolic dysfunction-associated </w:t>
      </w:r>
      <w:proofErr w:type="spellStart"/>
      <w:r w:rsidRPr="0044387B">
        <w:rPr>
          <w:sz w:val="20"/>
          <w:szCs w:val="20"/>
        </w:rPr>
        <w:t>steatotic</w:t>
      </w:r>
      <w:proofErr w:type="spellEnd"/>
      <w:r w:rsidRPr="0044387B">
        <w:rPr>
          <w:sz w:val="20"/>
          <w:szCs w:val="20"/>
        </w:rPr>
        <w:t xml:space="preserve"> liver disease (MASLD, formerly NAFLD). Only studies reporting sensitivity, specificity, and/or AUROC for fibrosis stages F2 (significant fibrosis), F3 (advanced fibrosis), or F4 (cirrhosis), with liver biopsy as the reference standard, were included. Exclusion criteria included studies without sufficient extractable data, unclear methodologies, or non-comparable techniques. This meta-analysis is registered in PROSPERO: CRD420251135490.</w:t>
      </w:r>
    </w:p>
    <w:p w14:paraId="134E12BF"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11" w:name="_heading=h.dk46yhvd6q95" w:colFirst="0" w:colLast="0"/>
      <w:bookmarkEnd w:id="11"/>
      <w:r w:rsidRPr="0044387B">
        <w:rPr>
          <w:rFonts w:ascii="Times New Roman" w:eastAsia="Times New Roman" w:hAnsi="Times New Roman" w:cs="Times New Roman"/>
          <w:sz w:val="20"/>
          <w:szCs w:val="20"/>
        </w:rPr>
        <w:t>3.3 Data Extraction and Quality Assessment</w:t>
      </w:r>
    </w:p>
    <w:p w14:paraId="3531E1F5" w14:textId="22CA3BAA" w:rsidR="0044387B" w:rsidRPr="0044387B" w:rsidRDefault="0044387B" w:rsidP="0044387B">
      <w:pPr>
        <w:spacing w:line="360" w:lineRule="auto"/>
        <w:jc w:val="both"/>
        <w:rPr>
          <w:sz w:val="20"/>
          <w:szCs w:val="20"/>
        </w:rPr>
      </w:pPr>
      <w:r w:rsidRPr="0044387B">
        <w:rPr>
          <w:sz w:val="20"/>
          <w:szCs w:val="20"/>
        </w:rPr>
        <w:t xml:space="preserve">Data </w:t>
      </w:r>
      <w:proofErr w:type="gramStart"/>
      <w:r w:rsidRPr="0044387B">
        <w:rPr>
          <w:sz w:val="20"/>
          <w:szCs w:val="20"/>
        </w:rPr>
        <w:t>were</w:t>
      </w:r>
      <w:proofErr w:type="gramEnd"/>
      <w:r w:rsidRPr="0044387B">
        <w:rPr>
          <w:sz w:val="20"/>
          <w:szCs w:val="20"/>
        </w:rPr>
        <w:t xml:space="preserve"> extracted independently by two reviewers using a standardized form, capturing sensitivity, specificity, AUROC, diagnostic odds ratios (DOR), and likelihood ratios. Discrepancies were resolved by consensus or a third reviewer. Methodological quality was assessed using the QUADAS-2 tool, evaluating four domains: patient selection, index test, reference standard, and flow and timing. Results are summarized in </w:t>
      </w:r>
      <w:r w:rsidR="00B7536D">
        <w:rPr>
          <w:sz w:val="20"/>
          <w:szCs w:val="20"/>
        </w:rPr>
        <w:t>f</w:t>
      </w:r>
      <w:r w:rsidRPr="0044387B">
        <w:rPr>
          <w:sz w:val="20"/>
          <w:szCs w:val="20"/>
        </w:rPr>
        <w:t>igure S14.</w:t>
      </w:r>
    </w:p>
    <w:p w14:paraId="55B65329"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12" w:name="_heading=h.xazomdfkz9q5" w:colFirst="0" w:colLast="0"/>
      <w:bookmarkEnd w:id="12"/>
      <w:r w:rsidRPr="0044387B">
        <w:rPr>
          <w:rFonts w:ascii="Times New Roman" w:eastAsia="Times New Roman" w:hAnsi="Times New Roman" w:cs="Times New Roman"/>
          <w:sz w:val="20"/>
          <w:szCs w:val="20"/>
        </w:rPr>
        <w:t>3.4 Statistical Analysis</w:t>
      </w:r>
    </w:p>
    <w:p w14:paraId="4EA13FF5" w14:textId="77777777" w:rsidR="0044387B" w:rsidRDefault="0044387B" w:rsidP="0044387B">
      <w:pPr>
        <w:spacing w:line="360" w:lineRule="auto"/>
        <w:jc w:val="both"/>
        <w:rPr>
          <w:sz w:val="20"/>
          <w:szCs w:val="20"/>
        </w:rPr>
      </w:pPr>
      <w:r w:rsidRPr="0044387B">
        <w:rPr>
          <w:sz w:val="20"/>
          <w:szCs w:val="20"/>
        </w:rPr>
        <w:lastRenderedPageBreak/>
        <w:t>A random-effects model was employed to calculate pooled sensitivity, specificity, and AUROC values. Subgroup analyses were conducted by fibrosis stage and liver disease etiology. SROC curves were generated to provide a comprehensive visual representation of diagnostic accuracy. All analyses were performed in STATA version 17, with results reported with 95% confidence intervals (CIs).</w:t>
      </w:r>
    </w:p>
    <w:p w14:paraId="0288FA07" w14:textId="77777777" w:rsidR="001279D0" w:rsidRPr="0044387B" w:rsidRDefault="001279D0" w:rsidP="0044387B">
      <w:pPr>
        <w:spacing w:line="360" w:lineRule="auto"/>
        <w:jc w:val="both"/>
        <w:rPr>
          <w:sz w:val="20"/>
          <w:szCs w:val="20"/>
        </w:rPr>
      </w:pPr>
    </w:p>
    <w:p w14:paraId="1B1F81B5" w14:textId="77777777" w:rsidR="0044387B" w:rsidRPr="001279D0" w:rsidRDefault="0044387B" w:rsidP="0044387B">
      <w:pPr>
        <w:pStyle w:val="Heading1"/>
        <w:spacing w:line="360" w:lineRule="auto"/>
        <w:ind w:left="0"/>
        <w:jc w:val="both"/>
        <w:rPr>
          <w:color w:val="4F81BD" w:themeColor="accent1"/>
        </w:rPr>
      </w:pPr>
      <w:bookmarkStart w:id="13" w:name="_heading=h.nf83qh9izc80" w:colFirst="0" w:colLast="0"/>
      <w:bookmarkEnd w:id="13"/>
      <w:r w:rsidRPr="001279D0">
        <w:rPr>
          <w:color w:val="4F81BD" w:themeColor="accent1"/>
        </w:rPr>
        <w:t>4. Results</w:t>
      </w:r>
    </w:p>
    <w:p w14:paraId="22BFBF38" w14:textId="68E70278"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14" w:name="_heading=h.6xp1n2susvfq" w:colFirst="0" w:colLast="0"/>
      <w:bookmarkEnd w:id="14"/>
      <w:r w:rsidRPr="0044387B">
        <w:rPr>
          <w:rFonts w:ascii="Times New Roman" w:eastAsia="Times New Roman" w:hAnsi="Times New Roman" w:cs="Times New Roman"/>
          <w:sz w:val="20"/>
          <w:szCs w:val="20"/>
        </w:rPr>
        <w:t xml:space="preserve">4.1 Study </w:t>
      </w:r>
      <w:r w:rsidR="00E237EB">
        <w:rPr>
          <w:rFonts w:ascii="Times New Roman" w:eastAsia="Times New Roman" w:hAnsi="Times New Roman" w:cs="Times New Roman"/>
          <w:sz w:val="20"/>
          <w:szCs w:val="20"/>
        </w:rPr>
        <w:t>s</w:t>
      </w:r>
      <w:r w:rsidRPr="0044387B">
        <w:rPr>
          <w:rFonts w:ascii="Times New Roman" w:eastAsia="Times New Roman" w:hAnsi="Times New Roman" w:cs="Times New Roman"/>
          <w:sz w:val="20"/>
          <w:szCs w:val="20"/>
        </w:rPr>
        <w:t>election</w:t>
      </w:r>
    </w:p>
    <w:p w14:paraId="31177F3E" w14:textId="77777777" w:rsidR="0044387B" w:rsidRDefault="0044387B" w:rsidP="0044387B">
      <w:pPr>
        <w:spacing w:line="360" w:lineRule="auto"/>
        <w:jc w:val="both"/>
        <w:rPr>
          <w:sz w:val="20"/>
          <w:szCs w:val="20"/>
        </w:rPr>
      </w:pPr>
      <w:r w:rsidRPr="0044387B">
        <w:rPr>
          <w:sz w:val="20"/>
          <w:szCs w:val="20"/>
        </w:rPr>
        <w:t>A total of 4,623 records were identified through systematic database searches. After removing 2,234 duplicates, 2,389 records were screened by title and abstract. Of these, 1,346 were excluded for not meeting eligibility criteria, leaving 1,043 for full-text review. Following detailed evaluation, 1,002 were excluded due to ineligible study design, population, insufficient data, or non-relevance. Ultimately, 41 studies met the inclusion criteria and were included in the systematic review and meta-analysis. The study selection process is illustrated in the PRISMA flow diagram (Figure 1).</w:t>
      </w:r>
    </w:p>
    <w:p w14:paraId="3611AAD4" w14:textId="77777777" w:rsidR="00ED3E5A" w:rsidRDefault="00ED3E5A" w:rsidP="0044387B">
      <w:pPr>
        <w:spacing w:line="360" w:lineRule="auto"/>
        <w:jc w:val="both"/>
        <w:rPr>
          <w:sz w:val="20"/>
          <w:szCs w:val="20"/>
        </w:rPr>
      </w:pPr>
    </w:p>
    <w:p w14:paraId="6D181029" w14:textId="3C225167" w:rsidR="00ED3E5A" w:rsidRPr="0044387B" w:rsidRDefault="00ED3E5A" w:rsidP="00ED3E5A">
      <w:pPr>
        <w:spacing w:line="360" w:lineRule="auto"/>
        <w:jc w:val="center"/>
        <w:rPr>
          <w:sz w:val="20"/>
          <w:szCs w:val="20"/>
        </w:rPr>
      </w:pPr>
      <w:r>
        <w:rPr>
          <w:noProof/>
          <w:sz w:val="20"/>
          <w:szCs w:val="20"/>
        </w:rPr>
        <w:drawing>
          <wp:inline distT="0" distB="0" distL="0" distR="0" wp14:anchorId="5FF8B518" wp14:editId="49B5EB82">
            <wp:extent cx="3933825" cy="3908608"/>
            <wp:effectExtent l="0" t="0" r="0" b="0"/>
            <wp:docPr id="896347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36738" cy="3911502"/>
                    </a:xfrm>
                    <a:prstGeom prst="rect">
                      <a:avLst/>
                    </a:prstGeom>
                    <a:noFill/>
                    <a:ln>
                      <a:noFill/>
                    </a:ln>
                  </pic:spPr>
                </pic:pic>
              </a:graphicData>
            </a:graphic>
          </wp:inline>
        </w:drawing>
      </w:r>
    </w:p>
    <w:p w14:paraId="238739D3" w14:textId="77777777" w:rsidR="0065232E" w:rsidRDefault="0065232E" w:rsidP="0044387B">
      <w:pPr>
        <w:pStyle w:val="Heading2"/>
        <w:keepNext w:val="0"/>
        <w:keepLines w:val="0"/>
        <w:spacing w:before="0" w:line="360" w:lineRule="auto"/>
        <w:jc w:val="both"/>
        <w:rPr>
          <w:rFonts w:ascii="Times New Roman" w:eastAsia="Times New Roman" w:hAnsi="Times New Roman" w:cs="Times New Roman"/>
          <w:sz w:val="20"/>
          <w:szCs w:val="20"/>
        </w:rPr>
      </w:pPr>
      <w:bookmarkStart w:id="15" w:name="_heading=h.aosczl1aerr1" w:colFirst="0" w:colLast="0"/>
      <w:bookmarkEnd w:id="15"/>
    </w:p>
    <w:p w14:paraId="4BD453FE" w14:textId="4E709786" w:rsidR="0065232E" w:rsidRPr="0065232E" w:rsidRDefault="0065232E" w:rsidP="0065232E">
      <w:pPr>
        <w:pStyle w:val="Heading2"/>
        <w:keepNext w:val="0"/>
        <w:keepLines w:val="0"/>
        <w:spacing w:before="0" w:line="360" w:lineRule="auto"/>
        <w:jc w:val="center"/>
        <w:rPr>
          <w:rFonts w:ascii="Times New Roman" w:eastAsia="Times New Roman" w:hAnsi="Times New Roman" w:cs="Times New Roman"/>
          <w:b w:val="0"/>
          <w:bCs w:val="0"/>
          <w:color w:val="auto"/>
          <w:sz w:val="18"/>
          <w:szCs w:val="18"/>
        </w:rPr>
      </w:pPr>
      <w:r w:rsidRPr="0065232E">
        <w:rPr>
          <w:rFonts w:ascii="Times New Roman" w:eastAsia="Times New Roman" w:hAnsi="Times New Roman" w:cs="Times New Roman"/>
          <w:sz w:val="18"/>
          <w:szCs w:val="18"/>
        </w:rPr>
        <w:t xml:space="preserve">Figure 1: </w:t>
      </w:r>
      <w:r w:rsidRPr="0065232E">
        <w:rPr>
          <w:rFonts w:ascii="Times New Roman" w:eastAsia="Times New Roman" w:hAnsi="Times New Roman" w:cs="Times New Roman"/>
          <w:b w:val="0"/>
          <w:bCs w:val="0"/>
          <w:color w:val="auto"/>
          <w:sz w:val="18"/>
          <w:szCs w:val="18"/>
        </w:rPr>
        <w:t>Prisma Flow diagram.</w:t>
      </w:r>
    </w:p>
    <w:p w14:paraId="08B464EF" w14:textId="77777777" w:rsidR="0065232E" w:rsidRPr="0065232E" w:rsidRDefault="0065232E" w:rsidP="0065232E"/>
    <w:p w14:paraId="6D793454" w14:textId="101D3704"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r w:rsidRPr="0044387B">
        <w:rPr>
          <w:rFonts w:ascii="Times New Roman" w:eastAsia="Times New Roman" w:hAnsi="Times New Roman" w:cs="Times New Roman"/>
          <w:sz w:val="20"/>
          <w:szCs w:val="20"/>
        </w:rPr>
        <w:t xml:space="preserve">4.2 Study </w:t>
      </w:r>
      <w:r w:rsidR="00E237EB">
        <w:rPr>
          <w:rFonts w:ascii="Times New Roman" w:eastAsia="Times New Roman" w:hAnsi="Times New Roman" w:cs="Times New Roman"/>
          <w:sz w:val="20"/>
          <w:szCs w:val="20"/>
        </w:rPr>
        <w:t>c</w:t>
      </w:r>
      <w:r w:rsidRPr="0044387B">
        <w:rPr>
          <w:rFonts w:ascii="Times New Roman" w:eastAsia="Times New Roman" w:hAnsi="Times New Roman" w:cs="Times New Roman"/>
          <w:sz w:val="20"/>
          <w:szCs w:val="20"/>
        </w:rPr>
        <w:t>haracteristics</w:t>
      </w:r>
    </w:p>
    <w:p w14:paraId="5DD96D4E" w14:textId="1EC0E70A" w:rsidR="0044387B" w:rsidRDefault="0044387B" w:rsidP="0044387B">
      <w:pPr>
        <w:spacing w:line="360" w:lineRule="auto"/>
        <w:jc w:val="both"/>
        <w:rPr>
          <w:sz w:val="20"/>
          <w:szCs w:val="20"/>
        </w:rPr>
      </w:pPr>
      <w:r w:rsidRPr="0044387B">
        <w:rPr>
          <w:sz w:val="20"/>
          <w:szCs w:val="20"/>
        </w:rPr>
        <w:t xml:space="preserve">This meta-analysis incorporated data from 41 studies encompassing 7,597 patients. Among these, 9 studies assessed </w:t>
      </w:r>
      <w:proofErr w:type="spellStart"/>
      <w:r w:rsidRPr="0044387B">
        <w:rPr>
          <w:sz w:val="20"/>
          <w:szCs w:val="20"/>
        </w:rPr>
        <w:t>FibroTouch</w:t>
      </w:r>
      <w:proofErr w:type="spellEnd"/>
      <w:r w:rsidRPr="0044387B">
        <w:rPr>
          <w:sz w:val="20"/>
          <w:szCs w:val="20"/>
        </w:rPr>
        <w:t xml:space="preserve"> (1,563 patients) and 32 studies evaluated </w:t>
      </w:r>
      <w:proofErr w:type="spellStart"/>
      <w:r w:rsidRPr="0044387B">
        <w:rPr>
          <w:sz w:val="20"/>
          <w:szCs w:val="20"/>
        </w:rPr>
        <w:t>FibroScan</w:t>
      </w:r>
      <w:proofErr w:type="spellEnd"/>
      <w:r w:rsidRPr="0044387B">
        <w:rPr>
          <w:sz w:val="20"/>
          <w:szCs w:val="20"/>
        </w:rPr>
        <w:t xml:space="preserve"> (6,034 patients). Studies represented diverse patient </w:t>
      </w:r>
      <w:r w:rsidRPr="0044387B">
        <w:rPr>
          <w:sz w:val="20"/>
          <w:szCs w:val="20"/>
        </w:rPr>
        <w:lastRenderedPageBreak/>
        <w:t xml:space="preserve">populations with viral hepatitis, alcoholic liver disease, and MASLD. Most studies were of high methodological quality with low to moderate risk of bias. Characteristics are shown in </w:t>
      </w:r>
      <w:r w:rsidR="001279D0">
        <w:rPr>
          <w:sz w:val="20"/>
          <w:szCs w:val="20"/>
        </w:rPr>
        <w:t>t</w:t>
      </w:r>
      <w:r w:rsidRPr="0044387B">
        <w:rPr>
          <w:sz w:val="20"/>
          <w:szCs w:val="20"/>
        </w:rPr>
        <w:t xml:space="preserve">able </w:t>
      </w:r>
      <w:r w:rsidR="00FE6435">
        <w:rPr>
          <w:sz w:val="20"/>
          <w:szCs w:val="20"/>
        </w:rPr>
        <w:t>2</w:t>
      </w:r>
      <w:r w:rsidRPr="0044387B">
        <w:rPr>
          <w:sz w:val="20"/>
          <w:szCs w:val="20"/>
        </w:rPr>
        <w:t>.</w:t>
      </w:r>
    </w:p>
    <w:p w14:paraId="47DE674B" w14:textId="77777777" w:rsidR="002D42A6" w:rsidRDefault="002D42A6" w:rsidP="0044387B">
      <w:pPr>
        <w:spacing w:line="360" w:lineRule="auto"/>
        <w:jc w:val="both"/>
        <w:rPr>
          <w:sz w:val="20"/>
          <w:szCs w:val="20"/>
        </w:rPr>
      </w:pPr>
    </w:p>
    <w:tbl>
      <w:tblPr>
        <w:tblW w:w="9350" w:type="dxa"/>
        <w:tblInd w:w="113" w:type="dxa"/>
        <w:tblLook w:val="04A0" w:firstRow="1" w:lastRow="0" w:firstColumn="1" w:lastColumn="0" w:noHBand="0" w:noVBand="1"/>
      </w:tblPr>
      <w:tblGrid>
        <w:gridCol w:w="1252"/>
        <w:gridCol w:w="687"/>
        <w:gridCol w:w="1147"/>
        <w:gridCol w:w="1106"/>
        <w:gridCol w:w="1392"/>
        <w:gridCol w:w="687"/>
        <w:gridCol w:w="1106"/>
        <w:gridCol w:w="1106"/>
        <w:gridCol w:w="1220"/>
      </w:tblGrid>
      <w:tr w:rsidR="008C41AB" w:rsidRPr="008C41AB" w14:paraId="7A1D4061" w14:textId="77777777" w:rsidTr="008C41AB">
        <w:trPr>
          <w:trHeight w:val="300"/>
        </w:trPr>
        <w:tc>
          <w:tcPr>
            <w:tcW w:w="1096" w:type="dxa"/>
            <w:tcBorders>
              <w:top w:val="single" w:sz="4" w:space="0" w:color="auto"/>
              <w:left w:val="single" w:sz="4" w:space="0" w:color="auto"/>
              <w:bottom w:val="single" w:sz="4" w:space="0" w:color="auto"/>
              <w:right w:val="single" w:sz="4" w:space="0" w:color="auto"/>
            </w:tcBorders>
            <w:noWrap/>
            <w:vAlign w:val="center"/>
            <w:hideMark/>
          </w:tcPr>
          <w:p w14:paraId="035A9BDE"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 </w:t>
            </w:r>
          </w:p>
        </w:tc>
        <w:tc>
          <w:tcPr>
            <w:tcW w:w="4132" w:type="dxa"/>
            <w:gridSpan w:val="4"/>
            <w:tcBorders>
              <w:top w:val="single" w:sz="4" w:space="0" w:color="auto"/>
              <w:left w:val="nil"/>
              <w:bottom w:val="single" w:sz="4" w:space="0" w:color="auto"/>
              <w:right w:val="single" w:sz="4" w:space="0" w:color="auto"/>
            </w:tcBorders>
            <w:noWrap/>
            <w:vAlign w:val="center"/>
            <w:hideMark/>
          </w:tcPr>
          <w:p w14:paraId="461A3B36" w14:textId="77777777" w:rsidR="008C41AB" w:rsidRPr="00A25827" w:rsidRDefault="008C41AB" w:rsidP="008C41AB">
            <w:pPr>
              <w:widowControl/>
              <w:autoSpaceDE/>
              <w:autoSpaceDN/>
              <w:jc w:val="center"/>
              <w:rPr>
                <w:b/>
                <w:bCs/>
                <w:color w:val="000000"/>
                <w:sz w:val="18"/>
                <w:szCs w:val="18"/>
                <w:lang w:val="en-IN" w:eastAsia="en-IN"/>
              </w:rPr>
            </w:pPr>
            <w:proofErr w:type="spellStart"/>
            <w:r w:rsidRPr="00A25827">
              <w:rPr>
                <w:b/>
                <w:bCs/>
                <w:color w:val="000000"/>
                <w:sz w:val="18"/>
                <w:szCs w:val="18"/>
                <w:lang w:val="en" w:eastAsia="en-IN"/>
              </w:rPr>
              <w:t>Fibrotouch</w:t>
            </w:r>
            <w:proofErr w:type="spellEnd"/>
          </w:p>
        </w:tc>
        <w:tc>
          <w:tcPr>
            <w:tcW w:w="4122" w:type="dxa"/>
            <w:gridSpan w:val="4"/>
            <w:tcBorders>
              <w:top w:val="single" w:sz="4" w:space="0" w:color="auto"/>
              <w:left w:val="nil"/>
              <w:bottom w:val="single" w:sz="4" w:space="0" w:color="auto"/>
              <w:right w:val="single" w:sz="4" w:space="0" w:color="auto"/>
            </w:tcBorders>
            <w:noWrap/>
            <w:vAlign w:val="center"/>
            <w:hideMark/>
          </w:tcPr>
          <w:p w14:paraId="775E5CDB" w14:textId="77777777" w:rsidR="008C41AB" w:rsidRPr="00A25827" w:rsidRDefault="008C41AB" w:rsidP="008C41AB">
            <w:pPr>
              <w:widowControl/>
              <w:autoSpaceDE/>
              <w:autoSpaceDN/>
              <w:jc w:val="center"/>
              <w:rPr>
                <w:b/>
                <w:bCs/>
                <w:color w:val="000000"/>
                <w:sz w:val="18"/>
                <w:szCs w:val="18"/>
                <w:lang w:val="en-IN" w:eastAsia="en-IN"/>
              </w:rPr>
            </w:pPr>
            <w:proofErr w:type="spellStart"/>
            <w:r w:rsidRPr="00A25827">
              <w:rPr>
                <w:b/>
                <w:bCs/>
                <w:color w:val="000000"/>
                <w:sz w:val="18"/>
                <w:szCs w:val="18"/>
                <w:lang w:val="en" w:eastAsia="en-IN"/>
              </w:rPr>
              <w:t>Fibroscan</w:t>
            </w:r>
            <w:proofErr w:type="spellEnd"/>
          </w:p>
        </w:tc>
      </w:tr>
      <w:tr w:rsidR="008C41AB" w:rsidRPr="008C41AB" w14:paraId="498F656E" w14:textId="77777777" w:rsidTr="008C41AB">
        <w:trPr>
          <w:trHeight w:val="300"/>
        </w:trPr>
        <w:tc>
          <w:tcPr>
            <w:tcW w:w="1096" w:type="dxa"/>
            <w:tcBorders>
              <w:top w:val="nil"/>
              <w:left w:val="single" w:sz="4" w:space="0" w:color="auto"/>
              <w:bottom w:val="single" w:sz="4" w:space="0" w:color="auto"/>
              <w:right w:val="single" w:sz="4" w:space="0" w:color="auto"/>
            </w:tcBorders>
            <w:noWrap/>
            <w:vAlign w:val="center"/>
            <w:hideMark/>
          </w:tcPr>
          <w:p w14:paraId="4F3BCF22"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Fibrosis stage</w:t>
            </w:r>
          </w:p>
        </w:tc>
        <w:tc>
          <w:tcPr>
            <w:tcW w:w="515" w:type="dxa"/>
            <w:tcBorders>
              <w:top w:val="nil"/>
              <w:left w:val="nil"/>
              <w:bottom w:val="single" w:sz="4" w:space="0" w:color="auto"/>
              <w:right w:val="single" w:sz="4" w:space="0" w:color="auto"/>
            </w:tcBorders>
            <w:noWrap/>
            <w:vAlign w:val="center"/>
            <w:hideMark/>
          </w:tcPr>
          <w:p w14:paraId="44863BF8"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studies</w:t>
            </w:r>
          </w:p>
        </w:tc>
        <w:tc>
          <w:tcPr>
            <w:tcW w:w="1206" w:type="dxa"/>
            <w:tcBorders>
              <w:top w:val="nil"/>
              <w:left w:val="nil"/>
              <w:bottom w:val="single" w:sz="4" w:space="0" w:color="auto"/>
              <w:right w:val="single" w:sz="4" w:space="0" w:color="auto"/>
            </w:tcBorders>
            <w:noWrap/>
            <w:vAlign w:val="center"/>
            <w:hideMark/>
          </w:tcPr>
          <w:p w14:paraId="6CB77328"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SE (95%Cl)</w:t>
            </w:r>
          </w:p>
        </w:tc>
        <w:tc>
          <w:tcPr>
            <w:tcW w:w="1162" w:type="dxa"/>
            <w:tcBorders>
              <w:top w:val="nil"/>
              <w:left w:val="nil"/>
              <w:bottom w:val="single" w:sz="4" w:space="0" w:color="auto"/>
              <w:right w:val="single" w:sz="4" w:space="0" w:color="auto"/>
            </w:tcBorders>
            <w:noWrap/>
            <w:vAlign w:val="center"/>
            <w:hideMark/>
          </w:tcPr>
          <w:p w14:paraId="54C9AC1B" w14:textId="77777777" w:rsidR="008C41AB" w:rsidRPr="008C41AB" w:rsidRDefault="008C41AB" w:rsidP="008C41AB">
            <w:pPr>
              <w:widowControl/>
              <w:autoSpaceDE/>
              <w:autoSpaceDN/>
              <w:jc w:val="center"/>
              <w:rPr>
                <w:color w:val="000000"/>
                <w:sz w:val="18"/>
                <w:szCs w:val="18"/>
                <w:lang w:val="en-IN" w:eastAsia="en-IN"/>
              </w:rPr>
            </w:pPr>
            <w:proofErr w:type="gramStart"/>
            <w:r w:rsidRPr="008C41AB">
              <w:rPr>
                <w:color w:val="000000"/>
                <w:sz w:val="18"/>
                <w:szCs w:val="18"/>
                <w:lang w:val="en" w:eastAsia="en-IN"/>
              </w:rPr>
              <w:t>SP(</w:t>
            </w:r>
            <w:proofErr w:type="gramEnd"/>
            <w:r w:rsidRPr="008C41AB">
              <w:rPr>
                <w:color w:val="000000"/>
                <w:sz w:val="18"/>
                <w:szCs w:val="18"/>
                <w:lang w:val="en" w:eastAsia="en-IN"/>
              </w:rPr>
              <w:t>95%Cl)</w:t>
            </w:r>
          </w:p>
        </w:tc>
        <w:tc>
          <w:tcPr>
            <w:tcW w:w="1249" w:type="dxa"/>
            <w:tcBorders>
              <w:top w:val="nil"/>
              <w:left w:val="nil"/>
              <w:bottom w:val="single" w:sz="4" w:space="0" w:color="auto"/>
              <w:right w:val="single" w:sz="4" w:space="0" w:color="auto"/>
            </w:tcBorders>
            <w:noWrap/>
            <w:vAlign w:val="center"/>
            <w:hideMark/>
          </w:tcPr>
          <w:p w14:paraId="57DC7B46" w14:textId="77777777" w:rsidR="008C41AB" w:rsidRPr="008C41AB" w:rsidRDefault="008C41AB" w:rsidP="008C41AB">
            <w:pPr>
              <w:widowControl/>
              <w:autoSpaceDE/>
              <w:autoSpaceDN/>
              <w:jc w:val="center"/>
              <w:rPr>
                <w:color w:val="000000"/>
                <w:sz w:val="18"/>
                <w:szCs w:val="18"/>
                <w:lang w:val="en-IN" w:eastAsia="en-IN"/>
              </w:rPr>
            </w:pPr>
            <w:proofErr w:type="gramStart"/>
            <w:r w:rsidRPr="008C41AB">
              <w:rPr>
                <w:color w:val="000000"/>
                <w:sz w:val="18"/>
                <w:szCs w:val="18"/>
                <w:lang w:val="en" w:eastAsia="en-IN"/>
              </w:rPr>
              <w:t>AUROC(</w:t>
            </w:r>
            <w:proofErr w:type="gramEnd"/>
            <w:r w:rsidRPr="008C41AB">
              <w:rPr>
                <w:color w:val="000000"/>
                <w:sz w:val="18"/>
                <w:szCs w:val="18"/>
                <w:lang w:val="en" w:eastAsia="en-IN"/>
              </w:rPr>
              <w:t>95%Cl)</w:t>
            </w:r>
          </w:p>
        </w:tc>
        <w:tc>
          <w:tcPr>
            <w:tcW w:w="515" w:type="dxa"/>
            <w:tcBorders>
              <w:top w:val="nil"/>
              <w:left w:val="nil"/>
              <w:bottom w:val="single" w:sz="4" w:space="0" w:color="auto"/>
              <w:right w:val="single" w:sz="4" w:space="0" w:color="auto"/>
            </w:tcBorders>
            <w:noWrap/>
            <w:vAlign w:val="center"/>
            <w:hideMark/>
          </w:tcPr>
          <w:p w14:paraId="407202BF"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studies</w:t>
            </w:r>
          </w:p>
        </w:tc>
        <w:tc>
          <w:tcPr>
            <w:tcW w:w="1162" w:type="dxa"/>
            <w:tcBorders>
              <w:top w:val="nil"/>
              <w:left w:val="nil"/>
              <w:bottom w:val="single" w:sz="4" w:space="0" w:color="auto"/>
              <w:right w:val="single" w:sz="4" w:space="0" w:color="auto"/>
            </w:tcBorders>
            <w:noWrap/>
            <w:vAlign w:val="center"/>
            <w:hideMark/>
          </w:tcPr>
          <w:p w14:paraId="70E03CD0" w14:textId="77777777" w:rsidR="008C41AB" w:rsidRPr="008C41AB" w:rsidRDefault="008C41AB" w:rsidP="008C41AB">
            <w:pPr>
              <w:widowControl/>
              <w:autoSpaceDE/>
              <w:autoSpaceDN/>
              <w:jc w:val="center"/>
              <w:rPr>
                <w:color w:val="000000"/>
                <w:sz w:val="18"/>
                <w:szCs w:val="18"/>
                <w:lang w:val="en-IN" w:eastAsia="en-IN"/>
              </w:rPr>
            </w:pPr>
            <w:proofErr w:type="gramStart"/>
            <w:r w:rsidRPr="008C41AB">
              <w:rPr>
                <w:color w:val="000000"/>
                <w:sz w:val="18"/>
                <w:szCs w:val="18"/>
                <w:lang w:val="en" w:eastAsia="en-IN"/>
              </w:rPr>
              <w:t>SE(</w:t>
            </w:r>
            <w:proofErr w:type="gramEnd"/>
            <w:r w:rsidRPr="008C41AB">
              <w:rPr>
                <w:color w:val="000000"/>
                <w:sz w:val="18"/>
                <w:szCs w:val="18"/>
                <w:lang w:val="en" w:eastAsia="en-IN"/>
              </w:rPr>
              <w:t>95%Cl)</w:t>
            </w:r>
          </w:p>
        </w:tc>
        <w:tc>
          <w:tcPr>
            <w:tcW w:w="1162" w:type="dxa"/>
            <w:tcBorders>
              <w:top w:val="nil"/>
              <w:left w:val="nil"/>
              <w:bottom w:val="single" w:sz="4" w:space="0" w:color="auto"/>
              <w:right w:val="single" w:sz="4" w:space="0" w:color="auto"/>
            </w:tcBorders>
            <w:noWrap/>
            <w:vAlign w:val="center"/>
            <w:hideMark/>
          </w:tcPr>
          <w:p w14:paraId="6589F930" w14:textId="77777777" w:rsidR="008C41AB" w:rsidRPr="008C41AB" w:rsidRDefault="008C41AB" w:rsidP="008C41AB">
            <w:pPr>
              <w:widowControl/>
              <w:autoSpaceDE/>
              <w:autoSpaceDN/>
              <w:jc w:val="center"/>
              <w:rPr>
                <w:color w:val="000000"/>
                <w:sz w:val="18"/>
                <w:szCs w:val="18"/>
                <w:lang w:val="en-IN" w:eastAsia="en-IN"/>
              </w:rPr>
            </w:pPr>
            <w:proofErr w:type="gramStart"/>
            <w:r w:rsidRPr="008C41AB">
              <w:rPr>
                <w:color w:val="000000"/>
                <w:sz w:val="18"/>
                <w:szCs w:val="18"/>
                <w:lang w:val="en" w:eastAsia="en-IN"/>
              </w:rPr>
              <w:t>SP(</w:t>
            </w:r>
            <w:proofErr w:type="gramEnd"/>
            <w:r w:rsidRPr="008C41AB">
              <w:rPr>
                <w:color w:val="000000"/>
                <w:sz w:val="18"/>
                <w:szCs w:val="18"/>
                <w:lang w:val="en" w:eastAsia="en-IN"/>
              </w:rPr>
              <w:t>95%Cl)</w:t>
            </w:r>
          </w:p>
        </w:tc>
        <w:tc>
          <w:tcPr>
            <w:tcW w:w="1283" w:type="dxa"/>
            <w:tcBorders>
              <w:top w:val="nil"/>
              <w:left w:val="nil"/>
              <w:bottom w:val="single" w:sz="4" w:space="0" w:color="auto"/>
              <w:right w:val="single" w:sz="4" w:space="0" w:color="auto"/>
            </w:tcBorders>
            <w:noWrap/>
            <w:vAlign w:val="center"/>
            <w:hideMark/>
          </w:tcPr>
          <w:p w14:paraId="79298991"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AUROC (95%Cl)</w:t>
            </w:r>
          </w:p>
        </w:tc>
      </w:tr>
      <w:tr w:rsidR="008C41AB" w:rsidRPr="008C41AB" w14:paraId="3D632EFB" w14:textId="77777777" w:rsidTr="008C41AB">
        <w:trPr>
          <w:trHeight w:val="300"/>
        </w:trPr>
        <w:tc>
          <w:tcPr>
            <w:tcW w:w="1096" w:type="dxa"/>
            <w:tcBorders>
              <w:top w:val="nil"/>
              <w:left w:val="single" w:sz="4" w:space="0" w:color="auto"/>
              <w:bottom w:val="single" w:sz="4" w:space="0" w:color="auto"/>
              <w:right w:val="single" w:sz="4" w:space="0" w:color="auto"/>
            </w:tcBorders>
            <w:noWrap/>
            <w:vAlign w:val="center"/>
            <w:hideMark/>
          </w:tcPr>
          <w:p w14:paraId="1D32FA37"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F2(Significant)</w:t>
            </w:r>
          </w:p>
        </w:tc>
        <w:tc>
          <w:tcPr>
            <w:tcW w:w="515" w:type="dxa"/>
            <w:tcBorders>
              <w:top w:val="nil"/>
              <w:left w:val="nil"/>
              <w:bottom w:val="single" w:sz="4" w:space="0" w:color="auto"/>
              <w:right w:val="single" w:sz="4" w:space="0" w:color="auto"/>
            </w:tcBorders>
            <w:noWrap/>
            <w:vAlign w:val="center"/>
            <w:hideMark/>
          </w:tcPr>
          <w:p w14:paraId="47B5CDDF"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8</w:t>
            </w:r>
          </w:p>
        </w:tc>
        <w:tc>
          <w:tcPr>
            <w:tcW w:w="1206" w:type="dxa"/>
            <w:tcBorders>
              <w:top w:val="nil"/>
              <w:left w:val="nil"/>
              <w:bottom w:val="single" w:sz="4" w:space="0" w:color="auto"/>
              <w:right w:val="single" w:sz="4" w:space="0" w:color="auto"/>
            </w:tcBorders>
            <w:noWrap/>
            <w:vAlign w:val="center"/>
            <w:hideMark/>
          </w:tcPr>
          <w:p w14:paraId="24A7BF34"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0.78 (0.68 -0.85)</w:t>
            </w:r>
          </w:p>
        </w:tc>
        <w:tc>
          <w:tcPr>
            <w:tcW w:w="1162" w:type="dxa"/>
            <w:tcBorders>
              <w:top w:val="nil"/>
              <w:left w:val="nil"/>
              <w:bottom w:val="single" w:sz="4" w:space="0" w:color="auto"/>
              <w:right w:val="single" w:sz="4" w:space="0" w:color="auto"/>
            </w:tcBorders>
            <w:noWrap/>
            <w:vAlign w:val="center"/>
            <w:hideMark/>
          </w:tcPr>
          <w:p w14:paraId="525EE38A"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0.72 (0.6-0.81)</w:t>
            </w:r>
          </w:p>
        </w:tc>
        <w:tc>
          <w:tcPr>
            <w:tcW w:w="1249" w:type="dxa"/>
            <w:tcBorders>
              <w:top w:val="nil"/>
              <w:left w:val="nil"/>
              <w:bottom w:val="single" w:sz="4" w:space="0" w:color="auto"/>
              <w:right w:val="single" w:sz="4" w:space="0" w:color="auto"/>
            </w:tcBorders>
            <w:noWrap/>
            <w:vAlign w:val="center"/>
            <w:hideMark/>
          </w:tcPr>
          <w:p w14:paraId="1D4C0113"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0.81 [0.78 - 0.85]</w:t>
            </w:r>
          </w:p>
        </w:tc>
        <w:tc>
          <w:tcPr>
            <w:tcW w:w="515" w:type="dxa"/>
            <w:tcBorders>
              <w:top w:val="nil"/>
              <w:left w:val="nil"/>
              <w:bottom w:val="single" w:sz="4" w:space="0" w:color="auto"/>
              <w:right w:val="single" w:sz="4" w:space="0" w:color="auto"/>
            </w:tcBorders>
            <w:noWrap/>
            <w:vAlign w:val="center"/>
            <w:hideMark/>
          </w:tcPr>
          <w:p w14:paraId="07D1E483"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32</w:t>
            </w:r>
          </w:p>
        </w:tc>
        <w:tc>
          <w:tcPr>
            <w:tcW w:w="1162" w:type="dxa"/>
            <w:tcBorders>
              <w:top w:val="nil"/>
              <w:left w:val="nil"/>
              <w:bottom w:val="single" w:sz="4" w:space="0" w:color="auto"/>
              <w:right w:val="single" w:sz="4" w:space="0" w:color="auto"/>
            </w:tcBorders>
            <w:noWrap/>
            <w:vAlign w:val="center"/>
            <w:hideMark/>
          </w:tcPr>
          <w:p w14:paraId="1A382852"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0.86 (0.82-0.89)</w:t>
            </w:r>
          </w:p>
        </w:tc>
        <w:tc>
          <w:tcPr>
            <w:tcW w:w="1162" w:type="dxa"/>
            <w:tcBorders>
              <w:top w:val="nil"/>
              <w:left w:val="nil"/>
              <w:bottom w:val="single" w:sz="4" w:space="0" w:color="auto"/>
              <w:right w:val="single" w:sz="4" w:space="0" w:color="auto"/>
            </w:tcBorders>
            <w:noWrap/>
            <w:vAlign w:val="center"/>
            <w:hideMark/>
          </w:tcPr>
          <w:p w14:paraId="776F8423"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0.82 (0.74-0.88)</w:t>
            </w:r>
          </w:p>
        </w:tc>
        <w:tc>
          <w:tcPr>
            <w:tcW w:w="1283" w:type="dxa"/>
            <w:tcBorders>
              <w:top w:val="nil"/>
              <w:left w:val="nil"/>
              <w:bottom w:val="single" w:sz="4" w:space="0" w:color="auto"/>
              <w:right w:val="single" w:sz="4" w:space="0" w:color="auto"/>
            </w:tcBorders>
            <w:noWrap/>
            <w:vAlign w:val="center"/>
            <w:hideMark/>
          </w:tcPr>
          <w:p w14:paraId="0C2D3551"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0.91 (0.88-0.93)</w:t>
            </w:r>
          </w:p>
        </w:tc>
      </w:tr>
      <w:tr w:rsidR="008C41AB" w:rsidRPr="008C41AB" w14:paraId="64E656C9" w14:textId="77777777" w:rsidTr="008C41AB">
        <w:trPr>
          <w:trHeight w:val="300"/>
        </w:trPr>
        <w:tc>
          <w:tcPr>
            <w:tcW w:w="1096" w:type="dxa"/>
            <w:tcBorders>
              <w:top w:val="nil"/>
              <w:left w:val="single" w:sz="4" w:space="0" w:color="auto"/>
              <w:bottom w:val="single" w:sz="4" w:space="0" w:color="auto"/>
              <w:right w:val="single" w:sz="4" w:space="0" w:color="auto"/>
            </w:tcBorders>
            <w:noWrap/>
            <w:vAlign w:val="center"/>
            <w:hideMark/>
          </w:tcPr>
          <w:p w14:paraId="210E22C2"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F3(Advanced)</w:t>
            </w:r>
          </w:p>
        </w:tc>
        <w:tc>
          <w:tcPr>
            <w:tcW w:w="515" w:type="dxa"/>
            <w:tcBorders>
              <w:top w:val="nil"/>
              <w:left w:val="nil"/>
              <w:bottom w:val="single" w:sz="4" w:space="0" w:color="auto"/>
              <w:right w:val="single" w:sz="4" w:space="0" w:color="auto"/>
            </w:tcBorders>
            <w:noWrap/>
            <w:vAlign w:val="center"/>
            <w:hideMark/>
          </w:tcPr>
          <w:p w14:paraId="36584292"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8</w:t>
            </w:r>
          </w:p>
        </w:tc>
        <w:tc>
          <w:tcPr>
            <w:tcW w:w="1206" w:type="dxa"/>
            <w:tcBorders>
              <w:top w:val="nil"/>
              <w:left w:val="nil"/>
              <w:bottom w:val="single" w:sz="4" w:space="0" w:color="auto"/>
              <w:right w:val="single" w:sz="4" w:space="0" w:color="auto"/>
            </w:tcBorders>
            <w:noWrap/>
            <w:vAlign w:val="center"/>
            <w:hideMark/>
          </w:tcPr>
          <w:p w14:paraId="72FEA990"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0.85 (0.75-0.</w:t>
            </w:r>
            <w:proofErr w:type="gramStart"/>
            <w:r w:rsidRPr="008C41AB">
              <w:rPr>
                <w:color w:val="000000"/>
                <w:sz w:val="18"/>
                <w:szCs w:val="18"/>
                <w:lang w:val="en" w:eastAsia="en-IN"/>
              </w:rPr>
              <w:t>92 )</w:t>
            </w:r>
            <w:proofErr w:type="gramEnd"/>
          </w:p>
        </w:tc>
        <w:tc>
          <w:tcPr>
            <w:tcW w:w="1162" w:type="dxa"/>
            <w:tcBorders>
              <w:top w:val="nil"/>
              <w:left w:val="nil"/>
              <w:bottom w:val="single" w:sz="4" w:space="0" w:color="auto"/>
              <w:right w:val="single" w:sz="4" w:space="0" w:color="auto"/>
            </w:tcBorders>
            <w:noWrap/>
            <w:vAlign w:val="center"/>
            <w:hideMark/>
          </w:tcPr>
          <w:p w14:paraId="2EBBE0F1"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0.77 (0.73-0.61)</w:t>
            </w:r>
          </w:p>
        </w:tc>
        <w:tc>
          <w:tcPr>
            <w:tcW w:w="1249" w:type="dxa"/>
            <w:tcBorders>
              <w:top w:val="nil"/>
              <w:left w:val="nil"/>
              <w:bottom w:val="single" w:sz="4" w:space="0" w:color="auto"/>
              <w:right w:val="single" w:sz="4" w:space="0" w:color="auto"/>
            </w:tcBorders>
            <w:noWrap/>
            <w:vAlign w:val="center"/>
            <w:hideMark/>
          </w:tcPr>
          <w:p w14:paraId="78B1391E"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0.92 [0.89 - 0.94]</w:t>
            </w:r>
          </w:p>
        </w:tc>
        <w:tc>
          <w:tcPr>
            <w:tcW w:w="515" w:type="dxa"/>
            <w:tcBorders>
              <w:top w:val="nil"/>
              <w:left w:val="nil"/>
              <w:bottom w:val="single" w:sz="4" w:space="0" w:color="auto"/>
              <w:right w:val="single" w:sz="4" w:space="0" w:color="auto"/>
            </w:tcBorders>
            <w:noWrap/>
            <w:vAlign w:val="center"/>
            <w:hideMark/>
          </w:tcPr>
          <w:p w14:paraId="41E91D3F"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24</w:t>
            </w:r>
          </w:p>
        </w:tc>
        <w:tc>
          <w:tcPr>
            <w:tcW w:w="1162" w:type="dxa"/>
            <w:tcBorders>
              <w:top w:val="nil"/>
              <w:left w:val="nil"/>
              <w:bottom w:val="single" w:sz="4" w:space="0" w:color="auto"/>
              <w:right w:val="single" w:sz="4" w:space="0" w:color="auto"/>
            </w:tcBorders>
            <w:noWrap/>
            <w:vAlign w:val="center"/>
            <w:hideMark/>
          </w:tcPr>
          <w:p w14:paraId="2713E2B7"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0.88 (0.82-0.92)</w:t>
            </w:r>
          </w:p>
        </w:tc>
        <w:tc>
          <w:tcPr>
            <w:tcW w:w="1162" w:type="dxa"/>
            <w:tcBorders>
              <w:top w:val="nil"/>
              <w:left w:val="nil"/>
              <w:bottom w:val="single" w:sz="4" w:space="0" w:color="auto"/>
              <w:right w:val="single" w:sz="4" w:space="0" w:color="auto"/>
            </w:tcBorders>
            <w:noWrap/>
            <w:vAlign w:val="center"/>
            <w:hideMark/>
          </w:tcPr>
          <w:p w14:paraId="40ED3E61"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0.89 (0.85-0.92)</w:t>
            </w:r>
          </w:p>
        </w:tc>
        <w:tc>
          <w:tcPr>
            <w:tcW w:w="1283" w:type="dxa"/>
            <w:tcBorders>
              <w:top w:val="nil"/>
              <w:left w:val="nil"/>
              <w:bottom w:val="single" w:sz="4" w:space="0" w:color="auto"/>
              <w:right w:val="single" w:sz="4" w:space="0" w:color="auto"/>
            </w:tcBorders>
            <w:noWrap/>
            <w:vAlign w:val="center"/>
            <w:hideMark/>
          </w:tcPr>
          <w:p w14:paraId="687ED60B"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0.94 (0.92-0.96)</w:t>
            </w:r>
          </w:p>
        </w:tc>
      </w:tr>
      <w:tr w:rsidR="008C41AB" w:rsidRPr="008C41AB" w14:paraId="282F278E" w14:textId="77777777" w:rsidTr="008C41AB">
        <w:trPr>
          <w:trHeight w:val="300"/>
        </w:trPr>
        <w:tc>
          <w:tcPr>
            <w:tcW w:w="1096" w:type="dxa"/>
            <w:tcBorders>
              <w:top w:val="nil"/>
              <w:left w:val="single" w:sz="4" w:space="0" w:color="auto"/>
              <w:bottom w:val="single" w:sz="4" w:space="0" w:color="auto"/>
              <w:right w:val="single" w:sz="4" w:space="0" w:color="auto"/>
            </w:tcBorders>
            <w:noWrap/>
            <w:vAlign w:val="center"/>
            <w:hideMark/>
          </w:tcPr>
          <w:p w14:paraId="739C4158"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F4(Cirrhosis)</w:t>
            </w:r>
          </w:p>
        </w:tc>
        <w:tc>
          <w:tcPr>
            <w:tcW w:w="515" w:type="dxa"/>
            <w:tcBorders>
              <w:top w:val="nil"/>
              <w:left w:val="nil"/>
              <w:bottom w:val="single" w:sz="4" w:space="0" w:color="auto"/>
              <w:right w:val="single" w:sz="4" w:space="0" w:color="auto"/>
            </w:tcBorders>
            <w:noWrap/>
            <w:vAlign w:val="center"/>
            <w:hideMark/>
          </w:tcPr>
          <w:p w14:paraId="4C83D57D"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9</w:t>
            </w:r>
          </w:p>
        </w:tc>
        <w:tc>
          <w:tcPr>
            <w:tcW w:w="1206" w:type="dxa"/>
            <w:tcBorders>
              <w:top w:val="nil"/>
              <w:left w:val="nil"/>
              <w:bottom w:val="single" w:sz="4" w:space="0" w:color="auto"/>
              <w:right w:val="single" w:sz="4" w:space="0" w:color="auto"/>
            </w:tcBorders>
            <w:noWrap/>
            <w:vAlign w:val="center"/>
            <w:hideMark/>
          </w:tcPr>
          <w:p w14:paraId="78A1F473"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0.84 (0.78-0.88)</w:t>
            </w:r>
          </w:p>
        </w:tc>
        <w:tc>
          <w:tcPr>
            <w:tcW w:w="1162" w:type="dxa"/>
            <w:tcBorders>
              <w:top w:val="nil"/>
              <w:left w:val="nil"/>
              <w:bottom w:val="single" w:sz="4" w:space="0" w:color="auto"/>
              <w:right w:val="single" w:sz="4" w:space="0" w:color="auto"/>
            </w:tcBorders>
            <w:noWrap/>
            <w:vAlign w:val="center"/>
            <w:hideMark/>
          </w:tcPr>
          <w:p w14:paraId="782BCA06"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0.84 (0.77-0.89)</w:t>
            </w:r>
          </w:p>
        </w:tc>
        <w:tc>
          <w:tcPr>
            <w:tcW w:w="1249" w:type="dxa"/>
            <w:tcBorders>
              <w:top w:val="nil"/>
              <w:left w:val="nil"/>
              <w:bottom w:val="single" w:sz="4" w:space="0" w:color="auto"/>
              <w:right w:val="single" w:sz="4" w:space="0" w:color="auto"/>
            </w:tcBorders>
            <w:noWrap/>
            <w:vAlign w:val="center"/>
            <w:hideMark/>
          </w:tcPr>
          <w:p w14:paraId="42F237E6"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0.89 [0.86 - 0.92]</w:t>
            </w:r>
          </w:p>
        </w:tc>
        <w:tc>
          <w:tcPr>
            <w:tcW w:w="515" w:type="dxa"/>
            <w:tcBorders>
              <w:top w:val="nil"/>
              <w:left w:val="nil"/>
              <w:bottom w:val="single" w:sz="4" w:space="0" w:color="auto"/>
              <w:right w:val="single" w:sz="4" w:space="0" w:color="auto"/>
            </w:tcBorders>
            <w:noWrap/>
            <w:vAlign w:val="center"/>
            <w:hideMark/>
          </w:tcPr>
          <w:p w14:paraId="615745CC"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29</w:t>
            </w:r>
          </w:p>
        </w:tc>
        <w:tc>
          <w:tcPr>
            <w:tcW w:w="1162" w:type="dxa"/>
            <w:tcBorders>
              <w:top w:val="nil"/>
              <w:left w:val="nil"/>
              <w:bottom w:val="single" w:sz="4" w:space="0" w:color="auto"/>
              <w:right w:val="single" w:sz="4" w:space="0" w:color="auto"/>
            </w:tcBorders>
            <w:noWrap/>
            <w:vAlign w:val="center"/>
            <w:hideMark/>
          </w:tcPr>
          <w:p w14:paraId="6C1D9BBE"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0.91 (0.83-0.96)</w:t>
            </w:r>
          </w:p>
        </w:tc>
        <w:tc>
          <w:tcPr>
            <w:tcW w:w="1162" w:type="dxa"/>
            <w:tcBorders>
              <w:top w:val="nil"/>
              <w:left w:val="nil"/>
              <w:bottom w:val="single" w:sz="4" w:space="0" w:color="auto"/>
              <w:right w:val="single" w:sz="4" w:space="0" w:color="auto"/>
            </w:tcBorders>
            <w:noWrap/>
            <w:vAlign w:val="center"/>
            <w:hideMark/>
          </w:tcPr>
          <w:p w14:paraId="46ECB2CC"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0.91 (0.87-0.84)</w:t>
            </w:r>
          </w:p>
        </w:tc>
        <w:tc>
          <w:tcPr>
            <w:tcW w:w="1283" w:type="dxa"/>
            <w:tcBorders>
              <w:top w:val="nil"/>
              <w:left w:val="nil"/>
              <w:bottom w:val="single" w:sz="4" w:space="0" w:color="auto"/>
              <w:right w:val="single" w:sz="4" w:space="0" w:color="auto"/>
            </w:tcBorders>
            <w:noWrap/>
            <w:vAlign w:val="center"/>
            <w:hideMark/>
          </w:tcPr>
          <w:p w14:paraId="01940FCF" w14:textId="77777777" w:rsidR="008C41AB" w:rsidRPr="008C41AB" w:rsidRDefault="008C41AB" w:rsidP="008C41AB">
            <w:pPr>
              <w:widowControl/>
              <w:autoSpaceDE/>
              <w:autoSpaceDN/>
              <w:jc w:val="center"/>
              <w:rPr>
                <w:color w:val="000000"/>
                <w:sz w:val="18"/>
                <w:szCs w:val="18"/>
                <w:lang w:val="en-IN" w:eastAsia="en-IN"/>
              </w:rPr>
            </w:pPr>
            <w:r w:rsidRPr="008C41AB">
              <w:rPr>
                <w:color w:val="000000"/>
                <w:sz w:val="18"/>
                <w:szCs w:val="18"/>
                <w:lang w:val="en" w:eastAsia="en-IN"/>
              </w:rPr>
              <w:t>0,96 (0.94-0.98)</w:t>
            </w:r>
          </w:p>
        </w:tc>
      </w:tr>
    </w:tbl>
    <w:p w14:paraId="019ED83E" w14:textId="77777777" w:rsidR="002D42A6" w:rsidRDefault="002D42A6" w:rsidP="0044387B">
      <w:pPr>
        <w:spacing w:line="360" w:lineRule="auto"/>
        <w:jc w:val="both"/>
        <w:rPr>
          <w:sz w:val="20"/>
          <w:szCs w:val="20"/>
        </w:rPr>
      </w:pPr>
    </w:p>
    <w:p w14:paraId="2BC6F7DD" w14:textId="584B462A" w:rsidR="00E4736B" w:rsidRPr="00ED1563" w:rsidRDefault="00E4736B" w:rsidP="00ED1563">
      <w:pPr>
        <w:pStyle w:val="Heading1"/>
        <w:spacing w:line="360" w:lineRule="auto"/>
        <w:ind w:left="0"/>
        <w:jc w:val="center"/>
        <w:rPr>
          <w:sz w:val="18"/>
          <w:szCs w:val="18"/>
        </w:rPr>
      </w:pPr>
      <w:r w:rsidRPr="00ED1563">
        <w:rPr>
          <w:color w:val="4F81BD" w:themeColor="accent1"/>
          <w:sz w:val="18"/>
          <w:szCs w:val="18"/>
        </w:rPr>
        <w:t xml:space="preserve">Table 2: </w:t>
      </w:r>
      <w:r w:rsidRPr="00ED1563">
        <w:rPr>
          <w:b w:val="0"/>
          <w:bCs w:val="0"/>
          <w:sz w:val="18"/>
          <w:szCs w:val="18"/>
        </w:rPr>
        <w:t xml:space="preserve">Pooled Sensitivity, Specificity and Area under receiver operating </w:t>
      </w:r>
      <w:proofErr w:type="gramStart"/>
      <w:r w:rsidRPr="00ED1563">
        <w:rPr>
          <w:b w:val="0"/>
          <w:bCs w:val="0"/>
          <w:sz w:val="18"/>
          <w:szCs w:val="18"/>
        </w:rPr>
        <w:t>curve(</w:t>
      </w:r>
      <w:proofErr w:type="gramEnd"/>
      <w:r w:rsidRPr="00ED1563">
        <w:rPr>
          <w:b w:val="0"/>
          <w:bCs w:val="0"/>
          <w:sz w:val="18"/>
          <w:szCs w:val="18"/>
        </w:rPr>
        <w:t xml:space="preserve">AUROC) of </w:t>
      </w:r>
      <w:proofErr w:type="spellStart"/>
      <w:r w:rsidRPr="00ED1563">
        <w:rPr>
          <w:b w:val="0"/>
          <w:bCs w:val="0"/>
          <w:sz w:val="18"/>
          <w:szCs w:val="18"/>
        </w:rPr>
        <w:t>Fibrotouch</w:t>
      </w:r>
      <w:proofErr w:type="spellEnd"/>
      <w:r w:rsidRPr="00ED1563">
        <w:rPr>
          <w:b w:val="0"/>
          <w:bCs w:val="0"/>
          <w:sz w:val="18"/>
          <w:szCs w:val="18"/>
        </w:rPr>
        <w:t xml:space="preserve"> and </w:t>
      </w:r>
      <w:proofErr w:type="spellStart"/>
      <w:r w:rsidRPr="00ED1563">
        <w:rPr>
          <w:b w:val="0"/>
          <w:bCs w:val="0"/>
          <w:sz w:val="18"/>
          <w:szCs w:val="18"/>
        </w:rPr>
        <w:t>Fibroscan</w:t>
      </w:r>
      <w:proofErr w:type="spellEnd"/>
      <w:r w:rsidRPr="00ED1563">
        <w:rPr>
          <w:b w:val="0"/>
          <w:bCs w:val="0"/>
          <w:sz w:val="18"/>
          <w:szCs w:val="18"/>
        </w:rPr>
        <w:t xml:space="preserve"> by Fibrosis Stage; F2, F3 and F4.</w:t>
      </w:r>
    </w:p>
    <w:p w14:paraId="578F33E7" w14:textId="77777777" w:rsidR="00E4736B" w:rsidRPr="0044387B" w:rsidRDefault="00E4736B" w:rsidP="0044387B">
      <w:pPr>
        <w:spacing w:line="360" w:lineRule="auto"/>
        <w:jc w:val="both"/>
        <w:rPr>
          <w:sz w:val="20"/>
          <w:szCs w:val="20"/>
        </w:rPr>
      </w:pPr>
    </w:p>
    <w:p w14:paraId="79432DA9"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16" w:name="_heading=h.898k1qovnks6" w:colFirst="0" w:colLast="0"/>
      <w:bookmarkEnd w:id="16"/>
      <w:r w:rsidRPr="0044387B">
        <w:rPr>
          <w:rFonts w:ascii="Times New Roman" w:eastAsia="Times New Roman" w:hAnsi="Times New Roman" w:cs="Times New Roman"/>
          <w:sz w:val="20"/>
          <w:szCs w:val="20"/>
        </w:rPr>
        <w:t>4.3 Diagnostic Accuracy</w:t>
      </w:r>
    </w:p>
    <w:p w14:paraId="0A984D0D" w14:textId="4CF5CD8C" w:rsidR="0044387B" w:rsidRPr="0044387B" w:rsidRDefault="0044387B" w:rsidP="001279D0">
      <w:pPr>
        <w:pStyle w:val="Heading3"/>
        <w:keepNext w:val="0"/>
        <w:keepLines w:val="0"/>
        <w:spacing w:before="0" w:line="360" w:lineRule="auto"/>
        <w:jc w:val="both"/>
        <w:rPr>
          <w:rFonts w:ascii="Times New Roman" w:eastAsia="Times New Roman" w:hAnsi="Times New Roman" w:cs="Times New Roman"/>
          <w:sz w:val="20"/>
          <w:szCs w:val="20"/>
        </w:rPr>
      </w:pPr>
      <w:bookmarkStart w:id="17" w:name="_heading=h.paw8jnr667n" w:colFirst="0" w:colLast="0"/>
      <w:bookmarkEnd w:id="17"/>
      <w:r w:rsidRPr="001279D0">
        <w:rPr>
          <w:rFonts w:ascii="Times New Roman" w:eastAsia="Times New Roman" w:hAnsi="Times New Roman" w:cs="Times New Roman"/>
          <w:i/>
          <w:iCs/>
          <w:color w:val="000000"/>
          <w:sz w:val="20"/>
          <w:szCs w:val="20"/>
        </w:rPr>
        <w:t>4.3.1 Significant Fibrosis (F2)</w:t>
      </w:r>
      <w:r w:rsidR="001279D0" w:rsidRPr="001279D0">
        <w:rPr>
          <w:rFonts w:ascii="Times New Roman" w:eastAsia="Times New Roman" w:hAnsi="Times New Roman" w:cs="Times New Roman"/>
          <w:i/>
          <w:iCs/>
          <w:color w:val="000000"/>
          <w:sz w:val="20"/>
          <w:szCs w:val="20"/>
        </w:rPr>
        <w:t>:</w:t>
      </w:r>
      <w:r w:rsidR="001279D0">
        <w:rPr>
          <w:rFonts w:ascii="Times New Roman" w:eastAsia="Times New Roman" w:hAnsi="Times New Roman" w:cs="Times New Roman"/>
          <w:color w:val="000000"/>
          <w:sz w:val="20"/>
          <w:szCs w:val="20"/>
        </w:rPr>
        <w:t xml:space="preserve"> </w:t>
      </w:r>
      <w:proofErr w:type="spellStart"/>
      <w:r w:rsidRPr="001279D0">
        <w:rPr>
          <w:rFonts w:ascii="Times New Roman" w:eastAsia="Times New Roman" w:hAnsi="Times New Roman" w:cs="Times New Roman"/>
          <w:b w:val="0"/>
          <w:bCs w:val="0"/>
          <w:color w:val="auto"/>
          <w:sz w:val="20"/>
          <w:szCs w:val="20"/>
        </w:rPr>
        <w:t>FibroTouch</w:t>
      </w:r>
      <w:proofErr w:type="spellEnd"/>
      <w:r w:rsidRPr="001279D0">
        <w:rPr>
          <w:rFonts w:ascii="Times New Roman" w:eastAsia="Times New Roman" w:hAnsi="Times New Roman" w:cs="Times New Roman"/>
          <w:b w:val="0"/>
          <w:bCs w:val="0"/>
          <w:color w:val="auto"/>
          <w:sz w:val="20"/>
          <w:szCs w:val="20"/>
        </w:rPr>
        <w:t xml:space="preserve"> demonstrated a pooled sensitivity of 0.78 (95% CI: 0.68–0.85) and specificity of 0.72 (95% CI: 0.60–0.81) (Figure S2), with an AUROC of 0.81 (95% CI: 0.78–0.85) (Figure S8). </w:t>
      </w:r>
      <w:proofErr w:type="spellStart"/>
      <w:r w:rsidRPr="001279D0">
        <w:rPr>
          <w:rFonts w:ascii="Times New Roman" w:eastAsia="Times New Roman" w:hAnsi="Times New Roman" w:cs="Times New Roman"/>
          <w:b w:val="0"/>
          <w:bCs w:val="0"/>
          <w:color w:val="auto"/>
          <w:sz w:val="20"/>
          <w:szCs w:val="20"/>
        </w:rPr>
        <w:t>FibroScan</w:t>
      </w:r>
      <w:proofErr w:type="spellEnd"/>
      <w:r w:rsidRPr="001279D0">
        <w:rPr>
          <w:rFonts w:ascii="Times New Roman" w:eastAsia="Times New Roman" w:hAnsi="Times New Roman" w:cs="Times New Roman"/>
          <w:b w:val="0"/>
          <w:bCs w:val="0"/>
          <w:color w:val="auto"/>
          <w:sz w:val="20"/>
          <w:szCs w:val="20"/>
        </w:rPr>
        <w:t xml:space="preserve"> exhibited superior sensitivity (0.86, 95% CI: 0.82–0.89), specificity (0.82, 95% CI: 0.74–0.88) (Figure S1), and AUROC (0.91, 95% CI: 0.88–0.93) (Figure S7).</w:t>
      </w:r>
    </w:p>
    <w:p w14:paraId="53EDBCE0" w14:textId="5C486C7E" w:rsidR="0044387B" w:rsidRPr="0044387B" w:rsidRDefault="0044387B" w:rsidP="001279D0">
      <w:pPr>
        <w:pStyle w:val="Heading3"/>
        <w:keepNext w:val="0"/>
        <w:keepLines w:val="0"/>
        <w:spacing w:before="0" w:line="360" w:lineRule="auto"/>
        <w:jc w:val="both"/>
        <w:rPr>
          <w:rFonts w:ascii="Times New Roman" w:eastAsia="Times New Roman" w:hAnsi="Times New Roman" w:cs="Times New Roman"/>
          <w:sz w:val="20"/>
          <w:szCs w:val="20"/>
        </w:rPr>
      </w:pPr>
      <w:bookmarkStart w:id="18" w:name="_heading=h.o9215lqajf11" w:colFirst="0" w:colLast="0"/>
      <w:bookmarkEnd w:id="18"/>
      <w:r w:rsidRPr="001279D0">
        <w:rPr>
          <w:rFonts w:ascii="Times New Roman" w:eastAsia="Times New Roman" w:hAnsi="Times New Roman" w:cs="Times New Roman"/>
          <w:i/>
          <w:iCs/>
          <w:color w:val="000000"/>
          <w:sz w:val="20"/>
          <w:szCs w:val="20"/>
        </w:rPr>
        <w:t>4.3.2 Advanced Fibrosis (F3)</w:t>
      </w:r>
      <w:r w:rsidR="001279D0" w:rsidRPr="001279D0">
        <w:rPr>
          <w:rFonts w:ascii="Times New Roman" w:eastAsia="Times New Roman" w:hAnsi="Times New Roman" w:cs="Times New Roman"/>
          <w:i/>
          <w:iCs/>
          <w:color w:val="000000"/>
          <w:sz w:val="20"/>
          <w:szCs w:val="20"/>
        </w:rPr>
        <w:t xml:space="preserve">: </w:t>
      </w:r>
      <w:r w:rsidRPr="001279D0">
        <w:rPr>
          <w:rFonts w:ascii="Times New Roman" w:eastAsia="Times New Roman" w:hAnsi="Times New Roman" w:cs="Times New Roman"/>
          <w:b w:val="0"/>
          <w:bCs w:val="0"/>
          <w:color w:val="auto"/>
          <w:sz w:val="20"/>
          <w:szCs w:val="20"/>
        </w:rPr>
        <w:t xml:space="preserve">For advanced fibrosis, </w:t>
      </w:r>
      <w:proofErr w:type="spellStart"/>
      <w:r w:rsidRPr="001279D0">
        <w:rPr>
          <w:rFonts w:ascii="Times New Roman" w:eastAsia="Times New Roman" w:hAnsi="Times New Roman" w:cs="Times New Roman"/>
          <w:b w:val="0"/>
          <w:bCs w:val="0"/>
          <w:color w:val="auto"/>
          <w:sz w:val="20"/>
          <w:szCs w:val="20"/>
        </w:rPr>
        <w:t>FibroTouch</w:t>
      </w:r>
      <w:proofErr w:type="spellEnd"/>
      <w:r w:rsidRPr="001279D0">
        <w:rPr>
          <w:rFonts w:ascii="Times New Roman" w:eastAsia="Times New Roman" w:hAnsi="Times New Roman" w:cs="Times New Roman"/>
          <w:b w:val="0"/>
          <w:bCs w:val="0"/>
          <w:color w:val="auto"/>
          <w:sz w:val="20"/>
          <w:szCs w:val="20"/>
        </w:rPr>
        <w:t xml:space="preserve"> showed sensitivity of 0.85 (95% CI: 0.75–0.92), specificity of 0.77 (95% CI: 0.73–0.81) (Figure S4), and AUROC of 0.92 (95% CI: 0.89–0.94) (Figure S10). </w:t>
      </w:r>
      <w:proofErr w:type="spellStart"/>
      <w:r w:rsidRPr="001279D0">
        <w:rPr>
          <w:rFonts w:ascii="Times New Roman" w:eastAsia="Times New Roman" w:hAnsi="Times New Roman" w:cs="Times New Roman"/>
          <w:b w:val="0"/>
          <w:bCs w:val="0"/>
          <w:color w:val="auto"/>
          <w:sz w:val="20"/>
          <w:szCs w:val="20"/>
        </w:rPr>
        <w:t>FibroScan</w:t>
      </w:r>
      <w:proofErr w:type="spellEnd"/>
      <w:r w:rsidRPr="001279D0">
        <w:rPr>
          <w:rFonts w:ascii="Times New Roman" w:eastAsia="Times New Roman" w:hAnsi="Times New Roman" w:cs="Times New Roman"/>
          <w:b w:val="0"/>
          <w:bCs w:val="0"/>
          <w:color w:val="auto"/>
          <w:sz w:val="20"/>
          <w:szCs w:val="20"/>
        </w:rPr>
        <w:t xml:space="preserve"> outperformed with sensitivity of 0.88 (95% CI: 0.82–0.92), specificity of 0.89 (95% CI: 0.85–0.92) (Figure S3), and AUROC of 0.94 (95% CI: 0.92–0.96) (Figure S9).</w:t>
      </w:r>
    </w:p>
    <w:p w14:paraId="0EF1CC01" w14:textId="74F9BC43" w:rsidR="0044387B" w:rsidRDefault="0044387B" w:rsidP="001279D0">
      <w:pPr>
        <w:pStyle w:val="Heading3"/>
        <w:keepNext w:val="0"/>
        <w:keepLines w:val="0"/>
        <w:spacing w:before="0" w:line="360" w:lineRule="auto"/>
        <w:jc w:val="both"/>
        <w:rPr>
          <w:rFonts w:ascii="Times New Roman" w:eastAsia="Times New Roman" w:hAnsi="Times New Roman" w:cs="Times New Roman"/>
          <w:b w:val="0"/>
          <w:bCs w:val="0"/>
          <w:color w:val="auto"/>
          <w:sz w:val="20"/>
          <w:szCs w:val="20"/>
        </w:rPr>
      </w:pPr>
      <w:bookmarkStart w:id="19" w:name="_heading=h.6993codeo31n" w:colFirst="0" w:colLast="0"/>
      <w:bookmarkEnd w:id="19"/>
      <w:r w:rsidRPr="001279D0">
        <w:rPr>
          <w:rFonts w:ascii="Times New Roman" w:eastAsia="Times New Roman" w:hAnsi="Times New Roman" w:cs="Times New Roman"/>
          <w:i/>
          <w:iCs/>
          <w:color w:val="000000"/>
          <w:sz w:val="20"/>
          <w:szCs w:val="20"/>
        </w:rPr>
        <w:t>4.3.3 Cirrhosis (F4)</w:t>
      </w:r>
      <w:r w:rsidR="001279D0" w:rsidRPr="001279D0">
        <w:rPr>
          <w:rFonts w:ascii="Times New Roman" w:eastAsia="Times New Roman" w:hAnsi="Times New Roman" w:cs="Times New Roman"/>
          <w:i/>
          <w:iCs/>
          <w:color w:val="000000"/>
          <w:sz w:val="20"/>
          <w:szCs w:val="20"/>
        </w:rPr>
        <w:t>:</w:t>
      </w:r>
      <w:r w:rsidR="001279D0">
        <w:rPr>
          <w:rFonts w:ascii="Times New Roman" w:eastAsia="Times New Roman" w:hAnsi="Times New Roman" w:cs="Times New Roman"/>
          <w:color w:val="000000"/>
          <w:sz w:val="20"/>
          <w:szCs w:val="20"/>
        </w:rPr>
        <w:t xml:space="preserve"> </w:t>
      </w:r>
      <w:r w:rsidRPr="001279D0">
        <w:rPr>
          <w:rFonts w:ascii="Times New Roman" w:eastAsia="Times New Roman" w:hAnsi="Times New Roman" w:cs="Times New Roman"/>
          <w:b w:val="0"/>
          <w:bCs w:val="0"/>
          <w:color w:val="auto"/>
          <w:sz w:val="20"/>
          <w:szCs w:val="20"/>
        </w:rPr>
        <w:t xml:space="preserve">For cirrhosis, </w:t>
      </w:r>
      <w:proofErr w:type="spellStart"/>
      <w:r w:rsidRPr="001279D0">
        <w:rPr>
          <w:rFonts w:ascii="Times New Roman" w:eastAsia="Times New Roman" w:hAnsi="Times New Roman" w:cs="Times New Roman"/>
          <w:b w:val="0"/>
          <w:bCs w:val="0"/>
          <w:color w:val="auto"/>
          <w:sz w:val="20"/>
          <w:szCs w:val="20"/>
        </w:rPr>
        <w:t>FibroTouch</w:t>
      </w:r>
      <w:proofErr w:type="spellEnd"/>
      <w:r w:rsidRPr="001279D0">
        <w:rPr>
          <w:rFonts w:ascii="Times New Roman" w:eastAsia="Times New Roman" w:hAnsi="Times New Roman" w:cs="Times New Roman"/>
          <w:b w:val="0"/>
          <w:bCs w:val="0"/>
          <w:color w:val="auto"/>
          <w:sz w:val="20"/>
          <w:szCs w:val="20"/>
        </w:rPr>
        <w:t xml:space="preserve"> achieved sensitivity of 0.84 (95% CI: 0.78–0.88) and specificity of 0.84 (95% CI: 0.77–0.89) (Figure S6), with AUROC of 0.89 (95% CI: 0.86–0.92) (Figure S12). </w:t>
      </w:r>
      <w:proofErr w:type="spellStart"/>
      <w:r w:rsidRPr="001279D0">
        <w:rPr>
          <w:rFonts w:ascii="Times New Roman" w:eastAsia="Times New Roman" w:hAnsi="Times New Roman" w:cs="Times New Roman"/>
          <w:b w:val="0"/>
          <w:bCs w:val="0"/>
          <w:color w:val="auto"/>
          <w:sz w:val="20"/>
          <w:szCs w:val="20"/>
        </w:rPr>
        <w:t>FibroScan</w:t>
      </w:r>
      <w:proofErr w:type="spellEnd"/>
      <w:r w:rsidRPr="001279D0">
        <w:rPr>
          <w:rFonts w:ascii="Times New Roman" w:eastAsia="Times New Roman" w:hAnsi="Times New Roman" w:cs="Times New Roman"/>
          <w:b w:val="0"/>
          <w:bCs w:val="0"/>
          <w:color w:val="auto"/>
          <w:sz w:val="20"/>
          <w:szCs w:val="20"/>
        </w:rPr>
        <w:t xml:space="preserve"> reported higher sensitivity (0.91, 95% CI: 0.83–0.96), specificity (0.91, 95% CI: 0.87–0.94) (Figure S5), and AUROC (0.96, 95% CI: 0.94–0.98) (Figure S11). Results are summarized in </w:t>
      </w:r>
      <w:r w:rsidR="001279D0">
        <w:rPr>
          <w:rFonts w:ascii="Times New Roman" w:eastAsia="Times New Roman" w:hAnsi="Times New Roman" w:cs="Times New Roman"/>
          <w:b w:val="0"/>
          <w:bCs w:val="0"/>
          <w:color w:val="auto"/>
          <w:sz w:val="20"/>
          <w:szCs w:val="20"/>
        </w:rPr>
        <w:t>t</w:t>
      </w:r>
      <w:r w:rsidRPr="001279D0">
        <w:rPr>
          <w:rFonts w:ascii="Times New Roman" w:eastAsia="Times New Roman" w:hAnsi="Times New Roman" w:cs="Times New Roman"/>
          <w:b w:val="0"/>
          <w:bCs w:val="0"/>
          <w:color w:val="auto"/>
          <w:sz w:val="20"/>
          <w:szCs w:val="20"/>
        </w:rPr>
        <w:t xml:space="preserve">able </w:t>
      </w:r>
      <w:r w:rsidR="00FE6435">
        <w:rPr>
          <w:rFonts w:ascii="Times New Roman" w:eastAsia="Times New Roman" w:hAnsi="Times New Roman" w:cs="Times New Roman"/>
          <w:b w:val="0"/>
          <w:bCs w:val="0"/>
          <w:color w:val="auto"/>
          <w:sz w:val="20"/>
          <w:szCs w:val="20"/>
        </w:rPr>
        <w:t>3</w:t>
      </w:r>
      <w:r w:rsidRPr="001279D0">
        <w:rPr>
          <w:rFonts w:ascii="Times New Roman" w:eastAsia="Times New Roman" w:hAnsi="Times New Roman" w:cs="Times New Roman"/>
          <w:b w:val="0"/>
          <w:bCs w:val="0"/>
          <w:color w:val="auto"/>
          <w:sz w:val="20"/>
          <w:szCs w:val="20"/>
        </w:rPr>
        <w:t>.</w:t>
      </w:r>
    </w:p>
    <w:p w14:paraId="69B2556B" w14:textId="77777777" w:rsidR="00AB5D51" w:rsidRDefault="00AB5D51" w:rsidP="00AB5D51"/>
    <w:tbl>
      <w:tblPr>
        <w:tblW w:w="7262" w:type="dxa"/>
        <w:jc w:val="center"/>
        <w:tblLook w:val="04A0" w:firstRow="1" w:lastRow="0" w:firstColumn="1" w:lastColumn="0" w:noHBand="0" w:noVBand="1"/>
      </w:tblPr>
      <w:tblGrid>
        <w:gridCol w:w="1666"/>
        <w:gridCol w:w="1276"/>
        <w:gridCol w:w="2017"/>
        <w:gridCol w:w="2303"/>
      </w:tblGrid>
      <w:tr w:rsidR="00AB5D51" w:rsidRPr="00ED1563" w14:paraId="0E3C4528" w14:textId="77777777" w:rsidTr="00A25827">
        <w:trPr>
          <w:trHeight w:val="300"/>
          <w:jc w:val="center"/>
        </w:trPr>
        <w:tc>
          <w:tcPr>
            <w:tcW w:w="1666" w:type="dxa"/>
            <w:tcBorders>
              <w:top w:val="single" w:sz="4" w:space="0" w:color="auto"/>
              <w:left w:val="single" w:sz="4" w:space="0" w:color="auto"/>
              <w:bottom w:val="single" w:sz="4" w:space="0" w:color="auto"/>
              <w:right w:val="single" w:sz="4" w:space="0" w:color="auto"/>
            </w:tcBorders>
            <w:noWrap/>
            <w:vAlign w:val="center"/>
            <w:hideMark/>
          </w:tcPr>
          <w:p w14:paraId="1D6E24B5" w14:textId="77777777" w:rsidR="00AB5D51" w:rsidRPr="00A25827" w:rsidRDefault="00AB5D51" w:rsidP="00AB5D51">
            <w:pPr>
              <w:widowControl/>
              <w:autoSpaceDE/>
              <w:autoSpaceDN/>
              <w:jc w:val="center"/>
              <w:rPr>
                <w:b/>
                <w:bCs/>
                <w:color w:val="000000"/>
                <w:sz w:val="20"/>
                <w:szCs w:val="20"/>
                <w:lang w:val="en-IN" w:eastAsia="en-IN"/>
              </w:rPr>
            </w:pPr>
            <w:r w:rsidRPr="00A25827">
              <w:rPr>
                <w:b/>
                <w:bCs/>
                <w:color w:val="000000"/>
                <w:sz w:val="20"/>
                <w:szCs w:val="20"/>
                <w:lang w:eastAsia="en-IN"/>
              </w:rPr>
              <w:t>Subgroup</w:t>
            </w:r>
          </w:p>
        </w:tc>
        <w:tc>
          <w:tcPr>
            <w:tcW w:w="1276" w:type="dxa"/>
            <w:tcBorders>
              <w:top w:val="single" w:sz="4" w:space="0" w:color="auto"/>
              <w:left w:val="nil"/>
              <w:bottom w:val="single" w:sz="4" w:space="0" w:color="auto"/>
              <w:right w:val="single" w:sz="4" w:space="0" w:color="auto"/>
            </w:tcBorders>
            <w:noWrap/>
            <w:vAlign w:val="center"/>
            <w:hideMark/>
          </w:tcPr>
          <w:p w14:paraId="2582F219" w14:textId="77777777" w:rsidR="00AB5D51" w:rsidRPr="00A25827" w:rsidRDefault="00AB5D51" w:rsidP="00AB5D51">
            <w:pPr>
              <w:widowControl/>
              <w:autoSpaceDE/>
              <w:autoSpaceDN/>
              <w:jc w:val="center"/>
              <w:rPr>
                <w:b/>
                <w:bCs/>
                <w:color w:val="000000"/>
                <w:sz w:val="20"/>
                <w:szCs w:val="20"/>
                <w:lang w:val="en-IN" w:eastAsia="en-IN"/>
              </w:rPr>
            </w:pPr>
            <w:r w:rsidRPr="00A25827">
              <w:rPr>
                <w:b/>
                <w:bCs/>
                <w:color w:val="000000"/>
                <w:sz w:val="20"/>
                <w:szCs w:val="20"/>
                <w:lang w:eastAsia="en-IN"/>
              </w:rPr>
              <w:t>Fibrosis stage</w:t>
            </w:r>
          </w:p>
        </w:tc>
        <w:tc>
          <w:tcPr>
            <w:tcW w:w="2017" w:type="dxa"/>
            <w:tcBorders>
              <w:top w:val="single" w:sz="4" w:space="0" w:color="auto"/>
              <w:left w:val="nil"/>
              <w:bottom w:val="single" w:sz="4" w:space="0" w:color="auto"/>
              <w:right w:val="single" w:sz="4" w:space="0" w:color="auto"/>
            </w:tcBorders>
            <w:noWrap/>
            <w:vAlign w:val="center"/>
            <w:hideMark/>
          </w:tcPr>
          <w:p w14:paraId="2B8E615B" w14:textId="77777777" w:rsidR="00AB5D51" w:rsidRPr="00A25827" w:rsidRDefault="00AB5D51" w:rsidP="00AB5D51">
            <w:pPr>
              <w:widowControl/>
              <w:autoSpaceDE/>
              <w:autoSpaceDN/>
              <w:jc w:val="center"/>
              <w:rPr>
                <w:b/>
                <w:bCs/>
                <w:color w:val="000000"/>
                <w:sz w:val="20"/>
                <w:szCs w:val="20"/>
                <w:lang w:val="en-IN" w:eastAsia="en-IN"/>
              </w:rPr>
            </w:pPr>
            <w:r w:rsidRPr="00A25827">
              <w:rPr>
                <w:b/>
                <w:bCs/>
                <w:color w:val="000000"/>
                <w:sz w:val="20"/>
                <w:szCs w:val="20"/>
                <w:lang w:eastAsia="en-IN"/>
              </w:rPr>
              <w:t>Sensitivity (95% Confidence interval)</w:t>
            </w:r>
          </w:p>
        </w:tc>
        <w:tc>
          <w:tcPr>
            <w:tcW w:w="2303" w:type="dxa"/>
            <w:tcBorders>
              <w:top w:val="single" w:sz="4" w:space="0" w:color="auto"/>
              <w:left w:val="nil"/>
              <w:bottom w:val="single" w:sz="4" w:space="0" w:color="auto"/>
              <w:right w:val="single" w:sz="4" w:space="0" w:color="auto"/>
            </w:tcBorders>
            <w:noWrap/>
            <w:vAlign w:val="center"/>
            <w:hideMark/>
          </w:tcPr>
          <w:p w14:paraId="1039A359" w14:textId="77777777" w:rsidR="00AB5D51" w:rsidRPr="00A25827" w:rsidRDefault="00AB5D51" w:rsidP="00AB5D51">
            <w:pPr>
              <w:widowControl/>
              <w:autoSpaceDE/>
              <w:autoSpaceDN/>
              <w:jc w:val="center"/>
              <w:rPr>
                <w:b/>
                <w:bCs/>
                <w:color w:val="000000"/>
                <w:sz w:val="20"/>
                <w:szCs w:val="20"/>
                <w:lang w:val="en-IN" w:eastAsia="en-IN"/>
              </w:rPr>
            </w:pPr>
            <w:proofErr w:type="spellStart"/>
            <w:r w:rsidRPr="00A25827">
              <w:rPr>
                <w:b/>
                <w:bCs/>
                <w:color w:val="000000"/>
                <w:sz w:val="20"/>
                <w:szCs w:val="20"/>
                <w:lang w:eastAsia="en-IN"/>
              </w:rPr>
              <w:t>Specitivity</w:t>
            </w:r>
            <w:proofErr w:type="spellEnd"/>
            <w:r w:rsidRPr="00A25827">
              <w:rPr>
                <w:b/>
                <w:bCs/>
                <w:color w:val="000000"/>
                <w:sz w:val="20"/>
                <w:szCs w:val="20"/>
                <w:lang w:eastAsia="en-IN"/>
              </w:rPr>
              <w:t xml:space="preserve"> (95% Confidence interval)</w:t>
            </w:r>
          </w:p>
        </w:tc>
      </w:tr>
      <w:tr w:rsidR="00AB5D51" w:rsidRPr="00ED1563" w14:paraId="4D992137" w14:textId="77777777" w:rsidTr="00A25827">
        <w:trPr>
          <w:trHeight w:val="300"/>
          <w:jc w:val="center"/>
        </w:trPr>
        <w:tc>
          <w:tcPr>
            <w:tcW w:w="1666" w:type="dxa"/>
            <w:tcBorders>
              <w:top w:val="nil"/>
              <w:left w:val="single" w:sz="4" w:space="0" w:color="auto"/>
              <w:bottom w:val="single" w:sz="4" w:space="0" w:color="auto"/>
              <w:right w:val="single" w:sz="4" w:space="0" w:color="auto"/>
            </w:tcBorders>
            <w:noWrap/>
            <w:vAlign w:val="center"/>
            <w:hideMark/>
          </w:tcPr>
          <w:p w14:paraId="3935CF5F"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 xml:space="preserve">CHB </w:t>
            </w:r>
          </w:p>
        </w:tc>
        <w:tc>
          <w:tcPr>
            <w:tcW w:w="1276" w:type="dxa"/>
            <w:tcBorders>
              <w:top w:val="nil"/>
              <w:left w:val="nil"/>
              <w:bottom w:val="single" w:sz="4" w:space="0" w:color="auto"/>
              <w:right w:val="single" w:sz="4" w:space="0" w:color="auto"/>
            </w:tcBorders>
            <w:noWrap/>
            <w:vAlign w:val="center"/>
            <w:hideMark/>
          </w:tcPr>
          <w:p w14:paraId="6061400F"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F2</w:t>
            </w:r>
          </w:p>
        </w:tc>
        <w:tc>
          <w:tcPr>
            <w:tcW w:w="2017" w:type="dxa"/>
            <w:tcBorders>
              <w:top w:val="nil"/>
              <w:left w:val="nil"/>
              <w:bottom w:val="single" w:sz="4" w:space="0" w:color="auto"/>
              <w:right w:val="single" w:sz="4" w:space="0" w:color="auto"/>
            </w:tcBorders>
            <w:noWrap/>
            <w:vAlign w:val="center"/>
            <w:hideMark/>
          </w:tcPr>
          <w:p w14:paraId="0DE36368"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0.822 (0.891 0.891)</w:t>
            </w:r>
          </w:p>
        </w:tc>
        <w:tc>
          <w:tcPr>
            <w:tcW w:w="2303" w:type="dxa"/>
            <w:tcBorders>
              <w:top w:val="nil"/>
              <w:left w:val="nil"/>
              <w:bottom w:val="single" w:sz="4" w:space="0" w:color="auto"/>
              <w:right w:val="single" w:sz="4" w:space="0" w:color="auto"/>
            </w:tcBorders>
            <w:noWrap/>
            <w:vAlign w:val="center"/>
            <w:hideMark/>
          </w:tcPr>
          <w:p w14:paraId="67694C18"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0.892 (0.93 0.93)</w:t>
            </w:r>
          </w:p>
        </w:tc>
      </w:tr>
      <w:tr w:rsidR="00AB5D51" w:rsidRPr="00ED1563" w14:paraId="3A688719" w14:textId="77777777" w:rsidTr="00A25827">
        <w:trPr>
          <w:trHeight w:val="300"/>
          <w:jc w:val="center"/>
        </w:trPr>
        <w:tc>
          <w:tcPr>
            <w:tcW w:w="1666" w:type="dxa"/>
            <w:tcBorders>
              <w:top w:val="nil"/>
              <w:left w:val="single" w:sz="4" w:space="0" w:color="auto"/>
              <w:bottom w:val="single" w:sz="4" w:space="0" w:color="auto"/>
              <w:right w:val="single" w:sz="4" w:space="0" w:color="auto"/>
            </w:tcBorders>
            <w:noWrap/>
            <w:vAlign w:val="center"/>
            <w:hideMark/>
          </w:tcPr>
          <w:p w14:paraId="069C156C"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 </w:t>
            </w:r>
          </w:p>
        </w:tc>
        <w:tc>
          <w:tcPr>
            <w:tcW w:w="1276" w:type="dxa"/>
            <w:tcBorders>
              <w:top w:val="nil"/>
              <w:left w:val="nil"/>
              <w:bottom w:val="single" w:sz="4" w:space="0" w:color="auto"/>
              <w:right w:val="single" w:sz="4" w:space="0" w:color="auto"/>
            </w:tcBorders>
            <w:noWrap/>
            <w:vAlign w:val="center"/>
            <w:hideMark/>
          </w:tcPr>
          <w:p w14:paraId="2CEE8CEE"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F3</w:t>
            </w:r>
          </w:p>
        </w:tc>
        <w:tc>
          <w:tcPr>
            <w:tcW w:w="2017" w:type="dxa"/>
            <w:tcBorders>
              <w:top w:val="nil"/>
              <w:left w:val="nil"/>
              <w:bottom w:val="single" w:sz="4" w:space="0" w:color="auto"/>
              <w:right w:val="single" w:sz="4" w:space="0" w:color="auto"/>
            </w:tcBorders>
            <w:noWrap/>
            <w:vAlign w:val="center"/>
            <w:hideMark/>
          </w:tcPr>
          <w:p w14:paraId="56A13EE2"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0.912 (0.794 0.966)</w:t>
            </w:r>
          </w:p>
        </w:tc>
        <w:tc>
          <w:tcPr>
            <w:tcW w:w="2303" w:type="dxa"/>
            <w:tcBorders>
              <w:top w:val="nil"/>
              <w:left w:val="nil"/>
              <w:bottom w:val="single" w:sz="4" w:space="0" w:color="auto"/>
              <w:right w:val="single" w:sz="4" w:space="0" w:color="auto"/>
            </w:tcBorders>
            <w:noWrap/>
            <w:vAlign w:val="center"/>
            <w:hideMark/>
          </w:tcPr>
          <w:p w14:paraId="02F63554"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0.906 (0.737 0.971)</w:t>
            </w:r>
          </w:p>
        </w:tc>
      </w:tr>
      <w:tr w:rsidR="00AB5D51" w:rsidRPr="00ED1563" w14:paraId="6C99C16A" w14:textId="77777777" w:rsidTr="00A25827">
        <w:trPr>
          <w:trHeight w:val="300"/>
          <w:jc w:val="center"/>
        </w:trPr>
        <w:tc>
          <w:tcPr>
            <w:tcW w:w="1666" w:type="dxa"/>
            <w:tcBorders>
              <w:top w:val="nil"/>
              <w:left w:val="single" w:sz="4" w:space="0" w:color="auto"/>
              <w:bottom w:val="single" w:sz="4" w:space="0" w:color="auto"/>
              <w:right w:val="single" w:sz="4" w:space="0" w:color="auto"/>
            </w:tcBorders>
            <w:noWrap/>
            <w:vAlign w:val="center"/>
            <w:hideMark/>
          </w:tcPr>
          <w:p w14:paraId="57138AAC"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 </w:t>
            </w:r>
          </w:p>
        </w:tc>
        <w:tc>
          <w:tcPr>
            <w:tcW w:w="1276" w:type="dxa"/>
            <w:tcBorders>
              <w:top w:val="nil"/>
              <w:left w:val="nil"/>
              <w:bottom w:val="single" w:sz="4" w:space="0" w:color="auto"/>
              <w:right w:val="single" w:sz="4" w:space="0" w:color="auto"/>
            </w:tcBorders>
            <w:noWrap/>
            <w:vAlign w:val="center"/>
            <w:hideMark/>
          </w:tcPr>
          <w:p w14:paraId="23BBC8FE"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F4</w:t>
            </w:r>
          </w:p>
        </w:tc>
        <w:tc>
          <w:tcPr>
            <w:tcW w:w="2017" w:type="dxa"/>
            <w:tcBorders>
              <w:top w:val="nil"/>
              <w:left w:val="nil"/>
              <w:bottom w:val="single" w:sz="4" w:space="0" w:color="auto"/>
              <w:right w:val="single" w:sz="4" w:space="0" w:color="auto"/>
            </w:tcBorders>
            <w:noWrap/>
            <w:vAlign w:val="center"/>
            <w:hideMark/>
          </w:tcPr>
          <w:p w14:paraId="761A9050"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0.895 (0.822 0.941)</w:t>
            </w:r>
          </w:p>
        </w:tc>
        <w:tc>
          <w:tcPr>
            <w:tcW w:w="2303" w:type="dxa"/>
            <w:tcBorders>
              <w:top w:val="nil"/>
              <w:left w:val="nil"/>
              <w:bottom w:val="single" w:sz="4" w:space="0" w:color="auto"/>
              <w:right w:val="single" w:sz="4" w:space="0" w:color="auto"/>
            </w:tcBorders>
            <w:noWrap/>
            <w:vAlign w:val="center"/>
            <w:hideMark/>
          </w:tcPr>
          <w:p w14:paraId="741F374F"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0.882 (0.847 0.91)</w:t>
            </w:r>
          </w:p>
        </w:tc>
      </w:tr>
      <w:tr w:rsidR="00AB5D51" w:rsidRPr="00ED1563" w14:paraId="01F69405" w14:textId="77777777" w:rsidTr="00A25827">
        <w:trPr>
          <w:trHeight w:val="300"/>
          <w:jc w:val="center"/>
        </w:trPr>
        <w:tc>
          <w:tcPr>
            <w:tcW w:w="1666" w:type="dxa"/>
            <w:tcBorders>
              <w:top w:val="nil"/>
              <w:left w:val="single" w:sz="4" w:space="0" w:color="auto"/>
              <w:bottom w:val="single" w:sz="4" w:space="0" w:color="auto"/>
              <w:right w:val="single" w:sz="4" w:space="0" w:color="auto"/>
            </w:tcBorders>
            <w:noWrap/>
            <w:vAlign w:val="center"/>
            <w:hideMark/>
          </w:tcPr>
          <w:p w14:paraId="619DF91D"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CHC</w:t>
            </w:r>
          </w:p>
        </w:tc>
        <w:tc>
          <w:tcPr>
            <w:tcW w:w="1276" w:type="dxa"/>
            <w:tcBorders>
              <w:top w:val="nil"/>
              <w:left w:val="nil"/>
              <w:bottom w:val="single" w:sz="4" w:space="0" w:color="auto"/>
              <w:right w:val="single" w:sz="4" w:space="0" w:color="auto"/>
            </w:tcBorders>
            <w:noWrap/>
            <w:vAlign w:val="center"/>
            <w:hideMark/>
          </w:tcPr>
          <w:p w14:paraId="046AC640"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F2</w:t>
            </w:r>
          </w:p>
        </w:tc>
        <w:tc>
          <w:tcPr>
            <w:tcW w:w="2017" w:type="dxa"/>
            <w:tcBorders>
              <w:top w:val="nil"/>
              <w:left w:val="nil"/>
              <w:bottom w:val="single" w:sz="4" w:space="0" w:color="auto"/>
              <w:right w:val="single" w:sz="4" w:space="0" w:color="auto"/>
            </w:tcBorders>
            <w:noWrap/>
            <w:vAlign w:val="center"/>
            <w:hideMark/>
          </w:tcPr>
          <w:p w14:paraId="0F442A45"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0.836 (0.726 0.908)</w:t>
            </w:r>
          </w:p>
        </w:tc>
        <w:tc>
          <w:tcPr>
            <w:tcW w:w="2303" w:type="dxa"/>
            <w:tcBorders>
              <w:top w:val="nil"/>
              <w:left w:val="nil"/>
              <w:bottom w:val="single" w:sz="4" w:space="0" w:color="auto"/>
              <w:right w:val="single" w:sz="4" w:space="0" w:color="auto"/>
            </w:tcBorders>
            <w:noWrap/>
            <w:vAlign w:val="center"/>
            <w:hideMark/>
          </w:tcPr>
          <w:p w14:paraId="45164234"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0.707 (0.475 0.865)</w:t>
            </w:r>
          </w:p>
        </w:tc>
      </w:tr>
      <w:tr w:rsidR="00AB5D51" w:rsidRPr="00ED1563" w14:paraId="64F322B3" w14:textId="77777777" w:rsidTr="00A25827">
        <w:trPr>
          <w:trHeight w:val="300"/>
          <w:jc w:val="center"/>
        </w:trPr>
        <w:tc>
          <w:tcPr>
            <w:tcW w:w="1666" w:type="dxa"/>
            <w:tcBorders>
              <w:top w:val="nil"/>
              <w:left w:val="single" w:sz="4" w:space="0" w:color="auto"/>
              <w:bottom w:val="single" w:sz="4" w:space="0" w:color="auto"/>
              <w:right w:val="single" w:sz="4" w:space="0" w:color="auto"/>
            </w:tcBorders>
            <w:noWrap/>
            <w:vAlign w:val="center"/>
            <w:hideMark/>
          </w:tcPr>
          <w:p w14:paraId="6B993019"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 </w:t>
            </w:r>
          </w:p>
        </w:tc>
        <w:tc>
          <w:tcPr>
            <w:tcW w:w="1276" w:type="dxa"/>
            <w:tcBorders>
              <w:top w:val="nil"/>
              <w:left w:val="nil"/>
              <w:bottom w:val="single" w:sz="4" w:space="0" w:color="auto"/>
              <w:right w:val="single" w:sz="4" w:space="0" w:color="auto"/>
            </w:tcBorders>
            <w:noWrap/>
            <w:vAlign w:val="center"/>
            <w:hideMark/>
          </w:tcPr>
          <w:p w14:paraId="6ED71655"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F4</w:t>
            </w:r>
          </w:p>
        </w:tc>
        <w:tc>
          <w:tcPr>
            <w:tcW w:w="2017" w:type="dxa"/>
            <w:tcBorders>
              <w:top w:val="nil"/>
              <w:left w:val="nil"/>
              <w:bottom w:val="single" w:sz="4" w:space="0" w:color="auto"/>
              <w:right w:val="single" w:sz="4" w:space="0" w:color="auto"/>
            </w:tcBorders>
            <w:noWrap/>
            <w:vAlign w:val="center"/>
            <w:hideMark/>
          </w:tcPr>
          <w:p w14:paraId="4C80B756"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0.943 (0.837–0.982)</w:t>
            </w:r>
          </w:p>
        </w:tc>
        <w:tc>
          <w:tcPr>
            <w:tcW w:w="2303" w:type="dxa"/>
            <w:tcBorders>
              <w:top w:val="nil"/>
              <w:left w:val="nil"/>
              <w:bottom w:val="single" w:sz="4" w:space="0" w:color="auto"/>
              <w:right w:val="single" w:sz="4" w:space="0" w:color="auto"/>
            </w:tcBorders>
            <w:noWrap/>
            <w:vAlign w:val="center"/>
            <w:hideMark/>
          </w:tcPr>
          <w:p w14:paraId="01062CD9"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0.912 (0.872–0.940)</w:t>
            </w:r>
          </w:p>
        </w:tc>
      </w:tr>
      <w:tr w:rsidR="00AB5D51" w:rsidRPr="00ED1563" w14:paraId="0C61A9E5" w14:textId="77777777" w:rsidTr="00A25827">
        <w:trPr>
          <w:trHeight w:val="300"/>
          <w:jc w:val="center"/>
        </w:trPr>
        <w:tc>
          <w:tcPr>
            <w:tcW w:w="1666" w:type="dxa"/>
            <w:tcBorders>
              <w:top w:val="nil"/>
              <w:left w:val="single" w:sz="4" w:space="0" w:color="auto"/>
              <w:bottom w:val="single" w:sz="4" w:space="0" w:color="auto"/>
              <w:right w:val="single" w:sz="4" w:space="0" w:color="auto"/>
            </w:tcBorders>
            <w:noWrap/>
            <w:vAlign w:val="center"/>
            <w:hideMark/>
          </w:tcPr>
          <w:p w14:paraId="5E870AC3"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CLD</w:t>
            </w:r>
          </w:p>
        </w:tc>
        <w:tc>
          <w:tcPr>
            <w:tcW w:w="1276" w:type="dxa"/>
            <w:tcBorders>
              <w:top w:val="nil"/>
              <w:left w:val="nil"/>
              <w:bottom w:val="single" w:sz="4" w:space="0" w:color="auto"/>
              <w:right w:val="single" w:sz="4" w:space="0" w:color="auto"/>
            </w:tcBorders>
            <w:noWrap/>
            <w:vAlign w:val="center"/>
            <w:hideMark/>
          </w:tcPr>
          <w:p w14:paraId="7DB4C90E"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F1</w:t>
            </w:r>
          </w:p>
        </w:tc>
        <w:tc>
          <w:tcPr>
            <w:tcW w:w="2017" w:type="dxa"/>
            <w:tcBorders>
              <w:top w:val="nil"/>
              <w:left w:val="nil"/>
              <w:bottom w:val="single" w:sz="4" w:space="0" w:color="auto"/>
              <w:right w:val="single" w:sz="4" w:space="0" w:color="auto"/>
            </w:tcBorders>
            <w:noWrap/>
            <w:vAlign w:val="center"/>
            <w:hideMark/>
          </w:tcPr>
          <w:p w14:paraId="1B9225B5"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0.852 (0.642–0.949)</w:t>
            </w:r>
          </w:p>
        </w:tc>
        <w:tc>
          <w:tcPr>
            <w:tcW w:w="2303" w:type="dxa"/>
            <w:tcBorders>
              <w:top w:val="nil"/>
              <w:left w:val="nil"/>
              <w:bottom w:val="single" w:sz="4" w:space="0" w:color="auto"/>
              <w:right w:val="single" w:sz="4" w:space="0" w:color="auto"/>
            </w:tcBorders>
            <w:noWrap/>
            <w:vAlign w:val="center"/>
            <w:hideMark/>
          </w:tcPr>
          <w:p w14:paraId="50BD61E7"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0.820 (0.565–0.942)</w:t>
            </w:r>
          </w:p>
        </w:tc>
      </w:tr>
      <w:tr w:rsidR="00AB5D51" w:rsidRPr="00ED1563" w14:paraId="307EDF2C" w14:textId="77777777" w:rsidTr="00A25827">
        <w:trPr>
          <w:trHeight w:val="300"/>
          <w:jc w:val="center"/>
        </w:trPr>
        <w:tc>
          <w:tcPr>
            <w:tcW w:w="1666" w:type="dxa"/>
            <w:tcBorders>
              <w:top w:val="nil"/>
              <w:left w:val="single" w:sz="4" w:space="0" w:color="auto"/>
              <w:bottom w:val="single" w:sz="4" w:space="0" w:color="auto"/>
              <w:right w:val="single" w:sz="4" w:space="0" w:color="auto"/>
            </w:tcBorders>
            <w:noWrap/>
            <w:vAlign w:val="center"/>
            <w:hideMark/>
          </w:tcPr>
          <w:p w14:paraId="19BF7AE7"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 </w:t>
            </w:r>
          </w:p>
        </w:tc>
        <w:tc>
          <w:tcPr>
            <w:tcW w:w="1276" w:type="dxa"/>
            <w:tcBorders>
              <w:top w:val="nil"/>
              <w:left w:val="nil"/>
              <w:bottom w:val="single" w:sz="4" w:space="0" w:color="auto"/>
              <w:right w:val="single" w:sz="4" w:space="0" w:color="auto"/>
            </w:tcBorders>
            <w:noWrap/>
            <w:vAlign w:val="center"/>
            <w:hideMark/>
          </w:tcPr>
          <w:p w14:paraId="61DAB90C"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F2</w:t>
            </w:r>
          </w:p>
        </w:tc>
        <w:tc>
          <w:tcPr>
            <w:tcW w:w="2017" w:type="dxa"/>
            <w:tcBorders>
              <w:top w:val="nil"/>
              <w:left w:val="nil"/>
              <w:bottom w:val="single" w:sz="4" w:space="0" w:color="auto"/>
              <w:right w:val="single" w:sz="4" w:space="0" w:color="auto"/>
            </w:tcBorders>
            <w:noWrap/>
            <w:vAlign w:val="center"/>
            <w:hideMark/>
          </w:tcPr>
          <w:p w14:paraId="1EF9E5FE"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0.848 (0.792–0.891)</w:t>
            </w:r>
          </w:p>
        </w:tc>
        <w:tc>
          <w:tcPr>
            <w:tcW w:w="2303" w:type="dxa"/>
            <w:tcBorders>
              <w:top w:val="nil"/>
              <w:left w:val="nil"/>
              <w:bottom w:val="single" w:sz="4" w:space="0" w:color="auto"/>
              <w:right w:val="single" w:sz="4" w:space="0" w:color="auto"/>
            </w:tcBorders>
            <w:noWrap/>
            <w:vAlign w:val="center"/>
            <w:hideMark/>
          </w:tcPr>
          <w:p w14:paraId="73F8F293"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0.796 (0.715–0.858)</w:t>
            </w:r>
          </w:p>
        </w:tc>
      </w:tr>
      <w:tr w:rsidR="00AB5D51" w:rsidRPr="00ED1563" w14:paraId="0308E1C3" w14:textId="77777777" w:rsidTr="00A25827">
        <w:trPr>
          <w:trHeight w:val="300"/>
          <w:jc w:val="center"/>
        </w:trPr>
        <w:tc>
          <w:tcPr>
            <w:tcW w:w="1666" w:type="dxa"/>
            <w:tcBorders>
              <w:top w:val="nil"/>
              <w:left w:val="single" w:sz="4" w:space="0" w:color="auto"/>
              <w:bottom w:val="single" w:sz="4" w:space="0" w:color="auto"/>
              <w:right w:val="single" w:sz="4" w:space="0" w:color="auto"/>
            </w:tcBorders>
            <w:noWrap/>
            <w:vAlign w:val="center"/>
            <w:hideMark/>
          </w:tcPr>
          <w:p w14:paraId="0E4478DF"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 </w:t>
            </w:r>
          </w:p>
        </w:tc>
        <w:tc>
          <w:tcPr>
            <w:tcW w:w="1276" w:type="dxa"/>
            <w:tcBorders>
              <w:top w:val="nil"/>
              <w:left w:val="nil"/>
              <w:bottom w:val="single" w:sz="4" w:space="0" w:color="auto"/>
              <w:right w:val="single" w:sz="4" w:space="0" w:color="auto"/>
            </w:tcBorders>
            <w:noWrap/>
            <w:vAlign w:val="center"/>
            <w:hideMark/>
          </w:tcPr>
          <w:p w14:paraId="73DDCD56"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F3</w:t>
            </w:r>
          </w:p>
        </w:tc>
        <w:tc>
          <w:tcPr>
            <w:tcW w:w="2017" w:type="dxa"/>
            <w:tcBorders>
              <w:top w:val="nil"/>
              <w:left w:val="nil"/>
              <w:bottom w:val="single" w:sz="4" w:space="0" w:color="auto"/>
              <w:right w:val="single" w:sz="4" w:space="0" w:color="auto"/>
            </w:tcBorders>
            <w:noWrap/>
            <w:vAlign w:val="center"/>
            <w:hideMark/>
          </w:tcPr>
          <w:p w14:paraId="1F1B63A4"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0.863 (0.793–0.912)</w:t>
            </w:r>
          </w:p>
        </w:tc>
        <w:tc>
          <w:tcPr>
            <w:tcW w:w="2303" w:type="dxa"/>
            <w:tcBorders>
              <w:top w:val="nil"/>
              <w:left w:val="nil"/>
              <w:bottom w:val="single" w:sz="4" w:space="0" w:color="auto"/>
              <w:right w:val="single" w:sz="4" w:space="0" w:color="auto"/>
            </w:tcBorders>
            <w:noWrap/>
            <w:vAlign w:val="center"/>
            <w:hideMark/>
          </w:tcPr>
          <w:p w14:paraId="78CA46BE"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0.876 (0.827–0.913)</w:t>
            </w:r>
          </w:p>
        </w:tc>
      </w:tr>
      <w:tr w:rsidR="00AB5D51" w:rsidRPr="00ED1563" w14:paraId="329A1342" w14:textId="77777777" w:rsidTr="00A25827">
        <w:trPr>
          <w:trHeight w:val="300"/>
          <w:jc w:val="center"/>
        </w:trPr>
        <w:tc>
          <w:tcPr>
            <w:tcW w:w="1666" w:type="dxa"/>
            <w:tcBorders>
              <w:top w:val="nil"/>
              <w:left w:val="single" w:sz="4" w:space="0" w:color="auto"/>
              <w:bottom w:val="single" w:sz="4" w:space="0" w:color="auto"/>
              <w:right w:val="single" w:sz="4" w:space="0" w:color="auto"/>
            </w:tcBorders>
            <w:noWrap/>
            <w:vAlign w:val="center"/>
            <w:hideMark/>
          </w:tcPr>
          <w:p w14:paraId="06C99756"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 </w:t>
            </w:r>
          </w:p>
        </w:tc>
        <w:tc>
          <w:tcPr>
            <w:tcW w:w="1276" w:type="dxa"/>
            <w:tcBorders>
              <w:top w:val="nil"/>
              <w:left w:val="nil"/>
              <w:bottom w:val="single" w:sz="4" w:space="0" w:color="auto"/>
              <w:right w:val="single" w:sz="4" w:space="0" w:color="auto"/>
            </w:tcBorders>
            <w:noWrap/>
            <w:vAlign w:val="center"/>
            <w:hideMark/>
          </w:tcPr>
          <w:p w14:paraId="7EBF7922"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F4</w:t>
            </w:r>
          </w:p>
        </w:tc>
        <w:tc>
          <w:tcPr>
            <w:tcW w:w="2017" w:type="dxa"/>
            <w:tcBorders>
              <w:top w:val="nil"/>
              <w:left w:val="nil"/>
              <w:bottom w:val="single" w:sz="4" w:space="0" w:color="auto"/>
              <w:right w:val="single" w:sz="4" w:space="0" w:color="auto"/>
            </w:tcBorders>
            <w:noWrap/>
            <w:vAlign w:val="center"/>
            <w:hideMark/>
          </w:tcPr>
          <w:p w14:paraId="12971BB6"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0.865 (0.747–0.933)</w:t>
            </w:r>
          </w:p>
        </w:tc>
        <w:tc>
          <w:tcPr>
            <w:tcW w:w="2303" w:type="dxa"/>
            <w:tcBorders>
              <w:top w:val="nil"/>
              <w:left w:val="nil"/>
              <w:bottom w:val="single" w:sz="4" w:space="0" w:color="auto"/>
              <w:right w:val="single" w:sz="4" w:space="0" w:color="auto"/>
            </w:tcBorders>
            <w:noWrap/>
            <w:vAlign w:val="center"/>
            <w:hideMark/>
          </w:tcPr>
          <w:p w14:paraId="4A0EBDF4"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0.878 (0.808–0.925)</w:t>
            </w:r>
          </w:p>
        </w:tc>
      </w:tr>
      <w:tr w:rsidR="00AB5D51" w:rsidRPr="00ED1563" w14:paraId="7BB86919" w14:textId="77777777" w:rsidTr="00A25827">
        <w:trPr>
          <w:trHeight w:val="300"/>
          <w:jc w:val="center"/>
        </w:trPr>
        <w:tc>
          <w:tcPr>
            <w:tcW w:w="1666" w:type="dxa"/>
            <w:tcBorders>
              <w:top w:val="nil"/>
              <w:left w:val="single" w:sz="4" w:space="0" w:color="auto"/>
              <w:bottom w:val="single" w:sz="4" w:space="0" w:color="auto"/>
              <w:right w:val="single" w:sz="4" w:space="0" w:color="auto"/>
            </w:tcBorders>
            <w:noWrap/>
            <w:vAlign w:val="center"/>
            <w:hideMark/>
          </w:tcPr>
          <w:p w14:paraId="5BE187BE"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NAFLD</w:t>
            </w:r>
          </w:p>
        </w:tc>
        <w:tc>
          <w:tcPr>
            <w:tcW w:w="1276" w:type="dxa"/>
            <w:tcBorders>
              <w:top w:val="nil"/>
              <w:left w:val="nil"/>
              <w:bottom w:val="single" w:sz="4" w:space="0" w:color="auto"/>
              <w:right w:val="single" w:sz="4" w:space="0" w:color="auto"/>
            </w:tcBorders>
            <w:noWrap/>
            <w:vAlign w:val="center"/>
            <w:hideMark/>
          </w:tcPr>
          <w:p w14:paraId="762169C6"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F2</w:t>
            </w:r>
          </w:p>
        </w:tc>
        <w:tc>
          <w:tcPr>
            <w:tcW w:w="2017" w:type="dxa"/>
            <w:tcBorders>
              <w:top w:val="nil"/>
              <w:left w:val="nil"/>
              <w:bottom w:val="single" w:sz="4" w:space="0" w:color="auto"/>
              <w:right w:val="single" w:sz="4" w:space="0" w:color="auto"/>
            </w:tcBorders>
            <w:noWrap/>
            <w:vAlign w:val="center"/>
            <w:hideMark/>
          </w:tcPr>
          <w:p w14:paraId="7AE3C464"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0.873 (0.738–0.943)</w:t>
            </w:r>
          </w:p>
        </w:tc>
        <w:tc>
          <w:tcPr>
            <w:tcW w:w="2303" w:type="dxa"/>
            <w:tcBorders>
              <w:top w:val="nil"/>
              <w:left w:val="nil"/>
              <w:bottom w:val="single" w:sz="4" w:space="0" w:color="auto"/>
              <w:right w:val="single" w:sz="4" w:space="0" w:color="auto"/>
            </w:tcBorders>
            <w:noWrap/>
            <w:vAlign w:val="center"/>
            <w:hideMark/>
          </w:tcPr>
          <w:p w14:paraId="0EF22D16"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0.952 (0.751–0.992)</w:t>
            </w:r>
          </w:p>
        </w:tc>
      </w:tr>
      <w:tr w:rsidR="00AB5D51" w:rsidRPr="00ED1563" w14:paraId="18826B39" w14:textId="77777777" w:rsidTr="00A25827">
        <w:trPr>
          <w:trHeight w:val="300"/>
          <w:jc w:val="center"/>
        </w:trPr>
        <w:tc>
          <w:tcPr>
            <w:tcW w:w="1666" w:type="dxa"/>
            <w:tcBorders>
              <w:top w:val="nil"/>
              <w:left w:val="single" w:sz="4" w:space="0" w:color="auto"/>
              <w:bottom w:val="single" w:sz="4" w:space="0" w:color="auto"/>
              <w:right w:val="single" w:sz="4" w:space="0" w:color="auto"/>
            </w:tcBorders>
            <w:noWrap/>
            <w:vAlign w:val="center"/>
            <w:hideMark/>
          </w:tcPr>
          <w:p w14:paraId="6CA4E88E"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 </w:t>
            </w:r>
          </w:p>
        </w:tc>
        <w:tc>
          <w:tcPr>
            <w:tcW w:w="1276" w:type="dxa"/>
            <w:tcBorders>
              <w:top w:val="nil"/>
              <w:left w:val="nil"/>
              <w:bottom w:val="single" w:sz="4" w:space="0" w:color="auto"/>
              <w:right w:val="single" w:sz="4" w:space="0" w:color="auto"/>
            </w:tcBorders>
            <w:noWrap/>
            <w:vAlign w:val="center"/>
            <w:hideMark/>
          </w:tcPr>
          <w:p w14:paraId="0D7A6ED3"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F3</w:t>
            </w:r>
          </w:p>
        </w:tc>
        <w:tc>
          <w:tcPr>
            <w:tcW w:w="2017" w:type="dxa"/>
            <w:tcBorders>
              <w:top w:val="nil"/>
              <w:left w:val="nil"/>
              <w:bottom w:val="single" w:sz="4" w:space="0" w:color="auto"/>
              <w:right w:val="single" w:sz="4" w:space="0" w:color="auto"/>
            </w:tcBorders>
            <w:noWrap/>
            <w:vAlign w:val="center"/>
            <w:hideMark/>
          </w:tcPr>
          <w:p w14:paraId="2CFA4309"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0.900 (0.668–0.975)</w:t>
            </w:r>
          </w:p>
        </w:tc>
        <w:tc>
          <w:tcPr>
            <w:tcW w:w="2303" w:type="dxa"/>
            <w:tcBorders>
              <w:top w:val="nil"/>
              <w:left w:val="nil"/>
              <w:bottom w:val="single" w:sz="4" w:space="0" w:color="auto"/>
              <w:right w:val="single" w:sz="4" w:space="0" w:color="auto"/>
            </w:tcBorders>
            <w:noWrap/>
            <w:vAlign w:val="center"/>
            <w:hideMark/>
          </w:tcPr>
          <w:p w14:paraId="17EA7475" w14:textId="77777777" w:rsidR="00AB5D51" w:rsidRPr="00ED1563" w:rsidRDefault="00AB5D51" w:rsidP="00AB5D51">
            <w:pPr>
              <w:widowControl/>
              <w:autoSpaceDE/>
              <w:autoSpaceDN/>
              <w:jc w:val="center"/>
              <w:rPr>
                <w:color w:val="000000"/>
                <w:sz w:val="20"/>
                <w:szCs w:val="20"/>
                <w:lang w:val="en-IN" w:eastAsia="en-IN"/>
              </w:rPr>
            </w:pPr>
            <w:r w:rsidRPr="00ED1563">
              <w:rPr>
                <w:color w:val="000000"/>
                <w:sz w:val="20"/>
                <w:szCs w:val="20"/>
                <w:lang w:eastAsia="en-IN"/>
              </w:rPr>
              <w:t>0.843 (0.752–0.905)</w:t>
            </w:r>
          </w:p>
        </w:tc>
      </w:tr>
    </w:tbl>
    <w:p w14:paraId="539290C4" w14:textId="77777777" w:rsidR="00AB5D51" w:rsidRDefault="00AB5D51" w:rsidP="00AB5D51"/>
    <w:p w14:paraId="708960C4" w14:textId="61AA9E66" w:rsidR="00AB5D51" w:rsidRPr="00ED1563" w:rsidRDefault="00AB5D51" w:rsidP="00AB5D51">
      <w:pPr>
        <w:spacing w:line="360" w:lineRule="auto"/>
        <w:jc w:val="both"/>
        <w:rPr>
          <w:sz w:val="18"/>
          <w:szCs w:val="18"/>
        </w:rPr>
      </w:pPr>
      <w:r w:rsidRPr="00ED1563">
        <w:rPr>
          <w:b/>
          <w:bCs/>
          <w:color w:val="4F81BD" w:themeColor="accent1"/>
          <w:sz w:val="18"/>
          <w:szCs w:val="18"/>
        </w:rPr>
        <w:t>Table 3</w:t>
      </w:r>
      <w:r w:rsidR="00ED1563" w:rsidRPr="00ED1563">
        <w:rPr>
          <w:b/>
          <w:bCs/>
          <w:color w:val="4F81BD" w:themeColor="accent1"/>
          <w:sz w:val="18"/>
          <w:szCs w:val="18"/>
        </w:rPr>
        <w:t>:</w:t>
      </w:r>
      <w:r w:rsidRPr="00ED1563">
        <w:rPr>
          <w:b/>
          <w:bCs/>
          <w:color w:val="4F81BD" w:themeColor="accent1"/>
          <w:sz w:val="18"/>
          <w:szCs w:val="18"/>
        </w:rPr>
        <w:t xml:space="preserve"> </w:t>
      </w:r>
      <w:r w:rsidRPr="00ED1563">
        <w:rPr>
          <w:sz w:val="18"/>
          <w:szCs w:val="18"/>
        </w:rPr>
        <w:t xml:space="preserve">Table showing subgroup analysis according to the disease </w:t>
      </w:r>
      <w:proofErr w:type="spellStart"/>
      <w:r w:rsidRPr="00ED1563">
        <w:rPr>
          <w:sz w:val="18"/>
          <w:szCs w:val="18"/>
        </w:rPr>
        <w:t>etioogy</w:t>
      </w:r>
      <w:proofErr w:type="spellEnd"/>
      <w:r w:rsidRPr="00ED1563">
        <w:rPr>
          <w:sz w:val="18"/>
          <w:szCs w:val="18"/>
        </w:rPr>
        <w:t xml:space="preserve">. F2, F3 and F4 represent the different stages of liver cirrhosis.  </w:t>
      </w:r>
    </w:p>
    <w:p w14:paraId="6E3F205F" w14:textId="77777777" w:rsidR="00AB5D51" w:rsidRPr="00AB5D51" w:rsidRDefault="00AB5D51" w:rsidP="00AB5D51"/>
    <w:p w14:paraId="4D8E07BB" w14:textId="771CA74E" w:rsidR="0044387B" w:rsidRPr="0044387B" w:rsidRDefault="0044387B" w:rsidP="001279D0">
      <w:pPr>
        <w:pStyle w:val="Heading2"/>
        <w:keepNext w:val="0"/>
        <w:keepLines w:val="0"/>
        <w:spacing w:before="0" w:line="360" w:lineRule="auto"/>
        <w:jc w:val="both"/>
        <w:rPr>
          <w:rFonts w:ascii="Times New Roman" w:eastAsia="Times New Roman" w:hAnsi="Times New Roman" w:cs="Times New Roman"/>
          <w:sz w:val="20"/>
          <w:szCs w:val="20"/>
        </w:rPr>
      </w:pPr>
      <w:bookmarkStart w:id="20" w:name="_heading=h.68ctn7ogghag" w:colFirst="0" w:colLast="0"/>
      <w:bookmarkEnd w:id="20"/>
      <w:r w:rsidRPr="001279D0">
        <w:rPr>
          <w:rFonts w:ascii="Times New Roman" w:eastAsia="Times New Roman" w:hAnsi="Times New Roman" w:cs="Times New Roman"/>
          <w:sz w:val="20"/>
          <w:szCs w:val="20"/>
        </w:rPr>
        <w:t>4.4 Subgroup Analysis by Disease Etiology</w:t>
      </w:r>
      <w:r w:rsidR="001279D0" w:rsidRPr="001279D0">
        <w:rPr>
          <w:rFonts w:ascii="Times New Roman" w:eastAsia="Times New Roman" w:hAnsi="Times New Roman" w:cs="Times New Roman"/>
          <w:sz w:val="20"/>
          <w:szCs w:val="20"/>
        </w:rPr>
        <w:t xml:space="preserve">: </w:t>
      </w:r>
      <w:r w:rsidRPr="001279D0">
        <w:rPr>
          <w:rFonts w:ascii="Times New Roman" w:eastAsia="Times New Roman" w:hAnsi="Times New Roman" w:cs="Times New Roman"/>
          <w:b w:val="0"/>
          <w:bCs w:val="0"/>
          <w:color w:val="auto"/>
          <w:sz w:val="20"/>
          <w:szCs w:val="20"/>
        </w:rPr>
        <w:t xml:space="preserve">Subgroup analyses confirmed </w:t>
      </w:r>
      <w:proofErr w:type="spellStart"/>
      <w:r w:rsidRPr="001279D0">
        <w:rPr>
          <w:rFonts w:ascii="Times New Roman" w:eastAsia="Times New Roman" w:hAnsi="Times New Roman" w:cs="Times New Roman"/>
          <w:b w:val="0"/>
          <w:bCs w:val="0"/>
          <w:color w:val="auto"/>
          <w:sz w:val="20"/>
          <w:szCs w:val="20"/>
        </w:rPr>
        <w:t>FibroScan’s</w:t>
      </w:r>
      <w:proofErr w:type="spellEnd"/>
      <w:r w:rsidRPr="001279D0">
        <w:rPr>
          <w:rFonts w:ascii="Times New Roman" w:eastAsia="Times New Roman" w:hAnsi="Times New Roman" w:cs="Times New Roman"/>
          <w:b w:val="0"/>
          <w:bCs w:val="0"/>
          <w:color w:val="auto"/>
          <w:sz w:val="20"/>
          <w:szCs w:val="20"/>
        </w:rPr>
        <w:t xml:space="preserve"> consistently strong performance across all etiological groups. Sensitivity and specificity were particularly high for advanced fibrosis and cirrhosis across all subgroups, with minor variability (notably lower specificity for F2 in the CHC subgroup). Results are provided in </w:t>
      </w:r>
      <w:r w:rsidR="001279D0">
        <w:rPr>
          <w:rFonts w:ascii="Times New Roman" w:eastAsia="Times New Roman" w:hAnsi="Times New Roman" w:cs="Times New Roman"/>
          <w:b w:val="0"/>
          <w:bCs w:val="0"/>
          <w:color w:val="auto"/>
          <w:sz w:val="20"/>
          <w:szCs w:val="20"/>
        </w:rPr>
        <w:t>t</w:t>
      </w:r>
      <w:r w:rsidRPr="001279D0">
        <w:rPr>
          <w:rFonts w:ascii="Times New Roman" w:eastAsia="Times New Roman" w:hAnsi="Times New Roman" w:cs="Times New Roman"/>
          <w:b w:val="0"/>
          <w:bCs w:val="0"/>
          <w:color w:val="auto"/>
          <w:sz w:val="20"/>
          <w:szCs w:val="20"/>
        </w:rPr>
        <w:t xml:space="preserve">able </w:t>
      </w:r>
      <w:r w:rsidR="00FE6435">
        <w:rPr>
          <w:rFonts w:ascii="Times New Roman" w:eastAsia="Times New Roman" w:hAnsi="Times New Roman" w:cs="Times New Roman"/>
          <w:b w:val="0"/>
          <w:bCs w:val="0"/>
          <w:color w:val="auto"/>
          <w:sz w:val="20"/>
          <w:szCs w:val="20"/>
        </w:rPr>
        <w:t>4</w:t>
      </w:r>
      <w:r w:rsidRPr="001279D0">
        <w:rPr>
          <w:rFonts w:ascii="Times New Roman" w:eastAsia="Times New Roman" w:hAnsi="Times New Roman" w:cs="Times New Roman"/>
          <w:b w:val="0"/>
          <w:bCs w:val="0"/>
          <w:color w:val="auto"/>
          <w:sz w:val="20"/>
          <w:szCs w:val="20"/>
        </w:rPr>
        <w:t xml:space="preserve"> and </w:t>
      </w:r>
      <w:r w:rsidR="00ED1563">
        <w:rPr>
          <w:rFonts w:ascii="Times New Roman" w:eastAsia="Times New Roman" w:hAnsi="Times New Roman" w:cs="Times New Roman"/>
          <w:b w:val="0"/>
          <w:bCs w:val="0"/>
          <w:color w:val="auto"/>
          <w:sz w:val="20"/>
          <w:szCs w:val="20"/>
        </w:rPr>
        <w:t>s</w:t>
      </w:r>
      <w:r w:rsidRPr="001279D0">
        <w:rPr>
          <w:rFonts w:ascii="Times New Roman" w:eastAsia="Times New Roman" w:hAnsi="Times New Roman" w:cs="Times New Roman"/>
          <w:b w:val="0"/>
          <w:bCs w:val="0"/>
          <w:color w:val="auto"/>
          <w:sz w:val="20"/>
          <w:szCs w:val="20"/>
        </w:rPr>
        <w:t xml:space="preserve">upplementary </w:t>
      </w:r>
      <w:r w:rsidR="00ED1563">
        <w:rPr>
          <w:rFonts w:ascii="Times New Roman" w:eastAsia="Times New Roman" w:hAnsi="Times New Roman" w:cs="Times New Roman"/>
          <w:b w:val="0"/>
          <w:bCs w:val="0"/>
          <w:color w:val="auto"/>
          <w:sz w:val="20"/>
          <w:szCs w:val="20"/>
        </w:rPr>
        <w:t>f</w:t>
      </w:r>
      <w:r w:rsidRPr="001279D0">
        <w:rPr>
          <w:rFonts w:ascii="Times New Roman" w:eastAsia="Times New Roman" w:hAnsi="Times New Roman" w:cs="Times New Roman"/>
          <w:b w:val="0"/>
          <w:bCs w:val="0"/>
          <w:color w:val="auto"/>
          <w:sz w:val="20"/>
          <w:szCs w:val="20"/>
        </w:rPr>
        <w:t>igures S13–S45.</w:t>
      </w:r>
    </w:p>
    <w:p w14:paraId="0219C7A0" w14:textId="619A818E" w:rsidR="0044387B" w:rsidRPr="001279D0" w:rsidRDefault="0044387B" w:rsidP="001279D0">
      <w:pPr>
        <w:pStyle w:val="Heading3"/>
        <w:keepNext w:val="0"/>
        <w:keepLines w:val="0"/>
        <w:spacing w:before="0" w:line="360" w:lineRule="auto"/>
        <w:jc w:val="both"/>
        <w:rPr>
          <w:rFonts w:ascii="Times New Roman" w:eastAsia="Times New Roman" w:hAnsi="Times New Roman" w:cs="Times New Roman"/>
          <w:b w:val="0"/>
          <w:bCs w:val="0"/>
          <w:color w:val="auto"/>
          <w:sz w:val="20"/>
          <w:szCs w:val="20"/>
        </w:rPr>
      </w:pPr>
      <w:bookmarkStart w:id="21" w:name="_heading=h.grckyanrblv" w:colFirst="0" w:colLast="0"/>
      <w:bookmarkEnd w:id="21"/>
      <w:r w:rsidRPr="001279D0">
        <w:rPr>
          <w:rFonts w:ascii="Times New Roman" w:eastAsia="Times New Roman" w:hAnsi="Times New Roman" w:cs="Times New Roman"/>
          <w:i/>
          <w:iCs/>
          <w:color w:val="000000"/>
          <w:sz w:val="20"/>
          <w:szCs w:val="20"/>
        </w:rPr>
        <w:t>4.4.1 Chronic Hepatitis B (CHB)</w:t>
      </w:r>
      <w:r w:rsidR="001279D0" w:rsidRPr="001279D0">
        <w:rPr>
          <w:rFonts w:ascii="Times New Roman" w:eastAsia="Times New Roman" w:hAnsi="Times New Roman" w:cs="Times New Roman"/>
          <w:i/>
          <w:iCs/>
          <w:color w:val="000000"/>
          <w:sz w:val="20"/>
          <w:szCs w:val="20"/>
        </w:rPr>
        <w:t xml:space="preserve">: </w:t>
      </w:r>
      <w:r w:rsidRPr="001279D0">
        <w:rPr>
          <w:rFonts w:ascii="Times New Roman" w:eastAsia="Times New Roman" w:hAnsi="Times New Roman" w:cs="Times New Roman"/>
          <w:b w:val="0"/>
          <w:bCs w:val="0"/>
          <w:color w:val="auto"/>
          <w:sz w:val="20"/>
          <w:szCs w:val="20"/>
        </w:rPr>
        <w:t>For F2, pooled sensitivity and specificity were 0.822 (95% CI: 0.891–0.891) (Figure S14) and 0.892 (95% CI: 0.93–0.93) (Figure S15), respectively. For F3, sensitivity was 0.912 (95% CI: 0.794–0.966) (Figure S17) and specificity 0.906 (95% CI: 0.737–0.971) (Figure S18). For F4, sensitivity was 0.895 (95% CI: 0.822–0.941) and specificity 0.882 (95% CI: 0.847–0.91). HSROC curves are shown in Figures S13, S16, and S19.</w:t>
      </w:r>
    </w:p>
    <w:p w14:paraId="0E4794E7" w14:textId="088E8985" w:rsidR="0044387B" w:rsidRPr="0044387B" w:rsidRDefault="0044387B" w:rsidP="001279D0">
      <w:pPr>
        <w:pStyle w:val="Heading3"/>
        <w:keepNext w:val="0"/>
        <w:keepLines w:val="0"/>
        <w:spacing w:before="0" w:line="360" w:lineRule="auto"/>
        <w:jc w:val="both"/>
        <w:rPr>
          <w:rFonts w:ascii="Times New Roman" w:eastAsia="Times New Roman" w:hAnsi="Times New Roman" w:cs="Times New Roman"/>
          <w:sz w:val="20"/>
          <w:szCs w:val="20"/>
        </w:rPr>
      </w:pPr>
      <w:bookmarkStart w:id="22" w:name="_heading=h.wxgqfucgfwef" w:colFirst="0" w:colLast="0"/>
      <w:bookmarkEnd w:id="22"/>
      <w:r w:rsidRPr="001279D0">
        <w:rPr>
          <w:rFonts w:ascii="Times New Roman" w:eastAsia="Times New Roman" w:hAnsi="Times New Roman" w:cs="Times New Roman"/>
          <w:i/>
          <w:iCs/>
          <w:color w:val="000000"/>
          <w:sz w:val="20"/>
          <w:szCs w:val="20"/>
        </w:rPr>
        <w:t>4.4.2 Chronic Hepatitis C (CHC)</w:t>
      </w:r>
      <w:r w:rsidR="001279D0" w:rsidRPr="001279D0">
        <w:rPr>
          <w:rFonts w:ascii="Times New Roman" w:eastAsia="Times New Roman" w:hAnsi="Times New Roman" w:cs="Times New Roman"/>
          <w:i/>
          <w:iCs/>
          <w:color w:val="000000"/>
          <w:sz w:val="20"/>
          <w:szCs w:val="20"/>
        </w:rPr>
        <w:t>:</w:t>
      </w:r>
      <w:r w:rsidR="001279D0">
        <w:rPr>
          <w:rFonts w:ascii="Times New Roman" w:eastAsia="Times New Roman" w:hAnsi="Times New Roman" w:cs="Times New Roman"/>
          <w:color w:val="000000"/>
          <w:sz w:val="20"/>
          <w:szCs w:val="20"/>
        </w:rPr>
        <w:t xml:space="preserve"> </w:t>
      </w:r>
      <w:r w:rsidRPr="001279D0">
        <w:rPr>
          <w:rFonts w:ascii="Times New Roman" w:eastAsia="Times New Roman" w:hAnsi="Times New Roman" w:cs="Times New Roman"/>
          <w:b w:val="0"/>
          <w:bCs w:val="0"/>
          <w:color w:val="auto"/>
          <w:sz w:val="20"/>
          <w:szCs w:val="20"/>
        </w:rPr>
        <w:t>For F2, pooled sensitivity and specificity were 0.836 (95% CI: 0.726–0.908) and 0.707 (95% CI: 0.475–0.865), respectively. For F4, sensitivity was 0.943 (95% CI: 0.837–0.982) and specificity 0.912 (95% CI: 0.872–0.940). HSROC curves are in Figures S22 and S25.</w:t>
      </w:r>
    </w:p>
    <w:p w14:paraId="7B597A67" w14:textId="0708A5DE" w:rsidR="0044387B" w:rsidRDefault="0044387B" w:rsidP="001279D0">
      <w:pPr>
        <w:pStyle w:val="Heading3"/>
        <w:keepNext w:val="0"/>
        <w:keepLines w:val="0"/>
        <w:spacing w:before="0" w:line="360" w:lineRule="auto"/>
        <w:jc w:val="both"/>
        <w:rPr>
          <w:rFonts w:ascii="Times New Roman" w:eastAsia="Times New Roman" w:hAnsi="Times New Roman" w:cs="Times New Roman"/>
          <w:b w:val="0"/>
          <w:bCs w:val="0"/>
          <w:color w:val="auto"/>
          <w:sz w:val="20"/>
          <w:szCs w:val="20"/>
        </w:rPr>
      </w:pPr>
      <w:bookmarkStart w:id="23" w:name="_heading=h.jlp57atx0ji" w:colFirst="0" w:colLast="0"/>
      <w:bookmarkEnd w:id="23"/>
      <w:r w:rsidRPr="001279D0">
        <w:rPr>
          <w:rFonts w:ascii="Times New Roman" w:eastAsia="Times New Roman" w:hAnsi="Times New Roman" w:cs="Times New Roman"/>
          <w:i/>
          <w:iCs/>
          <w:color w:val="000000"/>
          <w:sz w:val="20"/>
          <w:szCs w:val="20"/>
        </w:rPr>
        <w:t>4.4.3 Chronic Liver Disease (CLD)</w:t>
      </w:r>
      <w:r w:rsidR="001279D0" w:rsidRPr="001279D0">
        <w:rPr>
          <w:rFonts w:ascii="Times New Roman" w:eastAsia="Times New Roman" w:hAnsi="Times New Roman" w:cs="Times New Roman"/>
          <w:i/>
          <w:iCs/>
          <w:color w:val="000000"/>
          <w:sz w:val="20"/>
          <w:szCs w:val="20"/>
        </w:rPr>
        <w:t>:</w:t>
      </w:r>
      <w:r w:rsidR="001279D0">
        <w:rPr>
          <w:rFonts w:ascii="Times New Roman" w:eastAsia="Times New Roman" w:hAnsi="Times New Roman" w:cs="Times New Roman"/>
          <w:color w:val="000000"/>
          <w:sz w:val="20"/>
          <w:szCs w:val="20"/>
        </w:rPr>
        <w:t xml:space="preserve"> </w:t>
      </w:r>
      <w:r w:rsidRPr="001279D0">
        <w:rPr>
          <w:rFonts w:ascii="Times New Roman" w:eastAsia="Times New Roman" w:hAnsi="Times New Roman" w:cs="Times New Roman"/>
          <w:b w:val="0"/>
          <w:bCs w:val="0"/>
          <w:color w:val="auto"/>
          <w:sz w:val="20"/>
          <w:szCs w:val="20"/>
        </w:rPr>
        <w:t>Across fibrosis stages F1–F4, sensitivities ranged from 0.848 to 0.865 and specificities from 0.796 to 0.878. HSROC curves are shown in Figures S28, S31, S34, and S37.</w:t>
      </w:r>
    </w:p>
    <w:p w14:paraId="71E30B2B" w14:textId="77777777" w:rsidR="00DC4303" w:rsidRDefault="00DC4303" w:rsidP="00DC4303"/>
    <w:tbl>
      <w:tblPr>
        <w:tblW w:w="9350" w:type="dxa"/>
        <w:tblInd w:w="113" w:type="dxa"/>
        <w:tblLook w:val="04A0" w:firstRow="1" w:lastRow="0" w:firstColumn="1" w:lastColumn="0" w:noHBand="0" w:noVBand="1"/>
      </w:tblPr>
      <w:tblGrid>
        <w:gridCol w:w="1028"/>
        <w:gridCol w:w="1144"/>
        <w:gridCol w:w="1347"/>
        <w:gridCol w:w="1563"/>
        <w:gridCol w:w="1317"/>
        <w:gridCol w:w="3304"/>
      </w:tblGrid>
      <w:tr w:rsidR="00DC4303" w:rsidRPr="00236660" w14:paraId="6BE2C9AA" w14:textId="77777777" w:rsidTr="00DC4303">
        <w:trPr>
          <w:trHeight w:val="300"/>
        </w:trPr>
        <w:tc>
          <w:tcPr>
            <w:tcW w:w="1035" w:type="dxa"/>
            <w:tcBorders>
              <w:top w:val="single" w:sz="4" w:space="0" w:color="auto"/>
              <w:left w:val="single" w:sz="4" w:space="0" w:color="auto"/>
              <w:bottom w:val="single" w:sz="4" w:space="0" w:color="auto"/>
              <w:right w:val="single" w:sz="4" w:space="0" w:color="auto"/>
            </w:tcBorders>
            <w:noWrap/>
            <w:vAlign w:val="center"/>
            <w:hideMark/>
          </w:tcPr>
          <w:p w14:paraId="1AF1F628" w14:textId="77777777" w:rsidR="00DC4303" w:rsidRPr="00236660" w:rsidRDefault="00DC4303" w:rsidP="00DC4303">
            <w:pPr>
              <w:widowControl/>
              <w:autoSpaceDE/>
              <w:autoSpaceDN/>
              <w:jc w:val="center"/>
              <w:rPr>
                <w:b/>
                <w:bCs/>
                <w:color w:val="000000"/>
                <w:sz w:val="18"/>
                <w:szCs w:val="18"/>
                <w:lang w:val="en-IN" w:eastAsia="en-IN"/>
              </w:rPr>
            </w:pPr>
            <w:r w:rsidRPr="00236660">
              <w:rPr>
                <w:b/>
                <w:bCs/>
                <w:color w:val="000000"/>
                <w:sz w:val="18"/>
                <w:szCs w:val="18"/>
                <w:lang w:val="en" w:eastAsia="en-IN"/>
              </w:rPr>
              <w:t>Author(s), Year</w:t>
            </w:r>
          </w:p>
        </w:tc>
        <w:tc>
          <w:tcPr>
            <w:tcW w:w="684" w:type="dxa"/>
            <w:tcBorders>
              <w:top w:val="single" w:sz="4" w:space="0" w:color="auto"/>
              <w:left w:val="nil"/>
              <w:bottom w:val="single" w:sz="4" w:space="0" w:color="auto"/>
              <w:right w:val="single" w:sz="4" w:space="0" w:color="auto"/>
            </w:tcBorders>
            <w:noWrap/>
            <w:vAlign w:val="center"/>
            <w:hideMark/>
          </w:tcPr>
          <w:p w14:paraId="4F7D2762" w14:textId="77777777" w:rsidR="00DC4303" w:rsidRPr="00236660" w:rsidRDefault="00DC4303" w:rsidP="00DC4303">
            <w:pPr>
              <w:widowControl/>
              <w:autoSpaceDE/>
              <w:autoSpaceDN/>
              <w:jc w:val="center"/>
              <w:rPr>
                <w:b/>
                <w:bCs/>
                <w:color w:val="000000"/>
                <w:sz w:val="18"/>
                <w:szCs w:val="18"/>
                <w:lang w:val="en-IN" w:eastAsia="en-IN"/>
              </w:rPr>
            </w:pPr>
            <w:r w:rsidRPr="00236660">
              <w:rPr>
                <w:b/>
                <w:bCs/>
                <w:color w:val="000000"/>
                <w:sz w:val="18"/>
                <w:szCs w:val="18"/>
                <w:lang w:val="en" w:eastAsia="en-IN"/>
              </w:rPr>
              <w:t>Country</w:t>
            </w:r>
          </w:p>
        </w:tc>
        <w:tc>
          <w:tcPr>
            <w:tcW w:w="1256" w:type="dxa"/>
            <w:tcBorders>
              <w:top w:val="single" w:sz="4" w:space="0" w:color="auto"/>
              <w:left w:val="nil"/>
              <w:bottom w:val="single" w:sz="4" w:space="0" w:color="auto"/>
              <w:right w:val="single" w:sz="4" w:space="0" w:color="auto"/>
            </w:tcBorders>
            <w:noWrap/>
            <w:vAlign w:val="center"/>
            <w:hideMark/>
          </w:tcPr>
          <w:p w14:paraId="0F5CC60D" w14:textId="77777777" w:rsidR="00DC4303" w:rsidRPr="00236660" w:rsidRDefault="00DC4303" w:rsidP="00DC4303">
            <w:pPr>
              <w:widowControl/>
              <w:autoSpaceDE/>
              <w:autoSpaceDN/>
              <w:jc w:val="center"/>
              <w:rPr>
                <w:b/>
                <w:bCs/>
                <w:color w:val="000000"/>
                <w:sz w:val="18"/>
                <w:szCs w:val="18"/>
                <w:lang w:val="en-IN" w:eastAsia="en-IN"/>
              </w:rPr>
            </w:pPr>
            <w:r w:rsidRPr="00236660">
              <w:rPr>
                <w:b/>
                <w:bCs/>
                <w:color w:val="000000"/>
                <w:sz w:val="18"/>
                <w:szCs w:val="18"/>
                <w:lang w:val="en" w:eastAsia="en-IN"/>
              </w:rPr>
              <w:t>Population</w:t>
            </w:r>
          </w:p>
        </w:tc>
        <w:tc>
          <w:tcPr>
            <w:tcW w:w="1609" w:type="dxa"/>
            <w:tcBorders>
              <w:top w:val="single" w:sz="4" w:space="0" w:color="auto"/>
              <w:left w:val="nil"/>
              <w:bottom w:val="single" w:sz="4" w:space="0" w:color="auto"/>
              <w:right w:val="single" w:sz="4" w:space="0" w:color="auto"/>
            </w:tcBorders>
            <w:noWrap/>
            <w:vAlign w:val="center"/>
            <w:hideMark/>
          </w:tcPr>
          <w:p w14:paraId="7526A654" w14:textId="77777777" w:rsidR="00DC4303" w:rsidRPr="00236660" w:rsidRDefault="00DC4303" w:rsidP="00DC4303">
            <w:pPr>
              <w:widowControl/>
              <w:autoSpaceDE/>
              <w:autoSpaceDN/>
              <w:jc w:val="center"/>
              <w:rPr>
                <w:b/>
                <w:bCs/>
                <w:color w:val="000000"/>
                <w:sz w:val="18"/>
                <w:szCs w:val="18"/>
                <w:lang w:val="en-IN" w:eastAsia="en-IN"/>
              </w:rPr>
            </w:pPr>
            <w:r w:rsidRPr="00236660">
              <w:rPr>
                <w:b/>
                <w:bCs/>
                <w:color w:val="000000"/>
                <w:sz w:val="18"/>
                <w:szCs w:val="18"/>
                <w:lang w:val="en" w:eastAsia="en-IN"/>
              </w:rPr>
              <w:t>Index Test</w:t>
            </w:r>
          </w:p>
        </w:tc>
        <w:tc>
          <w:tcPr>
            <w:tcW w:w="1355" w:type="dxa"/>
            <w:tcBorders>
              <w:top w:val="single" w:sz="4" w:space="0" w:color="auto"/>
              <w:left w:val="nil"/>
              <w:bottom w:val="single" w:sz="4" w:space="0" w:color="auto"/>
              <w:right w:val="single" w:sz="4" w:space="0" w:color="auto"/>
            </w:tcBorders>
            <w:noWrap/>
            <w:vAlign w:val="center"/>
            <w:hideMark/>
          </w:tcPr>
          <w:p w14:paraId="66C7DAE6" w14:textId="77777777" w:rsidR="00DC4303" w:rsidRPr="00236660" w:rsidRDefault="00DC4303" w:rsidP="00DC4303">
            <w:pPr>
              <w:widowControl/>
              <w:autoSpaceDE/>
              <w:autoSpaceDN/>
              <w:jc w:val="center"/>
              <w:rPr>
                <w:b/>
                <w:bCs/>
                <w:color w:val="000000"/>
                <w:sz w:val="18"/>
                <w:szCs w:val="18"/>
                <w:lang w:val="en-IN" w:eastAsia="en-IN"/>
              </w:rPr>
            </w:pPr>
            <w:r w:rsidRPr="00236660">
              <w:rPr>
                <w:b/>
                <w:bCs/>
                <w:color w:val="000000"/>
                <w:sz w:val="18"/>
                <w:szCs w:val="18"/>
                <w:lang w:val="en" w:eastAsia="en-IN"/>
              </w:rPr>
              <w:t>Reference Standard</w:t>
            </w:r>
          </w:p>
        </w:tc>
        <w:tc>
          <w:tcPr>
            <w:tcW w:w="3411" w:type="dxa"/>
            <w:tcBorders>
              <w:top w:val="single" w:sz="4" w:space="0" w:color="auto"/>
              <w:left w:val="nil"/>
              <w:bottom w:val="single" w:sz="4" w:space="0" w:color="auto"/>
              <w:right w:val="single" w:sz="4" w:space="0" w:color="auto"/>
            </w:tcBorders>
            <w:noWrap/>
            <w:vAlign w:val="center"/>
            <w:hideMark/>
          </w:tcPr>
          <w:p w14:paraId="1C25A976" w14:textId="77777777" w:rsidR="00DC4303" w:rsidRPr="00236660" w:rsidRDefault="00DC4303" w:rsidP="00DC4303">
            <w:pPr>
              <w:widowControl/>
              <w:autoSpaceDE/>
              <w:autoSpaceDN/>
              <w:jc w:val="center"/>
              <w:rPr>
                <w:b/>
                <w:bCs/>
                <w:color w:val="000000"/>
                <w:sz w:val="18"/>
                <w:szCs w:val="18"/>
                <w:lang w:val="en-IN" w:eastAsia="en-IN"/>
              </w:rPr>
            </w:pPr>
            <w:r w:rsidRPr="00236660">
              <w:rPr>
                <w:b/>
                <w:bCs/>
                <w:color w:val="000000"/>
                <w:sz w:val="18"/>
                <w:szCs w:val="18"/>
                <w:lang w:val="en" w:eastAsia="en-IN"/>
              </w:rPr>
              <w:t>Main Findings</w:t>
            </w:r>
          </w:p>
        </w:tc>
      </w:tr>
      <w:tr w:rsidR="00DC4303" w:rsidRPr="00236660" w14:paraId="58FBBA84"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765F68A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Carrión et al., 2006</w:t>
            </w:r>
          </w:p>
        </w:tc>
        <w:tc>
          <w:tcPr>
            <w:tcW w:w="684" w:type="dxa"/>
            <w:tcBorders>
              <w:top w:val="nil"/>
              <w:left w:val="nil"/>
              <w:bottom w:val="single" w:sz="4" w:space="0" w:color="auto"/>
              <w:right w:val="single" w:sz="4" w:space="0" w:color="auto"/>
            </w:tcBorders>
            <w:noWrap/>
            <w:vAlign w:val="center"/>
            <w:hideMark/>
          </w:tcPr>
          <w:p w14:paraId="453DDBA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Spain</w:t>
            </w:r>
          </w:p>
        </w:tc>
        <w:tc>
          <w:tcPr>
            <w:tcW w:w="1256" w:type="dxa"/>
            <w:tcBorders>
              <w:top w:val="nil"/>
              <w:left w:val="nil"/>
              <w:bottom w:val="single" w:sz="4" w:space="0" w:color="auto"/>
              <w:right w:val="single" w:sz="4" w:space="0" w:color="auto"/>
            </w:tcBorders>
            <w:noWrap/>
            <w:vAlign w:val="center"/>
            <w:hideMark/>
          </w:tcPr>
          <w:p w14:paraId="7120768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100 LT recipients with recurrent HCV</w:t>
            </w:r>
          </w:p>
        </w:tc>
        <w:tc>
          <w:tcPr>
            <w:tcW w:w="1609" w:type="dxa"/>
            <w:tcBorders>
              <w:top w:val="nil"/>
              <w:left w:val="nil"/>
              <w:bottom w:val="single" w:sz="4" w:space="0" w:color="auto"/>
              <w:right w:val="single" w:sz="4" w:space="0" w:color="auto"/>
            </w:tcBorders>
            <w:noWrap/>
            <w:vAlign w:val="center"/>
            <w:hideMark/>
          </w:tcPr>
          <w:p w14:paraId="0570D3BF"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5477F5AA"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HVPG</w:t>
            </w:r>
          </w:p>
        </w:tc>
        <w:tc>
          <w:tcPr>
            <w:tcW w:w="3411" w:type="dxa"/>
            <w:tcBorders>
              <w:top w:val="nil"/>
              <w:left w:val="nil"/>
              <w:bottom w:val="single" w:sz="4" w:space="0" w:color="auto"/>
              <w:right w:val="single" w:sz="4" w:space="0" w:color="auto"/>
            </w:tcBorders>
            <w:noWrap/>
            <w:vAlign w:val="center"/>
            <w:hideMark/>
          </w:tcPr>
          <w:p w14:paraId="19186C3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&gt;8.5 kPa predicted advanced fibrosis (AUROC 0.89); correlated with HVPG.</w:t>
            </w:r>
          </w:p>
        </w:tc>
      </w:tr>
      <w:tr w:rsidR="00DC4303" w:rsidRPr="00236660" w14:paraId="2838D2F7"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4C2F3990"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color w:val="000000"/>
                <w:sz w:val="18"/>
                <w:szCs w:val="18"/>
                <w:lang w:val="en" w:eastAsia="en-IN"/>
              </w:rPr>
              <w:t>Castéra</w:t>
            </w:r>
            <w:proofErr w:type="spellEnd"/>
            <w:r w:rsidRPr="00236660">
              <w:rPr>
                <w:color w:val="000000"/>
                <w:sz w:val="18"/>
                <w:szCs w:val="18"/>
                <w:lang w:val="en" w:eastAsia="en-IN"/>
              </w:rPr>
              <w:t xml:space="preserve"> et al., 2005</w:t>
            </w:r>
          </w:p>
        </w:tc>
        <w:tc>
          <w:tcPr>
            <w:tcW w:w="684" w:type="dxa"/>
            <w:tcBorders>
              <w:top w:val="nil"/>
              <w:left w:val="nil"/>
              <w:bottom w:val="single" w:sz="4" w:space="0" w:color="auto"/>
              <w:right w:val="single" w:sz="4" w:space="0" w:color="auto"/>
            </w:tcBorders>
            <w:noWrap/>
            <w:vAlign w:val="center"/>
            <w:hideMark/>
          </w:tcPr>
          <w:p w14:paraId="4AC01A76"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France</w:t>
            </w:r>
          </w:p>
        </w:tc>
        <w:tc>
          <w:tcPr>
            <w:tcW w:w="1256" w:type="dxa"/>
            <w:tcBorders>
              <w:top w:val="nil"/>
              <w:left w:val="nil"/>
              <w:bottom w:val="single" w:sz="4" w:space="0" w:color="auto"/>
              <w:right w:val="single" w:sz="4" w:space="0" w:color="auto"/>
            </w:tcBorders>
            <w:noWrap/>
            <w:vAlign w:val="center"/>
            <w:hideMark/>
          </w:tcPr>
          <w:p w14:paraId="46C3EFD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183 patients with HCC</w:t>
            </w:r>
          </w:p>
        </w:tc>
        <w:tc>
          <w:tcPr>
            <w:tcW w:w="1609" w:type="dxa"/>
            <w:tcBorders>
              <w:top w:val="nil"/>
              <w:left w:val="nil"/>
              <w:bottom w:val="single" w:sz="4" w:space="0" w:color="auto"/>
              <w:right w:val="single" w:sz="4" w:space="0" w:color="auto"/>
            </w:tcBorders>
            <w:noWrap/>
            <w:vAlign w:val="center"/>
            <w:hideMark/>
          </w:tcPr>
          <w:p w14:paraId="65D4F62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FT, APRI</w:t>
            </w:r>
          </w:p>
        </w:tc>
        <w:tc>
          <w:tcPr>
            <w:tcW w:w="1355" w:type="dxa"/>
            <w:tcBorders>
              <w:top w:val="nil"/>
              <w:left w:val="nil"/>
              <w:bottom w:val="single" w:sz="4" w:space="0" w:color="auto"/>
              <w:right w:val="single" w:sz="4" w:space="0" w:color="auto"/>
            </w:tcBorders>
            <w:noWrap/>
            <w:vAlign w:val="center"/>
            <w:hideMark/>
          </w:tcPr>
          <w:p w14:paraId="35F50BD8"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(METAVIR)</w:t>
            </w:r>
          </w:p>
        </w:tc>
        <w:tc>
          <w:tcPr>
            <w:tcW w:w="3411" w:type="dxa"/>
            <w:tcBorders>
              <w:top w:val="nil"/>
              <w:left w:val="nil"/>
              <w:bottom w:val="single" w:sz="4" w:space="0" w:color="auto"/>
              <w:right w:val="single" w:sz="4" w:space="0" w:color="auto"/>
            </w:tcBorders>
            <w:noWrap/>
            <w:vAlign w:val="center"/>
            <w:hideMark/>
          </w:tcPr>
          <w:p w14:paraId="14D41BB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AUROC 0.83 for ≥F2, 0.90 for ≥F3, 0.95 for F4; better than APRI.</w:t>
            </w:r>
          </w:p>
        </w:tc>
      </w:tr>
      <w:tr w:rsidR="00DC4303" w:rsidRPr="00236660" w14:paraId="38A5B34A"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2702152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Chang et al., 2016</w:t>
            </w:r>
          </w:p>
        </w:tc>
        <w:tc>
          <w:tcPr>
            <w:tcW w:w="684" w:type="dxa"/>
            <w:tcBorders>
              <w:top w:val="nil"/>
              <w:left w:val="nil"/>
              <w:bottom w:val="single" w:sz="4" w:space="0" w:color="auto"/>
              <w:right w:val="single" w:sz="4" w:space="0" w:color="auto"/>
            </w:tcBorders>
            <w:noWrap/>
            <w:vAlign w:val="center"/>
            <w:hideMark/>
          </w:tcPr>
          <w:p w14:paraId="15F1BD8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Korea</w:t>
            </w:r>
          </w:p>
        </w:tc>
        <w:tc>
          <w:tcPr>
            <w:tcW w:w="1256" w:type="dxa"/>
            <w:tcBorders>
              <w:top w:val="nil"/>
              <w:left w:val="nil"/>
              <w:bottom w:val="single" w:sz="4" w:space="0" w:color="auto"/>
              <w:right w:val="single" w:sz="4" w:space="0" w:color="auto"/>
            </w:tcBorders>
            <w:noWrap/>
            <w:vAlign w:val="center"/>
            <w:hideMark/>
          </w:tcPr>
          <w:p w14:paraId="7600A76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209 CHB patients</w:t>
            </w:r>
          </w:p>
        </w:tc>
        <w:tc>
          <w:tcPr>
            <w:tcW w:w="1609" w:type="dxa"/>
            <w:tcBorders>
              <w:top w:val="nil"/>
              <w:left w:val="nil"/>
              <w:bottom w:val="single" w:sz="4" w:space="0" w:color="auto"/>
              <w:right w:val="single" w:sz="4" w:space="0" w:color="auto"/>
            </w:tcBorders>
            <w:noWrap/>
            <w:vAlign w:val="center"/>
            <w:hideMark/>
          </w:tcPr>
          <w:p w14:paraId="1222FF9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MRE</w:t>
            </w:r>
          </w:p>
        </w:tc>
        <w:tc>
          <w:tcPr>
            <w:tcW w:w="1355" w:type="dxa"/>
            <w:tcBorders>
              <w:top w:val="nil"/>
              <w:left w:val="nil"/>
              <w:bottom w:val="single" w:sz="4" w:space="0" w:color="auto"/>
              <w:right w:val="single" w:sz="4" w:space="0" w:color="auto"/>
            </w:tcBorders>
            <w:noWrap/>
            <w:vAlign w:val="center"/>
            <w:hideMark/>
          </w:tcPr>
          <w:p w14:paraId="63B36645"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746743E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Similar diagnostic performance across etiologies.</w:t>
            </w:r>
          </w:p>
        </w:tc>
      </w:tr>
      <w:tr w:rsidR="00DC4303" w:rsidRPr="00236660" w14:paraId="6EA6CCB8"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47DBEFC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Choi et al., 2013</w:t>
            </w:r>
          </w:p>
        </w:tc>
        <w:tc>
          <w:tcPr>
            <w:tcW w:w="684" w:type="dxa"/>
            <w:tcBorders>
              <w:top w:val="nil"/>
              <w:left w:val="nil"/>
              <w:bottom w:val="single" w:sz="4" w:space="0" w:color="auto"/>
              <w:right w:val="single" w:sz="4" w:space="0" w:color="auto"/>
            </w:tcBorders>
            <w:noWrap/>
            <w:vAlign w:val="center"/>
            <w:hideMark/>
          </w:tcPr>
          <w:p w14:paraId="5B8A9396"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Korea</w:t>
            </w:r>
          </w:p>
        </w:tc>
        <w:tc>
          <w:tcPr>
            <w:tcW w:w="1256" w:type="dxa"/>
            <w:tcBorders>
              <w:top w:val="nil"/>
              <w:left w:val="nil"/>
              <w:bottom w:val="single" w:sz="4" w:space="0" w:color="auto"/>
              <w:right w:val="single" w:sz="4" w:space="0" w:color="auto"/>
            </w:tcBorders>
            <w:noWrap/>
            <w:vAlign w:val="center"/>
            <w:hideMark/>
          </w:tcPr>
          <w:p w14:paraId="6E4CC9B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91 CLD patients</w:t>
            </w:r>
          </w:p>
        </w:tc>
        <w:tc>
          <w:tcPr>
            <w:tcW w:w="1609" w:type="dxa"/>
            <w:tcBorders>
              <w:top w:val="nil"/>
              <w:left w:val="nil"/>
              <w:bottom w:val="single" w:sz="4" w:space="0" w:color="auto"/>
              <w:right w:val="single" w:sz="4" w:space="0" w:color="auto"/>
            </w:tcBorders>
            <w:noWrap/>
            <w:vAlign w:val="center"/>
            <w:hideMark/>
          </w:tcPr>
          <w:p w14:paraId="12E364B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MRE vs Gd-EOB MRI</w:t>
            </w:r>
          </w:p>
        </w:tc>
        <w:tc>
          <w:tcPr>
            <w:tcW w:w="1355" w:type="dxa"/>
            <w:tcBorders>
              <w:top w:val="nil"/>
              <w:left w:val="nil"/>
              <w:bottom w:val="single" w:sz="4" w:space="0" w:color="auto"/>
              <w:right w:val="single" w:sz="4" w:space="0" w:color="auto"/>
            </w:tcBorders>
            <w:noWrap/>
            <w:vAlign w:val="center"/>
            <w:hideMark/>
          </w:tcPr>
          <w:p w14:paraId="389BCEC5"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4C5832EF"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MRE superior to Gd-EOB MRI for staging fibrosis.</w:t>
            </w:r>
          </w:p>
        </w:tc>
      </w:tr>
      <w:tr w:rsidR="00DC4303" w:rsidRPr="00236660" w14:paraId="63C27B80"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10089D2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Coco et al., 2006</w:t>
            </w:r>
          </w:p>
        </w:tc>
        <w:tc>
          <w:tcPr>
            <w:tcW w:w="684" w:type="dxa"/>
            <w:tcBorders>
              <w:top w:val="nil"/>
              <w:left w:val="nil"/>
              <w:bottom w:val="single" w:sz="4" w:space="0" w:color="auto"/>
              <w:right w:val="single" w:sz="4" w:space="0" w:color="auto"/>
            </w:tcBorders>
            <w:noWrap/>
            <w:vAlign w:val="center"/>
            <w:hideMark/>
          </w:tcPr>
          <w:p w14:paraId="35812FF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Italy</w:t>
            </w:r>
          </w:p>
        </w:tc>
        <w:tc>
          <w:tcPr>
            <w:tcW w:w="1256" w:type="dxa"/>
            <w:tcBorders>
              <w:top w:val="nil"/>
              <w:left w:val="nil"/>
              <w:bottom w:val="single" w:sz="4" w:space="0" w:color="auto"/>
              <w:right w:val="single" w:sz="4" w:space="0" w:color="auto"/>
            </w:tcBorders>
            <w:noWrap/>
            <w:vAlign w:val="center"/>
            <w:hideMark/>
          </w:tcPr>
          <w:p w14:paraId="3818FD6E"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153 CLD patients</w:t>
            </w:r>
          </w:p>
        </w:tc>
        <w:tc>
          <w:tcPr>
            <w:tcW w:w="1609" w:type="dxa"/>
            <w:tcBorders>
              <w:top w:val="nil"/>
              <w:left w:val="nil"/>
              <w:bottom w:val="single" w:sz="4" w:space="0" w:color="auto"/>
              <w:right w:val="single" w:sz="4" w:space="0" w:color="auto"/>
            </w:tcBorders>
            <w:noWrap/>
            <w:vAlign w:val="center"/>
            <w:hideMark/>
          </w:tcPr>
          <w:p w14:paraId="31BF2660"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0D2FFA4F"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04A25C7B"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values increased during ALT flares, may overestimate fibrosis.</w:t>
            </w:r>
          </w:p>
        </w:tc>
      </w:tr>
      <w:tr w:rsidR="00DC4303" w:rsidRPr="00236660" w14:paraId="36054BEB"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3708CCC5"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color w:val="000000"/>
                <w:sz w:val="18"/>
                <w:szCs w:val="18"/>
                <w:lang w:val="en" w:eastAsia="en-IN"/>
              </w:rPr>
              <w:t>Corpechot</w:t>
            </w:r>
            <w:proofErr w:type="spellEnd"/>
            <w:r w:rsidRPr="00236660">
              <w:rPr>
                <w:color w:val="000000"/>
                <w:sz w:val="18"/>
                <w:szCs w:val="18"/>
                <w:lang w:val="en" w:eastAsia="en-IN"/>
              </w:rPr>
              <w:t xml:space="preserve"> et al., 2006</w:t>
            </w:r>
          </w:p>
        </w:tc>
        <w:tc>
          <w:tcPr>
            <w:tcW w:w="684" w:type="dxa"/>
            <w:tcBorders>
              <w:top w:val="nil"/>
              <w:left w:val="nil"/>
              <w:bottom w:val="single" w:sz="4" w:space="0" w:color="auto"/>
              <w:right w:val="single" w:sz="4" w:space="0" w:color="auto"/>
            </w:tcBorders>
            <w:noWrap/>
            <w:vAlign w:val="center"/>
            <w:hideMark/>
          </w:tcPr>
          <w:p w14:paraId="67A4714A"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France</w:t>
            </w:r>
          </w:p>
        </w:tc>
        <w:tc>
          <w:tcPr>
            <w:tcW w:w="1256" w:type="dxa"/>
            <w:tcBorders>
              <w:top w:val="nil"/>
              <w:left w:val="nil"/>
              <w:bottom w:val="single" w:sz="4" w:space="0" w:color="auto"/>
              <w:right w:val="single" w:sz="4" w:space="0" w:color="auto"/>
            </w:tcBorders>
            <w:noWrap/>
            <w:vAlign w:val="center"/>
            <w:hideMark/>
          </w:tcPr>
          <w:p w14:paraId="2A9B07EA"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202 patients (PBC, PSC)</w:t>
            </w:r>
          </w:p>
        </w:tc>
        <w:tc>
          <w:tcPr>
            <w:tcW w:w="1609" w:type="dxa"/>
            <w:tcBorders>
              <w:top w:val="nil"/>
              <w:left w:val="nil"/>
              <w:bottom w:val="single" w:sz="4" w:space="0" w:color="auto"/>
              <w:right w:val="single" w:sz="4" w:space="0" w:color="auto"/>
            </w:tcBorders>
            <w:noWrap/>
            <w:vAlign w:val="center"/>
            <w:hideMark/>
          </w:tcPr>
          <w:p w14:paraId="188B624B"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36469942"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clinical</w:t>
            </w:r>
          </w:p>
        </w:tc>
        <w:tc>
          <w:tcPr>
            <w:tcW w:w="3411" w:type="dxa"/>
            <w:tcBorders>
              <w:top w:val="nil"/>
              <w:left w:val="nil"/>
              <w:bottom w:val="single" w:sz="4" w:space="0" w:color="auto"/>
              <w:right w:val="single" w:sz="4" w:space="0" w:color="auto"/>
            </w:tcBorders>
            <w:noWrap/>
            <w:vAlign w:val="center"/>
            <w:hideMark/>
          </w:tcPr>
          <w:p w14:paraId="4D7253CA"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correlated with biliary fibrosis (AUROC 0.92 for cirrhosis).</w:t>
            </w:r>
          </w:p>
        </w:tc>
      </w:tr>
      <w:tr w:rsidR="00DC4303" w:rsidRPr="00236660" w14:paraId="6F31DD4F"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043E408E"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 xml:space="preserve">de </w:t>
            </w:r>
            <w:proofErr w:type="spellStart"/>
            <w:r w:rsidRPr="00236660">
              <w:rPr>
                <w:color w:val="000000"/>
                <w:sz w:val="18"/>
                <w:szCs w:val="18"/>
                <w:lang w:val="en" w:eastAsia="en-IN"/>
              </w:rPr>
              <w:t>Lédinghen</w:t>
            </w:r>
            <w:proofErr w:type="spellEnd"/>
            <w:r w:rsidRPr="00236660">
              <w:rPr>
                <w:color w:val="000000"/>
                <w:sz w:val="18"/>
                <w:szCs w:val="18"/>
                <w:lang w:val="en" w:eastAsia="en-IN"/>
              </w:rPr>
              <w:t xml:space="preserve"> et al., 2006</w:t>
            </w:r>
          </w:p>
        </w:tc>
        <w:tc>
          <w:tcPr>
            <w:tcW w:w="684" w:type="dxa"/>
            <w:tcBorders>
              <w:top w:val="nil"/>
              <w:left w:val="nil"/>
              <w:bottom w:val="single" w:sz="4" w:space="0" w:color="auto"/>
              <w:right w:val="single" w:sz="4" w:space="0" w:color="auto"/>
            </w:tcBorders>
            <w:noWrap/>
            <w:vAlign w:val="center"/>
            <w:hideMark/>
          </w:tcPr>
          <w:p w14:paraId="633F345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France</w:t>
            </w:r>
          </w:p>
        </w:tc>
        <w:tc>
          <w:tcPr>
            <w:tcW w:w="1256" w:type="dxa"/>
            <w:tcBorders>
              <w:top w:val="nil"/>
              <w:left w:val="nil"/>
              <w:bottom w:val="single" w:sz="4" w:space="0" w:color="auto"/>
              <w:right w:val="single" w:sz="4" w:space="0" w:color="auto"/>
            </w:tcBorders>
            <w:noWrap/>
            <w:vAlign w:val="center"/>
            <w:hideMark/>
          </w:tcPr>
          <w:p w14:paraId="0AC6F22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72 HIV/HCV coinfected patients</w:t>
            </w:r>
          </w:p>
        </w:tc>
        <w:tc>
          <w:tcPr>
            <w:tcW w:w="1609" w:type="dxa"/>
            <w:tcBorders>
              <w:top w:val="nil"/>
              <w:left w:val="nil"/>
              <w:bottom w:val="single" w:sz="4" w:space="0" w:color="auto"/>
              <w:right w:val="single" w:sz="4" w:space="0" w:color="auto"/>
            </w:tcBorders>
            <w:noWrap/>
            <w:vAlign w:val="center"/>
            <w:hideMark/>
          </w:tcPr>
          <w:p w14:paraId="0D438248"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71E9B0A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(METAVIR)</w:t>
            </w:r>
          </w:p>
        </w:tc>
        <w:tc>
          <w:tcPr>
            <w:tcW w:w="3411" w:type="dxa"/>
            <w:tcBorders>
              <w:top w:val="nil"/>
              <w:left w:val="nil"/>
              <w:bottom w:val="single" w:sz="4" w:space="0" w:color="auto"/>
              <w:right w:val="single" w:sz="4" w:space="0" w:color="auto"/>
            </w:tcBorders>
            <w:noWrap/>
            <w:vAlign w:val="center"/>
            <w:hideMark/>
          </w:tcPr>
          <w:p w14:paraId="2D2B3F8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accurately detected cirrhosis (AUROC 0.97), reliable in coinfection.</w:t>
            </w:r>
          </w:p>
        </w:tc>
      </w:tr>
      <w:tr w:rsidR="00DC4303" w:rsidRPr="00236660" w14:paraId="05F1A1DC"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67041EC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Farmakis et al., 2019</w:t>
            </w:r>
          </w:p>
        </w:tc>
        <w:tc>
          <w:tcPr>
            <w:tcW w:w="684" w:type="dxa"/>
            <w:tcBorders>
              <w:top w:val="nil"/>
              <w:left w:val="nil"/>
              <w:bottom w:val="single" w:sz="4" w:space="0" w:color="auto"/>
              <w:right w:val="single" w:sz="4" w:space="0" w:color="auto"/>
            </w:tcBorders>
            <w:noWrap/>
            <w:vAlign w:val="center"/>
            <w:hideMark/>
          </w:tcPr>
          <w:p w14:paraId="241D9488"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USA</w:t>
            </w:r>
          </w:p>
        </w:tc>
        <w:tc>
          <w:tcPr>
            <w:tcW w:w="1256" w:type="dxa"/>
            <w:tcBorders>
              <w:top w:val="nil"/>
              <w:left w:val="nil"/>
              <w:bottom w:val="single" w:sz="4" w:space="0" w:color="auto"/>
              <w:right w:val="single" w:sz="4" w:space="0" w:color="auto"/>
            </w:tcBorders>
            <w:noWrap/>
            <w:vAlign w:val="center"/>
            <w:hideMark/>
          </w:tcPr>
          <w:p w14:paraId="1DD7EFE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69 CLD patients</w:t>
            </w:r>
          </w:p>
        </w:tc>
        <w:tc>
          <w:tcPr>
            <w:tcW w:w="1609" w:type="dxa"/>
            <w:tcBorders>
              <w:top w:val="nil"/>
              <w:left w:val="nil"/>
              <w:bottom w:val="single" w:sz="4" w:space="0" w:color="auto"/>
              <w:right w:val="single" w:sz="4" w:space="0" w:color="auto"/>
            </w:tcBorders>
            <w:noWrap/>
            <w:vAlign w:val="center"/>
            <w:hideMark/>
          </w:tcPr>
          <w:p w14:paraId="001AA01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SWE</w:t>
            </w:r>
          </w:p>
        </w:tc>
        <w:tc>
          <w:tcPr>
            <w:tcW w:w="1355" w:type="dxa"/>
            <w:tcBorders>
              <w:top w:val="nil"/>
              <w:left w:val="nil"/>
              <w:bottom w:val="single" w:sz="4" w:space="0" w:color="auto"/>
              <w:right w:val="single" w:sz="4" w:space="0" w:color="auto"/>
            </w:tcBorders>
            <w:noWrap/>
            <w:vAlign w:val="center"/>
            <w:hideMark/>
          </w:tcPr>
          <w:p w14:paraId="187BACC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5B9F364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SWE correlated strongly with fibrosis stage (r=0.74).</w:t>
            </w:r>
          </w:p>
        </w:tc>
      </w:tr>
      <w:tr w:rsidR="00DC4303" w:rsidRPr="00236660" w14:paraId="05D40C8A"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21DB21BB"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Foucher et al., 2006</w:t>
            </w:r>
          </w:p>
        </w:tc>
        <w:tc>
          <w:tcPr>
            <w:tcW w:w="684" w:type="dxa"/>
            <w:tcBorders>
              <w:top w:val="nil"/>
              <w:left w:val="nil"/>
              <w:bottom w:val="single" w:sz="4" w:space="0" w:color="auto"/>
              <w:right w:val="single" w:sz="4" w:space="0" w:color="auto"/>
            </w:tcBorders>
            <w:noWrap/>
            <w:vAlign w:val="center"/>
            <w:hideMark/>
          </w:tcPr>
          <w:p w14:paraId="6EA9CE3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France</w:t>
            </w:r>
          </w:p>
        </w:tc>
        <w:tc>
          <w:tcPr>
            <w:tcW w:w="1256" w:type="dxa"/>
            <w:tcBorders>
              <w:top w:val="nil"/>
              <w:left w:val="nil"/>
              <w:bottom w:val="single" w:sz="4" w:space="0" w:color="auto"/>
              <w:right w:val="single" w:sz="4" w:space="0" w:color="auto"/>
            </w:tcBorders>
            <w:noWrap/>
            <w:vAlign w:val="center"/>
            <w:hideMark/>
          </w:tcPr>
          <w:p w14:paraId="0359C2B2"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251 CLD patients</w:t>
            </w:r>
          </w:p>
        </w:tc>
        <w:tc>
          <w:tcPr>
            <w:tcW w:w="1609" w:type="dxa"/>
            <w:tcBorders>
              <w:top w:val="nil"/>
              <w:left w:val="nil"/>
              <w:bottom w:val="single" w:sz="4" w:space="0" w:color="auto"/>
              <w:right w:val="single" w:sz="4" w:space="0" w:color="auto"/>
            </w:tcBorders>
            <w:noWrap/>
            <w:vAlign w:val="center"/>
            <w:hideMark/>
          </w:tcPr>
          <w:p w14:paraId="258ED38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w:t>
            </w:r>
            <w:proofErr w:type="spellStart"/>
            <w:r w:rsidRPr="00236660">
              <w:rPr>
                <w:color w:val="000000"/>
                <w:sz w:val="18"/>
                <w:szCs w:val="18"/>
                <w:lang w:val="en" w:eastAsia="en-IN"/>
              </w:rPr>
              <w:t>FibroScan</w:t>
            </w:r>
            <w:proofErr w:type="spellEnd"/>
            <w:r w:rsidRPr="00236660">
              <w:rPr>
                <w:color w:val="000000"/>
                <w:sz w:val="18"/>
                <w:szCs w:val="18"/>
                <w:lang w:val="en" w:eastAsia="en-IN"/>
              </w:rPr>
              <w:t>)</w:t>
            </w:r>
          </w:p>
        </w:tc>
        <w:tc>
          <w:tcPr>
            <w:tcW w:w="1355" w:type="dxa"/>
            <w:tcBorders>
              <w:top w:val="nil"/>
              <w:left w:val="nil"/>
              <w:bottom w:val="single" w:sz="4" w:space="0" w:color="auto"/>
              <w:right w:val="single" w:sz="4" w:space="0" w:color="auto"/>
            </w:tcBorders>
            <w:noWrap/>
            <w:vAlign w:val="center"/>
            <w:hideMark/>
          </w:tcPr>
          <w:p w14:paraId="7356742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(METAVIR)</w:t>
            </w:r>
          </w:p>
        </w:tc>
        <w:tc>
          <w:tcPr>
            <w:tcW w:w="3411" w:type="dxa"/>
            <w:tcBorders>
              <w:top w:val="nil"/>
              <w:left w:val="nil"/>
              <w:bottom w:val="single" w:sz="4" w:space="0" w:color="auto"/>
              <w:right w:val="single" w:sz="4" w:space="0" w:color="auto"/>
            </w:tcBorders>
            <w:noWrap/>
            <w:vAlign w:val="center"/>
            <w:hideMark/>
          </w:tcPr>
          <w:p w14:paraId="56B200C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cutoff 14.6 kPa identified cirrhosis (AUROC 0.95).</w:t>
            </w:r>
          </w:p>
        </w:tc>
      </w:tr>
      <w:tr w:rsidR="00DC4303" w:rsidRPr="00236660" w14:paraId="76ACA463"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32F1B97D"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color w:val="000000"/>
                <w:sz w:val="18"/>
                <w:szCs w:val="18"/>
                <w:lang w:val="en" w:eastAsia="en-IN"/>
              </w:rPr>
              <w:t>Fraquelli</w:t>
            </w:r>
            <w:proofErr w:type="spellEnd"/>
            <w:r w:rsidRPr="00236660">
              <w:rPr>
                <w:color w:val="000000"/>
                <w:sz w:val="18"/>
                <w:szCs w:val="18"/>
                <w:lang w:val="en" w:eastAsia="en-IN"/>
              </w:rPr>
              <w:t xml:space="preserve"> et al., 2007</w:t>
            </w:r>
          </w:p>
        </w:tc>
        <w:tc>
          <w:tcPr>
            <w:tcW w:w="684" w:type="dxa"/>
            <w:tcBorders>
              <w:top w:val="nil"/>
              <w:left w:val="nil"/>
              <w:bottom w:val="single" w:sz="4" w:space="0" w:color="auto"/>
              <w:right w:val="single" w:sz="4" w:space="0" w:color="auto"/>
            </w:tcBorders>
            <w:noWrap/>
            <w:vAlign w:val="center"/>
            <w:hideMark/>
          </w:tcPr>
          <w:p w14:paraId="7E65C27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Italy</w:t>
            </w:r>
          </w:p>
        </w:tc>
        <w:tc>
          <w:tcPr>
            <w:tcW w:w="1256" w:type="dxa"/>
            <w:tcBorders>
              <w:top w:val="nil"/>
              <w:left w:val="nil"/>
              <w:bottom w:val="single" w:sz="4" w:space="0" w:color="auto"/>
              <w:right w:val="single" w:sz="4" w:space="0" w:color="auto"/>
            </w:tcBorders>
            <w:noWrap/>
            <w:vAlign w:val="center"/>
            <w:hideMark/>
          </w:tcPr>
          <w:p w14:paraId="20E1D860"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165 CLD patients</w:t>
            </w:r>
          </w:p>
        </w:tc>
        <w:tc>
          <w:tcPr>
            <w:tcW w:w="1609" w:type="dxa"/>
            <w:tcBorders>
              <w:top w:val="nil"/>
              <w:left w:val="nil"/>
              <w:bottom w:val="single" w:sz="4" w:space="0" w:color="auto"/>
              <w:right w:val="single" w:sz="4" w:space="0" w:color="auto"/>
            </w:tcBorders>
            <w:noWrap/>
            <w:vAlign w:val="center"/>
            <w:hideMark/>
          </w:tcPr>
          <w:p w14:paraId="133694A6"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2FF1598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(Ishak)</w:t>
            </w:r>
          </w:p>
        </w:tc>
        <w:tc>
          <w:tcPr>
            <w:tcW w:w="3411" w:type="dxa"/>
            <w:tcBorders>
              <w:top w:val="nil"/>
              <w:left w:val="nil"/>
              <w:bottom w:val="single" w:sz="4" w:space="0" w:color="auto"/>
              <w:right w:val="single" w:sz="4" w:space="0" w:color="auto"/>
            </w:tcBorders>
            <w:noWrap/>
            <w:vAlign w:val="center"/>
            <w:hideMark/>
          </w:tcPr>
          <w:p w14:paraId="5903825A"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showed excellent reproducibility (ICC &gt;0.98).</w:t>
            </w:r>
          </w:p>
        </w:tc>
      </w:tr>
      <w:tr w:rsidR="00DC4303" w:rsidRPr="00236660" w14:paraId="7618FD10"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582B672B"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Gómez-Domínguez et al., 2006</w:t>
            </w:r>
          </w:p>
        </w:tc>
        <w:tc>
          <w:tcPr>
            <w:tcW w:w="684" w:type="dxa"/>
            <w:tcBorders>
              <w:top w:val="nil"/>
              <w:left w:val="nil"/>
              <w:bottom w:val="single" w:sz="4" w:space="0" w:color="auto"/>
              <w:right w:val="single" w:sz="4" w:space="0" w:color="auto"/>
            </w:tcBorders>
            <w:noWrap/>
            <w:vAlign w:val="center"/>
            <w:hideMark/>
          </w:tcPr>
          <w:p w14:paraId="1421CA8B"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Spain</w:t>
            </w:r>
          </w:p>
        </w:tc>
        <w:tc>
          <w:tcPr>
            <w:tcW w:w="1256" w:type="dxa"/>
            <w:tcBorders>
              <w:top w:val="nil"/>
              <w:left w:val="nil"/>
              <w:bottom w:val="single" w:sz="4" w:space="0" w:color="auto"/>
              <w:right w:val="single" w:sz="4" w:space="0" w:color="auto"/>
            </w:tcBorders>
            <w:noWrap/>
            <w:vAlign w:val="center"/>
            <w:hideMark/>
          </w:tcPr>
          <w:p w14:paraId="6F63FBE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128 CLD patients</w:t>
            </w:r>
          </w:p>
        </w:tc>
        <w:tc>
          <w:tcPr>
            <w:tcW w:w="1609" w:type="dxa"/>
            <w:tcBorders>
              <w:top w:val="nil"/>
              <w:left w:val="nil"/>
              <w:bottom w:val="single" w:sz="4" w:space="0" w:color="auto"/>
              <w:right w:val="single" w:sz="4" w:space="0" w:color="auto"/>
            </w:tcBorders>
            <w:noWrap/>
            <w:vAlign w:val="center"/>
            <w:hideMark/>
          </w:tcPr>
          <w:p w14:paraId="69C2C838"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7087F252"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(METAVIR)</w:t>
            </w:r>
          </w:p>
        </w:tc>
        <w:tc>
          <w:tcPr>
            <w:tcW w:w="3411" w:type="dxa"/>
            <w:tcBorders>
              <w:top w:val="nil"/>
              <w:left w:val="nil"/>
              <w:bottom w:val="single" w:sz="4" w:space="0" w:color="auto"/>
              <w:right w:val="single" w:sz="4" w:space="0" w:color="auto"/>
            </w:tcBorders>
            <w:noWrap/>
            <w:vAlign w:val="center"/>
            <w:hideMark/>
          </w:tcPr>
          <w:p w14:paraId="2A6815C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≥12.5 kPa strongly predictive of cirrhosis (AUROC 0.96).</w:t>
            </w:r>
          </w:p>
        </w:tc>
      </w:tr>
      <w:tr w:rsidR="00DC4303" w:rsidRPr="00236660" w14:paraId="114E8C75"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37B1335E"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Hashemi et al., 2016</w:t>
            </w:r>
          </w:p>
        </w:tc>
        <w:tc>
          <w:tcPr>
            <w:tcW w:w="684" w:type="dxa"/>
            <w:tcBorders>
              <w:top w:val="nil"/>
              <w:left w:val="nil"/>
              <w:bottom w:val="single" w:sz="4" w:space="0" w:color="auto"/>
              <w:right w:val="single" w:sz="4" w:space="0" w:color="auto"/>
            </w:tcBorders>
            <w:noWrap/>
            <w:vAlign w:val="center"/>
            <w:hideMark/>
          </w:tcPr>
          <w:p w14:paraId="240C6E00"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Iran (Review)</w:t>
            </w:r>
          </w:p>
        </w:tc>
        <w:tc>
          <w:tcPr>
            <w:tcW w:w="1256" w:type="dxa"/>
            <w:tcBorders>
              <w:top w:val="nil"/>
              <w:left w:val="nil"/>
              <w:bottom w:val="single" w:sz="4" w:space="0" w:color="auto"/>
              <w:right w:val="single" w:sz="4" w:space="0" w:color="auto"/>
            </w:tcBorders>
            <w:noWrap/>
            <w:vAlign w:val="center"/>
            <w:hideMark/>
          </w:tcPr>
          <w:p w14:paraId="0BE4A91B"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698 NAFLD patients</w:t>
            </w:r>
          </w:p>
        </w:tc>
        <w:tc>
          <w:tcPr>
            <w:tcW w:w="1609" w:type="dxa"/>
            <w:tcBorders>
              <w:top w:val="nil"/>
              <w:left w:val="nil"/>
              <w:bottom w:val="single" w:sz="4" w:space="0" w:color="auto"/>
              <w:right w:val="single" w:sz="4" w:space="0" w:color="auto"/>
            </w:tcBorders>
            <w:noWrap/>
            <w:vAlign w:val="center"/>
            <w:hideMark/>
          </w:tcPr>
          <w:p w14:paraId="5E381FA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2A229E36"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(pooled studies)</w:t>
            </w:r>
          </w:p>
        </w:tc>
        <w:tc>
          <w:tcPr>
            <w:tcW w:w="3411" w:type="dxa"/>
            <w:tcBorders>
              <w:top w:val="nil"/>
              <w:left w:val="nil"/>
              <w:bottom w:val="single" w:sz="4" w:space="0" w:color="auto"/>
              <w:right w:val="single" w:sz="4" w:space="0" w:color="auto"/>
            </w:tcBorders>
            <w:noWrap/>
            <w:vAlign w:val="center"/>
            <w:hideMark/>
          </w:tcPr>
          <w:p w14:paraId="0D1C49F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Pooled AUROC ~0.85; TE less accurate in obese patients.</w:t>
            </w:r>
          </w:p>
        </w:tc>
      </w:tr>
      <w:tr w:rsidR="00DC4303" w:rsidRPr="00236660" w14:paraId="0B50399A"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0D6F246C"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color w:val="000000"/>
                <w:sz w:val="18"/>
                <w:szCs w:val="18"/>
                <w:lang w:val="en" w:eastAsia="en-IN"/>
              </w:rPr>
              <w:t>Hudert</w:t>
            </w:r>
            <w:proofErr w:type="spellEnd"/>
            <w:r w:rsidRPr="00236660">
              <w:rPr>
                <w:color w:val="000000"/>
                <w:sz w:val="18"/>
                <w:szCs w:val="18"/>
                <w:lang w:val="en" w:eastAsia="en-IN"/>
              </w:rPr>
              <w:t xml:space="preserve"> et al., 2018</w:t>
            </w:r>
          </w:p>
        </w:tc>
        <w:tc>
          <w:tcPr>
            <w:tcW w:w="684" w:type="dxa"/>
            <w:tcBorders>
              <w:top w:val="nil"/>
              <w:left w:val="nil"/>
              <w:bottom w:val="single" w:sz="4" w:space="0" w:color="auto"/>
              <w:right w:val="single" w:sz="4" w:space="0" w:color="auto"/>
            </w:tcBorders>
            <w:noWrap/>
            <w:vAlign w:val="center"/>
            <w:hideMark/>
          </w:tcPr>
          <w:p w14:paraId="7BD4F462"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Germany</w:t>
            </w:r>
          </w:p>
        </w:tc>
        <w:tc>
          <w:tcPr>
            <w:tcW w:w="1256" w:type="dxa"/>
            <w:tcBorders>
              <w:top w:val="nil"/>
              <w:left w:val="nil"/>
              <w:bottom w:val="single" w:sz="4" w:space="0" w:color="auto"/>
              <w:right w:val="single" w:sz="4" w:space="0" w:color="auto"/>
            </w:tcBorders>
            <w:noWrap/>
            <w:vAlign w:val="center"/>
            <w:hideMark/>
          </w:tcPr>
          <w:p w14:paraId="33B059C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66 obese adolescents with NAFLD</w:t>
            </w:r>
          </w:p>
        </w:tc>
        <w:tc>
          <w:tcPr>
            <w:tcW w:w="1609" w:type="dxa"/>
            <w:tcBorders>
              <w:top w:val="nil"/>
              <w:left w:val="nil"/>
              <w:bottom w:val="single" w:sz="4" w:space="0" w:color="auto"/>
              <w:right w:val="single" w:sz="4" w:space="0" w:color="auto"/>
            </w:tcBorders>
            <w:noWrap/>
            <w:vAlign w:val="center"/>
            <w:hideMark/>
          </w:tcPr>
          <w:p w14:paraId="0F71CD3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US THE</w:t>
            </w:r>
          </w:p>
        </w:tc>
        <w:tc>
          <w:tcPr>
            <w:tcW w:w="1355" w:type="dxa"/>
            <w:tcBorders>
              <w:top w:val="nil"/>
              <w:left w:val="nil"/>
              <w:bottom w:val="single" w:sz="4" w:space="0" w:color="auto"/>
              <w:right w:val="single" w:sz="4" w:space="0" w:color="auto"/>
            </w:tcBorders>
            <w:noWrap/>
            <w:vAlign w:val="center"/>
            <w:hideMark/>
          </w:tcPr>
          <w:p w14:paraId="1BDB66BE"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4B0148B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AUROC 0.91 for fibrosis ≥F2.</w:t>
            </w:r>
          </w:p>
        </w:tc>
      </w:tr>
      <w:tr w:rsidR="00DC4303" w:rsidRPr="00236660" w14:paraId="11EB6CB8"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1FBE929A"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color w:val="000000"/>
                <w:sz w:val="18"/>
                <w:szCs w:val="18"/>
                <w:lang w:val="en" w:eastAsia="en-IN"/>
              </w:rPr>
              <w:lastRenderedPageBreak/>
              <w:t>Hudert</w:t>
            </w:r>
            <w:proofErr w:type="spellEnd"/>
            <w:r w:rsidRPr="00236660">
              <w:rPr>
                <w:color w:val="000000"/>
                <w:sz w:val="18"/>
                <w:szCs w:val="18"/>
                <w:lang w:val="en" w:eastAsia="en-IN"/>
              </w:rPr>
              <w:t xml:space="preserve"> et al., 2019</w:t>
            </w:r>
          </w:p>
        </w:tc>
        <w:tc>
          <w:tcPr>
            <w:tcW w:w="684" w:type="dxa"/>
            <w:tcBorders>
              <w:top w:val="nil"/>
              <w:left w:val="nil"/>
              <w:bottom w:val="single" w:sz="4" w:space="0" w:color="auto"/>
              <w:right w:val="single" w:sz="4" w:space="0" w:color="auto"/>
            </w:tcBorders>
            <w:noWrap/>
            <w:vAlign w:val="center"/>
            <w:hideMark/>
          </w:tcPr>
          <w:p w14:paraId="6D0AE6A0"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Germany</w:t>
            </w:r>
          </w:p>
        </w:tc>
        <w:tc>
          <w:tcPr>
            <w:tcW w:w="1256" w:type="dxa"/>
            <w:tcBorders>
              <w:top w:val="nil"/>
              <w:left w:val="nil"/>
              <w:bottom w:val="single" w:sz="4" w:space="0" w:color="auto"/>
              <w:right w:val="single" w:sz="4" w:space="0" w:color="auto"/>
            </w:tcBorders>
            <w:noWrap/>
            <w:vAlign w:val="center"/>
            <w:hideMark/>
          </w:tcPr>
          <w:p w14:paraId="563E694E"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38 NAFLD patients</w:t>
            </w:r>
          </w:p>
        </w:tc>
        <w:tc>
          <w:tcPr>
            <w:tcW w:w="1609" w:type="dxa"/>
            <w:tcBorders>
              <w:top w:val="nil"/>
              <w:left w:val="nil"/>
              <w:bottom w:val="single" w:sz="4" w:space="0" w:color="auto"/>
              <w:right w:val="single" w:sz="4" w:space="0" w:color="auto"/>
            </w:tcBorders>
            <w:noWrap/>
            <w:vAlign w:val="center"/>
            <w:hideMark/>
          </w:tcPr>
          <w:p w14:paraId="335AC5CE"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color w:val="000000"/>
                <w:sz w:val="18"/>
                <w:szCs w:val="18"/>
                <w:lang w:val="en" w:eastAsia="en-IN"/>
              </w:rPr>
              <w:t>TomoE</w:t>
            </w:r>
            <w:proofErr w:type="spellEnd"/>
          </w:p>
        </w:tc>
        <w:tc>
          <w:tcPr>
            <w:tcW w:w="1355" w:type="dxa"/>
            <w:tcBorders>
              <w:top w:val="nil"/>
              <w:left w:val="nil"/>
              <w:bottom w:val="single" w:sz="4" w:space="0" w:color="auto"/>
              <w:right w:val="single" w:sz="4" w:space="0" w:color="auto"/>
            </w:tcBorders>
            <w:noWrap/>
            <w:vAlign w:val="center"/>
            <w:hideMark/>
          </w:tcPr>
          <w:p w14:paraId="3C633BF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46003B30"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AUROC 0.95 for fibrosis ≥F2.</w:t>
            </w:r>
          </w:p>
        </w:tc>
      </w:tr>
      <w:tr w:rsidR="00DC4303" w:rsidRPr="00236660" w14:paraId="49F4AEEE"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0FB67EE0"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color w:val="000000"/>
                <w:sz w:val="18"/>
                <w:szCs w:val="18"/>
                <w:lang w:val="en" w:eastAsia="en-IN"/>
              </w:rPr>
              <w:t>Huwart</w:t>
            </w:r>
            <w:proofErr w:type="spellEnd"/>
            <w:r w:rsidRPr="00236660">
              <w:rPr>
                <w:color w:val="000000"/>
                <w:sz w:val="18"/>
                <w:szCs w:val="18"/>
                <w:lang w:val="en" w:eastAsia="en-IN"/>
              </w:rPr>
              <w:t xml:space="preserve"> et al., 2008</w:t>
            </w:r>
          </w:p>
        </w:tc>
        <w:tc>
          <w:tcPr>
            <w:tcW w:w="684" w:type="dxa"/>
            <w:tcBorders>
              <w:top w:val="nil"/>
              <w:left w:val="nil"/>
              <w:bottom w:val="single" w:sz="4" w:space="0" w:color="auto"/>
              <w:right w:val="single" w:sz="4" w:space="0" w:color="auto"/>
            </w:tcBorders>
            <w:noWrap/>
            <w:vAlign w:val="center"/>
            <w:hideMark/>
          </w:tcPr>
          <w:p w14:paraId="672E1B68"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Belgium</w:t>
            </w:r>
          </w:p>
        </w:tc>
        <w:tc>
          <w:tcPr>
            <w:tcW w:w="1256" w:type="dxa"/>
            <w:tcBorders>
              <w:top w:val="nil"/>
              <w:left w:val="nil"/>
              <w:bottom w:val="single" w:sz="4" w:space="0" w:color="auto"/>
              <w:right w:val="single" w:sz="4" w:space="0" w:color="auto"/>
            </w:tcBorders>
            <w:noWrap/>
            <w:vAlign w:val="center"/>
            <w:hideMark/>
          </w:tcPr>
          <w:p w14:paraId="6EDE624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141 CLD patients</w:t>
            </w:r>
          </w:p>
        </w:tc>
        <w:tc>
          <w:tcPr>
            <w:tcW w:w="1609" w:type="dxa"/>
            <w:tcBorders>
              <w:top w:val="nil"/>
              <w:left w:val="nil"/>
              <w:bottom w:val="single" w:sz="4" w:space="0" w:color="auto"/>
              <w:right w:val="single" w:sz="4" w:space="0" w:color="auto"/>
            </w:tcBorders>
            <w:noWrap/>
            <w:vAlign w:val="center"/>
            <w:hideMark/>
          </w:tcPr>
          <w:p w14:paraId="646D6DDF"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MRE</w:t>
            </w:r>
          </w:p>
        </w:tc>
        <w:tc>
          <w:tcPr>
            <w:tcW w:w="1355" w:type="dxa"/>
            <w:tcBorders>
              <w:top w:val="nil"/>
              <w:left w:val="nil"/>
              <w:bottom w:val="single" w:sz="4" w:space="0" w:color="auto"/>
              <w:right w:val="single" w:sz="4" w:space="0" w:color="auto"/>
            </w:tcBorders>
            <w:noWrap/>
            <w:vAlign w:val="center"/>
            <w:hideMark/>
          </w:tcPr>
          <w:p w14:paraId="551CFED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(METAVIR)</w:t>
            </w:r>
          </w:p>
        </w:tc>
        <w:tc>
          <w:tcPr>
            <w:tcW w:w="3411" w:type="dxa"/>
            <w:tcBorders>
              <w:top w:val="nil"/>
              <w:left w:val="nil"/>
              <w:bottom w:val="single" w:sz="4" w:space="0" w:color="auto"/>
              <w:right w:val="single" w:sz="4" w:space="0" w:color="auto"/>
            </w:tcBorders>
            <w:noWrap/>
            <w:vAlign w:val="center"/>
            <w:hideMark/>
          </w:tcPr>
          <w:p w14:paraId="54688CF6"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MRE AUROC 0.93 for ≥F2; more accurate than TE in subset.</w:t>
            </w:r>
          </w:p>
        </w:tc>
      </w:tr>
      <w:tr w:rsidR="00DC4303" w:rsidRPr="00236660" w14:paraId="66DED310"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4AE7BA1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Jia et al., 2015</w:t>
            </w:r>
          </w:p>
        </w:tc>
        <w:tc>
          <w:tcPr>
            <w:tcW w:w="684" w:type="dxa"/>
            <w:tcBorders>
              <w:top w:val="nil"/>
              <w:left w:val="nil"/>
              <w:bottom w:val="single" w:sz="4" w:space="0" w:color="auto"/>
              <w:right w:val="single" w:sz="4" w:space="0" w:color="auto"/>
            </w:tcBorders>
            <w:noWrap/>
            <w:vAlign w:val="center"/>
            <w:hideMark/>
          </w:tcPr>
          <w:p w14:paraId="36DA4E0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China</w:t>
            </w:r>
          </w:p>
        </w:tc>
        <w:tc>
          <w:tcPr>
            <w:tcW w:w="1256" w:type="dxa"/>
            <w:tcBorders>
              <w:top w:val="nil"/>
              <w:left w:val="nil"/>
              <w:bottom w:val="single" w:sz="4" w:space="0" w:color="auto"/>
              <w:right w:val="single" w:sz="4" w:space="0" w:color="auto"/>
            </w:tcBorders>
            <w:noWrap/>
            <w:vAlign w:val="center"/>
            <w:hideMark/>
          </w:tcPr>
          <w:p w14:paraId="6FF06EA8"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618 CHB patients</w:t>
            </w:r>
          </w:p>
        </w:tc>
        <w:tc>
          <w:tcPr>
            <w:tcW w:w="1609" w:type="dxa"/>
            <w:tcBorders>
              <w:top w:val="nil"/>
              <w:left w:val="nil"/>
              <w:bottom w:val="single" w:sz="4" w:space="0" w:color="auto"/>
              <w:right w:val="single" w:sz="4" w:space="0" w:color="auto"/>
            </w:tcBorders>
            <w:noWrap/>
            <w:vAlign w:val="center"/>
            <w:hideMark/>
          </w:tcPr>
          <w:p w14:paraId="75D2167E"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vs APRI, FT</w:t>
            </w:r>
          </w:p>
        </w:tc>
        <w:tc>
          <w:tcPr>
            <w:tcW w:w="1355" w:type="dxa"/>
            <w:tcBorders>
              <w:top w:val="nil"/>
              <w:left w:val="nil"/>
              <w:bottom w:val="single" w:sz="4" w:space="0" w:color="auto"/>
              <w:right w:val="single" w:sz="4" w:space="0" w:color="auto"/>
            </w:tcBorders>
            <w:noWrap/>
            <w:vAlign w:val="center"/>
            <w:hideMark/>
          </w:tcPr>
          <w:p w14:paraId="17B5DC88"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36DA118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outperformed serum markers (AUROC 0.82 for ≥F2, 0.91 for F4).</w:t>
            </w:r>
          </w:p>
        </w:tc>
      </w:tr>
      <w:tr w:rsidR="00DC4303" w:rsidRPr="00236660" w14:paraId="2B0560C1"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0D53EC0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Kim BH et al., 2011</w:t>
            </w:r>
          </w:p>
        </w:tc>
        <w:tc>
          <w:tcPr>
            <w:tcW w:w="684" w:type="dxa"/>
            <w:tcBorders>
              <w:top w:val="nil"/>
              <w:left w:val="nil"/>
              <w:bottom w:val="single" w:sz="4" w:space="0" w:color="auto"/>
              <w:right w:val="single" w:sz="4" w:space="0" w:color="auto"/>
            </w:tcBorders>
            <w:noWrap/>
            <w:vAlign w:val="center"/>
            <w:hideMark/>
          </w:tcPr>
          <w:p w14:paraId="67935D0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Korea</w:t>
            </w:r>
          </w:p>
        </w:tc>
        <w:tc>
          <w:tcPr>
            <w:tcW w:w="1256" w:type="dxa"/>
            <w:tcBorders>
              <w:top w:val="nil"/>
              <w:left w:val="nil"/>
              <w:bottom w:val="single" w:sz="4" w:space="0" w:color="auto"/>
              <w:right w:val="single" w:sz="4" w:space="0" w:color="auto"/>
            </w:tcBorders>
            <w:noWrap/>
            <w:vAlign w:val="center"/>
            <w:hideMark/>
          </w:tcPr>
          <w:p w14:paraId="1B64B920"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177 CLD patients</w:t>
            </w:r>
          </w:p>
        </w:tc>
        <w:tc>
          <w:tcPr>
            <w:tcW w:w="1609" w:type="dxa"/>
            <w:tcBorders>
              <w:top w:val="nil"/>
              <w:left w:val="nil"/>
              <w:bottom w:val="single" w:sz="4" w:space="0" w:color="auto"/>
              <w:right w:val="single" w:sz="4" w:space="0" w:color="auto"/>
            </w:tcBorders>
            <w:noWrap/>
            <w:vAlign w:val="center"/>
            <w:hideMark/>
          </w:tcPr>
          <w:p w14:paraId="021EC37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MRE</w:t>
            </w:r>
          </w:p>
        </w:tc>
        <w:tc>
          <w:tcPr>
            <w:tcW w:w="1355" w:type="dxa"/>
            <w:tcBorders>
              <w:top w:val="nil"/>
              <w:left w:val="nil"/>
              <w:bottom w:val="single" w:sz="4" w:space="0" w:color="auto"/>
              <w:right w:val="single" w:sz="4" w:space="0" w:color="auto"/>
            </w:tcBorders>
            <w:noWrap/>
            <w:vAlign w:val="center"/>
            <w:hideMark/>
          </w:tcPr>
          <w:p w14:paraId="713D609A"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5AAFF2E0"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MRE AUROC 0.96 for cirrhosis; good in CHB.</w:t>
            </w:r>
          </w:p>
        </w:tc>
      </w:tr>
      <w:tr w:rsidR="00DC4303" w:rsidRPr="00236660" w14:paraId="189A2A14"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085D9CB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Kim BK et al., 2012</w:t>
            </w:r>
          </w:p>
        </w:tc>
        <w:tc>
          <w:tcPr>
            <w:tcW w:w="684" w:type="dxa"/>
            <w:tcBorders>
              <w:top w:val="nil"/>
              <w:left w:val="nil"/>
              <w:bottom w:val="single" w:sz="4" w:space="0" w:color="auto"/>
              <w:right w:val="single" w:sz="4" w:space="0" w:color="auto"/>
            </w:tcBorders>
            <w:noWrap/>
            <w:vAlign w:val="center"/>
            <w:hideMark/>
          </w:tcPr>
          <w:p w14:paraId="0A52C33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Korea</w:t>
            </w:r>
          </w:p>
        </w:tc>
        <w:tc>
          <w:tcPr>
            <w:tcW w:w="1256" w:type="dxa"/>
            <w:tcBorders>
              <w:top w:val="nil"/>
              <w:left w:val="nil"/>
              <w:bottom w:val="single" w:sz="4" w:space="0" w:color="auto"/>
              <w:right w:val="single" w:sz="4" w:space="0" w:color="auto"/>
            </w:tcBorders>
            <w:noWrap/>
            <w:vAlign w:val="center"/>
            <w:hideMark/>
          </w:tcPr>
          <w:p w14:paraId="24181CE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496 CHB patients</w:t>
            </w:r>
          </w:p>
        </w:tc>
        <w:tc>
          <w:tcPr>
            <w:tcW w:w="1609" w:type="dxa"/>
            <w:tcBorders>
              <w:top w:val="nil"/>
              <w:left w:val="nil"/>
              <w:bottom w:val="single" w:sz="4" w:space="0" w:color="auto"/>
              <w:right w:val="single" w:sz="4" w:space="0" w:color="auto"/>
            </w:tcBorders>
            <w:noWrap/>
            <w:vAlign w:val="center"/>
            <w:hideMark/>
          </w:tcPr>
          <w:p w14:paraId="4C19906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ELF, FT</w:t>
            </w:r>
          </w:p>
        </w:tc>
        <w:tc>
          <w:tcPr>
            <w:tcW w:w="1355" w:type="dxa"/>
            <w:tcBorders>
              <w:top w:val="nil"/>
              <w:left w:val="nil"/>
              <w:bottom w:val="single" w:sz="4" w:space="0" w:color="auto"/>
              <w:right w:val="single" w:sz="4" w:space="0" w:color="auto"/>
            </w:tcBorders>
            <w:noWrap/>
            <w:vAlign w:val="center"/>
            <w:hideMark/>
          </w:tcPr>
          <w:p w14:paraId="0BC67C85"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58A3A26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 xml:space="preserve">ELF and TE </w:t>
            </w:r>
            <w:proofErr w:type="gramStart"/>
            <w:r w:rsidRPr="00236660">
              <w:rPr>
                <w:color w:val="000000"/>
                <w:sz w:val="18"/>
                <w:szCs w:val="18"/>
                <w:lang w:val="en" w:eastAsia="en-IN"/>
              </w:rPr>
              <w:t>both</w:t>
            </w:r>
            <w:proofErr w:type="gramEnd"/>
            <w:r w:rsidRPr="00236660">
              <w:rPr>
                <w:color w:val="000000"/>
                <w:sz w:val="18"/>
                <w:szCs w:val="18"/>
                <w:lang w:val="en" w:eastAsia="en-IN"/>
              </w:rPr>
              <w:t xml:space="preserve"> accurate; TE AUROC 0.88 for ≥F3.</w:t>
            </w:r>
          </w:p>
        </w:tc>
      </w:tr>
      <w:tr w:rsidR="00DC4303" w:rsidRPr="00236660" w14:paraId="5108E7D2"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6D4D00E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Lee et al., 2013</w:t>
            </w:r>
          </w:p>
        </w:tc>
        <w:tc>
          <w:tcPr>
            <w:tcW w:w="684" w:type="dxa"/>
            <w:tcBorders>
              <w:top w:val="nil"/>
              <w:left w:val="nil"/>
              <w:bottom w:val="single" w:sz="4" w:space="0" w:color="auto"/>
              <w:right w:val="single" w:sz="4" w:space="0" w:color="auto"/>
            </w:tcBorders>
            <w:noWrap/>
            <w:vAlign w:val="center"/>
            <w:hideMark/>
          </w:tcPr>
          <w:p w14:paraId="3E2799BF"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USA</w:t>
            </w:r>
          </w:p>
        </w:tc>
        <w:tc>
          <w:tcPr>
            <w:tcW w:w="1256" w:type="dxa"/>
            <w:tcBorders>
              <w:top w:val="nil"/>
              <w:left w:val="nil"/>
              <w:bottom w:val="single" w:sz="4" w:space="0" w:color="auto"/>
              <w:right w:val="single" w:sz="4" w:space="0" w:color="auto"/>
            </w:tcBorders>
            <w:noWrap/>
            <w:vAlign w:val="center"/>
            <w:hideMark/>
          </w:tcPr>
          <w:p w14:paraId="1041FE58"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91 CLD patients</w:t>
            </w:r>
          </w:p>
        </w:tc>
        <w:tc>
          <w:tcPr>
            <w:tcW w:w="1609" w:type="dxa"/>
            <w:tcBorders>
              <w:top w:val="nil"/>
              <w:left w:val="nil"/>
              <w:bottom w:val="single" w:sz="4" w:space="0" w:color="auto"/>
              <w:right w:val="single" w:sz="4" w:space="0" w:color="auto"/>
            </w:tcBorders>
            <w:noWrap/>
            <w:vAlign w:val="center"/>
            <w:hideMark/>
          </w:tcPr>
          <w:p w14:paraId="4EC7342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 serum markers</w:t>
            </w:r>
          </w:p>
        </w:tc>
        <w:tc>
          <w:tcPr>
            <w:tcW w:w="1355" w:type="dxa"/>
            <w:tcBorders>
              <w:top w:val="nil"/>
              <w:left w:val="nil"/>
              <w:bottom w:val="single" w:sz="4" w:space="0" w:color="auto"/>
              <w:right w:val="single" w:sz="4" w:space="0" w:color="auto"/>
            </w:tcBorders>
            <w:noWrap/>
            <w:vAlign w:val="center"/>
            <w:hideMark/>
          </w:tcPr>
          <w:p w14:paraId="4B28D998"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793067BE"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AUROC 0.82 for ≥F3; better than serum markers alone.</w:t>
            </w:r>
          </w:p>
        </w:tc>
      </w:tr>
      <w:tr w:rsidR="00DC4303" w:rsidRPr="00236660" w14:paraId="331DF8A1"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5DB2509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Nudo et al., 2008</w:t>
            </w:r>
          </w:p>
        </w:tc>
        <w:tc>
          <w:tcPr>
            <w:tcW w:w="684" w:type="dxa"/>
            <w:tcBorders>
              <w:top w:val="nil"/>
              <w:left w:val="nil"/>
              <w:bottom w:val="single" w:sz="4" w:space="0" w:color="auto"/>
              <w:right w:val="single" w:sz="4" w:space="0" w:color="auto"/>
            </w:tcBorders>
            <w:noWrap/>
            <w:vAlign w:val="center"/>
            <w:hideMark/>
          </w:tcPr>
          <w:p w14:paraId="1CCB4B0A"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USA</w:t>
            </w:r>
          </w:p>
        </w:tc>
        <w:tc>
          <w:tcPr>
            <w:tcW w:w="1256" w:type="dxa"/>
            <w:tcBorders>
              <w:top w:val="nil"/>
              <w:left w:val="nil"/>
              <w:bottom w:val="single" w:sz="4" w:space="0" w:color="auto"/>
              <w:right w:val="single" w:sz="4" w:space="0" w:color="auto"/>
            </w:tcBorders>
            <w:noWrap/>
            <w:vAlign w:val="center"/>
            <w:hideMark/>
          </w:tcPr>
          <w:p w14:paraId="3E0A745B"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39 CLD patients</w:t>
            </w:r>
          </w:p>
        </w:tc>
        <w:tc>
          <w:tcPr>
            <w:tcW w:w="1609" w:type="dxa"/>
            <w:tcBorders>
              <w:top w:val="nil"/>
              <w:left w:val="nil"/>
              <w:bottom w:val="single" w:sz="4" w:space="0" w:color="auto"/>
              <w:right w:val="single" w:sz="4" w:space="0" w:color="auto"/>
            </w:tcBorders>
            <w:noWrap/>
            <w:vAlign w:val="center"/>
            <w:hideMark/>
          </w:tcPr>
          <w:p w14:paraId="321EA9F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vs laparoscopic biopsy</w:t>
            </w:r>
          </w:p>
        </w:tc>
        <w:tc>
          <w:tcPr>
            <w:tcW w:w="1355" w:type="dxa"/>
            <w:tcBorders>
              <w:top w:val="nil"/>
              <w:left w:val="nil"/>
              <w:bottom w:val="single" w:sz="4" w:space="0" w:color="auto"/>
              <w:right w:val="single" w:sz="4" w:space="0" w:color="auto"/>
            </w:tcBorders>
            <w:noWrap/>
            <w:vAlign w:val="center"/>
            <w:hideMark/>
          </w:tcPr>
          <w:p w14:paraId="5D6B399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758CBC3A"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Good correlation (r=0.73).</w:t>
            </w:r>
          </w:p>
        </w:tc>
      </w:tr>
      <w:tr w:rsidR="00DC4303" w:rsidRPr="00236660" w14:paraId="4F6440DA"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1FD80032"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Obara et al., 2008</w:t>
            </w:r>
          </w:p>
        </w:tc>
        <w:tc>
          <w:tcPr>
            <w:tcW w:w="684" w:type="dxa"/>
            <w:tcBorders>
              <w:top w:val="nil"/>
              <w:left w:val="nil"/>
              <w:bottom w:val="single" w:sz="4" w:space="0" w:color="auto"/>
              <w:right w:val="single" w:sz="4" w:space="0" w:color="auto"/>
            </w:tcBorders>
            <w:noWrap/>
            <w:vAlign w:val="center"/>
            <w:hideMark/>
          </w:tcPr>
          <w:p w14:paraId="3C8C517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Japan</w:t>
            </w:r>
          </w:p>
        </w:tc>
        <w:tc>
          <w:tcPr>
            <w:tcW w:w="1256" w:type="dxa"/>
            <w:tcBorders>
              <w:top w:val="nil"/>
              <w:left w:val="nil"/>
              <w:bottom w:val="single" w:sz="4" w:space="0" w:color="auto"/>
              <w:right w:val="single" w:sz="4" w:space="0" w:color="auto"/>
            </w:tcBorders>
            <w:noWrap/>
            <w:vAlign w:val="center"/>
            <w:hideMark/>
          </w:tcPr>
          <w:p w14:paraId="6E1EDB4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150 viral &amp; non-viral CLD patients</w:t>
            </w:r>
          </w:p>
        </w:tc>
        <w:tc>
          <w:tcPr>
            <w:tcW w:w="1609" w:type="dxa"/>
            <w:tcBorders>
              <w:top w:val="nil"/>
              <w:left w:val="nil"/>
              <w:bottom w:val="single" w:sz="4" w:space="0" w:color="auto"/>
              <w:right w:val="single" w:sz="4" w:space="0" w:color="auto"/>
            </w:tcBorders>
            <w:noWrap/>
            <w:vAlign w:val="center"/>
            <w:hideMark/>
          </w:tcPr>
          <w:p w14:paraId="30CF662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1F8F7A22"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5E4D1D2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detected ≥F2 fibrosis (AUROC 0.85).</w:t>
            </w:r>
          </w:p>
        </w:tc>
      </w:tr>
      <w:tr w:rsidR="00DC4303" w:rsidRPr="00236660" w14:paraId="6B6BBC76"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5418C34F"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Rigamonti et al., 2008</w:t>
            </w:r>
          </w:p>
        </w:tc>
        <w:tc>
          <w:tcPr>
            <w:tcW w:w="684" w:type="dxa"/>
            <w:tcBorders>
              <w:top w:val="nil"/>
              <w:left w:val="nil"/>
              <w:bottom w:val="single" w:sz="4" w:space="0" w:color="auto"/>
              <w:right w:val="single" w:sz="4" w:space="0" w:color="auto"/>
            </w:tcBorders>
            <w:noWrap/>
            <w:vAlign w:val="center"/>
            <w:hideMark/>
          </w:tcPr>
          <w:p w14:paraId="55099EEA"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Italy</w:t>
            </w:r>
          </w:p>
        </w:tc>
        <w:tc>
          <w:tcPr>
            <w:tcW w:w="1256" w:type="dxa"/>
            <w:tcBorders>
              <w:top w:val="nil"/>
              <w:left w:val="nil"/>
              <w:bottom w:val="single" w:sz="4" w:space="0" w:color="auto"/>
              <w:right w:val="single" w:sz="4" w:space="0" w:color="auto"/>
            </w:tcBorders>
            <w:noWrap/>
            <w:vAlign w:val="center"/>
            <w:hideMark/>
          </w:tcPr>
          <w:p w14:paraId="6D22627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50 LT recipients with recurrent HCV</w:t>
            </w:r>
          </w:p>
        </w:tc>
        <w:tc>
          <w:tcPr>
            <w:tcW w:w="1609" w:type="dxa"/>
            <w:tcBorders>
              <w:top w:val="nil"/>
              <w:left w:val="nil"/>
              <w:bottom w:val="single" w:sz="4" w:space="0" w:color="auto"/>
              <w:right w:val="single" w:sz="4" w:space="0" w:color="auto"/>
            </w:tcBorders>
            <w:noWrap/>
            <w:vAlign w:val="center"/>
            <w:hideMark/>
          </w:tcPr>
          <w:p w14:paraId="5B27E81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250070A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(METAVIR)</w:t>
            </w:r>
          </w:p>
        </w:tc>
        <w:tc>
          <w:tcPr>
            <w:tcW w:w="3411" w:type="dxa"/>
            <w:tcBorders>
              <w:top w:val="nil"/>
              <w:left w:val="nil"/>
              <w:bottom w:val="single" w:sz="4" w:space="0" w:color="auto"/>
              <w:right w:val="single" w:sz="4" w:space="0" w:color="auto"/>
            </w:tcBorders>
            <w:noWrap/>
            <w:vAlign w:val="center"/>
            <w:hideMark/>
          </w:tcPr>
          <w:p w14:paraId="1CEDD75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predicted fibrosis progression; cutoff &gt;7.5 kPa for ≥F2.</w:t>
            </w:r>
          </w:p>
        </w:tc>
      </w:tr>
      <w:tr w:rsidR="00DC4303" w:rsidRPr="00236660" w14:paraId="4D51C590"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1F29E51E"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Seo et al., 2015</w:t>
            </w:r>
          </w:p>
        </w:tc>
        <w:tc>
          <w:tcPr>
            <w:tcW w:w="684" w:type="dxa"/>
            <w:tcBorders>
              <w:top w:val="nil"/>
              <w:left w:val="nil"/>
              <w:bottom w:val="single" w:sz="4" w:space="0" w:color="auto"/>
              <w:right w:val="single" w:sz="4" w:space="0" w:color="auto"/>
            </w:tcBorders>
            <w:noWrap/>
            <w:vAlign w:val="center"/>
            <w:hideMark/>
          </w:tcPr>
          <w:p w14:paraId="2547794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Korea (Multicenter)</w:t>
            </w:r>
          </w:p>
        </w:tc>
        <w:tc>
          <w:tcPr>
            <w:tcW w:w="1256" w:type="dxa"/>
            <w:tcBorders>
              <w:top w:val="nil"/>
              <w:left w:val="nil"/>
              <w:bottom w:val="single" w:sz="4" w:space="0" w:color="auto"/>
              <w:right w:val="single" w:sz="4" w:space="0" w:color="auto"/>
            </w:tcBorders>
            <w:noWrap/>
            <w:vAlign w:val="center"/>
            <w:hideMark/>
          </w:tcPr>
          <w:p w14:paraId="420385C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1,073 CHB/HCV patients</w:t>
            </w:r>
          </w:p>
        </w:tc>
        <w:tc>
          <w:tcPr>
            <w:tcW w:w="1609" w:type="dxa"/>
            <w:tcBorders>
              <w:top w:val="nil"/>
              <w:left w:val="nil"/>
              <w:bottom w:val="single" w:sz="4" w:space="0" w:color="auto"/>
              <w:right w:val="single" w:sz="4" w:space="0" w:color="auto"/>
            </w:tcBorders>
            <w:noWrap/>
            <w:vAlign w:val="center"/>
            <w:hideMark/>
          </w:tcPr>
          <w:p w14:paraId="1C303B5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0160A7B0"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740DB7D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cutoffs varied by etiology; AUROC ~0.85 for ≥F2.</w:t>
            </w:r>
          </w:p>
        </w:tc>
      </w:tr>
      <w:tr w:rsidR="00DC4303" w:rsidRPr="00236660" w14:paraId="36BF8EAB"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5514F54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Shi et al., 2014</w:t>
            </w:r>
          </w:p>
        </w:tc>
        <w:tc>
          <w:tcPr>
            <w:tcW w:w="684" w:type="dxa"/>
            <w:tcBorders>
              <w:top w:val="nil"/>
              <w:left w:val="nil"/>
              <w:bottom w:val="single" w:sz="4" w:space="0" w:color="auto"/>
              <w:right w:val="single" w:sz="4" w:space="0" w:color="auto"/>
            </w:tcBorders>
            <w:noWrap/>
            <w:vAlign w:val="center"/>
            <w:hideMark/>
          </w:tcPr>
          <w:p w14:paraId="2011DDEA"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China/USA</w:t>
            </w:r>
          </w:p>
        </w:tc>
        <w:tc>
          <w:tcPr>
            <w:tcW w:w="1256" w:type="dxa"/>
            <w:tcBorders>
              <w:top w:val="nil"/>
              <w:left w:val="nil"/>
              <w:bottom w:val="single" w:sz="4" w:space="0" w:color="auto"/>
              <w:right w:val="single" w:sz="4" w:space="0" w:color="auto"/>
            </w:tcBorders>
            <w:noWrap/>
            <w:vAlign w:val="center"/>
            <w:hideMark/>
          </w:tcPr>
          <w:p w14:paraId="687B13E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150 CHB patients</w:t>
            </w:r>
          </w:p>
        </w:tc>
        <w:tc>
          <w:tcPr>
            <w:tcW w:w="1609" w:type="dxa"/>
            <w:tcBorders>
              <w:top w:val="nil"/>
              <w:left w:val="nil"/>
              <w:bottom w:val="single" w:sz="4" w:space="0" w:color="auto"/>
              <w:right w:val="single" w:sz="4" w:space="0" w:color="auto"/>
            </w:tcBorders>
            <w:noWrap/>
            <w:vAlign w:val="center"/>
            <w:hideMark/>
          </w:tcPr>
          <w:p w14:paraId="54B8549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MRE</w:t>
            </w:r>
          </w:p>
        </w:tc>
        <w:tc>
          <w:tcPr>
            <w:tcW w:w="1355" w:type="dxa"/>
            <w:tcBorders>
              <w:top w:val="nil"/>
              <w:left w:val="nil"/>
              <w:bottom w:val="single" w:sz="4" w:space="0" w:color="auto"/>
              <w:right w:val="single" w:sz="4" w:space="0" w:color="auto"/>
            </w:tcBorders>
            <w:noWrap/>
            <w:vAlign w:val="center"/>
            <w:hideMark/>
          </w:tcPr>
          <w:p w14:paraId="3E9241D5"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0BF4507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Necroinflammation did not affect MRE stiffness.</w:t>
            </w:r>
          </w:p>
        </w:tc>
      </w:tr>
      <w:tr w:rsidR="00DC4303" w:rsidRPr="00236660" w14:paraId="0BB3E2EE"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6DD0FAC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Xu et al., 2019</w:t>
            </w:r>
          </w:p>
        </w:tc>
        <w:tc>
          <w:tcPr>
            <w:tcW w:w="684" w:type="dxa"/>
            <w:tcBorders>
              <w:top w:val="nil"/>
              <w:left w:val="nil"/>
              <w:bottom w:val="single" w:sz="4" w:space="0" w:color="auto"/>
              <w:right w:val="single" w:sz="4" w:space="0" w:color="auto"/>
            </w:tcBorders>
            <w:noWrap/>
            <w:vAlign w:val="center"/>
            <w:hideMark/>
          </w:tcPr>
          <w:p w14:paraId="0530A6A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China</w:t>
            </w:r>
          </w:p>
        </w:tc>
        <w:tc>
          <w:tcPr>
            <w:tcW w:w="1256" w:type="dxa"/>
            <w:tcBorders>
              <w:top w:val="nil"/>
              <w:left w:val="nil"/>
              <w:bottom w:val="single" w:sz="4" w:space="0" w:color="auto"/>
              <w:right w:val="single" w:sz="4" w:space="0" w:color="auto"/>
            </w:tcBorders>
            <w:noWrap/>
            <w:vAlign w:val="center"/>
            <w:hideMark/>
          </w:tcPr>
          <w:p w14:paraId="3675A40A"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406 CLD patients</w:t>
            </w:r>
          </w:p>
        </w:tc>
        <w:tc>
          <w:tcPr>
            <w:tcW w:w="1609" w:type="dxa"/>
            <w:tcBorders>
              <w:top w:val="nil"/>
              <w:left w:val="nil"/>
              <w:bottom w:val="single" w:sz="4" w:space="0" w:color="auto"/>
              <w:right w:val="single" w:sz="4" w:space="0" w:color="auto"/>
            </w:tcBorders>
            <w:noWrap/>
            <w:vAlign w:val="center"/>
            <w:hideMark/>
          </w:tcPr>
          <w:p w14:paraId="5A22F1E4"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color w:val="000000"/>
                <w:sz w:val="18"/>
                <w:szCs w:val="18"/>
                <w:lang w:val="en" w:eastAsia="en-IN"/>
              </w:rPr>
              <w:t>FibroTouch</w:t>
            </w:r>
            <w:proofErr w:type="spellEnd"/>
            <w:r w:rsidRPr="00236660">
              <w:rPr>
                <w:color w:val="000000"/>
                <w:sz w:val="18"/>
                <w:szCs w:val="18"/>
                <w:lang w:val="en" w:eastAsia="en-IN"/>
              </w:rPr>
              <w:t xml:space="preserve"> vs TE</w:t>
            </w:r>
          </w:p>
        </w:tc>
        <w:tc>
          <w:tcPr>
            <w:tcW w:w="1355" w:type="dxa"/>
            <w:tcBorders>
              <w:top w:val="nil"/>
              <w:left w:val="nil"/>
              <w:bottom w:val="single" w:sz="4" w:space="0" w:color="auto"/>
              <w:right w:val="single" w:sz="4" w:space="0" w:color="auto"/>
            </w:tcBorders>
            <w:noWrap/>
            <w:vAlign w:val="center"/>
            <w:hideMark/>
          </w:tcPr>
          <w:p w14:paraId="09A6A50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5914BD6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 xml:space="preserve">Both </w:t>
            </w:r>
            <w:proofErr w:type="gramStart"/>
            <w:r w:rsidRPr="00236660">
              <w:rPr>
                <w:color w:val="000000"/>
                <w:sz w:val="18"/>
                <w:szCs w:val="18"/>
                <w:lang w:val="en" w:eastAsia="en-IN"/>
              </w:rPr>
              <w:t>accurate</w:t>
            </w:r>
            <w:proofErr w:type="gramEnd"/>
            <w:r w:rsidRPr="00236660">
              <w:rPr>
                <w:color w:val="000000"/>
                <w:sz w:val="18"/>
                <w:szCs w:val="18"/>
                <w:lang w:val="en" w:eastAsia="en-IN"/>
              </w:rPr>
              <w:t xml:space="preserve">; </w:t>
            </w:r>
            <w:proofErr w:type="spellStart"/>
            <w:r w:rsidRPr="00236660">
              <w:rPr>
                <w:color w:val="000000"/>
                <w:sz w:val="18"/>
                <w:szCs w:val="18"/>
                <w:lang w:val="en" w:eastAsia="en-IN"/>
              </w:rPr>
              <w:t>FibroTouch</w:t>
            </w:r>
            <w:proofErr w:type="spellEnd"/>
            <w:r w:rsidRPr="00236660">
              <w:rPr>
                <w:color w:val="000000"/>
                <w:sz w:val="18"/>
                <w:szCs w:val="18"/>
                <w:lang w:val="en" w:eastAsia="en-IN"/>
              </w:rPr>
              <w:t xml:space="preserve"> slightly lower AUROC.</w:t>
            </w:r>
          </w:p>
        </w:tc>
      </w:tr>
      <w:tr w:rsidR="00DC4303" w:rsidRPr="00236660" w14:paraId="0413CF93"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0F158042"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Ganne-</w:t>
            </w:r>
            <w:proofErr w:type="spellStart"/>
            <w:r w:rsidRPr="00236660">
              <w:rPr>
                <w:color w:val="000000"/>
                <w:sz w:val="18"/>
                <w:szCs w:val="18"/>
                <w:lang w:val="en" w:eastAsia="en-IN"/>
              </w:rPr>
              <w:t>Carrié</w:t>
            </w:r>
            <w:proofErr w:type="spellEnd"/>
            <w:r w:rsidRPr="00236660">
              <w:rPr>
                <w:color w:val="000000"/>
                <w:sz w:val="18"/>
                <w:szCs w:val="18"/>
                <w:lang w:val="en" w:eastAsia="en-IN"/>
              </w:rPr>
              <w:t xml:space="preserve"> et al., 2006</w:t>
            </w:r>
          </w:p>
        </w:tc>
        <w:tc>
          <w:tcPr>
            <w:tcW w:w="684" w:type="dxa"/>
            <w:tcBorders>
              <w:top w:val="nil"/>
              <w:left w:val="nil"/>
              <w:bottom w:val="single" w:sz="4" w:space="0" w:color="auto"/>
              <w:right w:val="single" w:sz="4" w:space="0" w:color="auto"/>
            </w:tcBorders>
            <w:noWrap/>
            <w:vAlign w:val="center"/>
            <w:hideMark/>
          </w:tcPr>
          <w:p w14:paraId="46E6158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France (multicenter)</w:t>
            </w:r>
          </w:p>
        </w:tc>
        <w:tc>
          <w:tcPr>
            <w:tcW w:w="1256" w:type="dxa"/>
            <w:tcBorders>
              <w:top w:val="nil"/>
              <w:left w:val="nil"/>
              <w:bottom w:val="single" w:sz="4" w:space="0" w:color="auto"/>
              <w:right w:val="single" w:sz="4" w:space="0" w:color="auto"/>
            </w:tcBorders>
            <w:noWrap/>
            <w:vAlign w:val="center"/>
            <w:hideMark/>
          </w:tcPr>
          <w:p w14:paraId="03D3D22E"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711 CLD patients</w:t>
            </w:r>
          </w:p>
        </w:tc>
        <w:tc>
          <w:tcPr>
            <w:tcW w:w="1609" w:type="dxa"/>
            <w:tcBorders>
              <w:top w:val="nil"/>
              <w:left w:val="nil"/>
              <w:bottom w:val="single" w:sz="4" w:space="0" w:color="auto"/>
              <w:right w:val="single" w:sz="4" w:space="0" w:color="auto"/>
            </w:tcBorders>
            <w:noWrap/>
            <w:vAlign w:val="center"/>
            <w:hideMark/>
          </w:tcPr>
          <w:p w14:paraId="7032D9CB"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 (</w:t>
            </w:r>
            <w:proofErr w:type="spellStart"/>
            <w:r w:rsidRPr="00236660">
              <w:rPr>
                <w:color w:val="000000"/>
                <w:sz w:val="18"/>
                <w:szCs w:val="18"/>
                <w:lang w:val="en" w:eastAsia="en-IN"/>
              </w:rPr>
              <w:t>FibroScan</w:t>
            </w:r>
            <w:proofErr w:type="spellEnd"/>
            <w:r w:rsidRPr="00236660">
              <w:rPr>
                <w:color w:val="000000"/>
                <w:sz w:val="18"/>
                <w:szCs w:val="18"/>
                <w:lang w:val="en" w:eastAsia="en-IN"/>
              </w:rPr>
              <w:t>)</w:t>
            </w:r>
          </w:p>
        </w:tc>
        <w:tc>
          <w:tcPr>
            <w:tcW w:w="1355" w:type="dxa"/>
            <w:tcBorders>
              <w:top w:val="nil"/>
              <w:left w:val="nil"/>
              <w:bottom w:val="single" w:sz="4" w:space="0" w:color="auto"/>
              <w:right w:val="single" w:sz="4" w:space="0" w:color="auto"/>
            </w:tcBorders>
            <w:noWrap/>
            <w:vAlign w:val="center"/>
            <w:hideMark/>
          </w:tcPr>
          <w:p w14:paraId="69DA2B9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71C740F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Diagnostic accuracy for cirrhosis.</w:t>
            </w:r>
          </w:p>
        </w:tc>
      </w:tr>
      <w:tr w:rsidR="00DC4303" w:rsidRPr="00236660" w14:paraId="4B21FBBE"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070EE27E"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Marcellin et al., 2009</w:t>
            </w:r>
          </w:p>
        </w:tc>
        <w:tc>
          <w:tcPr>
            <w:tcW w:w="684" w:type="dxa"/>
            <w:tcBorders>
              <w:top w:val="nil"/>
              <w:left w:val="nil"/>
              <w:bottom w:val="single" w:sz="4" w:space="0" w:color="auto"/>
              <w:right w:val="single" w:sz="4" w:space="0" w:color="auto"/>
            </w:tcBorders>
            <w:noWrap/>
            <w:vAlign w:val="center"/>
            <w:hideMark/>
          </w:tcPr>
          <w:p w14:paraId="6113B61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France</w:t>
            </w:r>
          </w:p>
        </w:tc>
        <w:tc>
          <w:tcPr>
            <w:tcW w:w="1256" w:type="dxa"/>
            <w:tcBorders>
              <w:top w:val="nil"/>
              <w:left w:val="nil"/>
              <w:bottom w:val="single" w:sz="4" w:space="0" w:color="auto"/>
              <w:right w:val="single" w:sz="4" w:space="0" w:color="auto"/>
            </w:tcBorders>
            <w:noWrap/>
            <w:vAlign w:val="center"/>
            <w:hideMark/>
          </w:tcPr>
          <w:p w14:paraId="4C3C902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173 CHB patients</w:t>
            </w:r>
          </w:p>
        </w:tc>
        <w:tc>
          <w:tcPr>
            <w:tcW w:w="1609" w:type="dxa"/>
            <w:tcBorders>
              <w:top w:val="nil"/>
              <w:left w:val="nil"/>
              <w:bottom w:val="single" w:sz="4" w:space="0" w:color="auto"/>
              <w:right w:val="single" w:sz="4" w:space="0" w:color="auto"/>
            </w:tcBorders>
            <w:noWrap/>
            <w:vAlign w:val="center"/>
            <w:hideMark/>
          </w:tcPr>
          <w:p w14:paraId="4A730A2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3A5A2A4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(METAVIR)</w:t>
            </w:r>
          </w:p>
        </w:tc>
        <w:tc>
          <w:tcPr>
            <w:tcW w:w="3411" w:type="dxa"/>
            <w:tcBorders>
              <w:top w:val="nil"/>
              <w:left w:val="nil"/>
              <w:bottom w:val="single" w:sz="4" w:space="0" w:color="auto"/>
              <w:right w:val="single" w:sz="4" w:space="0" w:color="auto"/>
            </w:tcBorders>
            <w:noWrap/>
            <w:vAlign w:val="center"/>
            <w:hideMark/>
          </w:tcPr>
          <w:p w14:paraId="3015B08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Diagnostic performance for fibrosis stages.</w:t>
            </w:r>
          </w:p>
        </w:tc>
      </w:tr>
      <w:tr w:rsidR="00DC4303" w:rsidRPr="00236660" w14:paraId="58F77ACA"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71C3738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Nguyen-Khac et al., 2008</w:t>
            </w:r>
          </w:p>
        </w:tc>
        <w:tc>
          <w:tcPr>
            <w:tcW w:w="684" w:type="dxa"/>
            <w:tcBorders>
              <w:top w:val="nil"/>
              <w:left w:val="nil"/>
              <w:bottom w:val="single" w:sz="4" w:space="0" w:color="auto"/>
              <w:right w:val="single" w:sz="4" w:space="0" w:color="auto"/>
            </w:tcBorders>
            <w:noWrap/>
            <w:vAlign w:val="center"/>
            <w:hideMark/>
          </w:tcPr>
          <w:p w14:paraId="7234C5A8"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France</w:t>
            </w:r>
          </w:p>
        </w:tc>
        <w:tc>
          <w:tcPr>
            <w:tcW w:w="1256" w:type="dxa"/>
            <w:tcBorders>
              <w:top w:val="nil"/>
              <w:left w:val="nil"/>
              <w:bottom w:val="single" w:sz="4" w:space="0" w:color="auto"/>
              <w:right w:val="single" w:sz="4" w:space="0" w:color="auto"/>
            </w:tcBorders>
            <w:noWrap/>
            <w:vAlign w:val="center"/>
            <w:hideMark/>
          </w:tcPr>
          <w:p w14:paraId="6D8FAB5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221 Alcoholic liver disease patients</w:t>
            </w:r>
          </w:p>
        </w:tc>
        <w:tc>
          <w:tcPr>
            <w:tcW w:w="1609" w:type="dxa"/>
            <w:tcBorders>
              <w:top w:val="nil"/>
              <w:left w:val="nil"/>
              <w:bottom w:val="single" w:sz="4" w:space="0" w:color="auto"/>
              <w:right w:val="single" w:sz="4" w:space="0" w:color="auto"/>
            </w:tcBorders>
            <w:noWrap/>
            <w:vAlign w:val="center"/>
            <w:hideMark/>
          </w:tcPr>
          <w:p w14:paraId="3BAD7622"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0899D97C"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 serum markers (APRI, FT, etc.)</w:t>
            </w:r>
          </w:p>
        </w:tc>
        <w:tc>
          <w:tcPr>
            <w:tcW w:w="3411" w:type="dxa"/>
            <w:tcBorders>
              <w:top w:val="nil"/>
              <w:left w:val="nil"/>
              <w:bottom w:val="single" w:sz="4" w:space="0" w:color="auto"/>
              <w:right w:val="single" w:sz="4" w:space="0" w:color="auto"/>
            </w:tcBorders>
            <w:noWrap/>
            <w:vAlign w:val="center"/>
            <w:hideMark/>
          </w:tcPr>
          <w:p w14:paraId="11392970"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Fibrosis detection compared with biopsy and serum scores.</w:t>
            </w:r>
          </w:p>
        </w:tc>
      </w:tr>
      <w:tr w:rsidR="00DC4303" w:rsidRPr="00236660" w14:paraId="19C0BFF6"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292E6DB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Oliveri et al., 2008</w:t>
            </w:r>
          </w:p>
        </w:tc>
        <w:tc>
          <w:tcPr>
            <w:tcW w:w="684" w:type="dxa"/>
            <w:tcBorders>
              <w:top w:val="nil"/>
              <w:left w:val="nil"/>
              <w:bottom w:val="single" w:sz="4" w:space="0" w:color="auto"/>
              <w:right w:val="single" w:sz="4" w:space="0" w:color="auto"/>
            </w:tcBorders>
            <w:noWrap/>
            <w:vAlign w:val="center"/>
            <w:hideMark/>
          </w:tcPr>
          <w:p w14:paraId="75334F7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Italy</w:t>
            </w:r>
          </w:p>
        </w:tc>
        <w:tc>
          <w:tcPr>
            <w:tcW w:w="1256" w:type="dxa"/>
            <w:tcBorders>
              <w:top w:val="nil"/>
              <w:left w:val="nil"/>
              <w:bottom w:val="single" w:sz="4" w:space="0" w:color="auto"/>
              <w:right w:val="single" w:sz="4" w:space="0" w:color="auto"/>
            </w:tcBorders>
            <w:noWrap/>
            <w:vAlign w:val="center"/>
            <w:hideMark/>
          </w:tcPr>
          <w:p w14:paraId="4C7C16C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202 HBV carriers (inactive/active)</w:t>
            </w:r>
          </w:p>
        </w:tc>
        <w:tc>
          <w:tcPr>
            <w:tcW w:w="1609" w:type="dxa"/>
            <w:tcBorders>
              <w:top w:val="nil"/>
              <w:left w:val="nil"/>
              <w:bottom w:val="single" w:sz="4" w:space="0" w:color="auto"/>
              <w:right w:val="single" w:sz="4" w:space="0" w:color="auto"/>
            </w:tcBorders>
            <w:noWrap/>
            <w:vAlign w:val="center"/>
            <w:hideMark/>
          </w:tcPr>
          <w:p w14:paraId="4F824055"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52EAE2A1"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18052DF5"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ALT fluctuations influenced stiffness, fibrosis staging.</w:t>
            </w:r>
          </w:p>
        </w:tc>
      </w:tr>
      <w:tr w:rsidR="00DC4303" w:rsidRPr="00236660" w14:paraId="1BB26C1D"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1290FD70"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Vergara et al., 2007</w:t>
            </w:r>
          </w:p>
        </w:tc>
        <w:tc>
          <w:tcPr>
            <w:tcW w:w="684" w:type="dxa"/>
            <w:tcBorders>
              <w:top w:val="nil"/>
              <w:left w:val="nil"/>
              <w:bottom w:val="single" w:sz="4" w:space="0" w:color="auto"/>
              <w:right w:val="single" w:sz="4" w:space="0" w:color="auto"/>
            </w:tcBorders>
            <w:noWrap/>
            <w:vAlign w:val="center"/>
            <w:hideMark/>
          </w:tcPr>
          <w:p w14:paraId="5F576696"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Spain</w:t>
            </w:r>
          </w:p>
        </w:tc>
        <w:tc>
          <w:tcPr>
            <w:tcW w:w="1256" w:type="dxa"/>
            <w:tcBorders>
              <w:top w:val="nil"/>
              <w:left w:val="nil"/>
              <w:bottom w:val="single" w:sz="4" w:space="0" w:color="auto"/>
              <w:right w:val="single" w:sz="4" w:space="0" w:color="auto"/>
            </w:tcBorders>
            <w:noWrap/>
            <w:vAlign w:val="center"/>
            <w:hideMark/>
          </w:tcPr>
          <w:p w14:paraId="37076B7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201 HIV–HCV coinfected patients</w:t>
            </w:r>
          </w:p>
        </w:tc>
        <w:tc>
          <w:tcPr>
            <w:tcW w:w="1609" w:type="dxa"/>
            <w:tcBorders>
              <w:top w:val="nil"/>
              <w:left w:val="nil"/>
              <w:bottom w:val="single" w:sz="4" w:space="0" w:color="auto"/>
              <w:right w:val="single" w:sz="4" w:space="0" w:color="auto"/>
            </w:tcBorders>
            <w:noWrap/>
            <w:vAlign w:val="center"/>
            <w:hideMark/>
          </w:tcPr>
          <w:p w14:paraId="32B2D8C6"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1232F94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4891C7FF"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Accuracy for fibrosis staging in coinfection.</w:t>
            </w:r>
          </w:p>
        </w:tc>
      </w:tr>
      <w:tr w:rsidR="00DC4303" w:rsidRPr="00236660" w14:paraId="0864496C"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26EA4C49"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color w:val="000000"/>
                <w:sz w:val="18"/>
                <w:szCs w:val="18"/>
                <w:lang w:val="en" w:eastAsia="en-IN"/>
              </w:rPr>
              <w:t>Ziol</w:t>
            </w:r>
            <w:proofErr w:type="spellEnd"/>
            <w:r w:rsidRPr="00236660">
              <w:rPr>
                <w:color w:val="000000"/>
                <w:sz w:val="18"/>
                <w:szCs w:val="18"/>
                <w:lang w:val="en" w:eastAsia="en-IN"/>
              </w:rPr>
              <w:t xml:space="preserve"> et al., 2005</w:t>
            </w:r>
          </w:p>
        </w:tc>
        <w:tc>
          <w:tcPr>
            <w:tcW w:w="684" w:type="dxa"/>
            <w:tcBorders>
              <w:top w:val="nil"/>
              <w:left w:val="nil"/>
              <w:bottom w:val="single" w:sz="4" w:space="0" w:color="auto"/>
              <w:right w:val="single" w:sz="4" w:space="0" w:color="auto"/>
            </w:tcBorders>
            <w:noWrap/>
            <w:vAlign w:val="center"/>
            <w:hideMark/>
          </w:tcPr>
          <w:p w14:paraId="057D4565"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France</w:t>
            </w:r>
          </w:p>
        </w:tc>
        <w:tc>
          <w:tcPr>
            <w:tcW w:w="1256" w:type="dxa"/>
            <w:tcBorders>
              <w:top w:val="nil"/>
              <w:left w:val="nil"/>
              <w:bottom w:val="single" w:sz="4" w:space="0" w:color="auto"/>
              <w:right w:val="single" w:sz="4" w:space="0" w:color="auto"/>
            </w:tcBorders>
            <w:noWrap/>
            <w:vAlign w:val="center"/>
            <w:hideMark/>
          </w:tcPr>
          <w:p w14:paraId="31DBE200"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327 CHC patients</w:t>
            </w:r>
          </w:p>
        </w:tc>
        <w:tc>
          <w:tcPr>
            <w:tcW w:w="1609" w:type="dxa"/>
            <w:tcBorders>
              <w:top w:val="nil"/>
              <w:left w:val="nil"/>
              <w:bottom w:val="single" w:sz="4" w:space="0" w:color="auto"/>
              <w:right w:val="single" w:sz="4" w:space="0" w:color="auto"/>
            </w:tcBorders>
            <w:noWrap/>
            <w:vAlign w:val="center"/>
            <w:hideMark/>
          </w:tcPr>
          <w:p w14:paraId="5B79D73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6C42422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 (METAVIR)</w:t>
            </w:r>
          </w:p>
        </w:tc>
        <w:tc>
          <w:tcPr>
            <w:tcW w:w="3411" w:type="dxa"/>
            <w:tcBorders>
              <w:top w:val="nil"/>
              <w:left w:val="nil"/>
              <w:bottom w:val="single" w:sz="4" w:space="0" w:color="auto"/>
              <w:right w:val="single" w:sz="4" w:space="0" w:color="auto"/>
            </w:tcBorders>
            <w:noWrap/>
            <w:vAlign w:val="center"/>
            <w:hideMark/>
          </w:tcPr>
          <w:p w14:paraId="44F1B97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Correlation between stiffness and fibrosis.</w:t>
            </w:r>
          </w:p>
        </w:tc>
      </w:tr>
      <w:tr w:rsidR="00DC4303" w:rsidRPr="00236660" w14:paraId="69363F98" w14:textId="77777777" w:rsidTr="00DC4303">
        <w:trPr>
          <w:trHeight w:val="300"/>
        </w:trPr>
        <w:tc>
          <w:tcPr>
            <w:tcW w:w="1035" w:type="dxa"/>
            <w:tcBorders>
              <w:top w:val="nil"/>
              <w:left w:val="single" w:sz="4" w:space="0" w:color="auto"/>
              <w:bottom w:val="single" w:sz="4" w:space="0" w:color="auto"/>
              <w:right w:val="single" w:sz="4" w:space="0" w:color="auto"/>
            </w:tcBorders>
            <w:noWrap/>
            <w:vAlign w:val="center"/>
            <w:hideMark/>
          </w:tcPr>
          <w:p w14:paraId="0A616325"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Yoneda et al., 2007</w:t>
            </w:r>
          </w:p>
        </w:tc>
        <w:tc>
          <w:tcPr>
            <w:tcW w:w="684" w:type="dxa"/>
            <w:tcBorders>
              <w:top w:val="nil"/>
              <w:left w:val="nil"/>
              <w:bottom w:val="single" w:sz="4" w:space="0" w:color="auto"/>
              <w:right w:val="single" w:sz="4" w:space="0" w:color="auto"/>
            </w:tcBorders>
            <w:noWrap/>
            <w:vAlign w:val="center"/>
            <w:hideMark/>
          </w:tcPr>
          <w:p w14:paraId="55252AA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Japan</w:t>
            </w:r>
          </w:p>
        </w:tc>
        <w:tc>
          <w:tcPr>
            <w:tcW w:w="1256" w:type="dxa"/>
            <w:tcBorders>
              <w:top w:val="nil"/>
              <w:left w:val="nil"/>
              <w:bottom w:val="single" w:sz="4" w:space="0" w:color="auto"/>
              <w:right w:val="single" w:sz="4" w:space="0" w:color="auto"/>
            </w:tcBorders>
            <w:noWrap/>
            <w:vAlign w:val="center"/>
            <w:hideMark/>
          </w:tcPr>
          <w:p w14:paraId="0DE31D72"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67 NAFLD patients</w:t>
            </w:r>
          </w:p>
        </w:tc>
        <w:tc>
          <w:tcPr>
            <w:tcW w:w="1609" w:type="dxa"/>
            <w:tcBorders>
              <w:top w:val="nil"/>
              <w:left w:val="nil"/>
              <w:bottom w:val="single" w:sz="4" w:space="0" w:color="auto"/>
              <w:right w:val="single" w:sz="4" w:space="0" w:color="auto"/>
            </w:tcBorders>
            <w:noWrap/>
            <w:vAlign w:val="center"/>
            <w:hideMark/>
          </w:tcPr>
          <w:p w14:paraId="5CED55C9"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TE</w:t>
            </w:r>
          </w:p>
        </w:tc>
        <w:tc>
          <w:tcPr>
            <w:tcW w:w="1355" w:type="dxa"/>
            <w:tcBorders>
              <w:top w:val="nil"/>
              <w:left w:val="nil"/>
              <w:bottom w:val="single" w:sz="4" w:space="0" w:color="auto"/>
              <w:right w:val="single" w:sz="4" w:space="0" w:color="auto"/>
            </w:tcBorders>
            <w:noWrap/>
            <w:vAlign w:val="center"/>
            <w:hideMark/>
          </w:tcPr>
          <w:p w14:paraId="1800E2C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Biopsy</w:t>
            </w:r>
          </w:p>
        </w:tc>
        <w:tc>
          <w:tcPr>
            <w:tcW w:w="3411" w:type="dxa"/>
            <w:tcBorders>
              <w:top w:val="nil"/>
              <w:left w:val="nil"/>
              <w:bottom w:val="single" w:sz="4" w:space="0" w:color="auto"/>
              <w:right w:val="single" w:sz="4" w:space="0" w:color="auto"/>
            </w:tcBorders>
            <w:noWrap/>
            <w:vAlign w:val="center"/>
            <w:hideMark/>
          </w:tcPr>
          <w:p w14:paraId="7508AF33"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Usefulness of TE in NAFLD fibrosis assessment.</w:t>
            </w:r>
          </w:p>
        </w:tc>
      </w:tr>
      <w:tr w:rsidR="00DC4303" w:rsidRPr="00236660" w14:paraId="53CFB1E0" w14:textId="77777777" w:rsidTr="00DC4303">
        <w:trPr>
          <w:trHeight w:val="300"/>
        </w:trPr>
        <w:tc>
          <w:tcPr>
            <w:tcW w:w="1035" w:type="dxa"/>
            <w:tcBorders>
              <w:top w:val="nil"/>
              <w:left w:val="single" w:sz="4" w:space="0" w:color="auto"/>
              <w:bottom w:val="single" w:sz="4" w:space="0" w:color="auto"/>
              <w:right w:val="single" w:sz="4" w:space="0" w:color="auto"/>
            </w:tcBorders>
            <w:shd w:val="clear" w:color="000000" w:fill="FFFFFF"/>
            <w:noWrap/>
            <w:vAlign w:val="center"/>
            <w:hideMark/>
          </w:tcPr>
          <w:p w14:paraId="6132A506"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Duan et al., 2020</w:t>
            </w:r>
          </w:p>
        </w:tc>
        <w:tc>
          <w:tcPr>
            <w:tcW w:w="684" w:type="dxa"/>
            <w:tcBorders>
              <w:top w:val="nil"/>
              <w:left w:val="nil"/>
              <w:bottom w:val="single" w:sz="4" w:space="0" w:color="auto"/>
              <w:right w:val="single" w:sz="4" w:space="0" w:color="auto"/>
            </w:tcBorders>
            <w:shd w:val="clear" w:color="000000" w:fill="FFFFFF"/>
            <w:noWrap/>
            <w:vAlign w:val="center"/>
            <w:hideMark/>
          </w:tcPr>
          <w:p w14:paraId="6EF1CC37"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China (multicenter)</w:t>
            </w:r>
          </w:p>
        </w:tc>
        <w:tc>
          <w:tcPr>
            <w:tcW w:w="1256" w:type="dxa"/>
            <w:tcBorders>
              <w:top w:val="nil"/>
              <w:left w:val="nil"/>
              <w:bottom w:val="single" w:sz="4" w:space="0" w:color="auto"/>
              <w:right w:val="single" w:sz="4" w:space="0" w:color="auto"/>
            </w:tcBorders>
            <w:shd w:val="clear" w:color="000000" w:fill="FFFFFF"/>
            <w:noWrap/>
            <w:vAlign w:val="center"/>
            <w:hideMark/>
          </w:tcPr>
          <w:p w14:paraId="4D344F8B"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1,071 CHB pts</w:t>
            </w:r>
          </w:p>
        </w:tc>
        <w:tc>
          <w:tcPr>
            <w:tcW w:w="1609" w:type="dxa"/>
            <w:tcBorders>
              <w:top w:val="nil"/>
              <w:left w:val="nil"/>
              <w:bottom w:val="single" w:sz="4" w:space="0" w:color="auto"/>
              <w:right w:val="single" w:sz="4" w:space="0" w:color="auto"/>
            </w:tcBorders>
            <w:shd w:val="clear" w:color="000000" w:fill="FFFFFF"/>
            <w:noWrap/>
            <w:vAlign w:val="center"/>
            <w:hideMark/>
          </w:tcPr>
          <w:p w14:paraId="6ADC612F"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New TE device (</w:t>
            </w:r>
            <w:proofErr w:type="spellStart"/>
            <w:r w:rsidRPr="00236660">
              <w:rPr>
                <w:sz w:val="18"/>
                <w:szCs w:val="18"/>
                <w:lang w:val="en" w:eastAsia="en-IN"/>
              </w:rPr>
              <w:t>FibroTouch</w:t>
            </w:r>
            <w:proofErr w:type="spellEnd"/>
            <w:r w:rsidRPr="00236660">
              <w:rPr>
                <w:sz w:val="18"/>
                <w:szCs w:val="18"/>
                <w:lang w:val="en" w:eastAsia="en-IN"/>
              </w:rPr>
              <w:t>)</w:t>
            </w:r>
          </w:p>
        </w:tc>
        <w:tc>
          <w:tcPr>
            <w:tcW w:w="1355" w:type="dxa"/>
            <w:tcBorders>
              <w:top w:val="nil"/>
              <w:left w:val="nil"/>
              <w:bottom w:val="single" w:sz="4" w:space="0" w:color="auto"/>
              <w:right w:val="single" w:sz="4" w:space="0" w:color="auto"/>
            </w:tcBorders>
            <w:shd w:val="clear" w:color="000000" w:fill="FFFFFF"/>
            <w:noWrap/>
            <w:vAlign w:val="center"/>
            <w:hideMark/>
          </w:tcPr>
          <w:p w14:paraId="2389322D"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Biopsy (METAVIR)</w:t>
            </w:r>
          </w:p>
        </w:tc>
        <w:tc>
          <w:tcPr>
            <w:tcW w:w="3411" w:type="dxa"/>
            <w:tcBorders>
              <w:top w:val="nil"/>
              <w:left w:val="nil"/>
              <w:bottom w:val="single" w:sz="4" w:space="0" w:color="auto"/>
              <w:right w:val="single" w:sz="4" w:space="0" w:color="auto"/>
            </w:tcBorders>
            <w:shd w:val="clear" w:color="000000" w:fill="FFFFFF"/>
            <w:noWrap/>
            <w:vAlign w:val="center"/>
            <w:hideMark/>
          </w:tcPr>
          <w:p w14:paraId="6156A39D"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Device showed high accuracy (AUROC 0.82 for ≥F2, 0.90 for ≥F3, 0.94 for F4).</w:t>
            </w:r>
          </w:p>
        </w:tc>
      </w:tr>
      <w:tr w:rsidR="00DC4303" w:rsidRPr="00236660" w14:paraId="581806F8" w14:textId="77777777" w:rsidTr="00DC4303">
        <w:trPr>
          <w:trHeight w:val="300"/>
        </w:trPr>
        <w:tc>
          <w:tcPr>
            <w:tcW w:w="1035" w:type="dxa"/>
            <w:tcBorders>
              <w:top w:val="nil"/>
              <w:left w:val="single" w:sz="4" w:space="0" w:color="auto"/>
              <w:bottom w:val="single" w:sz="4" w:space="0" w:color="auto"/>
              <w:right w:val="single" w:sz="4" w:space="0" w:color="auto"/>
            </w:tcBorders>
            <w:shd w:val="clear" w:color="000000" w:fill="F6F8F9"/>
            <w:noWrap/>
            <w:vAlign w:val="center"/>
            <w:hideMark/>
          </w:tcPr>
          <w:p w14:paraId="61E7B12B"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Liu et al., 2016</w:t>
            </w:r>
          </w:p>
        </w:tc>
        <w:tc>
          <w:tcPr>
            <w:tcW w:w="684" w:type="dxa"/>
            <w:tcBorders>
              <w:top w:val="nil"/>
              <w:left w:val="nil"/>
              <w:bottom w:val="single" w:sz="4" w:space="0" w:color="auto"/>
              <w:right w:val="single" w:sz="4" w:space="0" w:color="auto"/>
            </w:tcBorders>
            <w:shd w:val="clear" w:color="000000" w:fill="F6F8F9"/>
            <w:noWrap/>
            <w:vAlign w:val="center"/>
            <w:hideMark/>
          </w:tcPr>
          <w:p w14:paraId="1084B3D0"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China</w:t>
            </w:r>
          </w:p>
        </w:tc>
        <w:tc>
          <w:tcPr>
            <w:tcW w:w="1256" w:type="dxa"/>
            <w:tcBorders>
              <w:top w:val="nil"/>
              <w:left w:val="nil"/>
              <w:bottom w:val="single" w:sz="4" w:space="0" w:color="auto"/>
              <w:right w:val="single" w:sz="4" w:space="0" w:color="auto"/>
            </w:tcBorders>
            <w:shd w:val="clear" w:color="000000" w:fill="F6F8F9"/>
            <w:noWrap/>
            <w:vAlign w:val="center"/>
            <w:hideMark/>
          </w:tcPr>
          <w:p w14:paraId="4DF2E956"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126 CHB pts</w:t>
            </w:r>
          </w:p>
        </w:tc>
        <w:tc>
          <w:tcPr>
            <w:tcW w:w="1609" w:type="dxa"/>
            <w:tcBorders>
              <w:top w:val="nil"/>
              <w:left w:val="nil"/>
              <w:bottom w:val="single" w:sz="4" w:space="0" w:color="auto"/>
              <w:right w:val="single" w:sz="4" w:space="0" w:color="auto"/>
            </w:tcBorders>
            <w:shd w:val="clear" w:color="000000" w:fill="F6F8F9"/>
            <w:noWrap/>
            <w:vAlign w:val="center"/>
            <w:hideMark/>
          </w:tcPr>
          <w:p w14:paraId="7AEE599C"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sz w:val="18"/>
                <w:szCs w:val="18"/>
                <w:lang w:val="en" w:eastAsia="en-IN"/>
              </w:rPr>
              <w:t>FibroTouch</w:t>
            </w:r>
            <w:proofErr w:type="spellEnd"/>
            <w:r w:rsidRPr="00236660">
              <w:rPr>
                <w:sz w:val="18"/>
                <w:szCs w:val="18"/>
                <w:lang w:val="en" w:eastAsia="en-IN"/>
              </w:rPr>
              <w:t xml:space="preserve"> vs ARFI</w:t>
            </w:r>
          </w:p>
        </w:tc>
        <w:tc>
          <w:tcPr>
            <w:tcW w:w="1355" w:type="dxa"/>
            <w:tcBorders>
              <w:top w:val="nil"/>
              <w:left w:val="nil"/>
              <w:bottom w:val="single" w:sz="4" w:space="0" w:color="auto"/>
              <w:right w:val="single" w:sz="4" w:space="0" w:color="auto"/>
            </w:tcBorders>
            <w:shd w:val="clear" w:color="000000" w:fill="F6F8F9"/>
            <w:noWrap/>
            <w:vAlign w:val="center"/>
            <w:hideMark/>
          </w:tcPr>
          <w:p w14:paraId="24F0BFEB"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Biopsy</w:t>
            </w:r>
          </w:p>
        </w:tc>
        <w:tc>
          <w:tcPr>
            <w:tcW w:w="3411" w:type="dxa"/>
            <w:tcBorders>
              <w:top w:val="nil"/>
              <w:left w:val="nil"/>
              <w:bottom w:val="single" w:sz="4" w:space="0" w:color="auto"/>
              <w:right w:val="single" w:sz="4" w:space="0" w:color="auto"/>
            </w:tcBorders>
            <w:shd w:val="clear" w:color="000000" w:fill="F6F8F9"/>
            <w:noWrap/>
            <w:vAlign w:val="center"/>
            <w:hideMark/>
          </w:tcPr>
          <w:p w14:paraId="42FF52CB"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color w:val="000000"/>
                <w:sz w:val="18"/>
                <w:szCs w:val="18"/>
                <w:lang w:val="en" w:eastAsia="en-IN"/>
              </w:rPr>
              <w:t>FibroTouch</w:t>
            </w:r>
            <w:proofErr w:type="spellEnd"/>
            <w:r w:rsidRPr="00236660">
              <w:rPr>
                <w:color w:val="000000"/>
                <w:sz w:val="18"/>
                <w:szCs w:val="18"/>
                <w:lang w:val="en" w:eastAsia="en-IN"/>
              </w:rPr>
              <w:t xml:space="preserve"> correlated well with ARFI (r=0.73), AUROC 0.83 for ≥F3.</w:t>
            </w:r>
          </w:p>
        </w:tc>
      </w:tr>
      <w:tr w:rsidR="00DC4303" w:rsidRPr="00236660" w14:paraId="19AE108E" w14:textId="77777777" w:rsidTr="00DC4303">
        <w:trPr>
          <w:trHeight w:val="300"/>
        </w:trPr>
        <w:tc>
          <w:tcPr>
            <w:tcW w:w="1035" w:type="dxa"/>
            <w:tcBorders>
              <w:top w:val="nil"/>
              <w:left w:val="single" w:sz="4" w:space="0" w:color="auto"/>
              <w:bottom w:val="single" w:sz="4" w:space="0" w:color="auto"/>
              <w:right w:val="single" w:sz="4" w:space="0" w:color="auto"/>
            </w:tcBorders>
            <w:shd w:val="clear" w:color="000000" w:fill="FFFFFF"/>
            <w:noWrap/>
            <w:vAlign w:val="center"/>
            <w:hideMark/>
          </w:tcPr>
          <w:p w14:paraId="2CD02E0A"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Nan et al., 2019</w:t>
            </w:r>
          </w:p>
        </w:tc>
        <w:tc>
          <w:tcPr>
            <w:tcW w:w="684" w:type="dxa"/>
            <w:tcBorders>
              <w:top w:val="nil"/>
              <w:left w:val="nil"/>
              <w:bottom w:val="single" w:sz="4" w:space="0" w:color="auto"/>
              <w:right w:val="single" w:sz="4" w:space="0" w:color="auto"/>
            </w:tcBorders>
            <w:shd w:val="clear" w:color="000000" w:fill="FFFFFF"/>
            <w:noWrap/>
            <w:vAlign w:val="center"/>
            <w:hideMark/>
          </w:tcPr>
          <w:p w14:paraId="4982F639"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China</w:t>
            </w:r>
          </w:p>
        </w:tc>
        <w:tc>
          <w:tcPr>
            <w:tcW w:w="1256" w:type="dxa"/>
            <w:tcBorders>
              <w:top w:val="nil"/>
              <w:left w:val="nil"/>
              <w:bottom w:val="single" w:sz="4" w:space="0" w:color="auto"/>
              <w:right w:val="single" w:sz="4" w:space="0" w:color="auto"/>
            </w:tcBorders>
            <w:shd w:val="clear" w:color="000000" w:fill="FFFFFF"/>
            <w:noWrap/>
            <w:vAlign w:val="center"/>
            <w:hideMark/>
          </w:tcPr>
          <w:p w14:paraId="402CB236"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72 CHC pts</w:t>
            </w:r>
          </w:p>
        </w:tc>
        <w:tc>
          <w:tcPr>
            <w:tcW w:w="1609" w:type="dxa"/>
            <w:tcBorders>
              <w:top w:val="nil"/>
              <w:left w:val="nil"/>
              <w:bottom w:val="single" w:sz="4" w:space="0" w:color="auto"/>
              <w:right w:val="single" w:sz="4" w:space="0" w:color="auto"/>
            </w:tcBorders>
            <w:shd w:val="clear" w:color="000000" w:fill="FFFFFF"/>
            <w:noWrap/>
            <w:vAlign w:val="center"/>
            <w:hideMark/>
          </w:tcPr>
          <w:p w14:paraId="0DBDA2BA"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Serum microRNA-1273g-3p</w:t>
            </w:r>
          </w:p>
        </w:tc>
        <w:tc>
          <w:tcPr>
            <w:tcW w:w="1355" w:type="dxa"/>
            <w:tcBorders>
              <w:top w:val="nil"/>
              <w:left w:val="nil"/>
              <w:bottom w:val="single" w:sz="4" w:space="0" w:color="auto"/>
              <w:right w:val="single" w:sz="4" w:space="0" w:color="auto"/>
            </w:tcBorders>
            <w:shd w:val="clear" w:color="000000" w:fill="FFFFFF"/>
            <w:noWrap/>
            <w:vAlign w:val="center"/>
            <w:hideMark/>
          </w:tcPr>
          <w:p w14:paraId="3F187CA2"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Biopsy</w:t>
            </w:r>
          </w:p>
        </w:tc>
        <w:tc>
          <w:tcPr>
            <w:tcW w:w="3411" w:type="dxa"/>
            <w:tcBorders>
              <w:top w:val="nil"/>
              <w:left w:val="nil"/>
              <w:bottom w:val="single" w:sz="4" w:space="0" w:color="auto"/>
              <w:right w:val="single" w:sz="4" w:space="0" w:color="auto"/>
            </w:tcBorders>
            <w:shd w:val="clear" w:color="000000" w:fill="FFFFFF"/>
            <w:noWrap/>
            <w:vAlign w:val="center"/>
            <w:hideMark/>
          </w:tcPr>
          <w:p w14:paraId="29721C22"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microRNA-1273g-3p distinguished significant fibrosis (AUROC 0.87), potential non-invasive biomarker.</w:t>
            </w:r>
          </w:p>
        </w:tc>
      </w:tr>
      <w:tr w:rsidR="00DC4303" w:rsidRPr="00236660" w14:paraId="44E4D67F" w14:textId="77777777" w:rsidTr="00DC4303">
        <w:trPr>
          <w:trHeight w:val="300"/>
        </w:trPr>
        <w:tc>
          <w:tcPr>
            <w:tcW w:w="1035" w:type="dxa"/>
            <w:tcBorders>
              <w:top w:val="nil"/>
              <w:left w:val="single" w:sz="4" w:space="0" w:color="auto"/>
              <w:bottom w:val="single" w:sz="4" w:space="0" w:color="auto"/>
              <w:right w:val="single" w:sz="4" w:space="0" w:color="auto"/>
            </w:tcBorders>
            <w:shd w:val="clear" w:color="000000" w:fill="F6F8F9"/>
            <w:noWrap/>
            <w:vAlign w:val="center"/>
            <w:hideMark/>
          </w:tcPr>
          <w:p w14:paraId="45BDE703"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Peng et al., 2022</w:t>
            </w:r>
          </w:p>
        </w:tc>
        <w:tc>
          <w:tcPr>
            <w:tcW w:w="684" w:type="dxa"/>
            <w:tcBorders>
              <w:top w:val="nil"/>
              <w:left w:val="nil"/>
              <w:bottom w:val="single" w:sz="4" w:space="0" w:color="auto"/>
              <w:right w:val="single" w:sz="4" w:space="0" w:color="auto"/>
            </w:tcBorders>
            <w:shd w:val="clear" w:color="000000" w:fill="F6F8F9"/>
            <w:noWrap/>
            <w:vAlign w:val="center"/>
            <w:hideMark/>
          </w:tcPr>
          <w:p w14:paraId="2154263F"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China</w:t>
            </w:r>
          </w:p>
        </w:tc>
        <w:tc>
          <w:tcPr>
            <w:tcW w:w="1256" w:type="dxa"/>
            <w:tcBorders>
              <w:top w:val="nil"/>
              <w:left w:val="nil"/>
              <w:bottom w:val="single" w:sz="4" w:space="0" w:color="auto"/>
              <w:right w:val="single" w:sz="4" w:space="0" w:color="auto"/>
            </w:tcBorders>
            <w:shd w:val="clear" w:color="000000" w:fill="F6F8F9"/>
            <w:noWrap/>
            <w:vAlign w:val="center"/>
            <w:hideMark/>
          </w:tcPr>
          <w:p w14:paraId="344C15A8"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342 CLD pts (various etiologies)</w:t>
            </w:r>
          </w:p>
        </w:tc>
        <w:tc>
          <w:tcPr>
            <w:tcW w:w="1609" w:type="dxa"/>
            <w:tcBorders>
              <w:top w:val="nil"/>
              <w:left w:val="nil"/>
              <w:bottom w:val="single" w:sz="4" w:space="0" w:color="auto"/>
              <w:right w:val="single" w:sz="4" w:space="0" w:color="auto"/>
            </w:tcBorders>
            <w:shd w:val="clear" w:color="000000" w:fill="F6F8F9"/>
            <w:noWrap/>
            <w:vAlign w:val="center"/>
            <w:hideMark/>
          </w:tcPr>
          <w:p w14:paraId="65E78E8B"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sz w:val="18"/>
                <w:szCs w:val="18"/>
                <w:lang w:val="en" w:eastAsia="en-IN"/>
              </w:rPr>
              <w:t>FibroTouch</w:t>
            </w:r>
            <w:proofErr w:type="spellEnd"/>
            <w:r w:rsidRPr="00236660">
              <w:rPr>
                <w:sz w:val="18"/>
                <w:szCs w:val="18"/>
                <w:lang w:val="en" w:eastAsia="en-IN"/>
              </w:rPr>
              <w:t>, serum fibrosis indices</w:t>
            </w:r>
          </w:p>
        </w:tc>
        <w:tc>
          <w:tcPr>
            <w:tcW w:w="1355" w:type="dxa"/>
            <w:tcBorders>
              <w:top w:val="nil"/>
              <w:left w:val="nil"/>
              <w:bottom w:val="single" w:sz="4" w:space="0" w:color="auto"/>
              <w:right w:val="single" w:sz="4" w:space="0" w:color="auto"/>
            </w:tcBorders>
            <w:shd w:val="clear" w:color="000000" w:fill="F6F8F9"/>
            <w:noWrap/>
            <w:vAlign w:val="center"/>
            <w:hideMark/>
          </w:tcPr>
          <w:p w14:paraId="7F545364"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Biopsy</w:t>
            </w:r>
          </w:p>
        </w:tc>
        <w:tc>
          <w:tcPr>
            <w:tcW w:w="3411" w:type="dxa"/>
            <w:tcBorders>
              <w:top w:val="nil"/>
              <w:left w:val="nil"/>
              <w:bottom w:val="single" w:sz="4" w:space="0" w:color="auto"/>
              <w:right w:val="single" w:sz="4" w:space="0" w:color="auto"/>
            </w:tcBorders>
            <w:shd w:val="clear" w:color="000000" w:fill="F6F8F9"/>
            <w:noWrap/>
            <w:vAlign w:val="center"/>
            <w:hideMark/>
          </w:tcPr>
          <w:p w14:paraId="61102EEB"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color w:val="000000"/>
                <w:sz w:val="18"/>
                <w:szCs w:val="18"/>
                <w:lang w:val="en" w:eastAsia="en-IN"/>
              </w:rPr>
              <w:t>FibroTouch</w:t>
            </w:r>
            <w:proofErr w:type="spellEnd"/>
            <w:r w:rsidRPr="00236660">
              <w:rPr>
                <w:color w:val="000000"/>
                <w:sz w:val="18"/>
                <w:szCs w:val="18"/>
                <w:lang w:val="en" w:eastAsia="en-IN"/>
              </w:rPr>
              <w:t xml:space="preserve"> AUROC 0.86 for ≥F3; similar performance across etiologies.</w:t>
            </w:r>
          </w:p>
        </w:tc>
      </w:tr>
      <w:tr w:rsidR="00DC4303" w:rsidRPr="00236660" w14:paraId="2BABFB3A" w14:textId="77777777" w:rsidTr="00DC4303">
        <w:trPr>
          <w:trHeight w:val="300"/>
        </w:trPr>
        <w:tc>
          <w:tcPr>
            <w:tcW w:w="1035" w:type="dxa"/>
            <w:tcBorders>
              <w:top w:val="nil"/>
              <w:left w:val="single" w:sz="4" w:space="0" w:color="auto"/>
              <w:bottom w:val="single" w:sz="4" w:space="0" w:color="auto"/>
              <w:right w:val="single" w:sz="4" w:space="0" w:color="auto"/>
            </w:tcBorders>
            <w:shd w:val="clear" w:color="000000" w:fill="FFFFFF"/>
            <w:noWrap/>
            <w:vAlign w:val="center"/>
            <w:hideMark/>
          </w:tcPr>
          <w:p w14:paraId="1A0599E9"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Qu et al., 2021</w:t>
            </w:r>
          </w:p>
        </w:tc>
        <w:tc>
          <w:tcPr>
            <w:tcW w:w="684" w:type="dxa"/>
            <w:tcBorders>
              <w:top w:val="nil"/>
              <w:left w:val="nil"/>
              <w:bottom w:val="single" w:sz="4" w:space="0" w:color="auto"/>
              <w:right w:val="single" w:sz="4" w:space="0" w:color="auto"/>
            </w:tcBorders>
            <w:shd w:val="clear" w:color="000000" w:fill="FFFFFF"/>
            <w:noWrap/>
            <w:vAlign w:val="center"/>
            <w:hideMark/>
          </w:tcPr>
          <w:p w14:paraId="63EE35F7"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China</w:t>
            </w:r>
          </w:p>
        </w:tc>
        <w:tc>
          <w:tcPr>
            <w:tcW w:w="1256" w:type="dxa"/>
            <w:tcBorders>
              <w:top w:val="nil"/>
              <w:left w:val="nil"/>
              <w:bottom w:val="single" w:sz="4" w:space="0" w:color="auto"/>
              <w:right w:val="single" w:sz="4" w:space="0" w:color="auto"/>
            </w:tcBorders>
            <w:shd w:val="clear" w:color="000000" w:fill="FFFFFF"/>
            <w:noWrap/>
            <w:vAlign w:val="center"/>
            <w:hideMark/>
          </w:tcPr>
          <w:p w14:paraId="44993905"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432 NAFLD pts</w:t>
            </w:r>
          </w:p>
        </w:tc>
        <w:tc>
          <w:tcPr>
            <w:tcW w:w="1609" w:type="dxa"/>
            <w:tcBorders>
              <w:top w:val="nil"/>
              <w:left w:val="nil"/>
              <w:bottom w:val="single" w:sz="4" w:space="0" w:color="auto"/>
              <w:right w:val="single" w:sz="4" w:space="0" w:color="auto"/>
            </w:tcBorders>
            <w:shd w:val="clear" w:color="000000" w:fill="FFFFFF"/>
            <w:noWrap/>
            <w:vAlign w:val="center"/>
            <w:hideMark/>
          </w:tcPr>
          <w:p w14:paraId="452D4B0F"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sz w:val="18"/>
                <w:szCs w:val="18"/>
                <w:lang w:val="en" w:eastAsia="en-IN"/>
              </w:rPr>
              <w:t>FibroTouch</w:t>
            </w:r>
            <w:proofErr w:type="spellEnd"/>
            <w:r w:rsidRPr="00236660">
              <w:rPr>
                <w:sz w:val="18"/>
                <w:szCs w:val="18"/>
                <w:lang w:val="en" w:eastAsia="en-IN"/>
              </w:rPr>
              <w:t xml:space="preserve"> UAP + LSM</w:t>
            </w:r>
          </w:p>
        </w:tc>
        <w:tc>
          <w:tcPr>
            <w:tcW w:w="1355" w:type="dxa"/>
            <w:tcBorders>
              <w:top w:val="nil"/>
              <w:left w:val="nil"/>
              <w:bottom w:val="single" w:sz="4" w:space="0" w:color="auto"/>
              <w:right w:val="single" w:sz="4" w:space="0" w:color="auto"/>
            </w:tcBorders>
            <w:shd w:val="clear" w:color="000000" w:fill="FFFFFF"/>
            <w:noWrap/>
            <w:vAlign w:val="center"/>
            <w:hideMark/>
          </w:tcPr>
          <w:p w14:paraId="75A55AE8"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Biopsy</w:t>
            </w:r>
          </w:p>
        </w:tc>
        <w:tc>
          <w:tcPr>
            <w:tcW w:w="3411" w:type="dxa"/>
            <w:tcBorders>
              <w:top w:val="nil"/>
              <w:left w:val="nil"/>
              <w:bottom w:val="single" w:sz="4" w:space="0" w:color="auto"/>
              <w:right w:val="single" w:sz="4" w:space="0" w:color="auto"/>
            </w:tcBorders>
            <w:shd w:val="clear" w:color="000000" w:fill="FFFFFF"/>
            <w:noWrap/>
            <w:vAlign w:val="center"/>
            <w:hideMark/>
          </w:tcPr>
          <w:p w14:paraId="639D7C07"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 xml:space="preserve">UAP predicted steatosis (AUROC 0.87 for ≥S2); LSM predicted fibrosis (AUROC </w:t>
            </w:r>
            <w:r w:rsidRPr="00236660">
              <w:rPr>
                <w:color w:val="000000"/>
                <w:sz w:val="18"/>
                <w:szCs w:val="18"/>
                <w:lang w:val="en" w:eastAsia="en-IN"/>
              </w:rPr>
              <w:lastRenderedPageBreak/>
              <w:t>0.89 for ≥F2).</w:t>
            </w:r>
          </w:p>
        </w:tc>
      </w:tr>
      <w:tr w:rsidR="00DC4303" w:rsidRPr="00236660" w14:paraId="01B1D9BF" w14:textId="77777777" w:rsidTr="00DC4303">
        <w:trPr>
          <w:trHeight w:val="300"/>
        </w:trPr>
        <w:tc>
          <w:tcPr>
            <w:tcW w:w="1035" w:type="dxa"/>
            <w:tcBorders>
              <w:top w:val="nil"/>
              <w:left w:val="single" w:sz="4" w:space="0" w:color="auto"/>
              <w:bottom w:val="single" w:sz="4" w:space="0" w:color="auto"/>
              <w:right w:val="single" w:sz="4" w:space="0" w:color="auto"/>
            </w:tcBorders>
            <w:shd w:val="clear" w:color="000000" w:fill="F6F8F9"/>
            <w:noWrap/>
            <w:vAlign w:val="center"/>
            <w:hideMark/>
          </w:tcPr>
          <w:p w14:paraId="7FD19C02"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lastRenderedPageBreak/>
              <w:t>Xu et al., 2019</w:t>
            </w:r>
          </w:p>
        </w:tc>
        <w:tc>
          <w:tcPr>
            <w:tcW w:w="684" w:type="dxa"/>
            <w:tcBorders>
              <w:top w:val="nil"/>
              <w:left w:val="nil"/>
              <w:bottom w:val="single" w:sz="4" w:space="0" w:color="auto"/>
              <w:right w:val="single" w:sz="4" w:space="0" w:color="auto"/>
            </w:tcBorders>
            <w:shd w:val="clear" w:color="000000" w:fill="F6F8F9"/>
            <w:noWrap/>
            <w:vAlign w:val="center"/>
            <w:hideMark/>
          </w:tcPr>
          <w:p w14:paraId="275B04EB"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China</w:t>
            </w:r>
          </w:p>
        </w:tc>
        <w:tc>
          <w:tcPr>
            <w:tcW w:w="1256" w:type="dxa"/>
            <w:tcBorders>
              <w:top w:val="nil"/>
              <w:left w:val="nil"/>
              <w:bottom w:val="single" w:sz="4" w:space="0" w:color="auto"/>
              <w:right w:val="single" w:sz="4" w:space="0" w:color="auto"/>
            </w:tcBorders>
            <w:shd w:val="clear" w:color="000000" w:fill="F6F8F9"/>
            <w:noWrap/>
            <w:vAlign w:val="center"/>
            <w:hideMark/>
          </w:tcPr>
          <w:p w14:paraId="69D87F83"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406 CLD pts</w:t>
            </w:r>
          </w:p>
        </w:tc>
        <w:tc>
          <w:tcPr>
            <w:tcW w:w="1609" w:type="dxa"/>
            <w:tcBorders>
              <w:top w:val="nil"/>
              <w:left w:val="nil"/>
              <w:bottom w:val="single" w:sz="4" w:space="0" w:color="auto"/>
              <w:right w:val="single" w:sz="4" w:space="0" w:color="auto"/>
            </w:tcBorders>
            <w:shd w:val="clear" w:color="000000" w:fill="F6F8F9"/>
            <w:noWrap/>
            <w:vAlign w:val="center"/>
            <w:hideMark/>
          </w:tcPr>
          <w:p w14:paraId="31A0C41E"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sz w:val="18"/>
                <w:szCs w:val="18"/>
                <w:lang w:val="en" w:eastAsia="en-IN"/>
              </w:rPr>
              <w:t>FibroTouch</w:t>
            </w:r>
            <w:proofErr w:type="spellEnd"/>
            <w:r w:rsidRPr="00236660">
              <w:rPr>
                <w:sz w:val="18"/>
                <w:szCs w:val="18"/>
                <w:lang w:val="en" w:eastAsia="en-IN"/>
              </w:rPr>
              <w:t xml:space="preserve"> vs </w:t>
            </w:r>
            <w:proofErr w:type="spellStart"/>
            <w:r w:rsidRPr="00236660">
              <w:rPr>
                <w:sz w:val="18"/>
                <w:szCs w:val="18"/>
                <w:lang w:val="en" w:eastAsia="en-IN"/>
              </w:rPr>
              <w:t>FibroScan</w:t>
            </w:r>
            <w:proofErr w:type="spellEnd"/>
          </w:p>
        </w:tc>
        <w:tc>
          <w:tcPr>
            <w:tcW w:w="1355" w:type="dxa"/>
            <w:tcBorders>
              <w:top w:val="nil"/>
              <w:left w:val="nil"/>
              <w:bottom w:val="single" w:sz="4" w:space="0" w:color="auto"/>
              <w:right w:val="single" w:sz="4" w:space="0" w:color="auto"/>
            </w:tcBorders>
            <w:shd w:val="clear" w:color="000000" w:fill="F6F8F9"/>
            <w:noWrap/>
            <w:vAlign w:val="center"/>
            <w:hideMark/>
          </w:tcPr>
          <w:p w14:paraId="7F909294"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Biopsy</w:t>
            </w:r>
          </w:p>
        </w:tc>
        <w:tc>
          <w:tcPr>
            <w:tcW w:w="3411" w:type="dxa"/>
            <w:tcBorders>
              <w:top w:val="nil"/>
              <w:left w:val="nil"/>
              <w:bottom w:val="single" w:sz="4" w:space="0" w:color="auto"/>
              <w:right w:val="single" w:sz="4" w:space="0" w:color="auto"/>
            </w:tcBorders>
            <w:shd w:val="clear" w:color="000000" w:fill="F6F8F9"/>
            <w:noWrap/>
            <w:vAlign w:val="center"/>
            <w:hideMark/>
          </w:tcPr>
          <w:p w14:paraId="6854363E"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 xml:space="preserve">Both accurate (AUROC ~0.85 for ≥F2), </w:t>
            </w:r>
            <w:proofErr w:type="spellStart"/>
            <w:r w:rsidRPr="00236660">
              <w:rPr>
                <w:color w:val="000000"/>
                <w:sz w:val="18"/>
                <w:szCs w:val="18"/>
                <w:lang w:val="en" w:eastAsia="en-IN"/>
              </w:rPr>
              <w:t>FibroScan</w:t>
            </w:r>
            <w:proofErr w:type="spellEnd"/>
            <w:r w:rsidRPr="00236660">
              <w:rPr>
                <w:color w:val="000000"/>
                <w:sz w:val="18"/>
                <w:szCs w:val="18"/>
                <w:lang w:val="en" w:eastAsia="en-IN"/>
              </w:rPr>
              <w:t xml:space="preserve"> slightly higher performance.</w:t>
            </w:r>
          </w:p>
        </w:tc>
      </w:tr>
      <w:tr w:rsidR="00DC4303" w:rsidRPr="00236660" w14:paraId="59FCD853" w14:textId="77777777" w:rsidTr="00DC4303">
        <w:trPr>
          <w:trHeight w:val="300"/>
        </w:trPr>
        <w:tc>
          <w:tcPr>
            <w:tcW w:w="1035" w:type="dxa"/>
            <w:tcBorders>
              <w:top w:val="nil"/>
              <w:left w:val="single" w:sz="4" w:space="0" w:color="auto"/>
              <w:bottom w:val="single" w:sz="4" w:space="0" w:color="auto"/>
              <w:right w:val="single" w:sz="4" w:space="0" w:color="auto"/>
            </w:tcBorders>
            <w:shd w:val="clear" w:color="000000" w:fill="FFFFFF"/>
            <w:noWrap/>
            <w:vAlign w:val="center"/>
            <w:hideMark/>
          </w:tcPr>
          <w:p w14:paraId="1EFB131C"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Yang et al., 2018</w:t>
            </w:r>
          </w:p>
        </w:tc>
        <w:tc>
          <w:tcPr>
            <w:tcW w:w="684" w:type="dxa"/>
            <w:tcBorders>
              <w:top w:val="nil"/>
              <w:left w:val="nil"/>
              <w:bottom w:val="single" w:sz="4" w:space="0" w:color="auto"/>
              <w:right w:val="single" w:sz="4" w:space="0" w:color="auto"/>
            </w:tcBorders>
            <w:shd w:val="clear" w:color="000000" w:fill="FFFFFF"/>
            <w:noWrap/>
            <w:vAlign w:val="center"/>
            <w:hideMark/>
          </w:tcPr>
          <w:p w14:paraId="2118DEC9"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China</w:t>
            </w:r>
          </w:p>
        </w:tc>
        <w:tc>
          <w:tcPr>
            <w:tcW w:w="1256" w:type="dxa"/>
            <w:tcBorders>
              <w:top w:val="nil"/>
              <w:left w:val="nil"/>
              <w:bottom w:val="single" w:sz="4" w:space="0" w:color="auto"/>
              <w:right w:val="single" w:sz="4" w:space="0" w:color="auto"/>
            </w:tcBorders>
            <w:shd w:val="clear" w:color="000000" w:fill="FFFFFF"/>
            <w:noWrap/>
            <w:vAlign w:val="center"/>
            <w:hideMark/>
          </w:tcPr>
          <w:p w14:paraId="522785AF"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180 CHB pts</w:t>
            </w:r>
          </w:p>
        </w:tc>
        <w:tc>
          <w:tcPr>
            <w:tcW w:w="1609" w:type="dxa"/>
            <w:tcBorders>
              <w:top w:val="nil"/>
              <w:left w:val="nil"/>
              <w:bottom w:val="single" w:sz="4" w:space="0" w:color="auto"/>
              <w:right w:val="single" w:sz="4" w:space="0" w:color="auto"/>
            </w:tcBorders>
            <w:shd w:val="clear" w:color="000000" w:fill="FFFFFF"/>
            <w:noWrap/>
            <w:vAlign w:val="center"/>
            <w:hideMark/>
          </w:tcPr>
          <w:p w14:paraId="51405B0C"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 xml:space="preserve">Non-invasive indices (APRI, FIB-4, </w:t>
            </w:r>
            <w:proofErr w:type="spellStart"/>
            <w:r w:rsidRPr="00236660">
              <w:rPr>
                <w:sz w:val="18"/>
                <w:szCs w:val="18"/>
                <w:lang w:val="en" w:eastAsia="en-IN"/>
              </w:rPr>
              <w:t>FibroTouch</w:t>
            </w:r>
            <w:proofErr w:type="spellEnd"/>
            <w:r w:rsidRPr="00236660">
              <w:rPr>
                <w:sz w:val="18"/>
                <w:szCs w:val="18"/>
                <w:lang w:val="en" w:eastAsia="en-IN"/>
              </w:rPr>
              <w:t>)</w:t>
            </w:r>
          </w:p>
        </w:tc>
        <w:tc>
          <w:tcPr>
            <w:tcW w:w="1355" w:type="dxa"/>
            <w:tcBorders>
              <w:top w:val="nil"/>
              <w:left w:val="nil"/>
              <w:bottom w:val="single" w:sz="4" w:space="0" w:color="auto"/>
              <w:right w:val="single" w:sz="4" w:space="0" w:color="auto"/>
            </w:tcBorders>
            <w:shd w:val="clear" w:color="000000" w:fill="FFFFFF"/>
            <w:noWrap/>
            <w:vAlign w:val="center"/>
            <w:hideMark/>
          </w:tcPr>
          <w:p w14:paraId="2CF1B859"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Biopsy</w:t>
            </w:r>
          </w:p>
        </w:tc>
        <w:tc>
          <w:tcPr>
            <w:tcW w:w="3411" w:type="dxa"/>
            <w:tcBorders>
              <w:top w:val="nil"/>
              <w:left w:val="nil"/>
              <w:bottom w:val="single" w:sz="4" w:space="0" w:color="auto"/>
              <w:right w:val="single" w:sz="4" w:space="0" w:color="auto"/>
            </w:tcBorders>
            <w:shd w:val="clear" w:color="000000" w:fill="FFFFFF"/>
            <w:noWrap/>
            <w:vAlign w:val="center"/>
            <w:hideMark/>
          </w:tcPr>
          <w:p w14:paraId="5039F1C4"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sz w:val="18"/>
                <w:szCs w:val="18"/>
                <w:lang w:val="en" w:eastAsia="en-IN"/>
              </w:rPr>
              <w:t>FibroTouch</w:t>
            </w:r>
            <w:proofErr w:type="spellEnd"/>
            <w:r w:rsidRPr="00236660">
              <w:rPr>
                <w:sz w:val="18"/>
                <w:szCs w:val="18"/>
                <w:lang w:val="en" w:eastAsia="en-IN"/>
              </w:rPr>
              <w:t xml:space="preserve"> had better accuracy than APRI and FIB-4 (AUROC 0.82 vs 0.73–0.76).</w:t>
            </w:r>
          </w:p>
        </w:tc>
      </w:tr>
      <w:tr w:rsidR="00DC4303" w:rsidRPr="00236660" w14:paraId="7E83EC4E" w14:textId="77777777" w:rsidTr="00DC4303">
        <w:trPr>
          <w:trHeight w:val="300"/>
        </w:trPr>
        <w:tc>
          <w:tcPr>
            <w:tcW w:w="1035" w:type="dxa"/>
            <w:tcBorders>
              <w:top w:val="nil"/>
              <w:left w:val="single" w:sz="4" w:space="0" w:color="auto"/>
              <w:bottom w:val="single" w:sz="4" w:space="0" w:color="auto"/>
              <w:right w:val="single" w:sz="4" w:space="0" w:color="auto"/>
            </w:tcBorders>
            <w:shd w:val="clear" w:color="000000" w:fill="F6F8F9"/>
            <w:noWrap/>
            <w:vAlign w:val="center"/>
            <w:hideMark/>
          </w:tcPr>
          <w:p w14:paraId="5403C61D"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Yu et al., 2021</w:t>
            </w:r>
          </w:p>
        </w:tc>
        <w:tc>
          <w:tcPr>
            <w:tcW w:w="684" w:type="dxa"/>
            <w:tcBorders>
              <w:top w:val="nil"/>
              <w:left w:val="nil"/>
              <w:bottom w:val="single" w:sz="4" w:space="0" w:color="auto"/>
              <w:right w:val="single" w:sz="4" w:space="0" w:color="auto"/>
            </w:tcBorders>
            <w:shd w:val="clear" w:color="000000" w:fill="F6F8F9"/>
            <w:noWrap/>
            <w:vAlign w:val="center"/>
            <w:hideMark/>
          </w:tcPr>
          <w:p w14:paraId="2FD417D5"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China</w:t>
            </w:r>
          </w:p>
        </w:tc>
        <w:tc>
          <w:tcPr>
            <w:tcW w:w="1256" w:type="dxa"/>
            <w:tcBorders>
              <w:top w:val="nil"/>
              <w:left w:val="nil"/>
              <w:bottom w:val="single" w:sz="4" w:space="0" w:color="auto"/>
              <w:right w:val="single" w:sz="4" w:space="0" w:color="auto"/>
            </w:tcBorders>
            <w:shd w:val="clear" w:color="000000" w:fill="F6F8F9"/>
            <w:noWrap/>
            <w:vAlign w:val="center"/>
            <w:hideMark/>
          </w:tcPr>
          <w:p w14:paraId="76A32349"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268 MAFLD + T2DM pts</w:t>
            </w:r>
          </w:p>
        </w:tc>
        <w:tc>
          <w:tcPr>
            <w:tcW w:w="1609" w:type="dxa"/>
            <w:tcBorders>
              <w:top w:val="nil"/>
              <w:left w:val="nil"/>
              <w:bottom w:val="single" w:sz="4" w:space="0" w:color="auto"/>
              <w:right w:val="single" w:sz="4" w:space="0" w:color="auto"/>
            </w:tcBorders>
            <w:shd w:val="clear" w:color="000000" w:fill="F6F8F9"/>
            <w:noWrap/>
            <w:vAlign w:val="center"/>
            <w:hideMark/>
          </w:tcPr>
          <w:p w14:paraId="6B8DB0B6"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sz w:val="18"/>
                <w:szCs w:val="18"/>
                <w:lang w:val="en" w:eastAsia="en-IN"/>
              </w:rPr>
              <w:t>FibroTouch</w:t>
            </w:r>
            <w:proofErr w:type="spellEnd"/>
          </w:p>
        </w:tc>
        <w:tc>
          <w:tcPr>
            <w:tcW w:w="1355" w:type="dxa"/>
            <w:tcBorders>
              <w:top w:val="nil"/>
              <w:left w:val="nil"/>
              <w:bottom w:val="single" w:sz="4" w:space="0" w:color="auto"/>
              <w:right w:val="single" w:sz="4" w:space="0" w:color="auto"/>
            </w:tcBorders>
            <w:shd w:val="clear" w:color="000000" w:fill="F6F8F9"/>
            <w:noWrap/>
            <w:vAlign w:val="center"/>
            <w:hideMark/>
          </w:tcPr>
          <w:p w14:paraId="35C12670"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Biopsy</w:t>
            </w:r>
          </w:p>
        </w:tc>
        <w:tc>
          <w:tcPr>
            <w:tcW w:w="3411" w:type="dxa"/>
            <w:tcBorders>
              <w:top w:val="nil"/>
              <w:left w:val="nil"/>
              <w:bottom w:val="single" w:sz="4" w:space="0" w:color="auto"/>
              <w:right w:val="single" w:sz="4" w:space="0" w:color="auto"/>
            </w:tcBorders>
            <w:shd w:val="clear" w:color="000000" w:fill="F6F8F9"/>
            <w:noWrap/>
            <w:vAlign w:val="center"/>
            <w:hideMark/>
          </w:tcPr>
          <w:p w14:paraId="4DEC54F4" w14:textId="77777777" w:rsidR="00DC4303" w:rsidRPr="00236660" w:rsidRDefault="00DC4303" w:rsidP="00DC4303">
            <w:pPr>
              <w:widowControl/>
              <w:autoSpaceDE/>
              <w:autoSpaceDN/>
              <w:jc w:val="center"/>
              <w:rPr>
                <w:color w:val="000000"/>
                <w:sz w:val="18"/>
                <w:szCs w:val="18"/>
                <w:lang w:val="en-IN" w:eastAsia="en-IN"/>
              </w:rPr>
            </w:pPr>
            <w:r w:rsidRPr="00236660">
              <w:rPr>
                <w:color w:val="000000"/>
                <w:sz w:val="18"/>
                <w:szCs w:val="18"/>
                <w:lang w:val="en" w:eastAsia="en-IN"/>
              </w:rPr>
              <w:t>Accurate for both steatosis and fibrosis (AUROC 0.85 for ≥F2; UAP AUROC 0.88 for ≥S2).</w:t>
            </w:r>
          </w:p>
        </w:tc>
      </w:tr>
      <w:tr w:rsidR="00DC4303" w:rsidRPr="00DC4303" w14:paraId="297A5EA3" w14:textId="77777777" w:rsidTr="00DC4303">
        <w:trPr>
          <w:trHeight w:val="300"/>
        </w:trPr>
        <w:tc>
          <w:tcPr>
            <w:tcW w:w="1035" w:type="dxa"/>
            <w:tcBorders>
              <w:top w:val="nil"/>
              <w:left w:val="single" w:sz="4" w:space="0" w:color="auto"/>
              <w:bottom w:val="single" w:sz="4" w:space="0" w:color="auto"/>
              <w:right w:val="single" w:sz="4" w:space="0" w:color="auto"/>
            </w:tcBorders>
            <w:shd w:val="clear" w:color="000000" w:fill="FFFFFF"/>
            <w:noWrap/>
            <w:vAlign w:val="center"/>
            <w:hideMark/>
          </w:tcPr>
          <w:p w14:paraId="260D5A1C"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Zuo et al., 2022</w:t>
            </w:r>
          </w:p>
        </w:tc>
        <w:tc>
          <w:tcPr>
            <w:tcW w:w="684" w:type="dxa"/>
            <w:tcBorders>
              <w:top w:val="nil"/>
              <w:left w:val="nil"/>
              <w:bottom w:val="single" w:sz="4" w:space="0" w:color="auto"/>
              <w:right w:val="single" w:sz="4" w:space="0" w:color="auto"/>
            </w:tcBorders>
            <w:shd w:val="clear" w:color="000000" w:fill="FFFFFF"/>
            <w:noWrap/>
            <w:vAlign w:val="center"/>
            <w:hideMark/>
          </w:tcPr>
          <w:p w14:paraId="69469BB1"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China</w:t>
            </w:r>
          </w:p>
        </w:tc>
        <w:tc>
          <w:tcPr>
            <w:tcW w:w="1256" w:type="dxa"/>
            <w:tcBorders>
              <w:top w:val="nil"/>
              <w:left w:val="nil"/>
              <w:bottom w:val="single" w:sz="4" w:space="0" w:color="auto"/>
              <w:right w:val="single" w:sz="4" w:space="0" w:color="auto"/>
            </w:tcBorders>
            <w:shd w:val="clear" w:color="000000" w:fill="FFFFFF"/>
            <w:noWrap/>
            <w:vAlign w:val="center"/>
            <w:hideMark/>
          </w:tcPr>
          <w:p w14:paraId="54CFC5FE"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410 CLD pts</w:t>
            </w:r>
          </w:p>
        </w:tc>
        <w:tc>
          <w:tcPr>
            <w:tcW w:w="1609" w:type="dxa"/>
            <w:tcBorders>
              <w:top w:val="nil"/>
              <w:left w:val="nil"/>
              <w:bottom w:val="single" w:sz="4" w:space="0" w:color="auto"/>
              <w:right w:val="single" w:sz="4" w:space="0" w:color="auto"/>
            </w:tcBorders>
            <w:shd w:val="clear" w:color="000000" w:fill="FFFFFF"/>
            <w:noWrap/>
            <w:vAlign w:val="center"/>
            <w:hideMark/>
          </w:tcPr>
          <w:p w14:paraId="41EB824E"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sz w:val="18"/>
                <w:szCs w:val="18"/>
                <w:lang w:val="en" w:eastAsia="en-IN"/>
              </w:rPr>
              <w:t>FibroTouch</w:t>
            </w:r>
            <w:proofErr w:type="spellEnd"/>
            <w:r w:rsidRPr="00236660">
              <w:rPr>
                <w:sz w:val="18"/>
                <w:szCs w:val="18"/>
                <w:lang w:val="en" w:eastAsia="en-IN"/>
              </w:rPr>
              <w:t xml:space="preserve"> vs 6 serological models</w:t>
            </w:r>
          </w:p>
        </w:tc>
        <w:tc>
          <w:tcPr>
            <w:tcW w:w="1355" w:type="dxa"/>
            <w:tcBorders>
              <w:top w:val="nil"/>
              <w:left w:val="nil"/>
              <w:bottom w:val="single" w:sz="4" w:space="0" w:color="auto"/>
              <w:right w:val="single" w:sz="4" w:space="0" w:color="auto"/>
            </w:tcBorders>
            <w:shd w:val="clear" w:color="000000" w:fill="FFFFFF"/>
            <w:noWrap/>
            <w:vAlign w:val="center"/>
            <w:hideMark/>
          </w:tcPr>
          <w:p w14:paraId="02F2CCCC" w14:textId="77777777" w:rsidR="00DC4303" w:rsidRPr="00236660" w:rsidRDefault="00DC4303" w:rsidP="00DC4303">
            <w:pPr>
              <w:widowControl/>
              <w:autoSpaceDE/>
              <w:autoSpaceDN/>
              <w:jc w:val="center"/>
              <w:rPr>
                <w:color w:val="000000"/>
                <w:sz w:val="18"/>
                <w:szCs w:val="18"/>
                <w:lang w:val="en-IN" w:eastAsia="en-IN"/>
              </w:rPr>
            </w:pPr>
            <w:r w:rsidRPr="00236660">
              <w:rPr>
                <w:sz w:val="18"/>
                <w:szCs w:val="18"/>
                <w:lang w:val="en" w:eastAsia="en-IN"/>
              </w:rPr>
              <w:t>Biopsy</w:t>
            </w:r>
          </w:p>
        </w:tc>
        <w:tc>
          <w:tcPr>
            <w:tcW w:w="3411" w:type="dxa"/>
            <w:tcBorders>
              <w:top w:val="nil"/>
              <w:left w:val="nil"/>
              <w:bottom w:val="single" w:sz="4" w:space="0" w:color="auto"/>
              <w:right w:val="single" w:sz="4" w:space="0" w:color="auto"/>
            </w:tcBorders>
            <w:shd w:val="clear" w:color="000000" w:fill="FFFFFF"/>
            <w:noWrap/>
            <w:vAlign w:val="center"/>
            <w:hideMark/>
          </w:tcPr>
          <w:p w14:paraId="37A75526" w14:textId="77777777" w:rsidR="00DC4303" w:rsidRPr="00236660" w:rsidRDefault="00DC4303" w:rsidP="00DC4303">
            <w:pPr>
              <w:widowControl/>
              <w:autoSpaceDE/>
              <w:autoSpaceDN/>
              <w:jc w:val="center"/>
              <w:rPr>
                <w:color w:val="000000"/>
                <w:sz w:val="18"/>
                <w:szCs w:val="18"/>
                <w:lang w:val="en-IN" w:eastAsia="en-IN"/>
              </w:rPr>
            </w:pPr>
            <w:proofErr w:type="spellStart"/>
            <w:r w:rsidRPr="00236660">
              <w:rPr>
                <w:sz w:val="18"/>
                <w:szCs w:val="18"/>
                <w:lang w:val="en" w:eastAsia="en-IN"/>
              </w:rPr>
              <w:t>FibroTouch</w:t>
            </w:r>
            <w:proofErr w:type="spellEnd"/>
            <w:r w:rsidRPr="00236660">
              <w:rPr>
                <w:sz w:val="18"/>
                <w:szCs w:val="18"/>
                <w:lang w:val="en" w:eastAsia="en-IN"/>
              </w:rPr>
              <w:t xml:space="preserve"> outperformed serum models (AUROC 0.88 vs 0.72–0.80).</w:t>
            </w:r>
          </w:p>
        </w:tc>
      </w:tr>
    </w:tbl>
    <w:p w14:paraId="11AD5444" w14:textId="77777777" w:rsidR="00DC4303" w:rsidRDefault="00DC4303" w:rsidP="00DC4303"/>
    <w:p w14:paraId="54D213C3" w14:textId="3320C02B" w:rsidR="00F33FF3" w:rsidRPr="00762235" w:rsidRDefault="00F33FF3" w:rsidP="00762235">
      <w:pPr>
        <w:spacing w:line="360" w:lineRule="auto"/>
        <w:jc w:val="both"/>
        <w:rPr>
          <w:sz w:val="18"/>
          <w:szCs w:val="18"/>
        </w:rPr>
      </w:pPr>
      <w:r w:rsidRPr="00236660">
        <w:rPr>
          <w:b/>
          <w:bCs/>
          <w:color w:val="4F81BD" w:themeColor="accent1"/>
          <w:sz w:val="18"/>
          <w:szCs w:val="18"/>
        </w:rPr>
        <w:t>Table 1</w:t>
      </w:r>
      <w:r w:rsidR="00236660" w:rsidRPr="00236660">
        <w:rPr>
          <w:b/>
          <w:bCs/>
          <w:color w:val="4F81BD" w:themeColor="accent1"/>
          <w:sz w:val="18"/>
          <w:szCs w:val="18"/>
        </w:rPr>
        <w:t>:</w:t>
      </w:r>
      <w:r w:rsidRPr="00762235">
        <w:rPr>
          <w:sz w:val="18"/>
          <w:szCs w:val="18"/>
        </w:rPr>
        <w:t xml:space="preserve"> Study characteristics of included studies. TE, transient elastography; MRE, magnetic resonance elastography; SWE, shear wave elastography; US THE, ultrasound time-harmonic elastography; </w:t>
      </w:r>
      <w:proofErr w:type="spellStart"/>
      <w:r w:rsidRPr="00762235">
        <w:rPr>
          <w:sz w:val="18"/>
          <w:szCs w:val="18"/>
        </w:rPr>
        <w:t>TomoE</w:t>
      </w:r>
      <w:proofErr w:type="spellEnd"/>
      <w:r w:rsidRPr="00762235">
        <w:rPr>
          <w:sz w:val="18"/>
          <w:szCs w:val="18"/>
        </w:rPr>
        <w:t xml:space="preserve">, </w:t>
      </w:r>
      <w:proofErr w:type="spellStart"/>
      <w:r w:rsidRPr="00762235">
        <w:rPr>
          <w:sz w:val="18"/>
          <w:szCs w:val="18"/>
        </w:rPr>
        <w:t>tomoelastography</w:t>
      </w:r>
      <w:proofErr w:type="spellEnd"/>
      <w:r w:rsidRPr="00762235">
        <w:rPr>
          <w:sz w:val="18"/>
          <w:szCs w:val="18"/>
        </w:rPr>
        <w:t xml:space="preserve">; FT, </w:t>
      </w:r>
      <w:proofErr w:type="spellStart"/>
      <w:r w:rsidRPr="00762235">
        <w:rPr>
          <w:sz w:val="18"/>
          <w:szCs w:val="18"/>
        </w:rPr>
        <w:t>FibroTest</w:t>
      </w:r>
      <w:proofErr w:type="spellEnd"/>
      <w:r w:rsidRPr="00762235">
        <w:rPr>
          <w:sz w:val="18"/>
          <w:szCs w:val="18"/>
        </w:rPr>
        <w:t>; APRI, AST-to-platelet ratio index; ELF, enhanced liver fibrosis test; HVPG, hepatic venous pressure gradient; CHB, chronic hepatitis B; CHC, chronic hepatitis C; CLD, chronic liver disease; HCC, hepatocellular carcinoma; HBV, hepatitis B virus; HCV, hepatitis C virus; NAFLD, non-alcoholic fatty liver disease; PBC, primary biliary cholangitis; PSC, primary sclerosing cholangitis; LT, liver transplant.</w:t>
      </w:r>
    </w:p>
    <w:p w14:paraId="15ECD959" w14:textId="77777777" w:rsidR="00F33FF3" w:rsidRDefault="00F33FF3" w:rsidP="00DC4303">
      <w:pPr>
        <w:rPr>
          <w:sz w:val="20"/>
          <w:szCs w:val="20"/>
        </w:rPr>
      </w:pPr>
    </w:p>
    <w:p w14:paraId="4A5F05AA" w14:textId="77777777" w:rsidR="00F33FF3" w:rsidRPr="00DC4303" w:rsidRDefault="00F33FF3" w:rsidP="00DC4303"/>
    <w:p w14:paraId="1C4E369D" w14:textId="3A5A8AF5" w:rsidR="0044387B" w:rsidRDefault="0044387B" w:rsidP="001279D0">
      <w:pPr>
        <w:pStyle w:val="Heading3"/>
        <w:keepNext w:val="0"/>
        <w:keepLines w:val="0"/>
        <w:spacing w:before="0" w:line="360" w:lineRule="auto"/>
        <w:jc w:val="both"/>
        <w:rPr>
          <w:rFonts w:ascii="Times New Roman" w:eastAsia="Times New Roman" w:hAnsi="Times New Roman" w:cs="Times New Roman"/>
          <w:sz w:val="20"/>
          <w:szCs w:val="20"/>
        </w:rPr>
      </w:pPr>
      <w:bookmarkStart w:id="24" w:name="_heading=h.9vzmnt6xo1x7" w:colFirst="0" w:colLast="0"/>
      <w:bookmarkEnd w:id="24"/>
      <w:r w:rsidRPr="001279D0">
        <w:rPr>
          <w:rFonts w:ascii="Times New Roman" w:eastAsia="Times New Roman" w:hAnsi="Times New Roman" w:cs="Times New Roman"/>
          <w:i/>
          <w:iCs/>
          <w:color w:val="000000"/>
          <w:sz w:val="20"/>
          <w:szCs w:val="20"/>
        </w:rPr>
        <w:t xml:space="preserve">4.4.4 Metabolic Dysfunction-Associated </w:t>
      </w:r>
      <w:proofErr w:type="spellStart"/>
      <w:r w:rsidRPr="001279D0">
        <w:rPr>
          <w:rFonts w:ascii="Times New Roman" w:eastAsia="Times New Roman" w:hAnsi="Times New Roman" w:cs="Times New Roman"/>
          <w:i/>
          <w:iCs/>
          <w:color w:val="000000"/>
          <w:sz w:val="20"/>
          <w:szCs w:val="20"/>
        </w:rPr>
        <w:t>Steatotic</w:t>
      </w:r>
      <w:proofErr w:type="spellEnd"/>
      <w:r w:rsidRPr="001279D0">
        <w:rPr>
          <w:rFonts w:ascii="Times New Roman" w:eastAsia="Times New Roman" w:hAnsi="Times New Roman" w:cs="Times New Roman"/>
          <w:i/>
          <w:iCs/>
          <w:color w:val="000000"/>
          <w:sz w:val="20"/>
          <w:szCs w:val="20"/>
        </w:rPr>
        <w:t xml:space="preserve"> Liver Disease (MASLD)</w:t>
      </w:r>
      <w:r w:rsidR="001279D0" w:rsidRPr="001279D0">
        <w:rPr>
          <w:rFonts w:ascii="Times New Roman" w:eastAsia="Times New Roman" w:hAnsi="Times New Roman" w:cs="Times New Roman"/>
          <w:i/>
          <w:iCs/>
          <w:color w:val="000000"/>
          <w:sz w:val="20"/>
          <w:szCs w:val="20"/>
        </w:rPr>
        <w:t xml:space="preserve">: </w:t>
      </w:r>
      <w:r w:rsidRPr="001279D0">
        <w:rPr>
          <w:rFonts w:ascii="Times New Roman" w:eastAsia="Times New Roman" w:hAnsi="Times New Roman" w:cs="Times New Roman"/>
          <w:b w:val="0"/>
          <w:bCs w:val="0"/>
          <w:color w:val="auto"/>
          <w:sz w:val="20"/>
          <w:szCs w:val="20"/>
        </w:rPr>
        <w:t xml:space="preserve">In patients with MASLD (formerly NAFLD), for F2, </w:t>
      </w:r>
      <w:proofErr w:type="spellStart"/>
      <w:r w:rsidRPr="001279D0">
        <w:rPr>
          <w:rFonts w:ascii="Times New Roman" w:eastAsia="Times New Roman" w:hAnsi="Times New Roman" w:cs="Times New Roman"/>
          <w:b w:val="0"/>
          <w:bCs w:val="0"/>
          <w:color w:val="auto"/>
          <w:sz w:val="20"/>
          <w:szCs w:val="20"/>
        </w:rPr>
        <w:t>FibroScan</w:t>
      </w:r>
      <w:proofErr w:type="spellEnd"/>
      <w:r w:rsidRPr="001279D0">
        <w:rPr>
          <w:rFonts w:ascii="Times New Roman" w:eastAsia="Times New Roman" w:hAnsi="Times New Roman" w:cs="Times New Roman"/>
          <w:b w:val="0"/>
          <w:bCs w:val="0"/>
          <w:color w:val="auto"/>
          <w:sz w:val="20"/>
          <w:szCs w:val="20"/>
        </w:rPr>
        <w:t xml:space="preserve"> demonstrated sensitivity of 0.873 (95% CI: 0.738–0.943) and particularly high specificity of 0.952 (95% CI: 0.751–0.992) (Figures S41–S42). For F3, pooled sensitivity was 0.900 (95% CI: 0.668–0.975) and specificity 0.843 (95% CI: 0.752–0.905) (Figures S44–S45). HSROC curves are shown in Figures S40 and S43.</w:t>
      </w:r>
    </w:p>
    <w:p w14:paraId="768F79C0" w14:textId="77777777" w:rsidR="001279D0" w:rsidRPr="001279D0" w:rsidRDefault="001279D0" w:rsidP="001279D0"/>
    <w:p w14:paraId="7F91E386" w14:textId="77777777" w:rsidR="0044387B" w:rsidRPr="001279D0" w:rsidRDefault="0044387B" w:rsidP="0044387B">
      <w:pPr>
        <w:pStyle w:val="Heading1"/>
        <w:spacing w:line="360" w:lineRule="auto"/>
        <w:ind w:left="0"/>
        <w:jc w:val="both"/>
        <w:rPr>
          <w:color w:val="4F81BD" w:themeColor="accent1"/>
        </w:rPr>
      </w:pPr>
      <w:bookmarkStart w:id="25" w:name="_heading=h.hm6gvrxf3h72" w:colFirst="0" w:colLast="0"/>
      <w:bookmarkEnd w:id="25"/>
      <w:r w:rsidRPr="001279D0">
        <w:rPr>
          <w:color w:val="4F81BD" w:themeColor="accent1"/>
        </w:rPr>
        <w:t>5. Discussion</w:t>
      </w:r>
    </w:p>
    <w:p w14:paraId="1AD27841" w14:textId="06268A2B" w:rsidR="0044387B" w:rsidRPr="0044387B" w:rsidRDefault="0044387B" w:rsidP="0044387B">
      <w:pPr>
        <w:spacing w:line="360" w:lineRule="auto"/>
        <w:jc w:val="both"/>
        <w:rPr>
          <w:sz w:val="20"/>
          <w:szCs w:val="20"/>
        </w:rPr>
      </w:pPr>
      <w:r w:rsidRPr="0044387B">
        <w:rPr>
          <w:sz w:val="20"/>
          <w:szCs w:val="20"/>
        </w:rPr>
        <w:t xml:space="preserve">The present meta-analysis demonstrates that </w:t>
      </w:r>
      <w:proofErr w:type="spellStart"/>
      <w:r w:rsidRPr="0044387B">
        <w:rPr>
          <w:sz w:val="20"/>
          <w:szCs w:val="20"/>
        </w:rPr>
        <w:t>FibroScan</w:t>
      </w:r>
      <w:proofErr w:type="spellEnd"/>
      <w:r w:rsidRPr="0044387B">
        <w:rPr>
          <w:sz w:val="20"/>
          <w:szCs w:val="20"/>
        </w:rPr>
        <w:t xml:space="preserve">, the leading commercial implementation of Vibration-Controlled Transient Elastography (VCTE), consistently outperforms </w:t>
      </w:r>
      <w:proofErr w:type="spellStart"/>
      <w:r w:rsidRPr="0044387B">
        <w:rPr>
          <w:sz w:val="20"/>
          <w:szCs w:val="20"/>
        </w:rPr>
        <w:t>FibroTouch</w:t>
      </w:r>
      <w:proofErr w:type="spellEnd"/>
      <w:r w:rsidRPr="0044387B">
        <w:rPr>
          <w:sz w:val="20"/>
          <w:szCs w:val="20"/>
        </w:rPr>
        <w:t xml:space="preserve"> across all fibrosis stages and chronic liver disease etiologies in terms of pooled sensitivity, specificity, and AUROC. This finding is consistent with the mechanistic and technical differences between the two platforms described in </w:t>
      </w:r>
      <w:r w:rsidR="00B7536D">
        <w:rPr>
          <w:sz w:val="20"/>
          <w:szCs w:val="20"/>
        </w:rPr>
        <w:t>s</w:t>
      </w:r>
      <w:r w:rsidRPr="0044387B">
        <w:rPr>
          <w:sz w:val="20"/>
          <w:szCs w:val="20"/>
        </w:rPr>
        <w:t xml:space="preserve">ection </w:t>
      </w:r>
      <w:proofErr w:type="gramStart"/>
      <w:r w:rsidRPr="0044387B">
        <w:rPr>
          <w:sz w:val="20"/>
          <w:szCs w:val="20"/>
        </w:rPr>
        <w:t>2, and</w:t>
      </w:r>
      <w:proofErr w:type="gramEnd"/>
      <w:r w:rsidRPr="0044387B">
        <w:rPr>
          <w:sz w:val="20"/>
          <w:szCs w:val="20"/>
        </w:rPr>
        <w:t xml:space="preserve"> aligns with previous independent head-to-head comparisons</w:t>
      </w:r>
      <w:r w:rsidR="00B7536D">
        <w:rPr>
          <w:sz w:val="20"/>
          <w:szCs w:val="20"/>
        </w:rPr>
        <w:t xml:space="preserve"> [18]</w:t>
      </w:r>
      <w:r w:rsidRPr="0044387B">
        <w:rPr>
          <w:sz w:val="20"/>
          <w:szCs w:val="20"/>
        </w:rPr>
        <w:t xml:space="preserve">. </w:t>
      </w:r>
    </w:p>
    <w:p w14:paraId="175C10BC" w14:textId="77777777" w:rsidR="0044387B" w:rsidRPr="0044387B" w:rsidRDefault="0044387B" w:rsidP="0044387B">
      <w:pPr>
        <w:spacing w:line="360" w:lineRule="auto"/>
        <w:jc w:val="both"/>
        <w:rPr>
          <w:sz w:val="20"/>
          <w:szCs w:val="20"/>
        </w:rPr>
      </w:pPr>
      <w:r w:rsidRPr="0044387B">
        <w:rPr>
          <w:sz w:val="20"/>
          <w:szCs w:val="20"/>
        </w:rPr>
        <w:t xml:space="preserve">The pathophysiology of liver cirrhosis, characterized by progressive extracellular matrix deposition, architectural disruption, and increased liver stiffness, underpins the rationale for VCTE-based diagnostics. Liver stiffness measured in kPa correlates not only with fibrosis stage but also with portal hypertension severity and risk of variceal bleeding and ascites, making it a critical biomarker for disease management. ¹⁰¹³¹⁴ Both </w:t>
      </w:r>
      <w:proofErr w:type="spellStart"/>
      <w:r w:rsidRPr="0044387B">
        <w:rPr>
          <w:sz w:val="20"/>
          <w:szCs w:val="20"/>
        </w:rPr>
        <w:t>FibroScan</w:t>
      </w:r>
      <w:proofErr w:type="spellEnd"/>
      <w:r w:rsidRPr="0044387B">
        <w:rPr>
          <w:sz w:val="20"/>
          <w:szCs w:val="20"/>
        </w:rPr>
        <w:t xml:space="preserve"> and </w:t>
      </w:r>
      <w:proofErr w:type="spellStart"/>
      <w:r w:rsidRPr="0044387B">
        <w:rPr>
          <w:sz w:val="20"/>
          <w:szCs w:val="20"/>
        </w:rPr>
        <w:t>FibroTouch</w:t>
      </w:r>
      <w:proofErr w:type="spellEnd"/>
      <w:r w:rsidRPr="0044387B">
        <w:rPr>
          <w:sz w:val="20"/>
          <w:szCs w:val="20"/>
        </w:rPr>
        <w:t xml:space="preserve"> leverage this physiology, but their differing measurement reproducibility, probe flexibility, and calibration standards affect their real-world utility.</w:t>
      </w:r>
    </w:p>
    <w:p w14:paraId="41FABBD6" w14:textId="14D664E0" w:rsidR="0044387B" w:rsidRDefault="0044387B" w:rsidP="0044387B">
      <w:pPr>
        <w:spacing w:line="360" w:lineRule="auto"/>
        <w:jc w:val="both"/>
        <w:rPr>
          <w:sz w:val="20"/>
          <w:szCs w:val="20"/>
        </w:rPr>
      </w:pPr>
      <w:r w:rsidRPr="0044387B">
        <w:rPr>
          <w:sz w:val="20"/>
          <w:szCs w:val="20"/>
        </w:rPr>
        <w:t xml:space="preserve">The superior AUROC of </w:t>
      </w:r>
      <w:proofErr w:type="spellStart"/>
      <w:r w:rsidRPr="0044387B">
        <w:rPr>
          <w:sz w:val="20"/>
          <w:szCs w:val="20"/>
        </w:rPr>
        <w:t>FibroScan</w:t>
      </w:r>
      <w:proofErr w:type="spellEnd"/>
      <w:r w:rsidRPr="0044387B">
        <w:rPr>
          <w:sz w:val="20"/>
          <w:szCs w:val="20"/>
        </w:rPr>
        <w:t xml:space="preserve">—especially for cirrhosis (0.96 vs. 0.89)—likely reflects the combination of its more refined and extensively validated algorithms, its broader probe options for optimizing measurements across body habitus, and the quality assurance provided by mandatory annual calibration. </w:t>
      </w:r>
      <w:proofErr w:type="spellStart"/>
      <w:r w:rsidRPr="0044387B">
        <w:rPr>
          <w:sz w:val="20"/>
          <w:szCs w:val="20"/>
        </w:rPr>
        <w:t>FibroTouch’s</w:t>
      </w:r>
      <w:proofErr w:type="spellEnd"/>
      <w:r w:rsidRPr="0044387B">
        <w:rPr>
          <w:sz w:val="20"/>
          <w:szCs w:val="20"/>
        </w:rPr>
        <w:t xml:space="preserve"> modestly lower but still clinically reasonable performance may partly reflect the limited number of included studies (9 vs. 32), its single-probe design that constrains applicability in obese patients, and the algorithmic uncertainty around its steatosis parameter </w:t>
      </w:r>
      <w:r w:rsidRPr="0044387B">
        <w:rPr>
          <w:sz w:val="20"/>
          <w:szCs w:val="20"/>
        </w:rPr>
        <w:lastRenderedPageBreak/>
        <w:t>described in phantom studies</w:t>
      </w:r>
      <w:r w:rsidR="00B7536D">
        <w:rPr>
          <w:sz w:val="20"/>
          <w:szCs w:val="20"/>
        </w:rPr>
        <w:t xml:space="preserve"> [18]</w:t>
      </w:r>
      <w:r w:rsidRPr="0044387B">
        <w:rPr>
          <w:sz w:val="20"/>
          <w:szCs w:val="20"/>
        </w:rPr>
        <w:t xml:space="preserve">. </w:t>
      </w:r>
    </w:p>
    <w:p w14:paraId="5C956D70" w14:textId="77777777" w:rsidR="00236660" w:rsidRPr="0044387B" w:rsidRDefault="00236660" w:rsidP="0044387B">
      <w:pPr>
        <w:spacing w:line="360" w:lineRule="auto"/>
        <w:jc w:val="both"/>
        <w:rPr>
          <w:sz w:val="20"/>
          <w:szCs w:val="20"/>
        </w:rPr>
      </w:pPr>
    </w:p>
    <w:p w14:paraId="4B04DBC8"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26" w:name="_heading=h.xukeiuh68ax" w:colFirst="0" w:colLast="0"/>
      <w:bookmarkEnd w:id="26"/>
      <w:r w:rsidRPr="0044387B">
        <w:rPr>
          <w:rFonts w:ascii="Times New Roman" w:eastAsia="Times New Roman" w:hAnsi="Times New Roman" w:cs="Times New Roman"/>
          <w:sz w:val="20"/>
          <w:szCs w:val="20"/>
        </w:rPr>
        <w:t>5.1 Practical Value, Probe Availability, Calibration Requirements, and Cost</w:t>
      </w:r>
    </w:p>
    <w:p w14:paraId="147055BC" w14:textId="77777777" w:rsidR="0044387B" w:rsidRPr="0044387B" w:rsidRDefault="0044387B" w:rsidP="0044387B">
      <w:pPr>
        <w:spacing w:line="360" w:lineRule="auto"/>
        <w:jc w:val="both"/>
        <w:rPr>
          <w:sz w:val="20"/>
          <w:szCs w:val="20"/>
        </w:rPr>
      </w:pPr>
      <w:r w:rsidRPr="0044387B">
        <w:rPr>
          <w:sz w:val="20"/>
          <w:szCs w:val="20"/>
        </w:rPr>
        <w:t xml:space="preserve">Beyond raw diagnostic accuracy, the comparative practical value of </w:t>
      </w:r>
      <w:proofErr w:type="spellStart"/>
      <w:r w:rsidRPr="0044387B">
        <w:rPr>
          <w:sz w:val="20"/>
          <w:szCs w:val="20"/>
        </w:rPr>
        <w:t>FibroScan</w:t>
      </w:r>
      <w:proofErr w:type="spellEnd"/>
      <w:r w:rsidRPr="0044387B">
        <w:rPr>
          <w:sz w:val="20"/>
          <w:szCs w:val="20"/>
        </w:rPr>
        <w:t xml:space="preserve"> and </w:t>
      </w:r>
      <w:proofErr w:type="spellStart"/>
      <w:r w:rsidRPr="0044387B">
        <w:rPr>
          <w:sz w:val="20"/>
          <w:szCs w:val="20"/>
        </w:rPr>
        <w:t>FibroTouch</w:t>
      </w:r>
      <w:proofErr w:type="spellEnd"/>
      <w:r w:rsidRPr="0044387B">
        <w:rPr>
          <w:sz w:val="20"/>
          <w:szCs w:val="20"/>
        </w:rPr>
        <w:t xml:space="preserve"> deserves careful consideration as it directly influences device selection in clinical and resource-constrained settings.</w:t>
      </w:r>
    </w:p>
    <w:p w14:paraId="3495CB1D" w14:textId="24622861" w:rsidR="0044387B" w:rsidRPr="0044387B" w:rsidRDefault="0044387B" w:rsidP="0044387B">
      <w:pPr>
        <w:spacing w:line="360" w:lineRule="auto"/>
        <w:jc w:val="both"/>
        <w:rPr>
          <w:sz w:val="20"/>
          <w:szCs w:val="20"/>
        </w:rPr>
      </w:pPr>
      <w:proofErr w:type="spellStart"/>
      <w:r w:rsidRPr="0044387B">
        <w:rPr>
          <w:sz w:val="20"/>
          <w:szCs w:val="20"/>
        </w:rPr>
        <w:t>FibroScan’s</w:t>
      </w:r>
      <w:proofErr w:type="spellEnd"/>
      <w:r w:rsidRPr="0044387B">
        <w:rPr>
          <w:sz w:val="20"/>
          <w:szCs w:val="20"/>
        </w:rPr>
        <w:t xml:space="preserve"> multi-probe architecture is a critical practical advantage. The current </w:t>
      </w:r>
      <w:proofErr w:type="spellStart"/>
      <w:r w:rsidRPr="0044387B">
        <w:rPr>
          <w:sz w:val="20"/>
          <w:szCs w:val="20"/>
        </w:rPr>
        <w:t>FibroScan</w:t>
      </w:r>
      <w:proofErr w:type="spellEnd"/>
      <w:r w:rsidRPr="0044387B">
        <w:rPr>
          <w:sz w:val="20"/>
          <w:szCs w:val="20"/>
        </w:rPr>
        <w:t xml:space="preserve"> device range (Mini+, Compact, and Expert models) supports three interchangeable probe configurations: M+, XL+, and S+</w:t>
      </w:r>
      <w:r w:rsidR="00B7536D">
        <w:rPr>
          <w:sz w:val="20"/>
          <w:szCs w:val="20"/>
        </w:rPr>
        <w:t xml:space="preserve"> [4]</w:t>
      </w:r>
      <w:r w:rsidRPr="0044387B">
        <w:rPr>
          <w:sz w:val="20"/>
          <w:szCs w:val="20"/>
        </w:rPr>
        <w:t>. The M+ probe is appropriate for standard adults, while the XL+ probe is designed for patients with obesity or a skin-to-liver-capsule distance exceeding 25 mm, a population in whom the M+ probe generates unreliable measurements at a documented rate of up to 25–30%</w:t>
      </w:r>
      <w:r w:rsidR="00B7536D">
        <w:rPr>
          <w:sz w:val="20"/>
          <w:szCs w:val="20"/>
        </w:rPr>
        <w:t xml:space="preserve"> [7]</w:t>
      </w:r>
      <w:r w:rsidRPr="0044387B">
        <w:rPr>
          <w:sz w:val="20"/>
          <w:szCs w:val="20"/>
        </w:rPr>
        <w:t xml:space="preserve">. The S+ probe extends applicability to </w:t>
      </w:r>
      <w:proofErr w:type="gramStart"/>
      <w:r w:rsidRPr="0044387B">
        <w:rPr>
          <w:sz w:val="20"/>
          <w:szCs w:val="20"/>
        </w:rPr>
        <w:t>lean</w:t>
      </w:r>
      <w:proofErr w:type="gramEnd"/>
      <w:r w:rsidRPr="0044387B">
        <w:rPr>
          <w:sz w:val="20"/>
          <w:szCs w:val="20"/>
        </w:rPr>
        <w:t xml:space="preserve"> adults and pediatric patients with thoracic circumference below 75 cm. This multi-probe flexibility is indispensable in hepatology populations increasingly characterized by obesity and metabolic syndrome, and it also supports spleen stiffness measurement (SSM) on the Expert 630 model at 100 Hz, enabling non-invasive portal hypertension assessment</w:t>
      </w:r>
      <w:r w:rsidR="00B7536D">
        <w:rPr>
          <w:sz w:val="20"/>
          <w:szCs w:val="20"/>
        </w:rPr>
        <w:t xml:space="preserve"> [4]</w:t>
      </w:r>
      <w:r w:rsidRPr="0044387B">
        <w:rPr>
          <w:sz w:val="20"/>
          <w:szCs w:val="20"/>
        </w:rPr>
        <w:t xml:space="preserve">. </w:t>
      </w:r>
      <w:proofErr w:type="spellStart"/>
      <w:r w:rsidRPr="0044387B">
        <w:rPr>
          <w:sz w:val="20"/>
          <w:szCs w:val="20"/>
        </w:rPr>
        <w:t>FibroTouch</w:t>
      </w:r>
      <w:proofErr w:type="spellEnd"/>
      <w:r w:rsidRPr="0044387B">
        <w:rPr>
          <w:sz w:val="20"/>
          <w:szCs w:val="20"/>
        </w:rPr>
        <w:t xml:space="preserve">, by contrast, is marketed with a single probe, which restricts its use in obese or lean patient subpopulations and may contribute to higher rates of unreliable measurements in these </w:t>
      </w:r>
      <w:proofErr w:type="gramStart"/>
      <w:r w:rsidRPr="0044387B">
        <w:rPr>
          <w:sz w:val="20"/>
          <w:szCs w:val="20"/>
        </w:rPr>
        <w:t>groups—a limitation</w:t>
      </w:r>
      <w:proofErr w:type="gramEnd"/>
      <w:r w:rsidRPr="0044387B">
        <w:rPr>
          <w:sz w:val="20"/>
          <w:szCs w:val="20"/>
        </w:rPr>
        <w:t xml:space="preserve"> that </w:t>
      </w:r>
      <w:proofErr w:type="gramStart"/>
      <w:r w:rsidRPr="0044387B">
        <w:rPr>
          <w:sz w:val="20"/>
          <w:szCs w:val="20"/>
        </w:rPr>
        <w:t>is</w:t>
      </w:r>
      <w:proofErr w:type="gramEnd"/>
      <w:r w:rsidRPr="0044387B">
        <w:rPr>
          <w:sz w:val="20"/>
          <w:szCs w:val="20"/>
        </w:rPr>
        <w:t xml:space="preserve"> not always apparent from aggregate AUROC data alone.</w:t>
      </w:r>
    </w:p>
    <w:p w14:paraId="719DEBC0" w14:textId="2CE060EA" w:rsidR="0044387B" w:rsidRPr="0044387B" w:rsidRDefault="0044387B" w:rsidP="0044387B">
      <w:pPr>
        <w:spacing w:line="360" w:lineRule="auto"/>
        <w:jc w:val="both"/>
        <w:rPr>
          <w:sz w:val="20"/>
          <w:szCs w:val="20"/>
        </w:rPr>
      </w:pPr>
      <w:r w:rsidRPr="0044387B">
        <w:rPr>
          <w:sz w:val="20"/>
          <w:szCs w:val="20"/>
        </w:rPr>
        <w:t xml:space="preserve">The calibration requirement is a second important practical differentiator. </w:t>
      </w:r>
      <w:proofErr w:type="spellStart"/>
      <w:r w:rsidRPr="0044387B">
        <w:rPr>
          <w:sz w:val="20"/>
          <w:szCs w:val="20"/>
        </w:rPr>
        <w:t>Echosens</w:t>
      </w:r>
      <w:proofErr w:type="spellEnd"/>
      <w:r w:rsidRPr="0044387B">
        <w:rPr>
          <w:sz w:val="20"/>
          <w:szCs w:val="20"/>
        </w:rPr>
        <w:t xml:space="preserve"> mandates annual probe calibration for all </w:t>
      </w:r>
      <w:proofErr w:type="spellStart"/>
      <w:r w:rsidRPr="0044387B">
        <w:rPr>
          <w:sz w:val="20"/>
          <w:szCs w:val="20"/>
        </w:rPr>
        <w:t>FibroScan</w:t>
      </w:r>
      <w:proofErr w:type="spellEnd"/>
      <w:r w:rsidRPr="0044387B">
        <w:rPr>
          <w:sz w:val="20"/>
          <w:szCs w:val="20"/>
        </w:rPr>
        <w:t xml:space="preserve"> probes as an essential maintenance service to guarantee measurement accuracy and regulatory compliance</w:t>
      </w:r>
      <w:r w:rsidR="00B7536D">
        <w:rPr>
          <w:sz w:val="20"/>
          <w:szCs w:val="20"/>
        </w:rPr>
        <w:t xml:space="preserve"> [4]</w:t>
      </w:r>
      <w:r w:rsidRPr="0044387B">
        <w:rPr>
          <w:sz w:val="20"/>
          <w:szCs w:val="20"/>
        </w:rPr>
        <w:t xml:space="preserve">. In the United States, annual maintenance contracts for </w:t>
      </w:r>
      <w:proofErr w:type="spellStart"/>
      <w:r w:rsidRPr="0044387B">
        <w:rPr>
          <w:sz w:val="20"/>
          <w:szCs w:val="20"/>
        </w:rPr>
        <w:t>FibroScan</w:t>
      </w:r>
      <w:proofErr w:type="spellEnd"/>
      <w:r w:rsidRPr="0044387B">
        <w:rPr>
          <w:sz w:val="20"/>
          <w:szCs w:val="20"/>
        </w:rPr>
        <w:t>, inclusive of calibration, are estimated at $3,000–$12,000 depending on the device model and service tier, with full device acquisition costs ranging from approximately $60,000 to $125,000</w:t>
      </w:r>
      <w:r w:rsidR="00B7536D">
        <w:rPr>
          <w:sz w:val="20"/>
          <w:szCs w:val="20"/>
        </w:rPr>
        <w:t xml:space="preserve"> [9]</w:t>
      </w:r>
      <w:r w:rsidRPr="0044387B">
        <w:rPr>
          <w:sz w:val="20"/>
          <w:szCs w:val="20"/>
        </w:rPr>
        <w:t xml:space="preserve">. This recurring cost must be budgeted as part of total cost of ownership. </w:t>
      </w:r>
      <w:proofErr w:type="spellStart"/>
      <w:r w:rsidRPr="0044387B">
        <w:rPr>
          <w:sz w:val="20"/>
          <w:szCs w:val="20"/>
        </w:rPr>
        <w:t>FibroTouch</w:t>
      </w:r>
      <w:proofErr w:type="spellEnd"/>
      <w:r w:rsidRPr="0044387B">
        <w:rPr>
          <w:sz w:val="20"/>
          <w:szCs w:val="20"/>
        </w:rPr>
        <w:t xml:space="preserve"> does not require scheduled annual probe calibration, which eliminates this expense and the associated logistical burden of coordinating annual manufacturer service visits. This distinction has real financial implications, particularly for smaller practices, point-of-care settings, or facilities in lower-income countries where service infrastructure may be limited. However, as noted in </w:t>
      </w:r>
      <w:r w:rsidR="00B7536D">
        <w:rPr>
          <w:sz w:val="20"/>
          <w:szCs w:val="20"/>
        </w:rPr>
        <w:t>s</w:t>
      </w:r>
      <w:r w:rsidRPr="0044387B">
        <w:rPr>
          <w:sz w:val="20"/>
          <w:szCs w:val="20"/>
        </w:rPr>
        <w:t xml:space="preserve">ection 2.3, the trade-off is that the absence of mandated calibration leaves long-term measurement drift unverified, and independent data on </w:t>
      </w:r>
      <w:proofErr w:type="spellStart"/>
      <w:r w:rsidRPr="0044387B">
        <w:rPr>
          <w:sz w:val="20"/>
          <w:szCs w:val="20"/>
        </w:rPr>
        <w:t>FibroTouch’s</w:t>
      </w:r>
      <w:proofErr w:type="spellEnd"/>
      <w:r w:rsidRPr="0044387B">
        <w:rPr>
          <w:sz w:val="20"/>
          <w:szCs w:val="20"/>
        </w:rPr>
        <w:t xml:space="preserve"> measurement stability over time remain scarce.</w:t>
      </w:r>
    </w:p>
    <w:p w14:paraId="526A2B3F" w14:textId="69041AEB" w:rsidR="0044387B" w:rsidRPr="0044387B" w:rsidRDefault="0044387B" w:rsidP="0044387B">
      <w:pPr>
        <w:spacing w:line="360" w:lineRule="auto"/>
        <w:jc w:val="both"/>
        <w:rPr>
          <w:sz w:val="20"/>
          <w:szCs w:val="20"/>
        </w:rPr>
      </w:pPr>
      <w:r w:rsidRPr="0044387B">
        <w:rPr>
          <w:sz w:val="20"/>
          <w:szCs w:val="20"/>
        </w:rPr>
        <w:t xml:space="preserve">From a cost-per-examination perspective, </w:t>
      </w:r>
      <w:proofErr w:type="spellStart"/>
      <w:r w:rsidRPr="0044387B">
        <w:rPr>
          <w:sz w:val="20"/>
          <w:szCs w:val="20"/>
        </w:rPr>
        <w:t>FibroScan</w:t>
      </w:r>
      <w:proofErr w:type="spellEnd"/>
      <w:r w:rsidRPr="0044387B">
        <w:rPr>
          <w:sz w:val="20"/>
          <w:szCs w:val="20"/>
        </w:rPr>
        <w:t xml:space="preserve"> per-test costs in the United States are estimated at $5–40 depending on patient volume, probe type, and facility overhead, with out-of-pocket patient charges reported between $200 and $1,500 depending on the clinical setting and insurance coverage</w:t>
      </w:r>
      <w:r w:rsidR="00B7536D">
        <w:rPr>
          <w:sz w:val="20"/>
          <w:szCs w:val="20"/>
        </w:rPr>
        <w:t xml:space="preserve"> [9]</w:t>
      </w:r>
      <w:r w:rsidRPr="0044387B">
        <w:rPr>
          <w:sz w:val="20"/>
          <w:szCs w:val="20"/>
        </w:rPr>
        <w:t xml:space="preserve">. </w:t>
      </w:r>
      <w:proofErr w:type="spellStart"/>
      <w:r w:rsidRPr="0044387B">
        <w:rPr>
          <w:sz w:val="20"/>
          <w:szCs w:val="20"/>
        </w:rPr>
        <w:t>FibroTouch</w:t>
      </w:r>
      <w:proofErr w:type="spellEnd"/>
      <w:r w:rsidRPr="0044387B">
        <w:rPr>
          <w:sz w:val="20"/>
          <w:szCs w:val="20"/>
        </w:rPr>
        <w:t xml:space="preserve"> examination costs are generally lower in markets where both devices are available, primarily due to lower device acquisition </w:t>
      </w:r>
      <w:proofErr w:type="gramStart"/>
      <w:r w:rsidRPr="0044387B">
        <w:rPr>
          <w:sz w:val="20"/>
          <w:szCs w:val="20"/>
        </w:rPr>
        <w:t>price</w:t>
      </w:r>
      <w:proofErr w:type="gramEnd"/>
      <w:r w:rsidRPr="0044387B">
        <w:rPr>
          <w:sz w:val="20"/>
          <w:szCs w:val="20"/>
        </w:rPr>
        <w:t xml:space="preserve"> and the absence of mandatory calibration fees; however, direct cost-effectiveness analyses comparing the two systems in real-world settings remain limited and represent an important gap in the literature.</w:t>
      </w:r>
    </w:p>
    <w:p w14:paraId="4E09EB86" w14:textId="77777777" w:rsidR="0044387B" w:rsidRDefault="0044387B" w:rsidP="0044387B">
      <w:pPr>
        <w:spacing w:line="360" w:lineRule="auto"/>
        <w:jc w:val="both"/>
        <w:rPr>
          <w:sz w:val="20"/>
          <w:szCs w:val="20"/>
        </w:rPr>
      </w:pPr>
      <w:r w:rsidRPr="0044387B">
        <w:rPr>
          <w:sz w:val="20"/>
          <w:szCs w:val="20"/>
        </w:rPr>
        <w:t xml:space="preserve">In summary, </w:t>
      </w:r>
      <w:proofErr w:type="spellStart"/>
      <w:r w:rsidRPr="0044387B">
        <w:rPr>
          <w:sz w:val="20"/>
          <w:szCs w:val="20"/>
        </w:rPr>
        <w:t>FibroScan</w:t>
      </w:r>
      <w:proofErr w:type="spellEnd"/>
      <w:r w:rsidRPr="0044387B">
        <w:rPr>
          <w:sz w:val="20"/>
          <w:szCs w:val="20"/>
        </w:rPr>
        <w:t xml:space="preserve"> offers superior diagnostic performance, validated multi-probe flexibility, and the quality assurance of mandatory annual calibration at a higher total cost of ownership. </w:t>
      </w:r>
      <w:proofErr w:type="spellStart"/>
      <w:r w:rsidRPr="0044387B">
        <w:rPr>
          <w:sz w:val="20"/>
          <w:szCs w:val="20"/>
        </w:rPr>
        <w:t>FibroTouch</w:t>
      </w:r>
      <w:proofErr w:type="spellEnd"/>
      <w:r w:rsidRPr="0044387B">
        <w:rPr>
          <w:sz w:val="20"/>
          <w:szCs w:val="20"/>
        </w:rPr>
        <w:t xml:space="preserve"> offers a lower-cost, calibration-free alternative with acceptable diagnostic performance, but is constrained by its single-probe design, limited validation data, and concerns about measurement reproducibility. The choice between platforms should therefore be guided not only by AUROC data but by local patient demographics, available service infrastructure, and </w:t>
      </w:r>
      <w:r w:rsidRPr="0044387B">
        <w:rPr>
          <w:sz w:val="20"/>
          <w:szCs w:val="20"/>
        </w:rPr>
        <w:lastRenderedPageBreak/>
        <w:t>institutional budget frameworks.</w:t>
      </w:r>
    </w:p>
    <w:p w14:paraId="4DEA3E07" w14:textId="77777777" w:rsidR="00236660" w:rsidRPr="0044387B" w:rsidRDefault="00236660" w:rsidP="0044387B">
      <w:pPr>
        <w:spacing w:line="360" w:lineRule="auto"/>
        <w:jc w:val="both"/>
        <w:rPr>
          <w:sz w:val="20"/>
          <w:szCs w:val="20"/>
        </w:rPr>
      </w:pPr>
    </w:p>
    <w:p w14:paraId="6D9D5323"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27" w:name="_heading=h.76r7yho0w5qq" w:colFirst="0" w:colLast="0"/>
      <w:bookmarkEnd w:id="27"/>
      <w:r w:rsidRPr="0044387B">
        <w:rPr>
          <w:rFonts w:ascii="Times New Roman" w:eastAsia="Times New Roman" w:hAnsi="Times New Roman" w:cs="Times New Roman"/>
          <w:sz w:val="20"/>
          <w:szCs w:val="20"/>
        </w:rPr>
        <w:t>5.2 Nomenclature: MASLD Replaces NAFLD</w:t>
      </w:r>
    </w:p>
    <w:p w14:paraId="478B4F4A" w14:textId="251E50EC" w:rsidR="0044387B" w:rsidRDefault="0044387B" w:rsidP="0044387B">
      <w:pPr>
        <w:spacing w:line="360" w:lineRule="auto"/>
        <w:jc w:val="both"/>
        <w:rPr>
          <w:sz w:val="20"/>
          <w:szCs w:val="20"/>
        </w:rPr>
      </w:pPr>
      <w:r w:rsidRPr="0044387B">
        <w:rPr>
          <w:sz w:val="20"/>
          <w:szCs w:val="20"/>
        </w:rPr>
        <w:t xml:space="preserve">An important terminological update must be acknowledged throughout this manuscript. In June 2023, a global </w:t>
      </w:r>
      <w:proofErr w:type="spellStart"/>
      <w:r w:rsidRPr="0044387B">
        <w:rPr>
          <w:sz w:val="20"/>
          <w:szCs w:val="20"/>
        </w:rPr>
        <w:t>multisociety</w:t>
      </w:r>
      <w:proofErr w:type="spellEnd"/>
      <w:r w:rsidRPr="0044387B">
        <w:rPr>
          <w:sz w:val="20"/>
          <w:szCs w:val="20"/>
        </w:rPr>
        <w:t xml:space="preserve"> Delphi consensus process—convened under the auspices of the AASLD, EASL, and ALEH with input from 236 </w:t>
      </w:r>
      <w:proofErr w:type="spellStart"/>
      <w:r w:rsidRPr="0044387B">
        <w:rPr>
          <w:sz w:val="20"/>
          <w:szCs w:val="20"/>
        </w:rPr>
        <w:t>panellists</w:t>
      </w:r>
      <w:proofErr w:type="spellEnd"/>
      <w:r w:rsidRPr="0044387B">
        <w:rPr>
          <w:sz w:val="20"/>
          <w:szCs w:val="20"/>
        </w:rPr>
        <w:t xml:space="preserve"> across 56 countries—formally replaced the term non-alcoholic fatty liver disease (NAFLD) with metabolic dysfunction-associated </w:t>
      </w:r>
      <w:proofErr w:type="spellStart"/>
      <w:r w:rsidRPr="0044387B">
        <w:rPr>
          <w:sz w:val="20"/>
          <w:szCs w:val="20"/>
        </w:rPr>
        <w:t>steatotic</w:t>
      </w:r>
      <w:proofErr w:type="spellEnd"/>
      <w:r w:rsidRPr="0044387B">
        <w:rPr>
          <w:sz w:val="20"/>
          <w:szCs w:val="20"/>
        </w:rPr>
        <w:t xml:space="preserve"> liver disease (MASLD)</w:t>
      </w:r>
      <w:r w:rsidR="00B7536D">
        <w:rPr>
          <w:sz w:val="20"/>
          <w:szCs w:val="20"/>
        </w:rPr>
        <w:t xml:space="preserve"> [19]</w:t>
      </w:r>
      <w:r w:rsidRPr="0044387B">
        <w:rPr>
          <w:sz w:val="20"/>
          <w:szCs w:val="20"/>
        </w:rPr>
        <w:t>. Under this new framework, MASLD is defined by the presence of hepatic steatosis combined with at least one of five cardiometabolic risk factors. The term “fatty” was retired due to its stigmatizing connotations, and “</w:t>
      </w:r>
      <w:proofErr w:type="spellStart"/>
      <w:r w:rsidRPr="0044387B">
        <w:rPr>
          <w:sz w:val="20"/>
          <w:szCs w:val="20"/>
        </w:rPr>
        <w:t>steatotic</w:t>
      </w:r>
      <w:proofErr w:type="spellEnd"/>
      <w:r w:rsidRPr="0044387B">
        <w:rPr>
          <w:sz w:val="20"/>
          <w:szCs w:val="20"/>
        </w:rPr>
        <w:t>” was adopted as the overarching descriptor for hepatic fat accumulation. Concurrently, non-alcoholic steatohepatitis (NASH) was renamed metabolic dysfunction-associated steatohepatitis (MASH)</w:t>
      </w:r>
      <w:r w:rsidR="00B7536D">
        <w:rPr>
          <w:sz w:val="20"/>
          <w:szCs w:val="20"/>
        </w:rPr>
        <w:t xml:space="preserve"> [19]</w:t>
      </w:r>
      <w:r w:rsidRPr="0044387B">
        <w:rPr>
          <w:sz w:val="20"/>
          <w:szCs w:val="20"/>
        </w:rPr>
        <w:t>. All references to NAFLD in this manuscript should therefore be interpreted as equivalent to MASLD under the current nomenclature. The studies included in the meta-analysis predating 2023 used the NAFLD terminology; their populations and inclusion criteria are consistent with the current MASLD definition.</w:t>
      </w:r>
    </w:p>
    <w:p w14:paraId="6C314349" w14:textId="77777777" w:rsidR="00236660" w:rsidRPr="0044387B" w:rsidRDefault="00236660" w:rsidP="0044387B">
      <w:pPr>
        <w:spacing w:line="360" w:lineRule="auto"/>
        <w:jc w:val="both"/>
        <w:rPr>
          <w:sz w:val="20"/>
          <w:szCs w:val="20"/>
        </w:rPr>
      </w:pPr>
    </w:p>
    <w:p w14:paraId="466DA12D"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28" w:name="_heading=h.fnqw3iac5r1v" w:colFirst="0" w:colLast="0"/>
      <w:bookmarkEnd w:id="28"/>
      <w:r w:rsidRPr="0044387B">
        <w:rPr>
          <w:rFonts w:ascii="Times New Roman" w:eastAsia="Times New Roman" w:hAnsi="Times New Roman" w:cs="Times New Roman"/>
          <w:sz w:val="20"/>
          <w:szCs w:val="20"/>
        </w:rPr>
        <w:t>5.3 Diagnostic Performance in Context</w:t>
      </w:r>
    </w:p>
    <w:p w14:paraId="76CD0646" w14:textId="77777777" w:rsidR="0044387B" w:rsidRPr="0044387B" w:rsidRDefault="0044387B" w:rsidP="0044387B">
      <w:pPr>
        <w:spacing w:line="360" w:lineRule="auto"/>
        <w:jc w:val="both"/>
        <w:rPr>
          <w:sz w:val="20"/>
          <w:szCs w:val="20"/>
        </w:rPr>
      </w:pPr>
      <w:r w:rsidRPr="0044387B">
        <w:rPr>
          <w:sz w:val="20"/>
          <w:szCs w:val="20"/>
        </w:rPr>
        <w:t xml:space="preserve">While the overall performance advantage of </w:t>
      </w:r>
      <w:proofErr w:type="spellStart"/>
      <w:r w:rsidRPr="0044387B">
        <w:rPr>
          <w:sz w:val="20"/>
          <w:szCs w:val="20"/>
        </w:rPr>
        <w:t>FibroScan</w:t>
      </w:r>
      <w:proofErr w:type="spellEnd"/>
      <w:r w:rsidRPr="0044387B">
        <w:rPr>
          <w:sz w:val="20"/>
          <w:szCs w:val="20"/>
        </w:rPr>
        <w:t xml:space="preserve"> is consistent, both devices demonstrated clinically useful diagnostic accuracy, particularly at higher fibrosis stages. The AUROC of 0.92–0.94 for </w:t>
      </w:r>
      <w:proofErr w:type="spellStart"/>
      <w:r w:rsidRPr="0044387B">
        <w:rPr>
          <w:sz w:val="20"/>
          <w:szCs w:val="20"/>
        </w:rPr>
        <w:t>FibroTouch</w:t>
      </w:r>
      <w:proofErr w:type="spellEnd"/>
      <w:r w:rsidRPr="0044387B">
        <w:rPr>
          <w:sz w:val="20"/>
          <w:szCs w:val="20"/>
        </w:rPr>
        <w:t xml:space="preserve"> at advanced fibrosis (F3) and 0.89 for cirrhosis (F4) indicates that it can reliably identify patients with the most clinically consequential disease burden. These data are particularly relevant for resource-limited settings where </w:t>
      </w:r>
      <w:proofErr w:type="spellStart"/>
      <w:r w:rsidRPr="0044387B">
        <w:rPr>
          <w:sz w:val="20"/>
          <w:szCs w:val="20"/>
        </w:rPr>
        <w:t>FibroTouch’s</w:t>
      </w:r>
      <w:proofErr w:type="spellEnd"/>
      <w:r w:rsidRPr="0044387B">
        <w:rPr>
          <w:sz w:val="20"/>
          <w:szCs w:val="20"/>
        </w:rPr>
        <w:t xml:space="preserve"> lower cost may be the determining factor in device availability. In such contexts, the incremental accuracy gain from </w:t>
      </w:r>
      <w:proofErr w:type="spellStart"/>
      <w:r w:rsidRPr="0044387B">
        <w:rPr>
          <w:sz w:val="20"/>
          <w:szCs w:val="20"/>
        </w:rPr>
        <w:t>FibroScan</w:t>
      </w:r>
      <w:proofErr w:type="spellEnd"/>
      <w:r w:rsidRPr="0044387B">
        <w:rPr>
          <w:sz w:val="20"/>
          <w:szCs w:val="20"/>
        </w:rPr>
        <w:t xml:space="preserve"> must be weighed against the substantially higher cost and infrastructure requirements.</w:t>
      </w:r>
    </w:p>
    <w:p w14:paraId="32769DD9" w14:textId="77777777" w:rsidR="0044387B" w:rsidRPr="0044387B" w:rsidRDefault="0044387B" w:rsidP="0044387B">
      <w:pPr>
        <w:spacing w:line="360" w:lineRule="auto"/>
        <w:jc w:val="both"/>
        <w:rPr>
          <w:sz w:val="20"/>
          <w:szCs w:val="20"/>
        </w:rPr>
      </w:pPr>
      <w:proofErr w:type="spellStart"/>
      <w:r w:rsidRPr="0044387B">
        <w:rPr>
          <w:sz w:val="20"/>
          <w:szCs w:val="20"/>
        </w:rPr>
        <w:t>FibroTouch’s</w:t>
      </w:r>
      <w:proofErr w:type="spellEnd"/>
      <w:r w:rsidRPr="0044387B">
        <w:rPr>
          <w:sz w:val="20"/>
          <w:szCs w:val="20"/>
        </w:rPr>
        <w:t xml:space="preserve"> diagnostic limitations are most pronounced at the significant fibrosis threshold (F2), where AUROC was 0.81 versus 0.91 for </w:t>
      </w:r>
      <w:proofErr w:type="spellStart"/>
      <w:r w:rsidRPr="0044387B">
        <w:rPr>
          <w:sz w:val="20"/>
          <w:szCs w:val="20"/>
        </w:rPr>
        <w:t>FibroScan</w:t>
      </w:r>
      <w:proofErr w:type="spellEnd"/>
      <w:r w:rsidRPr="0044387B">
        <w:rPr>
          <w:sz w:val="20"/>
          <w:szCs w:val="20"/>
        </w:rPr>
        <w:t xml:space="preserve">. At this early stage, where therapeutic decisions may hinge on accurate staging, the performance gap is clinically meaningful and should discourage routine substitution of </w:t>
      </w:r>
      <w:proofErr w:type="spellStart"/>
      <w:r w:rsidRPr="0044387B">
        <w:rPr>
          <w:sz w:val="20"/>
          <w:szCs w:val="20"/>
        </w:rPr>
        <w:t>FibroTouch</w:t>
      </w:r>
      <w:proofErr w:type="spellEnd"/>
      <w:r w:rsidRPr="0044387B">
        <w:rPr>
          <w:sz w:val="20"/>
          <w:szCs w:val="20"/>
        </w:rPr>
        <w:t xml:space="preserve"> for </w:t>
      </w:r>
      <w:proofErr w:type="spellStart"/>
      <w:r w:rsidRPr="0044387B">
        <w:rPr>
          <w:sz w:val="20"/>
          <w:szCs w:val="20"/>
        </w:rPr>
        <w:t>FibroScan</w:t>
      </w:r>
      <w:proofErr w:type="spellEnd"/>
      <w:r w:rsidRPr="0044387B">
        <w:rPr>
          <w:sz w:val="20"/>
          <w:szCs w:val="20"/>
        </w:rPr>
        <w:t xml:space="preserve"> in settings where F2 detection is the primary screening objective.</w:t>
      </w:r>
    </w:p>
    <w:p w14:paraId="0B924F66" w14:textId="7A640174" w:rsidR="0044387B" w:rsidRPr="0044387B" w:rsidRDefault="0044387B" w:rsidP="0044387B">
      <w:pPr>
        <w:spacing w:line="360" w:lineRule="auto"/>
        <w:jc w:val="both"/>
        <w:rPr>
          <w:sz w:val="20"/>
          <w:szCs w:val="20"/>
        </w:rPr>
      </w:pPr>
      <w:r w:rsidRPr="0044387B">
        <w:rPr>
          <w:sz w:val="20"/>
          <w:szCs w:val="20"/>
        </w:rPr>
        <w:t xml:space="preserve">The difference in measurement variability between the two devices, as quantified by Herrmann et al. (coefficient of variation 27.4% for </w:t>
      </w:r>
      <w:proofErr w:type="spellStart"/>
      <w:r w:rsidRPr="0044387B">
        <w:rPr>
          <w:sz w:val="20"/>
          <w:szCs w:val="20"/>
        </w:rPr>
        <w:t>FibroTouch</w:t>
      </w:r>
      <w:proofErr w:type="spellEnd"/>
      <w:r w:rsidRPr="0044387B">
        <w:rPr>
          <w:sz w:val="20"/>
          <w:szCs w:val="20"/>
        </w:rPr>
        <w:t xml:space="preserve"> vs. 11.1% for </w:t>
      </w:r>
      <w:proofErr w:type="spellStart"/>
      <w:r w:rsidRPr="0044387B">
        <w:rPr>
          <w:sz w:val="20"/>
          <w:szCs w:val="20"/>
        </w:rPr>
        <w:t>FibroScan</w:t>
      </w:r>
      <w:proofErr w:type="spellEnd"/>
      <w:r w:rsidRPr="0044387B">
        <w:rPr>
          <w:sz w:val="20"/>
          <w:szCs w:val="20"/>
        </w:rPr>
        <w:t>),</w:t>
      </w:r>
      <w:r w:rsidR="00B7536D">
        <w:rPr>
          <w:sz w:val="20"/>
          <w:szCs w:val="20"/>
        </w:rPr>
        <w:t xml:space="preserve"> [18]</w:t>
      </w:r>
      <w:r w:rsidRPr="0044387B">
        <w:rPr>
          <w:sz w:val="20"/>
          <w:szCs w:val="20"/>
        </w:rPr>
        <w:t xml:space="preserve"> is also relevant when VCTE is used for longitudinal monitoring of treatment response. Poor reproducibility may lead to apparent changes in LSM that reflect measurement noise rather than true fibrosis progression or regression, undermining the clinical value of serial assessments. This concern is particularly salient in the context of emerging fibrosis-reversing therapies for MASLD.</w:t>
      </w:r>
    </w:p>
    <w:p w14:paraId="06FCAD10" w14:textId="77777777" w:rsidR="0044387B" w:rsidRPr="0044387B" w:rsidRDefault="0044387B" w:rsidP="0044387B">
      <w:pPr>
        <w:spacing w:line="360" w:lineRule="auto"/>
        <w:jc w:val="both"/>
        <w:rPr>
          <w:sz w:val="20"/>
          <w:szCs w:val="20"/>
        </w:rPr>
      </w:pPr>
      <w:r w:rsidRPr="0044387B">
        <w:rPr>
          <w:sz w:val="20"/>
          <w:szCs w:val="20"/>
        </w:rPr>
        <w:t xml:space="preserve"> </w:t>
      </w:r>
    </w:p>
    <w:p w14:paraId="2687EA59" w14:textId="77777777" w:rsidR="0044387B" w:rsidRPr="001279D0" w:rsidRDefault="0044387B" w:rsidP="0044387B">
      <w:pPr>
        <w:pStyle w:val="Heading1"/>
        <w:spacing w:line="360" w:lineRule="auto"/>
        <w:ind w:left="0"/>
        <w:jc w:val="both"/>
        <w:rPr>
          <w:color w:val="4F81BD" w:themeColor="accent1"/>
          <w:sz w:val="20"/>
          <w:szCs w:val="20"/>
        </w:rPr>
      </w:pPr>
      <w:bookmarkStart w:id="29" w:name="_heading=h.doif3luiedvm" w:colFirst="0" w:colLast="0"/>
      <w:bookmarkEnd w:id="29"/>
      <w:r w:rsidRPr="001279D0">
        <w:rPr>
          <w:color w:val="4F81BD" w:themeColor="accent1"/>
          <w:sz w:val="20"/>
          <w:szCs w:val="20"/>
        </w:rPr>
        <w:t>6. Technical Background and Device Comparison</w:t>
      </w:r>
    </w:p>
    <w:p w14:paraId="47362043"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30" w:name="_heading=h.sjp7q2d6jhd" w:colFirst="0" w:colLast="0"/>
      <w:bookmarkEnd w:id="30"/>
      <w:r w:rsidRPr="0044387B">
        <w:rPr>
          <w:rFonts w:ascii="Times New Roman" w:eastAsia="Times New Roman" w:hAnsi="Times New Roman" w:cs="Times New Roman"/>
          <w:sz w:val="20"/>
          <w:szCs w:val="20"/>
        </w:rPr>
        <w:t>6.1 Vibration-Controlled Transient Elastography and Its Place in Shear Wave Elastography</w:t>
      </w:r>
    </w:p>
    <w:p w14:paraId="02809292" w14:textId="4948455B" w:rsidR="0044387B" w:rsidRDefault="0044387B" w:rsidP="0044387B">
      <w:pPr>
        <w:spacing w:line="360" w:lineRule="auto"/>
        <w:jc w:val="both"/>
        <w:rPr>
          <w:sz w:val="20"/>
          <w:szCs w:val="20"/>
        </w:rPr>
      </w:pPr>
      <w:r w:rsidRPr="0044387B">
        <w:rPr>
          <w:sz w:val="20"/>
          <w:szCs w:val="20"/>
        </w:rPr>
        <w:t xml:space="preserve">Shear Wave Elastography (SWE) is a broad category of ultrasound-based techniques that quantify tissue stiffness by measuring the speed of mechanically induced shear waves. VCTE is a specific and proprietary implementation of SWE in which a mechanical vibrator mounted on the probe transducer generates a single 50 Hz sinusoidal shear wave, which is then tracked by pulse-echo ultrasound to calculate LSM in kilopascals (kPa). VCTE differs from point SWE and 2D-SWE in that it does not require a standard B-mode ultrasound image for guidance; instead, the operator relies on probe </w:t>
      </w:r>
      <w:r w:rsidRPr="0044387B">
        <w:rPr>
          <w:sz w:val="20"/>
          <w:szCs w:val="20"/>
        </w:rPr>
        <w:lastRenderedPageBreak/>
        <w:t>positioning indicators. The measurement samples a cylindrical liver volume approximately 100 times larger than a needle biopsy, reducing sampling error</w:t>
      </w:r>
      <w:r w:rsidR="008931B4">
        <w:rPr>
          <w:sz w:val="20"/>
          <w:szCs w:val="20"/>
        </w:rPr>
        <w:t xml:space="preserve"> [7]</w:t>
      </w:r>
      <w:r w:rsidRPr="0044387B">
        <w:rPr>
          <w:sz w:val="20"/>
          <w:szCs w:val="20"/>
        </w:rPr>
        <w:t xml:space="preserve">. Both </w:t>
      </w:r>
      <w:proofErr w:type="spellStart"/>
      <w:r w:rsidRPr="0044387B">
        <w:rPr>
          <w:sz w:val="20"/>
          <w:szCs w:val="20"/>
        </w:rPr>
        <w:t>FibroScan</w:t>
      </w:r>
      <w:proofErr w:type="spellEnd"/>
      <w:r w:rsidRPr="0044387B">
        <w:rPr>
          <w:sz w:val="20"/>
          <w:szCs w:val="20"/>
        </w:rPr>
        <w:t xml:space="preserve"> and </w:t>
      </w:r>
      <w:proofErr w:type="spellStart"/>
      <w:r w:rsidRPr="0044387B">
        <w:rPr>
          <w:sz w:val="20"/>
          <w:szCs w:val="20"/>
        </w:rPr>
        <w:t>FibroTouch</w:t>
      </w:r>
      <w:proofErr w:type="spellEnd"/>
      <w:r w:rsidRPr="0044387B">
        <w:rPr>
          <w:sz w:val="20"/>
          <w:szCs w:val="20"/>
        </w:rPr>
        <w:t xml:space="preserve"> operate on this VCTE principle and are CE-marked devices; however, they employ different proprietary algorithms and user interfaces.</w:t>
      </w:r>
    </w:p>
    <w:p w14:paraId="3A86C698" w14:textId="77777777" w:rsidR="00236660" w:rsidRPr="0044387B" w:rsidRDefault="00236660" w:rsidP="0044387B">
      <w:pPr>
        <w:spacing w:line="360" w:lineRule="auto"/>
        <w:jc w:val="both"/>
        <w:rPr>
          <w:sz w:val="20"/>
          <w:szCs w:val="20"/>
        </w:rPr>
      </w:pPr>
    </w:p>
    <w:p w14:paraId="1983918E"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31" w:name="_heading=h.nbzylfqji829" w:colFirst="0" w:colLast="0"/>
      <w:bookmarkEnd w:id="31"/>
      <w:r w:rsidRPr="0044387B">
        <w:rPr>
          <w:rFonts w:ascii="Times New Roman" w:eastAsia="Times New Roman" w:hAnsi="Times New Roman" w:cs="Times New Roman"/>
          <w:sz w:val="20"/>
          <w:szCs w:val="20"/>
        </w:rPr>
        <w:t>6.2 Probe Configurations: A Key Practical Difference</w:t>
      </w:r>
    </w:p>
    <w:p w14:paraId="6773B600" w14:textId="101E4E4D" w:rsidR="0044387B" w:rsidRDefault="0044387B" w:rsidP="0044387B">
      <w:pPr>
        <w:spacing w:line="360" w:lineRule="auto"/>
        <w:jc w:val="both"/>
        <w:rPr>
          <w:sz w:val="20"/>
          <w:szCs w:val="20"/>
        </w:rPr>
      </w:pPr>
      <w:r w:rsidRPr="0044387B">
        <w:rPr>
          <w:sz w:val="20"/>
          <w:szCs w:val="20"/>
        </w:rPr>
        <w:t xml:space="preserve">One of the most clinically significant differences between the two platforms is probe availability. </w:t>
      </w:r>
      <w:proofErr w:type="spellStart"/>
      <w:r w:rsidRPr="0044387B">
        <w:rPr>
          <w:sz w:val="20"/>
          <w:szCs w:val="20"/>
        </w:rPr>
        <w:t>FibroScan</w:t>
      </w:r>
      <w:proofErr w:type="spellEnd"/>
      <w:r w:rsidRPr="0044387B">
        <w:rPr>
          <w:sz w:val="20"/>
          <w:szCs w:val="20"/>
        </w:rPr>
        <w:t xml:space="preserve"> offers three probe types: the M+ probe for standard adults, the XL+ probe for patients with obesity (skin-to-liver-capsule distance &gt;25 mm or BMI &gt;30 kg/m²), and the S+ probe (formerly the pediatric probe) for children or lean adults with a thoracic circumference below 75 cm</w:t>
      </w:r>
      <w:r w:rsidR="008931B4">
        <w:rPr>
          <w:sz w:val="20"/>
          <w:szCs w:val="20"/>
        </w:rPr>
        <w:t xml:space="preserve"> [8]</w:t>
      </w:r>
      <w:r w:rsidRPr="0044387B">
        <w:rPr>
          <w:sz w:val="20"/>
          <w:szCs w:val="20"/>
        </w:rPr>
        <w:t>. The availability of the XL+ probe is particularly important because use of the standard M+ probe in obese patients is a well-documented source of measurement failure and unreliable results</w:t>
      </w:r>
      <w:r w:rsidR="008931B4">
        <w:rPr>
          <w:sz w:val="20"/>
          <w:szCs w:val="20"/>
        </w:rPr>
        <w:t xml:space="preserve"> [7]</w:t>
      </w:r>
      <w:r w:rsidRPr="0044387B">
        <w:rPr>
          <w:sz w:val="20"/>
          <w:szCs w:val="20"/>
        </w:rPr>
        <w:t xml:space="preserve">. In direct contrast, </w:t>
      </w:r>
      <w:proofErr w:type="spellStart"/>
      <w:r w:rsidRPr="0044387B">
        <w:rPr>
          <w:sz w:val="20"/>
          <w:szCs w:val="20"/>
        </w:rPr>
        <w:t>FibroTouch</w:t>
      </w:r>
      <w:proofErr w:type="spellEnd"/>
      <w:r w:rsidRPr="0044387B">
        <w:rPr>
          <w:sz w:val="20"/>
          <w:szCs w:val="20"/>
        </w:rPr>
        <w:t xml:space="preserve"> is currently available with only a single probe configuration, which limits its applicability across the full spectrum of body </w:t>
      </w:r>
      <w:proofErr w:type="gramStart"/>
      <w:r w:rsidRPr="0044387B">
        <w:rPr>
          <w:sz w:val="20"/>
          <w:szCs w:val="20"/>
        </w:rPr>
        <w:t>habitus</w:t>
      </w:r>
      <w:proofErr w:type="gramEnd"/>
      <w:r w:rsidRPr="0044387B">
        <w:rPr>
          <w:sz w:val="20"/>
          <w:szCs w:val="20"/>
        </w:rPr>
        <w:t xml:space="preserve"> encountered in clinical practice. In a prospective head-to-head comparison, Herrmann et al. demonstrated that while LSM between the two devices correlated well (r = 0.91), </w:t>
      </w:r>
      <w:proofErr w:type="spellStart"/>
      <w:r w:rsidRPr="0044387B">
        <w:rPr>
          <w:sz w:val="20"/>
          <w:szCs w:val="20"/>
        </w:rPr>
        <w:t>FibroTouch</w:t>
      </w:r>
      <w:proofErr w:type="spellEnd"/>
      <w:r w:rsidRPr="0044387B">
        <w:rPr>
          <w:sz w:val="20"/>
          <w:szCs w:val="20"/>
        </w:rPr>
        <w:t xml:space="preserve"> showed a mean overestimation of liver stiffness of 3.1 kPa compared to </w:t>
      </w:r>
      <w:proofErr w:type="spellStart"/>
      <w:r w:rsidRPr="0044387B">
        <w:rPr>
          <w:sz w:val="20"/>
          <w:szCs w:val="20"/>
        </w:rPr>
        <w:t>FibroScan</w:t>
      </w:r>
      <w:proofErr w:type="spellEnd"/>
      <w:r w:rsidRPr="0044387B">
        <w:rPr>
          <w:sz w:val="20"/>
          <w:szCs w:val="20"/>
        </w:rPr>
        <w:t xml:space="preserve">, and the coefficient of variation for repeated measurements was substantially worse for </w:t>
      </w:r>
      <w:proofErr w:type="spellStart"/>
      <w:r w:rsidRPr="0044387B">
        <w:rPr>
          <w:sz w:val="20"/>
          <w:szCs w:val="20"/>
        </w:rPr>
        <w:t>FibroTouch</w:t>
      </w:r>
      <w:proofErr w:type="spellEnd"/>
      <w:r w:rsidRPr="0044387B">
        <w:rPr>
          <w:sz w:val="20"/>
          <w:szCs w:val="20"/>
        </w:rPr>
        <w:t xml:space="preserve"> (27.4% vs. 11.1%), raising concerns about reproducibility in routine use</w:t>
      </w:r>
      <w:r w:rsidR="008931B4">
        <w:rPr>
          <w:sz w:val="20"/>
          <w:szCs w:val="20"/>
        </w:rPr>
        <w:t xml:space="preserve"> [18]</w:t>
      </w:r>
      <w:r w:rsidRPr="0044387B">
        <w:rPr>
          <w:sz w:val="20"/>
          <w:szCs w:val="20"/>
        </w:rPr>
        <w:t xml:space="preserve">. </w:t>
      </w:r>
    </w:p>
    <w:p w14:paraId="18B16240" w14:textId="77777777" w:rsidR="00236660" w:rsidRPr="0044387B" w:rsidRDefault="00236660" w:rsidP="0044387B">
      <w:pPr>
        <w:spacing w:line="360" w:lineRule="auto"/>
        <w:jc w:val="both"/>
        <w:rPr>
          <w:sz w:val="20"/>
          <w:szCs w:val="20"/>
        </w:rPr>
      </w:pPr>
    </w:p>
    <w:p w14:paraId="5D19FE6E"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32" w:name="_heading=h.fccznambs7zr" w:colFirst="0" w:colLast="0"/>
      <w:bookmarkEnd w:id="32"/>
      <w:r w:rsidRPr="0044387B">
        <w:rPr>
          <w:rFonts w:ascii="Times New Roman" w:eastAsia="Times New Roman" w:hAnsi="Times New Roman" w:cs="Times New Roman"/>
          <w:sz w:val="20"/>
          <w:szCs w:val="20"/>
        </w:rPr>
        <w:t>6.3 Calibration Requirements and Maintenance Costs</w:t>
      </w:r>
    </w:p>
    <w:p w14:paraId="784A1A35" w14:textId="77777777" w:rsidR="008931B4" w:rsidRDefault="0044387B" w:rsidP="0044387B">
      <w:pPr>
        <w:spacing w:line="360" w:lineRule="auto"/>
        <w:jc w:val="both"/>
        <w:rPr>
          <w:sz w:val="20"/>
          <w:szCs w:val="20"/>
        </w:rPr>
      </w:pPr>
      <w:proofErr w:type="spellStart"/>
      <w:r w:rsidRPr="0044387B">
        <w:rPr>
          <w:sz w:val="20"/>
          <w:szCs w:val="20"/>
        </w:rPr>
        <w:t>FibroScan</w:t>
      </w:r>
      <w:proofErr w:type="spellEnd"/>
      <w:r w:rsidRPr="0044387B">
        <w:rPr>
          <w:sz w:val="20"/>
          <w:szCs w:val="20"/>
        </w:rPr>
        <w:t xml:space="preserve"> probes require mandatory annual calibration by the manufacturer (</w:t>
      </w:r>
      <w:proofErr w:type="spellStart"/>
      <w:r w:rsidRPr="0044387B">
        <w:rPr>
          <w:sz w:val="20"/>
          <w:szCs w:val="20"/>
        </w:rPr>
        <w:t>Echosens</w:t>
      </w:r>
      <w:proofErr w:type="spellEnd"/>
      <w:r w:rsidRPr="0044387B">
        <w:rPr>
          <w:sz w:val="20"/>
          <w:szCs w:val="20"/>
        </w:rPr>
        <w:t xml:space="preserve">) to ensure measurement accuracy and maintain regulatory compliance. </w:t>
      </w:r>
      <w:proofErr w:type="spellStart"/>
      <w:r w:rsidRPr="0044387B">
        <w:rPr>
          <w:sz w:val="20"/>
          <w:szCs w:val="20"/>
        </w:rPr>
        <w:t>Echosens</w:t>
      </w:r>
      <w:proofErr w:type="spellEnd"/>
      <w:r w:rsidRPr="0044387B">
        <w:rPr>
          <w:sz w:val="20"/>
          <w:szCs w:val="20"/>
        </w:rPr>
        <w:t xml:space="preserve"> states explicitly that probe calibration is an essential maintenance service to guarantee the quality and reliability of measurements</w:t>
      </w:r>
      <w:r w:rsidR="008931B4">
        <w:rPr>
          <w:sz w:val="20"/>
          <w:szCs w:val="20"/>
        </w:rPr>
        <w:t xml:space="preserve"> [4]</w:t>
      </w:r>
      <w:r w:rsidRPr="0044387B">
        <w:rPr>
          <w:sz w:val="20"/>
          <w:szCs w:val="20"/>
        </w:rPr>
        <w:t xml:space="preserve">. This annual calibration constitutes a recurring operational cost that must be factored into total cost of ownership. In the United States, </w:t>
      </w:r>
      <w:proofErr w:type="spellStart"/>
      <w:r w:rsidRPr="0044387B">
        <w:rPr>
          <w:sz w:val="20"/>
          <w:szCs w:val="20"/>
        </w:rPr>
        <w:t>FibroScan</w:t>
      </w:r>
      <w:proofErr w:type="spellEnd"/>
      <w:r w:rsidRPr="0044387B">
        <w:rPr>
          <w:sz w:val="20"/>
          <w:szCs w:val="20"/>
        </w:rPr>
        <w:t xml:space="preserve"> device purchase prices typically range from approximately $60,000 to $125,000 depending on the model (Mini+, Compact, or Expert), with annual maintenance contracts estimated at $3,000 to $12,000 per year, inclusive of calibration</w:t>
      </w:r>
      <w:r w:rsidR="008931B4">
        <w:rPr>
          <w:sz w:val="20"/>
          <w:szCs w:val="20"/>
        </w:rPr>
        <w:t xml:space="preserve"> [9]</w:t>
      </w:r>
      <w:r w:rsidRPr="0044387B">
        <w:rPr>
          <w:sz w:val="20"/>
          <w:szCs w:val="20"/>
        </w:rPr>
        <w:t>. Per-examination costs, after accounting for device depreciation and overhead, are commonly estimated at $5–40 depending on patient volume and facility type</w:t>
      </w:r>
      <w:r w:rsidR="008931B4">
        <w:rPr>
          <w:sz w:val="20"/>
          <w:szCs w:val="20"/>
        </w:rPr>
        <w:t xml:space="preserve"> [9]</w:t>
      </w:r>
      <w:r w:rsidRPr="0044387B">
        <w:rPr>
          <w:sz w:val="20"/>
          <w:szCs w:val="20"/>
        </w:rPr>
        <w:t xml:space="preserve">. </w:t>
      </w:r>
    </w:p>
    <w:p w14:paraId="1FCF4610" w14:textId="5F6672AC" w:rsidR="0044387B" w:rsidRPr="0044387B" w:rsidRDefault="0044387B" w:rsidP="0044387B">
      <w:pPr>
        <w:spacing w:line="360" w:lineRule="auto"/>
        <w:jc w:val="both"/>
        <w:rPr>
          <w:sz w:val="20"/>
          <w:szCs w:val="20"/>
        </w:rPr>
      </w:pPr>
      <w:proofErr w:type="spellStart"/>
      <w:r w:rsidRPr="0044387B">
        <w:rPr>
          <w:sz w:val="20"/>
          <w:szCs w:val="20"/>
        </w:rPr>
        <w:t>FibroTouch</w:t>
      </w:r>
      <w:proofErr w:type="spellEnd"/>
      <w:r w:rsidRPr="0044387B">
        <w:rPr>
          <w:sz w:val="20"/>
          <w:szCs w:val="20"/>
        </w:rPr>
        <w:t xml:space="preserve">, by contrast, does not require scheduled annual probe calibration, which eliminates this recurring cost and logistical burden. The device acquisition cost is generally lower than </w:t>
      </w:r>
      <w:proofErr w:type="spellStart"/>
      <w:r w:rsidRPr="0044387B">
        <w:rPr>
          <w:sz w:val="20"/>
          <w:szCs w:val="20"/>
        </w:rPr>
        <w:t>FibroScan</w:t>
      </w:r>
      <w:proofErr w:type="spellEnd"/>
      <w:r w:rsidRPr="0044387B">
        <w:rPr>
          <w:sz w:val="20"/>
          <w:szCs w:val="20"/>
        </w:rPr>
        <w:t>, reflecting both its single-probe design and its positioning as a cost-accessible alternative, particularly in low- and middle-income country settings. However, it is important to note that the absence of mandatory calibration does not itself imply superior or equivalent reliability; rather, it represents a different maintenance paradigm whose implications for long-term measurement consistency have not been prospectively evaluated in multi-year studies.</w:t>
      </w:r>
    </w:p>
    <w:p w14:paraId="6DBF9CA4" w14:textId="54441812" w:rsidR="0044387B" w:rsidRPr="0044387B" w:rsidRDefault="0044387B" w:rsidP="0044387B">
      <w:pPr>
        <w:spacing w:line="360" w:lineRule="auto"/>
        <w:jc w:val="both"/>
        <w:rPr>
          <w:sz w:val="20"/>
          <w:szCs w:val="20"/>
        </w:rPr>
      </w:pPr>
      <w:r w:rsidRPr="0044387B">
        <w:rPr>
          <w:sz w:val="20"/>
          <w:szCs w:val="20"/>
        </w:rPr>
        <w:t xml:space="preserve">An additional algorithmic concern with </w:t>
      </w:r>
      <w:proofErr w:type="spellStart"/>
      <w:r w:rsidRPr="0044387B">
        <w:rPr>
          <w:sz w:val="20"/>
          <w:szCs w:val="20"/>
        </w:rPr>
        <w:t>FibroTouch</w:t>
      </w:r>
      <w:proofErr w:type="spellEnd"/>
      <w:r w:rsidRPr="0044387B">
        <w:rPr>
          <w:sz w:val="20"/>
          <w:szCs w:val="20"/>
        </w:rPr>
        <w:t xml:space="preserve"> relates to its steatosis parameter, the Ultrasound Attenuation Parameter (UAP), which has been shown to depend directly on the body weight and height entered by the operator before each examination, rather than measuring true ultrasound attenuation independently. Phantom experiments confirmed that UAP values change in a linear fashion with entered BMI (UAP = 3.02 × BMI + 186), suggesting the parameter may not reflect genuine tissue attenuation in obese patients</w:t>
      </w:r>
      <w:r w:rsidR="008931B4">
        <w:rPr>
          <w:sz w:val="20"/>
          <w:szCs w:val="20"/>
        </w:rPr>
        <w:t xml:space="preserve"> [18]</w:t>
      </w:r>
      <w:r w:rsidRPr="0044387B">
        <w:rPr>
          <w:sz w:val="20"/>
          <w:szCs w:val="20"/>
        </w:rPr>
        <w:t xml:space="preserve">. This represents a meaningful limitation when </w:t>
      </w:r>
      <w:proofErr w:type="spellStart"/>
      <w:r w:rsidRPr="0044387B">
        <w:rPr>
          <w:sz w:val="20"/>
          <w:szCs w:val="20"/>
        </w:rPr>
        <w:t>FibroTouch</w:t>
      </w:r>
      <w:proofErr w:type="spellEnd"/>
      <w:r w:rsidRPr="0044387B">
        <w:rPr>
          <w:sz w:val="20"/>
          <w:szCs w:val="20"/>
        </w:rPr>
        <w:t xml:space="preserve"> is used for concurrent steatosis assessment.</w:t>
      </w:r>
    </w:p>
    <w:p w14:paraId="6AE92EB2" w14:textId="77777777" w:rsidR="0044387B" w:rsidRPr="0044387B" w:rsidRDefault="0044387B" w:rsidP="0044387B">
      <w:pPr>
        <w:spacing w:line="360" w:lineRule="auto"/>
        <w:jc w:val="both"/>
        <w:rPr>
          <w:sz w:val="20"/>
          <w:szCs w:val="20"/>
        </w:rPr>
      </w:pPr>
      <w:r w:rsidRPr="0044387B">
        <w:rPr>
          <w:sz w:val="20"/>
          <w:szCs w:val="20"/>
        </w:rPr>
        <w:lastRenderedPageBreak/>
        <w:t xml:space="preserve"> </w:t>
      </w:r>
    </w:p>
    <w:p w14:paraId="0EB14AE5" w14:textId="77777777" w:rsidR="0044387B" w:rsidRPr="001279D0" w:rsidRDefault="0044387B" w:rsidP="0044387B">
      <w:pPr>
        <w:pStyle w:val="Heading1"/>
        <w:spacing w:line="360" w:lineRule="auto"/>
        <w:ind w:left="0"/>
        <w:jc w:val="both"/>
        <w:rPr>
          <w:color w:val="4F81BD" w:themeColor="accent1"/>
          <w:sz w:val="20"/>
          <w:szCs w:val="20"/>
        </w:rPr>
      </w:pPr>
      <w:bookmarkStart w:id="33" w:name="_heading=h.c8rjk43j5s6p" w:colFirst="0" w:colLast="0"/>
      <w:bookmarkEnd w:id="33"/>
      <w:r w:rsidRPr="001279D0">
        <w:rPr>
          <w:color w:val="4F81BD" w:themeColor="accent1"/>
          <w:sz w:val="20"/>
          <w:szCs w:val="20"/>
        </w:rPr>
        <w:t>7. Strengths and Limitations</w:t>
      </w:r>
    </w:p>
    <w:p w14:paraId="4292D9C8"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34" w:name="_heading=h.wmxwrng2rebb" w:colFirst="0" w:colLast="0"/>
      <w:bookmarkEnd w:id="34"/>
      <w:r w:rsidRPr="0044387B">
        <w:rPr>
          <w:rFonts w:ascii="Times New Roman" w:eastAsia="Times New Roman" w:hAnsi="Times New Roman" w:cs="Times New Roman"/>
          <w:sz w:val="20"/>
          <w:szCs w:val="20"/>
        </w:rPr>
        <w:t>7.1 Strengths</w:t>
      </w:r>
    </w:p>
    <w:p w14:paraId="16B9960A" w14:textId="77777777" w:rsidR="0044387B" w:rsidRDefault="0044387B" w:rsidP="0044387B">
      <w:pPr>
        <w:spacing w:line="360" w:lineRule="auto"/>
        <w:jc w:val="both"/>
        <w:rPr>
          <w:sz w:val="20"/>
          <w:szCs w:val="20"/>
        </w:rPr>
      </w:pPr>
      <w:r w:rsidRPr="0044387B">
        <w:rPr>
          <w:sz w:val="20"/>
          <w:szCs w:val="20"/>
        </w:rPr>
        <w:t xml:space="preserve">This systematic review and meta-analysis </w:t>
      </w:r>
      <w:proofErr w:type="gramStart"/>
      <w:r w:rsidRPr="0044387B">
        <w:rPr>
          <w:sz w:val="20"/>
          <w:szCs w:val="20"/>
        </w:rPr>
        <w:t>includes</w:t>
      </w:r>
      <w:proofErr w:type="gramEnd"/>
      <w:r w:rsidRPr="0044387B">
        <w:rPr>
          <w:sz w:val="20"/>
          <w:szCs w:val="20"/>
        </w:rPr>
        <w:t xml:space="preserve"> 41 studies encompassing 7,597 patients across diverse liver disease etiologies, ensuring broad clinical generalizability. The use of QUADAS-2 for quality assessment, advanced statistical methods including SROC analysis, and stratified subgroup analyses by fibrosis stage and etiology provide methodological robustness. The review is also the first to systematically incorporate a structured comparison of practical parameters—probe configuration, calibration requirements, and cost—alongside diagnostic accuracy metrics.</w:t>
      </w:r>
    </w:p>
    <w:p w14:paraId="0C2B0AF4" w14:textId="77777777" w:rsidR="00236660" w:rsidRPr="0044387B" w:rsidRDefault="00236660" w:rsidP="0044387B">
      <w:pPr>
        <w:spacing w:line="360" w:lineRule="auto"/>
        <w:jc w:val="both"/>
        <w:rPr>
          <w:sz w:val="20"/>
          <w:szCs w:val="20"/>
        </w:rPr>
      </w:pPr>
    </w:p>
    <w:p w14:paraId="68BDC2F0" w14:textId="77777777"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35" w:name="_heading=h.7vpc4qddika8" w:colFirst="0" w:colLast="0"/>
      <w:bookmarkEnd w:id="35"/>
      <w:r w:rsidRPr="0044387B">
        <w:rPr>
          <w:rFonts w:ascii="Times New Roman" w:eastAsia="Times New Roman" w:hAnsi="Times New Roman" w:cs="Times New Roman"/>
          <w:sz w:val="20"/>
          <w:szCs w:val="20"/>
        </w:rPr>
        <w:t>7.2 Limitations</w:t>
      </w:r>
    </w:p>
    <w:p w14:paraId="52EC7210" w14:textId="77777777" w:rsidR="0044387B" w:rsidRDefault="0044387B" w:rsidP="0044387B">
      <w:pPr>
        <w:spacing w:line="360" w:lineRule="auto"/>
        <w:jc w:val="both"/>
        <w:rPr>
          <w:sz w:val="20"/>
          <w:szCs w:val="20"/>
        </w:rPr>
      </w:pPr>
      <w:r w:rsidRPr="0044387B">
        <w:rPr>
          <w:sz w:val="20"/>
          <w:szCs w:val="20"/>
        </w:rPr>
        <w:t xml:space="preserve">The most significant limitation is the marked asymmetry in the evidence base: 32 studies evaluated </w:t>
      </w:r>
      <w:proofErr w:type="spellStart"/>
      <w:r w:rsidRPr="0044387B">
        <w:rPr>
          <w:sz w:val="20"/>
          <w:szCs w:val="20"/>
        </w:rPr>
        <w:t>FibroScan</w:t>
      </w:r>
      <w:proofErr w:type="spellEnd"/>
      <w:r w:rsidRPr="0044387B">
        <w:rPr>
          <w:sz w:val="20"/>
          <w:szCs w:val="20"/>
        </w:rPr>
        <w:t xml:space="preserve"> versus only 9 for </w:t>
      </w:r>
      <w:proofErr w:type="spellStart"/>
      <w:r w:rsidRPr="0044387B">
        <w:rPr>
          <w:sz w:val="20"/>
          <w:szCs w:val="20"/>
        </w:rPr>
        <w:t>FibroTouch</w:t>
      </w:r>
      <w:proofErr w:type="spellEnd"/>
      <w:r w:rsidRPr="0044387B">
        <w:rPr>
          <w:sz w:val="20"/>
          <w:szCs w:val="20"/>
        </w:rPr>
        <w:t xml:space="preserve">. This disparity substantially limits the statistical precision of </w:t>
      </w:r>
      <w:proofErr w:type="spellStart"/>
      <w:r w:rsidRPr="0044387B">
        <w:rPr>
          <w:sz w:val="20"/>
          <w:szCs w:val="20"/>
        </w:rPr>
        <w:t>FibroTouch</w:t>
      </w:r>
      <w:proofErr w:type="spellEnd"/>
      <w:r w:rsidRPr="0044387B">
        <w:rPr>
          <w:sz w:val="20"/>
          <w:szCs w:val="20"/>
        </w:rPr>
        <w:t xml:space="preserve"> estimates and may explain some of the between-device performance gap. The largely observational study designs introduce confounding and selection bias. Heterogeneity was high across several endpoints, reflecting differences in patient populations, operator experience, diagnostic thresholds, and study design. The absence of direct randomized head-to-head comparative trials prevents definitive conclusions about relative device performance under standardized conditions. Additionally, most </w:t>
      </w:r>
      <w:proofErr w:type="spellStart"/>
      <w:r w:rsidRPr="0044387B">
        <w:rPr>
          <w:sz w:val="20"/>
          <w:szCs w:val="20"/>
        </w:rPr>
        <w:t>FibroTouch</w:t>
      </w:r>
      <w:proofErr w:type="spellEnd"/>
      <w:r w:rsidRPr="0044387B">
        <w:rPr>
          <w:sz w:val="20"/>
          <w:szCs w:val="20"/>
        </w:rPr>
        <w:t xml:space="preserve"> studies were conducted in Asian populations, which may limit extrapolation to Western patient cohorts.</w:t>
      </w:r>
    </w:p>
    <w:p w14:paraId="0F282A5D" w14:textId="77777777" w:rsidR="001279D0" w:rsidRPr="0044387B" w:rsidRDefault="001279D0" w:rsidP="0044387B">
      <w:pPr>
        <w:spacing w:line="360" w:lineRule="auto"/>
        <w:jc w:val="both"/>
        <w:rPr>
          <w:sz w:val="20"/>
          <w:szCs w:val="20"/>
        </w:rPr>
      </w:pPr>
    </w:p>
    <w:p w14:paraId="53E0B9D6" w14:textId="77777777" w:rsidR="0044387B" w:rsidRPr="001279D0" w:rsidRDefault="0044387B" w:rsidP="0044387B">
      <w:pPr>
        <w:pStyle w:val="Heading1"/>
        <w:spacing w:line="360" w:lineRule="auto"/>
        <w:ind w:left="0"/>
        <w:jc w:val="both"/>
        <w:rPr>
          <w:color w:val="4F81BD" w:themeColor="accent1"/>
        </w:rPr>
      </w:pPr>
      <w:bookmarkStart w:id="36" w:name="_heading=h.sthnyi6pc8xn" w:colFirst="0" w:colLast="0"/>
      <w:bookmarkEnd w:id="36"/>
      <w:r w:rsidRPr="001279D0">
        <w:rPr>
          <w:color w:val="4F81BD" w:themeColor="accent1"/>
        </w:rPr>
        <w:t>8. Conclusions</w:t>
      </w:r>
    </w:p>
    <w:p w14:paraId="6F462167" w14:textId="77777777" w:rsidR="0044387B" w:rsidRDefault="0044387B" w:rsidP="0044387B">
      <w:pPr>
        <w:spacing w:line="360" w:lineRule="auto"/>
        <w:jc w:val="both"/>
        <w:rPr>
          <w:sz w:val="20"/>
          <w:szCs w:val="20"/>
        </w:rPr>
      </w:pPr>
      <w:proofErr w:type="spellStart"/>
      <w:r w:rsidRPr="0044387B">
        <w:rPr>
          <w:sz w:val="20"/>
          <w:szCs w:val="20"/>
        </w:rPr>
        <w:t>FibroScan</w:t>
      </w:r>
      <w:proofErr w:type="spellEnd"/>
      <w:r w:rsidRPr="0044387B">
        <w:rPr>
          <w:sz w:val="20"/>
          <w:szCs w:val="20"/>
        </w:rPr>
        <w:t xml:space="preserve"> demonstrates superior diagnostic accuracy for liver fibrosis staging across all grades and etiologies compared with </w:t>
      </w:r>
      <w:proofErr w:type="spellStart"/>
      <w:proofErr w:type="gramStart"/>
      <w:r w:rsidRPr="0044387B">
        <w:rPr>
          <w:sz w:val="20"/>
          <w:szCs w:val="20"/>
        </w:rPr>
        <w:t>FibroTouch</w:t>
      </w:r>
      <w:proofErr w:type="spellEnd"/>
      <w:r w:rsidRPr="0044387B">
        <w:rPr>
          <w:sz w:val="20"/>
          <w:szCs w:val="20"/>
        </w:rPr>
        <w:t>, and</w:t>
      </w:r>
      <w:proofErr w:type="gramEnd"/>
      <w:r w:rsidRPr="0044387B">
        <w:rPr>
          <w:sz w:val="20"/>
          <w:szCs w:val="20"/>
        </w:rPr>
        <w:t xml:space="preserve"> remains the preferred VCTE platform for clinical practice. Its multi-probe design (M+, XL+, S+), extensive validation evidence base, and quality-assured annual calibration justify its higher cost in settings where diagnostic precision is paramount. </w:t>
      </w:r>
      <w:proofErr w:type="spellStart"/>
      <w:r w:rsidRPr="0044387B">
        <w:rPr>
          <w:sz w:val="20"/>
          <w:szCs w:val="20"/>
        </w:rPr>
        <w:t>FibroTouch</w:t>
      </w:r>
      <w:proofErr w:type="spellEnd"/>
      <w:r w:rsidRPr="0044387B">
        <w:rPr>
          <w:sz w:val="20"/>
          <w:szCs w:val="20"/>
        </w:rPr>
        <w:t xml:space="preserve"> represents a clinically acceptable and cost-effective alternative—particularly for advanced fibrosis and cirrhosis detection in resource-limited environments—but is constrained by its single-probe limitation, lower reproducibility, and limited validation data. Future research should prioritize prospective head-to-head trials with standardized protocols, long-term reproducibility data for </w:t>
      </w:r>
      <w:proofErr w:type="spellStart"/>
      <w:r w:rsidRPr="0044387B">
        <w:rPr>
          <w:sz w:val="20"/>
          <w:szCs w:val="20"/>
        </w:rPr>
        <w:t>FibroTouch</w:t>
      </w:r>
      <w:proofErr w:type="spellEnd"/>
      <w:r w:rsidRPr="0044387B">
        <w:rPr>
          <w:sz w:val="20"/>
          <w:szCs w:val="20"/>
        </w:rPr>
        <w:t>, and formal cost-effectiveness analyses comparing both platforms across healthcare settings.</w:t>
      </w:r>
    </w:p>
    <w:p w14:paraId="4D7AF640" w14:textId="77777777" w:rsidR="001279D0" w:rsidRPr="0044387B" w:rsidRDefault="001279D0" w:rsidP="0044387B">
      <w:pPr>
        <w:spacing w:line="360" w:lineRule="auto"/>
        <w:jc w:val="both"/>
        <w:rPr>
          <w:sz w:val="20"/>
          <w:szCs w:val="20"/>
        </w:rPr>
      </w:pPr>
    </w:p>
    <w:p w14:paraId="707C6460" w14:textId="77777777" w:rsidR="0044387B" w:rsidRPr="00BF0854" w:rsidRDefault="0044387B" w:rsidP="0044387B">
      <w:pPr>
        <w:pStyle w:val="Heading1"/>
        <w:spacing w:line="360" w:lineRule="auto"/>
        <w:ind w:left="0"/>
        <w:jc w:val="both"/>
        <w:rPr>
          <w:color w:val="4F81BD" w:themeColor="accent1"/>
        </w:rPr>
      </w:pPr>
      <w:bookmarkStart w:id="37" w:name="_heading=h.f1kdmn6xydgw" w:colFirst="0" w:colLast="0"/>
      <w:bookmarkEnd w:id="37"/>
      <w:r w:rsidRPr="00BF0854">
        <w:rPr>
          <w:color w:val="4F81BD" w:themeColor="accent1"/>
        </w:rPr>
        <w:t>Declarations</w:t>
      </w:r>
    </w:p>
    <w:p w14:paraId="6F23AFBB" w14:textId="2DA0E3EB"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38" w:name="_heading=h.ss39522argxf" w:colFirst="0" w:colLast="0"/>
      <w:bookmarkEnd w:id="38"/>
      <w:r w:rsidRPr="0044387B">
        <w:rPr>
          <w:rFonts w:ascii="Times New Roman" w:eastAsia="Times New Roman" w:hAnsi="Times New Roman" w:cs="Times New Roman"/>
          <w:sz w:val="20"/>
          <w:szCs w:val="20"/>
        </w:rPr>
        <w:t xml:space="preserve">Declaration of </w:t>
      </w:r>
      <w:proofErr w:type="gramStart"/>
      <w:r w:rsidR="002B2DF3">
        <w:rPr>
          <w:rFonts w:ascii="Times New Roman" w:eastAsia="Times New Roman" w:hAnsi="Times New Roman" w:cs="Times New Roman"/>
          <w:sz w:val="20"/>
          <w:szCs w:val="20"/>
        </w:rPr>
        <w:t>c</w:t>
      </w:r>
      <w:r w:rsidRPr="0044387B">
        <w:rPr>
          <w:rFonts w:ascii="Times New Roman" w:eastAsia="Times New Roman" w:hAnsi="Times New Roman" w:cs="Times New Roman"/>
          <w:sz w:val="20"/>
          <w:szCs w:val="20"/>
        </w:rPr>
        <w:t xml:space="preserve">ompeting </w:t>
      </w:r>
      <w:r w:rsidR="002B2DF3">
        <w:rPr>
          <w:rFonts w:ascii="Times New Roman" w:eastAsia="Times New Roman" w:hAnsi="Times New Roman" w:cs="Times New Roman"/>
          <w:sz w:val="20"/>
          <w:szCs w:val="20"/>
        </w:rPr>
        <w:t>i</w:t>
      </w:r>
      <w:r w:rsidRPr="0044387B">
        <w:rPr>
          <w:rFonts w:ascii="Times New Roman" w:eastAsia="Times New Roman" w:hAnsi="Times New Roman" w:cs="Times New Roman"/>
          <w:sz w:val="20"/>
          <w:szCs w:val="20"/>
        </w:rPr>
        <w:t>nterest</w:t>
      </w:r>
      <w:proofErr w:type="gramEnd"/>
    </w:p>
    <w:p w14:paraId="471998B0" w14:textId="77777777" w:rsidR="0044387B" w:rsidRDefault="0044387B" w:rsidP="0044387B">
      <w:pPr>
        <w:spacing w:line="360" w:lineRule="auto"/>
        <w:jc w:val="both"/>
        <w:rPr>
          <w:sz w:val="20"/>
          <w:szCs w:val="20"/>
        </w:rPr>
      </w:pPr>
      <w:r w:rsidRPr="0044387B">
        <w:rPr>
          <w:sz w:val="20"/>
          <w:szCs w:val="20"/>
        </w:rPr>
        <w:t>The authors declare that they have no known competing financial interests or personal relationships that could have appeared to influence the work reported in this paper.</w:t>
      </w:r>
    </w:p>
    <w:p w14:paraId="5F2D6F6D" w14:textId="77777777" w:rsidR="002B2DF3" w:rsidRPr="0044387B" w:rsidRDefault="002B2DF3" w:rsidP="0044387B">
      <w:pPr>
        <w:spacing w:line="360" w:lineRule="auto"/>
        <w:jc w:val="both"/>
        <w:rPr>
          <w:sz w:val="20"/>
          <w:szCs w:val="20"/>
        </w:rPr>
      </w:pPr>
    </w:p>
    <w:p w14:paraId="3C03663D" w14:textId="137C2E01"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39" w:name="_heading=h.3oj8vvi0f7q2" w:colFirst="0" w:colLast="0"/>
      <w:bookmarkEnd w:id="39"/>
      <w:r w:rsidRPr="0044387B">
        <w:rPr>
          <w:rFonts w:ascii="Times New Roman" w:eastAsia="Times New Roman" w:hAnsi="Times New Roman" w:cs="Times New Roman"/>
          <w:sz w:val="20"/>
          <w:szCs w:val="20"/>
        </w:rPr>
        <w:t xml:space="preserve">Financial </w:t>
      </w:r>
      <w:r w:rsidR="002B2DF3">
        <w:rPr>
          <w:rFonts w:ascii="Times New Roman" w:eastAsia="Times New Roman" w:hAnsi="Times New Roman" w:cs="Times New Roman"/>
          <w:sz w:val="20"/>
          <w:szCs w:val="20"/>
        </w:rPr>
        <w:t>d</w:t>
      </w:r>
      <w:r w:rsidRPr="0044387B">
        <w:rPr>
          <w:rFonts w:ascii="Times New Roman" w:eastAsia="Times New Roman" w:hAnsi="Times New Roman" w:cs="Times New Roman"/>
          <w:sz w:val="20"/>
          <w:szCs w:val="20"/>
        </w:rPr>
        <w:t>isclosure</w:t>
      </w:r>
    </w:p>
    <w:p w14:paraId="697604E1" w14:textId="77777777" w:rsidR="0044387B" w:rsidRDefault="0044387B" w:rsidP="0044387B">
      <w:pPr>
        <w:spacing w:line="360" w:lineRule="auto"/>
        <w:jc w:val="both"/>
        <w:rPr>
          <w:sz w:val="20"/>
          <w:szCs w:val="20"/>
        </w:rPr>
      </w:pPr>
      <w:r w:rsidRPr="0044387B">
        <w:rPr>
          <w:sz w:val="20"/>
          <w:szCs w:val="20"/>
        </w:rPr>
        <w:t>There were no financial interests in any of the procedures, devices, or products mentioned in this manuscript for any of the authors. No funding or grant was received for this study.</w:t>
      </w:r>
    </w:p>
    <w:p w14:paraId="7B83866D" w14:textId="77777777" w:rsidR="002B2DF3" w:rsidRPr="0044387B" w:rsidRDefault="002B2DF3" w:rsidP="0044387B">
      <w:pPr>
        <w:spacing w:line="360" w:lineRule="auto"/>
        <w:jc w:val="both"/>
        <w:rPr>
          <w:sz w:val="20"/>
          <w:szCs w:val="20"/>
        </w:rPr>
      </w:pPr>
    </w:p>
    <w:p w14:paraId="6FA619F5" w14:textId="229287A5"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40" w:name="_heading=h.u2w60rqniomc" w:colFirst="0" w:colLast="0"/>
      <w:bookmarkEnd w:id="40"/>
      <w:r w:rsidRPr="0044387B">
        <w:rPr>
          <w:rFonts w:ascii="Times New Roman" w:eastAsia="Times New Roman" w:hAnsi="Times New Roman" w:cs="Times New Roman"/>
          <w:sz w:val="20"/>
          <w:szCs w:val="20"/>
        </w:rPr>
        <w:t xml:space="preserve">Ethical </w:t>
      </w:r>
      <w:r w:rsidR="002B2DF3">
        <w:rPr>
          <w:rFonts w:ascii="Times New Roman" w:eastAsia="Times New Roman" w:hAnsi="Times New Roman" w:cs="Times New Roman"/>
          <w:sz w:val="20"/>
          <w:szCs w:val="20"/>
        </w:rPr>
        <w:t>s</w:t>
      </w:r>
      <w:r w:rsidRPr="0044387B">
        <w:rPr>
          <w:rFonts w:ascii="Times New Roman" w:eastAsia="Times New Roman" w:hAnsi="Times New Roman" w:cs="Times New Roman"/>
          <w:sz w:val="20"/>
          <w:szCs w:val="20"/>
        </w:rPr>
        <w:t>tatement</w:t>
      </w:r>
    </w:p>
    <w:p w14:paraId="523EAD43" w14:textId="77777777" w:rsidR="0044387B" w:rsidRDefault="0044387B" w:rsidP="0044387B">
      <w:pPr>
        <w:spacing w:line="360" w:lineRule="auto"/>
        <w:jc w:val="both"/>
        <w:rPr>
          <w:sz w:val="20"/>
          <w:szCs w:val="20"/>
        </w:rPr>
      </w:pPr>
      <w:r w:rsidRPr="0044387B">
        <w:rPr>
          <w:sz w:val="20"/>
          <w:szCs w:val="20"/>
        </w:rPr>
        <w:t>This study is a meta-analysis of previously published studies and did not involve the direct collection of new data from human participants. Ethical approval and informed consent were not required. All included studies had obtained appropriate ethical approval from their respective institutional review boards.</w:t>
      </w:r>
    </w:p>
    <w:p w14:paraId="29BC36FB" w14:textId="77777777" w:rsidR="002B2DF3" w:rsidRPr="0044387B" w:rsidRDefault="002B2DF3" w:rsidP="0044387B">
      <w:pPr>
        <w:spacing w:line="360" w:lineRule="auto"/>
        <w:jc w:val="both"/>
        <w:rPr>
          <w:sz w:val="20"/>
          <w:szCs w:val="20"/>
        </w:rPr>
      </w:pPr>
    </w:p>
    <w:p w14:paraId="4989B47D" w14:textId="11ABB1C5"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41" w:name="_heading=h.i60tcgvc4t94" w:colFirst="0" w:colLast="0"/>
      <w:bookmarkEnd w:id="41"/>
      <w:r w:rsidRPr="0044387B">
        <w:rPr>
          <w:rFonts w:ascii="Times New Roman" w:eastAsia="Times New Roman" w:hAnsi="Times New Roman" w:cs="Times New Roman"/>
          <w:sz w:val="20"/>
          <w:szCs w:val="20"/>
        </w:rPr>
        <w:t xml:space="preserve">IRB </w:t>
      </w:r>
      <w:r w:rsidR="002B2DF3">
        <w:rPr>
          <w:rFonts w:ascii="Times New Roman" w:eastAsia="Times New Roman" w:hAnsi="Times New Roman" w:cs="Times New Roman"/>
          <w:sz w:val="20"/>
          <w:szCs w:val="20"/>
        </w:rPr>
        <w:t>a</w:t>
      </w:r>
      <w:r w:rsidRPr="0044387B">
        <w:rPr>
          <w:rFonts w:ascii="Times New Roman" w:eastAsia="Times New Roman" w:hAnsi="Times New Roman" w:cs="Times New Roman"/>
          <w:sz w:val="20"/>
          <w:szCs w:val="20"/>
        </w:rPr>
        <w:t>pproval</w:t>
      </w:r>
    </w:p>
    <w:p w14:paraId="42DDEE62" w14:textId="77777777" w:rsidR="0044387B" w:rsidRDefault="0044387B" w:rsidP="0044387B">
      <w:pPr>
        <w:spacing w:line="360" w:lineRule="auto"/>
        <w:jc w:val="both"/>
        <w:rPr>
          <w:sz w:val="20"/>
          <w:szCs w:val="20"/>
        </w:rPr>
      </w:pPr>
      <w:r w:rsidRPr="0044387B">
        <w:rPr>
          <w:sz w:val="20"/>
          <w:szCs w:val="20"/>
        </w:rPr>
        <w:t>No IRB approval was required for this manuscript as no human subjects were involved.</w:t>
      </w:r>
    </w:p>
    <w:p w14:paraId="407FEBDB" w14:textId="77777777" w:rsidR="002B2DF3" w:rsidRPr="0044387B" w:rsidRDefault="002B2DF3" w:rsidP="0044387B">
      <w:pPr>
        <w:spacing w:line="360" w:lineRule="auto"/>
        <w:jc w:val="both"/>
        <w:rPr>
          <w:sz w:val="20"/>
          <w:szCs w:val="20"/>
        </w:rPr>
      </w:pPr>
    </w:p>
    <w:p w14:paraId="570F10AC" w14:textId="1476B2A0" w:rsidR="0044387B" w:rsidRPr="0044387B" w:rsidRDefault="0044387B" w:rsidP="0044387B">
      <w:pPr>
        <w:pStyle w:val="Heading2"/>
        <w:keepNext w:val="0"/>
        <w:keepLines w:val="0"/>
        <w:spacing w:before="0" w:line="360" w:lineRule="auto"/>
        <w:jc w:val="both"/>
        <w:rPr>
          <w:rFonts w:ascii="Times New Roman" w:eastAsia="Times New Roman" w:hAnsi="Times New Roman" w:cs="Times New Roman"/>
          <w:b w:val="0"/>
          <w:bCs w:val="0"/>
          <w:sz w:val="20"/>
          <w:szCs w:val="20"/>
        </w:rPr>
      </w:pPr>
      <w:bookmarkStart w:id="42" w:name="_heading=h.y55lrq1dfos" w:colFirst="0" w:colLast="0"/>
      <w:bookmarkEnd w:id="42"/>
      <w:r w:rsidRPr="0044387B">
        <w:rPr>
          <w:rFonts w:ascii="Times New Roman" w:eastAsia="Times New Roman" w:hAnsi="Times New Roman" w:cs="Times New Roman"/>
          <w:sz w:val="20"/>
          <w:szCs w:val="20"/>
        </w:rPr>
        <w:t xml:space="preserve">Data </w:t>
      </w:r>
      <w:r w:rsidR="002B2DF3">
        <w:rPr>
          <w:rFonts w:ascii="Times New Roman" w:eastAsia="Times New Roman" w:hAnsi="Times New Roman" w:cs="Times New Roman"/>
          <w:sz w:val="20"/>
          <w:szCs w:val="20"/>
        </w:rPr>
        <w:t>a</w:t>
      </w:r>
      <w:r w:rsidRPr="0044387B">
        <w:rPr>
          <w:rFonts w:ascii="Times New Roman" w:eastAsia="Times New Roman" w:hAnsi="Times New Roman" w:cs="Times New Roman"/>
          <w:sz w:val="20"/>
          <w:szCs w:val="20"/>
        </w:rPr>
        <w:t xml:space="preserve">vailability </w:t>
      </w:r>
      <w:r w:rsidR="002B2DF3">
        <w:rPr>
          <w:rFonts w:ascii="Times New Roman" w:eastAsia="Times New Roman" w:hAnsi="Times New Roman" w:cs="Times New Roman"/>
          <w:sz w:val="20"/>
          <w:szCs w:val="20"/>
        </w:rPr>
        <w:t>s</w:t>
      </w:r>
      <w:r w:rsidRPr="0044387B">
        <w:rPr>
          <w:rFonts w:ascii="Times New Roman" w:eastAsia="Times New Roman" w:hAnsi="Times New Roman" w:cs="Times New Roman"/>
          <w:sz w:val="20"/>
          <w:szCs w:val="20"/>
        </w:rPr>
        <w:t>tatement</w:t>
      </w:r>
    </w:p>
    <w:p w14:paraId="3004D4AA" w14:textId="77777777" w:rsidR="002B2DF3" w:rsidRDefault="0044387B" w:rsidP="002B2DF3">
      <w:pPr>
        <w:spacing w:line="360" w:lineRule="auto"/>
        <w:jc w:val="both"/>
        <w:rPr>
          <w:sz w:val="20"/>
          <w:szCs w:val="20"/>
        </w:rPr>
      </w:pPr>
      <w:r w:rsidRPr="0044387B">
        <w:rPr>
          <w:sz w:val="20"/>
          <w:szCs w:val="20"/>
        </w:rPr>
        <w:t xml:space="preserve">The authors confirm that studies included in this research are publicly available on PubMed Central. Data supporting the findings </w:t>
      </w:r>
      <w:proofErr w:type="gramStart"/>
      <w:r w:rsidRPr="0044387B">
        <w:rPr>
          <w:sz w:val="20"/>
          <w:szCs w:val="20"/>
        </w:rPr>
        <w:t>are</w:t>
      </w:r>
      <w:proofErr w:type="gramEnd"/>
      <w:r w:rsidRPr="0044387B">
        <w:rPr>
          <w:sz w:val="20"/>
          <w:szCs w:val="20"/>
        </w:rPr>
        <w:t xml:space="preserve"> available within the article and Supplementary Material files</w:t>
      </w:r>
      <w:bookmarkStart w:id="43" w:name="_heading=h.kks4u3mhbev9" w:colFirst="0" w:colLast="0"/>
      <w:bookmarkEnd w:id="43"/>
      <w:r w:rsidRPr="0044387B">
        <w:rPr>
          <w:sz w:val="20"/>
          <w:szCs w:val="20"/>
        </w:rPr>
        <w:t>.</w:t>
      </w:r>
    </w:p>
    <w:p w14:paraId="148E89D9" w14:textId="77777777" w:rsidR="002B2DF3" w:rsidRDefault="002B2DF3" w:rsidP="002B2DF3">
      <w:pPr>
        <w:spacing w:line="360" w:lineRule="auto"/>
        <w:jc w:val="both"/>
        <w:rPr>
          <w:sz w:val="20"/>
          <w:szCs w:val="20"/>
        </w:rPr>
      </w:pPr>
    </w:p>
    <w:p w14:paraId="20C3AC74" w14:textId="442F9D16" w:rsidR="0044387B" w:rsidRPr="002B2DF3" w:rsidRDefault="0044387B" w:rsidP="002B2DF3">
      <w:pPr>
        <w:spacing w:line="360" w:lineRule="auto"/>
        <w:jc w:val="both"/>
        <w:rPr>
          <w:b/>
          <w:bCs/>
          <w:color w:val="4F81BD" w:themeColor="accent1"/>
          <w:sz w:val="20"/>
          <w:szCs w:val="20"/>
        </w:rPr>
      </w:pPr>
      <w:r w:rsidRPr="002B2DF3">
        <w:rPr>
          <w:b/>
          <w:bCs/>
          <w:color w:val="4F81BD" w:themeColor="accent1"/>
          <w:sz w:val="20"/>
          <w:szCs w:val="20"/>
        </w:rPr>
        <w:t xml:space="preserve">Consent for </w:t>
      </w:r>
      <w:r w:rsidR="002B2DF3">
        <w:rPr>
          <w:b/>
          <w:bCs/>
          <w:color w:val="4F81BD" w:themeColor="accent1"/>
          <w:sz w:val="20"/>
          <w:szCs w:val="20"/>
        </w:rPr>
        <w:t>p</w:t>
      </w:r>
      <w:r w:rsidRPr="002B2DF3">
        <w:rPr>
          <w:b/>
          <w:bCs/>
          <w:color w:val="4F81BD" w:themeColor="accent1"/>
          <w:sz w:val="20"/>
          <w:szCs w:val="20"/>
        </w:rPr>
        <w:t>ublication</w:t>
      </w:r>
    </w:p>
    <w:p w14:paraId="0DBB8F86" w14:textId="77777777" w:rsidR="0044387B" w:rsidRPr="0044387B" w:rsidRDefault="0044387B" w:rsidP="0044387B">
      <w:pPr>
        <w:spacing w:line="360" w:lineRule="auto"/>
        <w:jc w:val="both"/>
        <w:rPr>
          <w:sz w:val="20"/>
          <w:szCs w:val="20"/>
        </w:rPr>
      </w:pPr>
      <w:r w:rsidRPr="0044387B">
        <w:rPr>
          <w:sz w:val="20"/>
          <w:szCs w:val="20"/>
        </w:rPr>
        <w:t>Not applicable. This study is a systematic review and meta-analysis of previously published data and does not involve individual patient data or identifiable human subjects.</w:t>
      </w:r>
    </w:p>
    <w:p w14:paraId="07A5DB1E" w14:textId="77777777" w:rsidR="0044387B" w:rsidRDefault="0044387B" w:rsidP="00F67A95">
      <w:pPr>
        <w:spacing w:line="360" w:lineRule="auto"/>
        <w:jc w:val="both"/>
        <w:rPr>
          <w:b/>
          <w:color w:val="006FC0"/>
          <w:sz w:val="20"/>
          <w:szCs w:val="20"/>
          <w:lang w:val="pt-BR"/>
        </w:rPr>
      </w:pPr>
    </w:p>
    <w:bookmarkEnd w:id="1"/>
    <w:p w14:paraId="3B0C39B7" w14:textId="2C7325E9" w:rsidR="00921B63" w:rsidRDefault="00962E4B" w:rsidP="00A27D0A">
      <w:pPr>
        <w:tabs>
          <w:tab w:val="left" w:pos="851"/>
        </w:tabs>
        <w:spacing w:line="360" w:lineRule="auto"/>
        <w:jc w:val="both"/>
        <w:rPr>
          <w:b/>
          <w:color w:val="006FC0"/>
          <w:lang w:val="de-DE"/>
        </w:rPr>
      </w:pPr>
      <w:r w:rsidRPr="002425BD">
        <w:rPr>
          <w:b/>
          <w:color w:val="006FC0"/>
          <w:lang w:val="de-DE"/>
        </w:rPr>
        <w:t>References</w:t>
      </w:r>
    </w:p>
    <w:p w14:paraId="1ED3B59D"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Hashemi SA, </w:t>
      </w:r>
      <w:proofErr w:type="spellStart"/>
      <w:r w:rsidRPr="003F5124">
        <w:rPr>
          <w:color w:val="000000" w:themeColor="text1"/>
          <w:sz w:val="20"/>
          <w:szCs w:val="20"/>
          <w:lang w:val="en-IN"/>
        </w:rPr>
        <w:t>Alavian</w:t>
      </w:r>
      <w:proofErr w:type="spellEnd"/>
      <w:r w:rsidRPr="003F5124">
        <w:rPr>
          <w:color w:val="000000" w:themeColor="text1"/>
          <w:sz w:val="20"/>
          <w:szCs w:val="20"/>
          <w:lang w:val="en-IN"/>
        </w:rPr>
        <w:t xml:space="preserve"> SM, Gholami-</w:t>
      </w:r>
      <w:proofErr w:type="spellStart"/>
      <w:r w:rsidRPr="003F5124">
        <w:rPr>
          <w:color w:val="000000" w:themeColor="text1"/>
          <w:sz w:val="20"/>
          <w:szCs w:val="20"/>
          <w:lang w:val="en-IN"/>
        </w:rPr>
        <w:t>Fesharaki</w:t>
      </w:r>
      <w:proofErr w:type="spellEnd"/>
      <w:r w:rsidRPr="003F5124">
        <w:rPr>
          <w:color w:val="000000" w:themeColor="text1"/>
          <w:sz w:val="20"/>
          <w:szCs w:val="20"/>
          <w:lang w:val="en-IN"/>
        </w:rPr>
        <w:t xml:space="preserve"> M. Assessment of transient elastography (</w:t>
      </w:r>
      <w:proofErr w:type="spellStart"/>
      <w:r w:rsidRPr="003F5124">
        <w:rPr>
          <w:color w:val="000000" w:themeColor="text1"/>
          <w:sz w:val="20"/>
          <w:szCs w:val="20"/>
          <w:lang w:val="en-IN"/>
        </w:rPr>
        <w:t>FibroScan</w:t>
      </w:r>
      <w:proofErr w:type="spellEnd"/>
      <w:r w:rsidRPr="003F5124">
        <w:rPr>
          <w:color w:val="000000" w:themeColor="text1"/>
          <w:sz w:val="20"/>
          <w:szCs w:val="20"/>
          <w:lang w:val="en-IN"/>
        </w:rPr>
        <w:t xml:space="preserve">) for diagnosis of fibrosis in non-alcoholic fatty liver disease: A systematic review and meta-analysis. Caspian J Intern Med 7 (2016): 242-252. </w:t>
      </w:r>
    </w:p>
    <w:p w14:paraId="3AEB1895"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Friedrich-Rust M, Ong MF, Martens S, et al. Performance of transient elastography for the staging of liver fibrosis: A meta-analysis. Gastroenterology 134 (2008): 960-974. </w:t>
      </w:r>
    </w:p>
    <w:p w14:paraId="681AF015"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Talwalkar JA, Kurtz DM, Schoenleber SJ, et al. Ultrasound-based transient elastography for the detection of hepatic fibrosis: Systematic review and meta-analysis. Clin Gastroenterol Hepatol 5 (2007): 1214-1220. </w:t>
      </w:r>
    </w:p>
    <w:p w14:paraId="6C793B4E"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proofErr w:type="spellStart"/>
      <w:r w:rsidRPr="003F5124">
        <w:rPr>
          <w:color w:val="000000" w:themeColor="text1"/>
          <w:sz w:val="20"/>
          <w:szCs w:val="20"/>
          <w:lang w:val="en-IN"/>
        </w:rPr>
        <w:t>Echosens</w:t>
      </w:r>
      <w:proofErr w:type="spellEnd"/>
      <w:r w:rsidRPr="003F5124">
        <w:rPr>
          <w:color w:val="000000" w:themeColor="text1"/>
          <w:sz w:val="20"/>
          <w:szCs w:val="20"/>
          <w:lang w:val="en-IN"/>
        </w:rPr>
        <w:t xml:space="preserve">. </w:t>
      </w:r>
      <w:proofErr w:type="spellStart"/>
      <w:r w:rsidRPr="003F5124">
        <w:rPr>
          <w:color w:val="000000" w:themeColor="text1"/>
          <w:sz w:val="20"/>
          <w:szCs w:val="20"/>
          <w:lang w:val="en-IN"/>
        </w:rPr>
        <w:t>FibroScan</w:t>
      </w:r>
      <w:proofErr w:type="spellEnd"/>
      <w:r w:rsidRPr="003F5124">
        <w:rPr>
          <w:color w:val="000000" w:themeColor="text1"/>
          <w:sz w:val="20"/>
          <w:szCs w:val="20"/>
          <w:lang w:val="en-IN"/>
        </w:rPr>
        <w:t xml:space="preserve">® device range and probe specifications. </w:t>
      </w:r>
    </w:p>
    <w:p w14:paraId="01E50BD6"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Abd El Rihim AY, Omar RF, </w:t>
      </w:r>
      <w:proofErr w:type="spellStart"/>
      <w:r w:rsidRPr="003F5124">
        <w:rPr>
          <w:color w:val="000000" w:themeColor="text1"/>
          <w:sz w:val="20"/>
          <w:szCs w:val="20"/>
          <w:lang w:val="en-IN"/>
        </w:rPr>
        <w:t>Fathalah</w:t>
      </w:r>
      <w:proofErr w:type="spellEnd"/>
      <w:r w:rsidRPr="003F5124">
        <w:rPr>
          <w:color w:val="000000" w:themeColor="text1"/>
          <w:sz w:val="20"/>
          <w:szCs w:val="20"/>
          <w:lang w:val="en-IN"/>
        </w:rPr>
        <w:t xml:space="preserve"> W, et al. Role of </w:t>
      </w:r>
      <w:proofErr w:type="spellStart"/>
      <w:r w:rsidRPr="003F5124">
        <w:rPr>
          <w:color w:val="000000" w:themeColor="text1"/>
          <w:sz w:val="20"/>
          <w:szCs w:val="20"/>
          <w:lang w:val="en-IN"/>
        </w:rPr>
        <w:t>FibroScan</w:t>
      </w:r>
      <w:proofErr w:type="spellEnd"/>
      <w:r w:rsidRPr="003F5124">
        <w:rPr>
          <w:color w:val="000000" w:themeColor="text1"/>
          <w:sz w:val="20"/>
          <w:szCs w:val="20"/>
          <w:lang w:val="en-IN"/>
        </w:rPr>
        <w:t xml:space="preserve"> and APRI in detection of liver fibrosis: A systematic review and meta-analysis. Arab J Gastroenterol 14 (2013): 44-50. </w:t>
      </w:r>
    </w:p>
    <w:p w14:paraId="4B03C4D1"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Parkes J, Guha IN, Roderick P, et al. Performance of serum marker panels for liver fibrosis in chronic hepatitis C. J Hepatol 54 (2011): 655-662. </w:t>
      </w:r>
    </w:p>
    <w:p w14:paraId="6AA268FB"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Bota S, Herkner H, Sporea I, et al. Meta-analysis: ARFI elastography versus transient elastography for the evaluation of liver fibrosis. Liver Int 33 (2013): 1138-1147. </w:t>
      </w:r>
    </w:p>
    <w:p w14:paraId="73A25AF8"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Leise MD, </w:t>
      </w:r>
      <w:proofErr w:type="spellStart"/>
      <w:r w:rsidRPr="003F5124">
        <w:rPr>
          <w:color w:val="000000" w:themeColor="text1"/>
          <w:sz w:val="20"/>
          <w:szCs w:val="20"/>
          <w:lang w:val="en-IN"/>
        </w:rPr>
        <w:t>Poterucha</w:t>
      </w:r>
      <w:proofErr w:type="spellEnd"/>
      <w:r w:rsidRPr="003F5124">
        <w:rPr>
          <w:color w:val="000000" w:themeColor="text1"/>
          <w:sz w:val="20"/>
          <w:szCs w:val="20"/>
          <w:lang w:val="en-IN"/>
        </w:rPr>
        <w:t xml:space="preserve"> JJ, Talwalkar JA. Vibration-controlled transient elastography using </w:t>
      </w:r>
      <w:proofErr w:type="spellStart"/>
      <w:r w:rsidRPr="003F5124">
        <w:rPr>
          <w:color w:val="000000" w:themeColor="text1"/>
          <w:sz w:val="20"/>
          <w:szCs w:val="20"/>
          <w:lang w:val="en-IN"/>
        </w:rPr>
        <w:t>FibroScan</w:t>
      </w:r>
      <w:proofErr w:type="spellEnd"/>
      <w:r w:rsidRPr="003F5124">
        <w:rPr>
          <w:color w:val="000000" w:themeColor="text1"/>
          <w:sz w:val="20"/>
          <w:szCs w:val="20"/>
          <w:lang w:val="en-IN"/>
        </w:rPr>
        <w:t xml:space="preserve"> for assessing hepatic fibrosis. PMC. </w:t>
      </w:r>
    </w:p>
    <w:p w14:paraId="3688CA9D"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proofErr w:type="spellStart"/>
      <w:r w:rsidRPr="003F5124">
        <w:rPr>
          <w:color w:val="000000" w:themeColor="text1"/>
          <w:sz w:val="20"/>
          <w:szCs w:val="20"/>
          <w:lang w:val="en-IN"/>
        </w:rPr>
        <w:t>CostAnswers</w:t>
      </w:r>
      <w:proofErr w:type="spellEnd"/>
      <w:r w:rsidRPr="003F5124">
        <w:rPr>
          <w:color w:val="000000" w:themeColor="text1"/>
          <w:sz w:val="20"/>
          <w:szCs w:val="20"/>
          <w:lang w:val="en-IN"/>
        </w:rPr>
        <w:t xml:space="preserve">. </w:t>
      </w:r>
      <w:proofErr w:type="spellStart"/>
      <w:r w:rsidRPr="003F5124">
        <w:rPr>
          <w:color w:val="000000" w:themeColor="text1"/>
          <w:sz w:val="20"/>
          <w:szCs w:val="20"/>
          <w:lang w:val="en-IN"/>
        </w:rPr>
        <w:t>Fibroscan</w:t>
      </w:r>
      <w:proofErr w:type="spellEnd"/>
      <w:r w:rsidRPr="003F5124">
        <w:rPr>
          <w:color w:val="000000" w:themeColor="text1"/>
          <w:sz w:val="20"/>
          <w:szCs w:val="20"/>
          <w:lang w:val="en-IN"/>
        </w:rPr>
        <w:t xml:space="preserve"> Cost Guide for US Clinics. </w:t>
      </w:r>
    </w:p>
    <w:p w14:paraId="38D1BFE1"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proofErr w:type="spellStart"/>
      <w:r w:rsidRPr="003F5124">
        <w:rPr>
          <w:color w:val="000000" w:themeColor="text1"/>
          <w:sz w:val="20"/>
          <w:szCs w:val="20"/>
          <w:lang w:val="en-IN"/>
        </w:rPr>
        <w:t>Tsochatzis</w:t>
      </w:r>
      <w:proofErr w:type="spellEnd"/>
      <w:r w:rsidRPr="003F5124">
        <w:rPr>
          <w:color w:val="000000" w:themeColor="text1"/>
          <w:sz w:val="20"/>
          <w:szCs w:val="20"/>
          <w:lang w:val="en-IN"/>
        </w:rPr>
        <w:t xml:space="preserve"> EA, Gurusamy KS, </w:t>
      </w:r>
      <w:proofErr w:type="spellStart"/>
      <w:r w:rsidRPr="003F5124">
        <w:rPr>
          <w:color w:val="000000" w:themeColor="text1"/>
          <w:sz w:val="20"/>
          <w:szCs w:val="20"/>
          <w:lang w:val="en-IN"/>
        </w:rPr>
        <w:t>Ntaoula</w:t>
      </w:r>
      <w:proofErr w:type="spellEnd"/>
      <w:r w:rsidRPr="003F5124">
        <w:rPr>
          <w:color w:val="000000" w:themeColor="text1"/>
          <w:sz w:val="20"/>
          <w:szCs w:val="20"/>
          <w:lang w:val="en-IN"/>
        </w:rPr>
        <w:t xml:space="preserve"> S, et al. Elastography for the diagnosis of severity of fibrosis in chronic liver disease: A meta-analysis of diagnostic accuracy. J Hepatol 54 (2011): 650-659. </w:t>
      </w:r>
    </w:p>
    <w:p w14:paraId="61BAE238"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Lin ZH, Xin YN, Dong QJ, et al. Performance of the aspartate aminotransferase-to-platelet ratio index for the </w:t>
      </w:r>
      <w:r w:rsidRPr="003F5124">
        <w:rPr>
          <w:color w:val="000000" w:themeColor="text1"/>
          <w:sz w:val="20"/>
          <w:szCs w:val="20"/>
          <w:lang w:val="en-IN"/>
        </w:rPr>
        <w:lastRenderedPageBreak/>
        <w:t xml:space="preserve">staging of hepatitis C-related fibrosis: An updated meta-analysis. Hepatology 53 (2011): 726-736. </w:t>
      </w:r>
    </w:p>
    <w:p w14:paraId="5985631F"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Singh S, Venkatesh SK, Wang Z, et al. Diagnostic performance of magnetic resonance elastography in staging liver fibrosis: A systematic review and meta-analysis. Clin Gastroenterol Hepatol 14 (2016): 1430-1440. </w:t>
      </w:r>
    </w:p>
    <w:p w14:paraId="6D3881DD"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Kim D, Kim WR, Kim HJ, et al. Association between </w:t>
      </w:r>
      <w:proofErr w:type="spellStart"/>
      <w:r w:rsidRPr="003F5124">
        <w:rPr>
          <w:color w:val="000000" w:themeColor="text1"/>
          <w:sz w:val="20"/>
          <w:szCs w:val="20"/>
          <w:lang w:val="en-IN"/>
        </w:rPr>
        <w:t>noninvasive</w:t>
      </w:r>
      <w:proofErr w:type="spellEnd"/>
      <w:r w:rsidRPr="003F5124">
        <w:rPr>
          <w:color w:val="000000" w:themeColor="text1"/>
          <w:sz w:val="20"/>
          <w:szCs w:val="20"/>
          <w:lang w:val="en-IN"/>
        </w:rPr>
        <w:t xml:space="preserve"> fibrosis markers and mortality among adults with NAFLD in the United States. Hepatology 57 (2013): 1357-1365. </w:t>
      </w:r>
    </w:p>
    <w:p w14:paraId="2BDAE0D1"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proofErr w:type="spellStart"/>
      <w:r w:rsidRPr="003F5124">
        <w:rPr>
          <w:color w:val="000000" w:themeColor="text1"/>
          <w:sz w:val="20"/>
          <w:szCs w:val="20"/>
          <w:lang w:val="en-IN"/>
        </w:rPr>
        <w:t>Younossi</w:t>
      </w:r>
      <w:proofErr w:type="spellEnd"/>
      <w:r w:rsidRPr="003F5124">
        <w:rPr>
          <w:color w:val="000000" w:themeColor="text1"/>
          <w:sz w:val="20"/>
          <w:szCs w:val="20"/>
          <w:lang w:val="en-IN"/>
        </w:rPr>
        <w:t xml:space="preserve"> ZM, Koenig AB, </w:t>
      </w:r>
      <w:proofErr w:type="spellStart"/>
      <w:r w:rsidRPr="003F5124">
        <w:rPr>
          <w:color w:val="000000" w:themeColor="text1"/>
          <w:sz w:val="20"/>
          <w:szCs w:val="20"/>
          <w:lang w:val="en-IN"/>
        </w:rPr>
        <w:t>Abdelatif</w:t>
      </w:r>
      <w:proofErr w:type="spellEnd"/>
      <w:r w:rsidRPr="003F5124">
        <w:rPr>
          <w:color w:val="000000" w:themeColor="text1"/>
          <w:sz w:val="20"/>
          <w:szCs w:val="20"/>
          <w:lang w:val="en-IN"/>
        </w:rPr>
        <w:t xml:space="preserve"> D, et al. Global epidemiology of </w:t>
      </w:r>
      <w:proofErr w:type="spellStart"/>
      <w:r w:rsidRPr="003F5124">
        <w:rPr>
          <w:color w:val="000000" w:themeColor="text1"/>
          <w:sz w:val="20"/>
          <w:szCs w:val="20"/>
          <w:lang w:val="en-IN"/>
        </w:rPr>
        <w:t>nonalcoholic</w:t>
      </w:r>
      <w:proofErr w:type="spellEnd"/>
      <w:r w:rsidRPr="003F5124">
        <w:rPr>
          <w:color w:val="000000" w:themeColor="text1"/>
          <w:sz w:val="20"/>
          <w:szCs w:val="20"/>
          <w:lang w:val="en-IN"/>
        </w:rPr>
        <w:t xml:space="preserve"> fatty liver disease—Meta-analytic assessment of prevalence, incidence, and outcomes. Hepatology 64 (2016): 73-84. </w:t>
      </w:r>
    </w:p>
    <w:p w14:paraId="06EF6A33"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proofErr w:type="spellStart"/>
      <w:r w:rsidRPr="003F5124">
        <w:rPr>
          <w:color w:val="000000" w:themeColor="text1"/>
          <w:sz w:val="20"/>
          <w:szCs w:val="20"/>
          <w:lang w:val="en-IN"/>
        </w:rPr>
        <w:t>Echosens</w:t>
      </w:r>
      <w:proofErr w:type="spellEnd"/>
      <w:r w:rsidRPr="003F5124">
        <w:rPr>
          <w:color w:val="000000" w:themeColor="text1"/>
          <w:sz w:val="20"/>
          <w:szCs w:val="20"/>
          <w:lang w:val="en-IN"/>
        </w:rPr>
        <w:t xml:space="preserve">. </w:t>
      </w:r>
      <w:proofErr w:type="spellStart"/>
      <w:r w:rsidRPr="003F5124">
        <w:rPr>
          <w:color w:val="000000" w:themeColor="text1"/>
          <w:sz w:val="20"/>
          <w:szCs w:val="20"/>
          <w:lang w:val="en-IN"/>
        </w:rPr>
        <w:t>FibroScan</w:t>
      </w:r>
      <w:proofErr w:type="spellEnd"/>
      <w:r w:rsidRPr="003F5124">
        <w:rPr>
          <w:color w:val="000000" w:themeColor="text1"/>
          <w:sz w:val="20"/>
          <w:szCs w:val="20"/>
          <w:lang w:val="en-IN"/>
        </w:rPr>
        <w:t xml:space="preserve">® probe calibration. </w:t>
      </w:r>
    </w:p>
    <w:p w14:paraId="29C9E9D1"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proofErr w:type="spellStart"/>
      <w:r w:rsidRPr="003F5124">
        <w:rPr>
          <w:color w:val="000000" w:themeColor="text1"/>
          <w:sz w:val="20"/>
          <w:szCs w:val="20"/>
          <w:lang w:val="en-IN"/>
        </w:rPr>
        <w:t>Poynard</w:t>
      </w:r>
      <w:proofErr w:type="spellEnd"/>
      <w:r w:rsidRPr="003F5124">
        <w:rPr>
          <w:color w:val="000000" w:themeColor="text1"/>
          <w:sz w:val="20"/>
          <w:szCs w:val="20"/>
          <w:lang w:val="en-IN"/>
        </w:rPr>
        <w:t xml:space="preserve"> T, Perazzo H, </w:t>
      </w:r>
      <w:proofErr w:type="spellStart"/>
      <w:r w:rsidRPr="003F5124">
        <w:rPr>
          <w:color w:val="000000" w:themeColor="text1"/>
          <w:sz w:val="20"/>
          <w:szCs w:val="20"/>
          <w:lang w:val="en-IN"/>
        </w:rPr>
        <w:t>Lebray</w:t>
      </w:r>
      <w:proofErr w:type="spellEnd"/>
      <w:r w:rsidRPr="003F5124">
        <w:rPr>
          <w:color w:val="000000" w:themeColor="text1"/>
          <w:sz w:val="20"/>
          <w:szCs w:val="20"/>
          <w:lang w:val="en-IN"/>
        </w:rPr>
        <w:t xml:space="preserve"> P, et al. Prognostic value of liver fibrosis biomarkers: A meta-analysis. Gastroenterol Hepatol 7 (2011): 445-454. </w:t>
      </w:r>
    </w:p>
    <w:p w14:paraId="421BAEBF"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Bastard C, </w:t>
      </w:r>
      <w:proofErr w:type="spellStart"/>
      <w:r w:rsidRPr="003F5124">
        <w:rPr>
          <w:color w:val="000000" w:themeColor="text1"/>
          <w:sz w:val="20"/>
          <w:szCs w:val="20"/>
          <w:lang w:val="en-IN"/>
        </w:rPr>
        <w:t>Audiere</w:t>
      </w:r>
      <w:proofErr w:type="spellEnd"/>
      <w:r w:rsidRPr="003F5124">
        <w:rPr>
          <w:color w:val="000000" w:themeColor="text1"/>
          <w:sz w:val="20"/>
          <w:szCs w:val="20"/>
          <w:lang w:val="en-IN"/>
        </w:rPr>
        <w:t xml:space="preserve"> S, et al. Guided-VCTE: An Enhanced </w:t>
      </w:r>
      <w:proofErr w:type="spellStart"/>
      <w:r w:rsidRPr="003F5124">
        <w:rPr>
          <w:color w:val="000000" w:themeColor="text1"/>
          <w:sz w:val="20"/>
          <w:szCs w:val="20"/>
          <w:lang w:val="en-IN"/>
        </w:rPr>
        <w:t>FibroScan</w:t>
      </w:r>
      <w:proofErr w:type="spellEnd"/>
      <w:r w:rsidRPr="003F5124">
        <w:rPr>
          <w:color w:val="000000" w:themeColor="text1"/>
          <w:sz w:val="20"/>
          <w:szCs w:val="20"/>
          <w:lang w:val="en-IN"/>
        </w:rPr>
        <w:t xml:space="preserve"> Examination </w:t>
      </w:r>
      <w:proofErr w:type="gramStart"/>
      <w:r w:rsidRPr="003F5124">
        <w:rPr>
          <w:color w:val="000000" w:themeColor="text1"/>
          <w:sz w:val="20"/>
          <w:szCs w:val="20"/>
          <w:lang w:val="en-IN"/>
        </w:rPr>
        <w:t>With</w:t>
      </w:r>
      <w:proofErr w:type="gramEnd"/>
      <w:r w:rsidRPr="003F5124">
        <w:rPr>
          <w:color w:val="000000" w:themeColor="text1"/>
          <w:sz w:val="20"/>
          <w:szCs w:val="20"/>
          <w:lang w:val="en-IN"/>
        </w:rPr>
        <w:t xml:space="preserve"> Improved Guidance and Applicability. Ultrasound Med </w:t>
      </w:r>
      <w:proofErr w:type="spellStart"/>
      <w:r w:rsidRPr="003F5124">
        <w:rPr>
          <w:color w:val="000000" w:themeColor="text1"/>
          <w:sz w:val="20"/>
          <w:szCs w:val="20"/>
          <w:lang w:val="en-IN"/>
        </w:rPr>
        <w:t>Biol</w:t>
      </w:r>
      <w:proofErr w:type="spellEnd"/>
      <w:r w:rsidRPr="003F5124">
        <w:rPr>
          <w:color w:val="000000" w:themeColor="text1"/>
          <w:sz w:val="20"/>
          <w:szCs w:val="20"/>
          <w:lang w:val="en-IN"/>
        </w:rPr>
        <w:t xml:space="preserve"> 51 (2025): 628-637. </w:t>
      </w:r>
    </w:p>
    <w:p w14:paraId="3B0BBB97"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Herrmann E, de </w:t>
      </w:r>
      <w:proofErr w:type="spellStart"/>
      <w:r w:rsidRPr="003F5124">
        <w:rPr>
          <w:color w:val="000000" w:themeColor="text1"/>
          <w:sz w:val="20"/>
          <w:szCs w:val="20"/>
          <w:lang w:val="en-IN"/>
        </w:rPr>
        <w:t>Lédinghen</w:t>
      </w:r>
      <w:proofErr w:type="spellEnd"/>
      <w:r w:rsidRPr="003F5124">
        <w:rPr>
          <w:color w:val="000000" w:themeColor="text1"/>
          <w:sz w:val="20"/>
          <w:szCs w:val="20"/>
          <w:lang w:val="en-IN"/>
        </w:rPr>
        <w:t xml:space="preserve"> V, </w:t>
      </w:r>
      <w:proofErr w:type="spellStart"/>
      <w:r w:rsidRPr="003F5124">
        <w:rPr>
          <w:color w:val="000000" w:themeColor="text1"/>
          <w:sz w:val="20"/>
          <w:szCs w:val="20"/>
          <w:lang w:val="en-IN"/>
        </w:rPr>
        <w:t>Cassinotto</w:t>
      </w:r>
      <w:proofErr w:type="spellEnd"/>
      <w:r w:rsidRPr="003F5124">
        <w:rPr>
          <w:color w:val="000000" w:themeColor="text1"/>
          <w:sz w:val="20"/>
          <w:szCs w:val="20"/>
          <w:lang w:val="en-IN"/>
        </w:rPr>
        <w:t xml:space="preserve"> C, et al. Prospective Comparison of Transient Elastography Using Two Different Devices: Performance of </w:t>
      </w:r>
      <w:proofErr w:type="spellStart"/>
      <w:r w:rsidRPr="003F5124">
        <w:rPr>
          <w:color w:val="000000" w:themeColor="text1"/>
          <w:sz w:val="20"/>
          <w:szCs w:val="20"/>
          <w:lang w:val="en-IN"/>
        </w:rPr>
        <w:t>FibroScan</w:t>
      </w:r>
      <w:proofErr w:type="spellEnd"/>
      <w:r w:rsidRPr="003F5124">
        <w:rPr>
          <w:color w:val="000000" w:themeColor="text1"/>
          <w:sz w:val="20"/>
          <w:szCs w:val="20"/>
          <w:lang w:val="en-IN"/>
        </w:rPr>
        <w:t xml:space="preserve"> and </w:t>
      </w:r>
      <w:proofErr w:type="spellStart"/>
      <w:r w:rsidRPr="003F5124">
        <w:rPr>
          <w:color w:val="000000" w:themeColor="text1"/>
          <w:sz w:val="20"/>
          <w:szCs w:val="20"/>
          <w:lang w:val="en-IN"/>
        </w:rPr>
        <w:t>FibroTouch</w:t>
      </w:r>
      <w:proofErr w:type="spellEnd"/>
      <w:r w:rsidRPr="003F5124">
        <w:rPr>
          <w:color w:val="000000" w:themeColor="text1"/>
          <w:sz w:val="20"/>
          <w:szCs w:val="20"/>
          <w:lang w:val="en-IN"/>
        </w:rPr>
        <w:t xml:space="preserve">. PMC. </w:t>
      </w:r>
    </w:p>
    <w:p w14:paraId="4C286067"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Rinella ME, Lazarus JV, </w:t>
      </w:r>
      <w:proofErr w:type="spellStart"/>
      <w:r w:rsidRPr="003F5124">
        <w:rPr>
          <w:color w:val="000000" w:themeColor="text1"/>
          <w:sz w:val="20"/>
          <w:szCs w:val="20"/>
          <w:lang w:val="en-IN"/>
        </w:rPr>
        <w:t>Ratziu</w:t>
      </w:r>
      <w:proofErr w:type="spellEnd"/>
      <w:r w:rsidRPr="003F5124">
        <w:rPr>
          <w:color w:val="000000" w:themeColor="text1"/>
          <w:sz w:val="20"/>
          <w:szCs w:val="20"/>
          <w:lang w:val="en-IN"/>
        </w:rPr>
        <w:t xml:space="preserve"> V, et al. A </w:t>
      </w:r>
      <w:proofErr w:type="spellStart"/>
      <w:r w:rsidRPr="003F5124">
        <w:rPr>
          <w:color w:val="000000" w:themeColor="text1"/>
          <w:sz w:val="20"/>
          <w:szCs w:val="20"/>
          <w:lang w:val="en-IN"/>
        </w:rPr>
        <w:t>multisociety</w:t>
      </w:r>
      <w:proofErr w:type="spellEnd"/>
      <w:r w:rsidRPr="003F5124">
        <w:rPr>
          <w:color w:val="000000" w:themeColor="text1"/>
          <w:sz w:val="20"/>
          <w:szCs w:val="20"/>
          <w:lang w:val="en-IN"/>
        </w:rPr>
        <w:t xml:space="preserve"> Delphi consensus statement on new fatty liver disease nomenclature. Hepatology 78 (2023): 1966-1986. </w:t>
      </w:r>
    </w:p>
    <w:p w14:paraId="4407335F" w14:textId="77777777" w:rsidR="003F5124" w:rsidRPr="003F5124" w:rsidRDefault="003F5124" w:rsidP="003F5124">
      <w:pPr>
        <w:numPr>
          <w:ilvl w:val="0"/>
          <w:numId w:val="17"/>
        </w:numPr>
        <w:tabs>
          <w:tab w:val="left" w:pos="851"/>
        </w:tabs>
        <w:spacing w:line="360" w:lineRule="auto"/>
        <w:jc w:val="both"/>
        <w:rPr>
          <w:color w:val="000000" w:themeColor="text1"/>
          <w:sz w:val="20"/>
          <w:szCs w:val="20"/>
          <w:lang w:val="en-IN"/>
        </w:rPr>
      </w:pPr>
      <w:r w:rsidRPr="003F5124">
        <w:rPr>
          <w:color w:val="000000" w:themeColor="text1"/>
          <w:sz w:val="20"/>
          <w:szCs w:val="20"/>
          <w:lang w:val="en-IN"/>
        </w:rPr>
        <w:t xml:space="preserve">Eslam M, Sanyal AJ, George J, et al. From NAFLD to MASLD: Updated naming and diagnosis criteria for fatty liver disease. Front Endocrinol 15 (2024): 1347679. </w:t>
      </w:r>
    </w:p>
    <w:p w14:paraId="634AA930" w14:textId="77777777" w:rsidR="003F5124" w:rsidRPr="003F5124" w:rsidRDefault="003F5124" w:rsidP="003F5124">
      <w:pPr>
        <w:tabs>
          <w:tab w:val="left" w:pos="851"/>
        </w:tabs>
        <w:spacing w:line="360" w:lineRule="auto"/>
        <w:jc w:val="both"/>
        <w:rPr>
          <w:vanish/>
          <w:color w:val="000000" w:themeColor="text1"/>
          <w:sz w:val="20"/>
          <w:szCs w:val="20"/>
          <w:lang w:val="en-IN"/>
        </w:rPr>
      </w:pPr>
      <w:r w:rsidRPr="003F5124">
        <w:rPr>
          <w:vanish/>
          <w:color w:val="000000" w:themeColor="text1"/>
          <w:sz w:val="20"/>
          <w:szCs w:val="20"/>
          <w:lang w:val="en-IN"/>
        </w:rPr>
        <w:t>Top of Form</w:t>
      </w:r>
    </w:p>
    <w:p w14:paraId="424982EF" w14:textId="77777777" w:rsidR="003F5124" w:rsidRPr="003F5124" w:rsidRDefault="003F5124" w:rsidP="003F5124">
      <w:pPr>
        <w:tabs>
          <w:tab w:val="left" w:pos="851"/>
        </w:tabs>
        <w:spacing w:line="360" w:lineRule="auto"/>
        <w:jc w:val="both"/>
        <w:rPr>
          <w:color w:val="000000" w:themeColor="text1"/>
          <w:sz w:val="20"/>
          <w:szCs w:val="20"/>
          <w:lang w:val="en-IN"/>
        </w:rPr>
      </w:pPr>
    </w:p>
    <w:p w14:paraId="1930E544" w14:textId="77777777" w:rsidR="003F5124" w:rsidRPr="003F5124" w:rsidRDefault="003F5124" w:rsidP="003F5124">
      <w:pPr>
        <w:tabs>
          <w:tab w:val="left" w:pos="851"/>
        </w:tabs>
        <w:spacing w:line="360" w:lineRule="auto"/>
        <w:jc w:val="both"/>
        <w:rPr>
          <w:vanish/>
          <w:color w:val="000000" w:themeColor="text1"/>
          <w:sz w:val="20"/>
          <w:szCs w:val="20"/>
          <w:lang w:val="en-IN"/>
        </w:rPr>
      </w:pPr>
      <w:r w:rsidRPr="003F5124">
        <w:rPr>
          <w:vanish/>
          <w:color w:val="000000" w:themeColor="text1"/>
          <w:sz w:val="20"/>
          <w:szCs w:val="20"/>
          <w:lang w:val="en-IN"/>
        </w:rPr>
        <w:t>Bottom of Form</w:t>
      </w:r>
    </w:p>
    <w:p w14:paraId="31F2ED4C" w14:textId="77777777" w:rsidR="00A608EE" w:rsidRPr="009E1A17" w:rsidRDefault="00A608EE" w:rsidP="00A27D0A">
      <w:pPr>
        <w:tabs>
          <w:tab w:val="left" w:pos="851"/>
        </w:tabs>
        <w:spacing w:line="360" w:lineRule="auto"/>
        <w:jc w:val="both"/>
        <w:rPr>
          <w:color w:val="000000" w:themeColor="text1"/>
          <w:sz w:val="20"/>
          <w:szCs w:val="20"/>
        </w:rPr>
      </w:pPr>
    </w:p>
    <w:p w14:paraId="6D53A69B" w14:textId="77777777" w:rsidR="00A608EE" w:rsidRDefault="00A608EE" w:rsidP="00A27D0A">
      <w:pPr>
        <w:tabs>
          <w:tab w:val="left" w:pos="851"/>
        </w:tabs>
        <w:spacing w:line="360" w:lineRule="auto"/>
        <w:jc w:val="both"/>
        <w:rPr>
          <w:b/>
          <w:color w:val="006FC0"/>
          <w:lang w:val="de-DE"/>
        </w:rPr>
      </w:pPr>
    </w:p>
    <w:p w14:paraId="0AA23DAB" w14:textId="77777777" w:rsidR="001E6F06" w:rsidRDefault="001E6F06" w:rsidP="00A27D0A">
      <w:pPr>
        <w:tabs>
          <w:tab w:val="left" w:pos="851"/>
        </w:tabs>
        <w:spacing w:line="360" w:lineRule="auto"/>
        <w:jc w:val="both"/>
        <w:rPr>
          <w:b/>
          <w:color w:val="006FC0"/>
          <w:lang w:val="de-DE"/>
        </w:rPr>
      </w:pPr>
    </w:p>
    <w:p w14:paraId="2339A317" w14:textId="293C00E8" w:rsidR="00793572" w:rsidRDefault="00A87346">
      <w:pPr>
        <w:pStyle w:val="BodyText"/>
        <w:spacing w:before="185" w:line="343" w:lineRule="auto"/>
        <w:ind w:left="2315" w:right="461" w:hanging="5"/>
      </w:pPr>
      <w:r>
        <w:rPr>
          <w:noProof/>
          <w:lang w:val="en-IN" w:eastAsia="en-IN"/>
        </w:rPr>
        <w:drawing>
          <wp:anchor distT="0" distB="0" distL="0" distR="0" simplePos="0" relativeHeight="251653120" behindDoc="0" locked="0" layoutInCell="1" allowOverlap="1" wp14:anchorId="44E927F8" wp14:editId="19ED978B">
            <wp:simplePos x="0" y="0"/>
            <wp:positionH relativeFrom="page">
              <wp:posOffset>1143000</wp:posOffset>
            </wp:positionH>
            <wp:positionV relativeFrom="paragraph">
              <wp:posOffset>124916</wp:posOffset>
            </wp:positionV>
            <wp:extent cx="1125855" cy="353059"/>
            <wp:effectExtent l="0" t="0" r="0" b="0"/>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5" cstate="print"/>
                    <a:stretch>
                      <a:fillRect/>
                    </a:stretch>
                  </pic:blipFill>
                  <pic:spPr>
                    <a:xfrm>
                      <a:off x="0" y="0"/>
                      <a:ext cx="1125855" cy="353059"/>
                    </a:xfrm>
                    <a:prstGeom prst="rect">
                      <a:avLst/>
                    </a:prstGeom>
                  </pic:spPr>
                </pic:pic>
              </a:graphicData>
            </a:graphic>
          </wp:anchor>
        </w:drawing>
      </w:r>
      <w:r>
        <w:t xml:space="preserve">This article is an open access article distributed under the terms and conditions of the </w:t>
      </w:r>
      <w:hyperlink r:id="rId16">
        <w:r>
          <w:rPr>
            <w:color w:val="0000FF"/>
            <w:u w:val="single" w:color="0000FF"/>
          </w:rPr>
          <w:t>Creative Commons Attribution (CC-BY) license 4.0</w:t>
        </w:r>
      </w:hyperlink>
    </w:p>
    <w:sectPr w:rsidR="00793572" w:rsidSect="00DD2BC4">
      <w:type w:val="continuous"/>
      <w:pgSz w:w="12240" w:h="15840"/>
      <w:pgMar w:top="1120" w:right="1300" w:bottom="1080" w:left="1340" w:header="871" w:footer="883" w:gutter="0"/>
      <w:pgNumType w:start="54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D4129" w14:textId="77777777" w:rsidR="00B23A2A" w:rsidRDefault="00B23A2A">
      <w:r>
        <w:separator/>
      </w:r>
    </w:p>
  </w:endnote>
  <w:endnote w:type="continuationSeparator" w:id="0">
    <w:p w14:paraId="636C7236" w14:textId="77777777" w:rsidR="00B23A2A" w:rsidRDefault="00B23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A653" w14:textId="77777777" w:rsidR="00A61B22" w:rsidRDefault="00A61B22">
    <w:pPr>
      <w:pStyle w:val="BodyText"/>
      <w:spacing w:line="14" w:lineRule="auto"/>
    </w:pPr>
  </w:p>
  <w:p w14:paraId="54A09C43" w14:textId="77777777" w:rsidR="00A61B22" w:rsidRDefault="00A61B22" w:rsidP="004C3EB3">
    <w:pPr>
      <w:spacing w:before="10"/>
      <w:ind w:left="20"/>
      <w:rPr>
        <w:b/>
        <w:color w:val="2D74B5"/>
        <w:sz w:val="20"/>
      </w:rPr>
    </w:pPr>
  </w:p>
  <w:p w14:paraId="30979593" w14:textId="0AD3FD79" w:rsidR="00DE75D0" w:rsidRDefault="00DE75D0" w:rsidP="00DE75D0">
    <w:pPr>
      <w:spacing w:before="10"/>
      <w:ind w:left="20"/>
      <w:rPr>
        <w:b/>
        <w:sz w:val="20"/>
      </w:rPr>
    </w:pPr>
    <w:r>
      <w:rPr>
        <w:b/>
        <w:color w:val="2D74B5"/>
        <w:sz w:val="20"/>
      </w:rPr>
      <w:t xml:space="preserve">               </w:t>
    </w:r>
  </w:p>
  <w:p w14:paraId="4251FD12" w14:textId="77777777" w:rsidR="00DE75D0" w:rsidRDefault="00DE75D0" w:rsidP="00DE75D0">
    <w:pPr>
      <w:pStyle w:val="BodyText"/>
      <w:spacing w:line="14" w:lineRule="auto"/>
    </w:pPr>
  </w:p>
  <w:p w14:paraId="5E667F1E" w14:textId="77777777" w:rsidR="00DE75D0" w:rsidRDefault="00DE75D0" w:rsidP="00DE75D0">
    <w:pPr>
      <w:pStyle w:val="BodyText"/>
      <w:spacing w:line="14" w:lineRule="auto"/>
    </w:pPr>
  </w:p>
  <w:p w14:paraId="1D278B1A" w14:textId="77777777" w:rsidR="00A61B22" w:rsidRDefault="00A61B22">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CF136" w14:textId="77777777" w:rsidR="00B23A2A" w:rsidRDefault="00B23A2A">
      <w:r>
        <w:separator/>
      </w:r>
    </w:p>
  </w:footnote>
  <w:footnote w:type="continuationSeparator" w:id="0">
    <w:p w14:paraId="7BA485AD" w14:textId="77777777" w:rsidR="00B23A2A" w:rsidRDefault="00B23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B734E" w14:textId="45FDFABB" w:rsidR="00A61B22" w:rsidRPr="00BC45BA" w:rsidRDefault="00672408" w:rsidP="00FB3EAC">
    <w:pPr>
      <w:tabs>
        <w:tab w:val="left" w:pos="7982"/>
        <w:tab w:val="left" w:pos="8041"/>
        <w:tab w:val="left" w:pos="8640"/>
      </w:tabs>
      <w:spacing w:before="10"/>
      <w:ind w:left="20"/>
      <w:rPr>
        <w:b/>
        <w:i/>
        <w:color w:val="2D74B6"/>
        <w:sz w:val="20"/>
        <w:lang w:val="pt-BR"/>
      </w:rPr>
    </w:pPr>
    <w:r w:rsidRPr="00672408">
      <w:rPr>
        <w:b/>
        <w:i/>
        <w:color w:val="2D74B5"/>
        <w:sz w:val="20"/>
        <w:lang w:val="pt-BR"/>
      </w:rPr>
      <w:t xml:space="preserve">J </w:t>
    </w:r>
    <w:r w:rsidR="00FA3E19">
      <w:rPr>
        <w:b/>
        <w:i/>
        <w:color w:val="2D74B5"/>
        <w:sz w:val="20"/>
        <w:lang w:val="pt-BR"/>
      </w:rPr>
      <w:t>Surg Res</w:t>
    </w:r>
    <w:r w:rsidRPr="00672408">
      <w:rPr>
        <w:b/>
        <w:i/>
        <w:color w:val="2D74B5"/>
        <w:sz w:val="20"/>
        <w:lang w:val="pt-BR"/>
      </w:rPr>
      <w:t xml:space="preserve"> 2026</w:t>
    </w:r>
    <w:r w:rsidR="00A61B22" w:rsidRPr="00BC45BA">
      <w:rPr>
        <w:b/>
        <w:i/>
        <w:color w:val="2D74B5"/>
        <w:sz w:val="20"/>
        <w:lang w:val="pt-BR"/>
      </w:rPr>
      <w:t>;</w:t>
    </w:r>
    <w:r>
      <w:rPr>
        <w:b/>
        <w:i/>
        <w:color w:val="2D74B5"/>
        <w:sz w:val="20"/>
        <w:lang w:val="pt-BR"/>
      </w:rPr>
      <w:t xml:space="preserve"> </w:t>
    </w:r>
    <w:r w:rsidR="00FA3E19">
      <w:rPr>
        <w:b/>
        <w:i/>
        <w:color w:val="2D74B5"/>
        <w:sz w:val="20"/>
        <w:lang w:val="pt-BR"/>
      </w:rPr>
      <w:t>9</w:t>
    </w:r>
    <w:r w:rsidR="009C4CB0" w:rsidRPr="00BC45BA">
      <w:rPr>
        <w:b/>
        <w:i/>
        <w:color w:val="2D74B5"/>
        <w:sz w:val="20"/>
        <w:lang w:val="pt-BR"/>
      </w:rPr>
      <w:t xml:space="preserve"> </w:t>
    </w:r>
    <w:r w:rsidR="00A61B22" w:rsidRPr="00BC45BA">
      <w:rPr>
        <w:b/>
        <w:i/>
        <w:color w:val="2D74B5"/>
        <w:sz w:val="20"/>
        <w:lang w:val="pt-BR"/>
      </w:rPr>
      <w:t>(</w:t>
    </w:r>
    <w:r w:rsidR="00FA3E19">
      <w:rPr>
        <w:b/>
        <w:i/>
        <w:color w:val="2D74B5"/>
        <w:sz w:val="20"/>
        <w:lang w:val="pt-BR"/>
      </w:rPr>
      <w:t>3</w:t>
    </w:r>
    <w:r w:rsidR="00A61B22" w:rsidRPr="00BC45BA">
      <w:rPr>
        <w:b/>
        <w:i/>
        <w:color w:val="2D74B5"/>
        <w:sz w:val="20"/>
        <w:lang w:val="pt-BR"/>
      </w:rPr>
      <w:t xml:space="preserve">): </w:t>
    </w:r>
    <w:r w:rsidR="00ED0717">
      <w:rPr>
        <w:b/>
        <w:i/>
        <w:color w:val="2D74B5"/>
        <w:sz w:val="20"/>
        <w:lang w:val="pt-BR"/>
      </w:rPr>
      <w:t>228</w:t>
    </w:r>
    <w:r w:rsidR="0073047D" w:rsidRPr="00BC45BA">
      <w:rPr>
        <w:b/>
        <w:i/>
        <w:color w:val="2D74B5"/>
        <w:sz w:val="20"/>
        <w:lang w:val="pt-BR"/>
      </w:rPr>
      <w:t>-</w:t>
    </w:r>
    <w:r w:rsidR="00ED0717">
      <w:rPr>
        <w:b/>
        <w:i/>
        <w:color w:val="2D74B5"/>
        <w:sz w:val="20"/>
        <w:lang w:val="pt-BR"/>
      </w:rPr>
      <w:t>237</w:t>
    </w:r>
    <w:r w:rsidR="005A450A" w:rsidRPr="00BC45BA">
      <w:rPr>
        <w:b/>
        <w:i/>
        <w:color w:val="2D74B5"/>
        <w:sz w:val="20"/>
        <w:lang w:val="pt-BR"/>
      </w:rPr>
      <w:t xml:space="preserve">                                                  </w:t>
    </w:r>
    <w:r w:rsidR="00FA3E19">
      <w:rPr>
        <w:b/>
        <w:i/>
        <w:color w:val="2D74B5"/>
        <w:sz w:val="20"/>
        <w:lang w:val="pt-BR"/>
      </w:rPr>
      <w:t xml:space="preserve">                                        </w:t>
    </w:r>
    <w:r w:rsidR="0073047D" w:rsidRPr="00BC45BA">
      <w:rPr>
        <w:b/>
        <w:i/>
        <w:color w:val="2D74B6"/>
        <w:sz w:val="20"/>
        <w:lang w:val="pt-BR"/>
      </w:rPr>
      <w:t>DOI:</w:t>
    </w:r>
    <w:r w:rsidRPr="00672408">
      <w:rPr>
        <w:b/>
        <w:i/>
        <w:color w:val="2D74B6"/>
        <w:sz w:val="20"/>
        <w:lang w:val="pt-BR"/>
      </w:rPr>
      <w:t>10.26502/j</w:t>
    </w:r>
    <w:r w:rsidR="00FA3E19">
      <w:rPr>
        <w:b/>
        <w:i/>
        <w:color w:val="2D74B6"/>
        <w:sz w:val="20"/>
        <w:lang w:val="pt-BR"/>
      </w:rPr>
      <w:t>sr</w:t>
    </w:r>
    <w:r w:rsidRPr="00672408">
      <w:rPr>
        <w:b/>
        <w:i/>
        <w:color w:val="2D74B6"/>
        <w:sz w:val="20"/>
        <w:lang w:val="pt-BR"/>
      </w:rPr>
      <w:t>.</w:t>
    </w:r>
    <w:r w:rsidR="00FA3E19" w:rsidRPr="00FA3E19">
      <w:rPr>
        <w:b/>
        <w:i/>
        <w:color w:val="2D74B6"/>
        <w:sz w:val="20"/>
        <w:lang w:val="pt-BR"/>
      </w:rPr>
      <w:t>100205</w:t>
    </w:r>
    <w:r w:rsidR="00ED0717">
      <w:rPr>
        <w:b/>
        <w:i/>
        <w:color w:val="2D74B6"/>
        <w:sz w:val="20"/>
        <w:lang w:val="pt-BR"/>
      </w:rPr>
      <w:t>11</w:t>
    </w:r>
  </w:p>
  <w:p w14:paraId="485379C9" w14:textId="77777777" w:rsidR="00A61B22" w:rsidRPr="00BC45BA" w:rsidRDefault="00A61B22" w:rsidP="00FB3EAC">
    <w:pPr>
      <w:tabs>
        <w:tab w:val="left" w:pos="7982"/>
        <w:tab w:val="left" w:pos="8041"/>
        <w:tab w:val="left" w:pos="8640"/>
      </w:tabs>
      <w:spacing w:before="10"/>
      <w:ind w:left="20"/>
      <w:rPr>
        <w:b/>
        <w:i/>
        <w:sz w:val="20"/>
        <w:lang w:val="pt-BR"/>
      </w:rPr>
    </w:pPr>
  </w:p>
  <w:p w14:paraId="4573F700" w14:textId="77777777" w:rsidR="00A61B22" w:rsidRPr="00BC45BA" w:rsidRDefault="00A61B22">
    <w:pPr>
      <w:pStyle w:val="BodyText"/>
      <w:spacing w:line="14" w:lineRule="aut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C5A4D"/>
    <w:multiLevelType w:val="multilevel"/>
    <w:tmpl w:val="05EC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A1B1B"/>
    <w:multiLevelType w:val="multilevel"/>
    <w:tmpl w:val="CF4414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7631A"/>
    <w:multiLevelType w:val="hybridMultilevel"/>
    <w:tmpl w:val="3E5480A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25F77A7"/>
    <w:multiLevelType w:val="multilevel"/>
    <w:tmpl w:val="4A5C3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964662"/>
    <w:multiLevelType w:val="hybridMultilevel"/>
    <w:tmpl w:val="CA5E1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6F7F4A"/>
    <w:multiLevelType w:val="hybridMultilevel"/>
    <w:tmpl w:val="5E48504A"/>
    <w:lvl w:ilvl="0" w:tplc="0F2A2F0C">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DE4EC5"/>
    <w:multiLevelType w:val="hybridMultilevel"/>
    <w:tmpl w:val="4852F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BF6D35"/>
    <w:multiLevelType w:val="hybridMultilevel"/>
    <w:tmpl w:val="973C3E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355116"/>
    <w:multiLevelType w:val="hybridMultilevel"/>
    <w:tmpl w:val="EF564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DB48EF"/>
    <w:multiLevelType w:val="hybridMultilevel"/>
    <w:tmpl w:val="9FE6C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1F4CAE"/>
    <w:multiLevelType w:val="hybridMultilevel"/>
    <w:tmpl w:val="F6D29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E16E32"/>
    <w:multiLevelType w:val="hybridMultilevel"/>
    <w:tmpl w:val="B62C44D6"/>
    <w:lvl w:ilvl="0" w:tplc="679AEDEA">
      <w:start w:val="1"/>
      <w:numFmt w:val="decimal"/>
      <w:lvlText w:val="%1."/>
      <w:lvlJc w:val="left"/>
      <w:pPr>
        <w:ind w:left="1215" w:hanging="85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0C56487"/>
    <w:multiLevelType w:val="hybridMultilevel"/>
    <w:tmpl w:val="83CEE798"/>
    <w:lvl w:ilvl="0" w:tplc="42343C1C">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46621C6"/>
    <w:multiLevelType w:val="hybridMultilevel"/>
    <w:tmpl w:val="D812C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A56A87"/>
    <w:multiLevelType w:val="hybridMultilevel"/>
    <w:tmpl w:val="2CE00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163A9E"/>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7EE56A11"/>
    <w:multiLevelType w:val="hybridMultilevel"/>
    <w:tmpl w:val="23168350"/>
    <w:lvl w:ilvl="0" w:tplc="FFFFFFFF">
      <w:start w:val="1"/>
      <w:numFmt w:val="decimal"/>
      <w:lvlText w:val="%1."/>
      <w:lvlJc w:val="left"/>
      <w:pPr>
        <w:ind w:left="720" w:hanging="360"/>
      </w:pPr>
    </w:lvl>
    <w:lvl w:ilvl="1" w:tplc="40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8857795">
    <w:abstractNumId w:val="5"/>
  </w:num>
  <w:num w:numId="2" w16cid:durableId="1121680042">
    <w:abstractNumId w:val="4"/>
  </w:num>
  <w:num w:numId="3" w16cid:durableId="1076823763">
    <w:abstractNumId w:val="13"/>
  </w:num>
  <w:num w:numId="4" w16cid:durableId="457071690">
    <w:abstractNumId w:val="14"/>
  </w:num>
  <w:num w:numId="5" w16cid:durableId="1023048440">
    <w:abstractNumId w:val="1"/>
  </w:num>
  <w:num w:numId="6" w16cid:durableId="771128294">
    <w:abstractNumId w:val="0"/>
  </w:num>
  <w:num w:numId="7" w16cid:durableId="1948148142">
    <w:abstractNumId w:val="15"/>
  </w:num>
  <w:num w:numId="8" w16cid:durableId="1425414631">
    <w:abstractNumId w:val="6"/>
  </w:num>
  <w:num w:numId="9" w16cid:durableId="349911627">
    <w:abstractNumId w:val="8"/>
  </w:num>
  <w:num w:numId="10" w16cid:durableId="156310889">
    <w:abstractNumId w:val="10"/>
  </w:num>
  <w:num w:numId="11" w16cid:durableId="1138182402">
    <w:abstractNumId w:val="9"/>
  </w:num>
  <w:num w:numId="12" w16cid:durableId="1226451733">
    <w:abstractNumId w:val="16"/>
  </w:num>
  <w:num w:numId="13" w16cid:durableId="1907691371">
    <w:abstractNumId w:val="12"/>
  </w:num>
  <w:num w:numId="14" w16cid:durableId="1981180648">
    <w:abstractNumId w:val="2"/>
  </w:num>
  <w:num w:numId="15" w16cid:durableId="1456295745">
    <w:abstractNumId w:val="7"/>
  </w:num>
  <w:num w:numId="16" w16cid:durableId="1486581301">
    <w:abstractNumId w:val="11"/>
  </w:num>
  <w:num w:numId="17" w16cid:durableId="53080090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FA6"/>
    <w:rsid w:val="000005F6"/>
    <w:rsid w:val="00001051"/>
    <w:rsid w:val="00001168"/>
    <w:rsid w:val="00001250"/>
    <w:rsid w:val="000016F7"/>
    <w:rsid w:val="000020EC"/>
    <w:rsid w:val="00002768"/>
    <w:rsid w:val="000027D0"/>
    <w:rsid w:val="00002934"/>
    <w:rsid w:val="00003B2C"/>
    <w:rsid w:val="00003C8C"/>
    <w:rsid w:val="00003DC4"/>
    <w:rsid w:val="00003E1B"/>
    <w:rsid w:val="00004139"/>
    <w:rsid w:val="0000435B"/>
    <w:rsid w:val="00004693"/>
    <w:rsid w:val="00004DF8"/>
    <w:rsid w:val="00005370"/>
    <w:rsid w:val="000056BF"/>
    <w:rsid w:val="00005DEA"/>
    <w:rsid w:val="00006A04"/>
    <w:rsid w:val="00006B31"/>
    <w:rsid w:val="00006E62"/>
    <w:rsid w:val="0000711C"/>
    <w:rsid w:val="00007E74"/>
    <w:rsid w:val="00010632"/>
    <w:rsid w:val="00010AB0"/>
    <w:rsid w:val="000117DC"/>
    <w:rsid w:val="00011D6C"/>
    <w:rsid w:val="00012630"/>
    <w:rsid w:val="00013233"/>
    <w:rsid w:val="000133CE"/>
    <w:rsid w:val="00014917"/>
    <w:rsid w:val="000168B8"/>
    <w:rsid w:val="00017015"/>
    <w:rsid w:val="00017332"/>
    <w:rsid w:val="00017554"/>
    <w:rsid w:val="0001775C"/>
    <w:rsid w:val="00020543"/>
    <w:rsid w:val="00020845"/>
    <w:rsid w:val="0002126E"/>
    <w:rsid w:val="00021F54"/>
    <w:rsid w:val="0002218F"/>
    <w:rsid w:val="0002232D"/>
    <w:rsid w:val="00025100"/>
    <w:rsid w:val="00025355"/>
    <w:rsid w:val="00025391"/>
    <w:rsid w:val="00025F6F"/>
    <w:rsid w:val="00026924"/>
    <w:rsid w:val="000272AF"/>
    <w:rsid w:val="000273E6"/>
    <w:rsid w:val="00027497"/>
    <w:rsid w:val="00027511"/>
    <w:rsid w:val="000275A1"/>
    <w:rsid w:val="000275BA"/>
    <w:rsid w:val="00031712"/>
    <w:rsid w:val="000319F3"/>
    <w:rsid w:val="00031AA4"/>
    <w:rsid w:val="00031CF3"/>
    <w:rsid w:val="000324BF"/>
    <w:rsid w:val="00032591"/>
    <w:rsid w:val="0003299D"/>
    <w:rsid w:val="00032D0D"/>
    <w:rsid w:val="00033910"/>
    <w:rsid w:val="0003401F"/>
    <w:rsid w:val="0003406F"/>
    <w:rsid w:val="000340A5"/>
    <w:rsid w:val="000342B5"/>
    <w:rsid w:val="0003431D"/>
    <w:rsid w:val="0003452A"/>
    <w:rsid w:val="00034563"/>
    <w:rsid w:val="00034AA8"/>
    <w:rsid w:val="00034F9E"/>
    <w:rsid w:val="00034FA1"/>
    <w:rsid w:val="00035AAB"/>
    <w:rsid w:val="00035ADA"/>
    <w:rsid w:val="0003632C"/>
    <w:rsid w:val="000364C9"/>
    <w:rsid w:val="00037AAB"/>
    <w:rsid w:val="00037C35"/>
    <w:rsid w:val="00037F00"/>
    <w:rsid w:val="00040CDF"/>
    <w:rsid w:val="00041271"/>
    <w:rsid w:val="000412DC"/>
    <w:rsid w:val="000414EA"/>
    <w:rsid w:val="00041903"/>
    <w:rsid w:val="000420AE"/>
    <w:rsid w:val="000421D2"/>
    <w:rsid w:val="00042223"/>
    <w:rsid w:val="00042DC7"/>
    <w:rsid w:val="000437D9"/>
    <w:rsid w:val="00043817"/>
    <w:rsid w:val="00043AE1"/>
    <w:rsid w:val="00043DE9"/>
    <w:rsid w:val="00044083"/>
    <w:rsid w:val="00044505"/>
    <w:rsid w:val="00044667"/>
    <w:rsid w:val="00044E00"/>
    <w:rsid w:val="00045773"/>
    <w:rsid w:val="00045C81"/>
    <w:rsid w:val="00045EBD"/>
    <w:rsid w:val="00046AB3"/>
    <w:rsid w:val="00047412"/>
    <w:rsid w:val="00047782"/>
    <w:rsid w:val="0004778C"/>
    <w:rsid w:val="000501B4"/>
    <w:rsid w:val="00050956"/>
    <w:rsid w:val="00050AF4"/>
    <w:rsid w:val="00050EC6"/>
    <w:rsid w:val="00051555"/>
    <w:rsid w:val="000515C3"/>
    <w:rsid w:val="00051AE5"/>
    <w:rsid w:val="00051CCB"/>
    <w:rsid w:val="00052352"/>
    <w:rsid w:val="00052564"/>
    <w:rsid w:val="00052823"/>
    <w:rsid w:val="00052CDB"/>
    <w:rsid w:val="00052CEC"/>
    <w:rsid w:val="000532CD"/>
    <w:rsid w:val="00053501"/>
    <w:rsid w:val="00053D34"/>
    <w:rsid w:val="000544AE"/>
    <w:rsid w:val="0005480D"/>
    <w:rsid w:val="00054848"/>
    <w:rsid w:val="00054AF1"/>
    <w:rsid w:val="00054F98"/>
    <w:rsid w:val="000551CE"/>
    <w:rsid w:val="00055925"/>
    <w:rsid w:val="000559A6"/>
    <w:rsid w:val="00055DCF"/>
    <w:rsid w:val="00055F21"/>
    <w:rsid w:val="0005696A"/>
    <w:rsid w:val="00056A44"/>
    <w:rsid w:val="00056B56"/>
    <w:rsid w:val="0005700E"/>
    <w:rsid w:val="00057067"/>
    <w:rsid w:val="00057635"/>
    <w:rsid w:val="0005764C"/>
    <w:rsid w:val="00057E34"/>
    <w:rsid w:val="000608BB"/>
    <w:rsid w:val="00060D32"/>
    <w:rsid w:val="000619FD"/>
    <w:rsid w:val="00061EED"/>
    <w:rsid w:val="00062221"/>
    <w:rsid w:val="0006387B"/>
    <w:rsid w:val="00063CC5"/>
    <w:rsid w:val="00064136"/>
    <w:rsid w:val="00064653"/>
    <w:rsid w:val="00064854"/>
    <w:rsid w:val="00064B34"/>
    <w:rsid w:val="00064E7D"/>
    <w:rsid w:val="000653B3"/>
    <w:rsid w:val="000654F5"/>
    <w:rsid w:val="00066249"/>
    <w:rsid w:val="00066399"/>
    <w:rsid w:val="00066BD1"/>
    <w:rsid w:val="00066CD9"/>
    <w:rsid w:val="00072BD4"/>
    <w:rsid w:val="00073E68"/>
    <w:rsid w:val="00074619"/>
    <w:rsid w:val="00074851"/>
    <w:rsid w:val="00074AB8"/>
    <w:rsid w:val="000750D7"/>
    <w:rsid w:val="00075765"/>
    <w:rsid w:val="00075B97"/>
    <w:rsid w:val="00075F6B"/>
    <w:rsid w:val="00076DA5"/>
    <w:rsid w:val="00076E35"/>
    <w:rsid w:val="000775E6"/>
    <w:rsid w:val="000802E1"/>
    <w:rsid w:val="00080ED1"/>
    <w:rsid w:val="0008155D"/>
    <w:rsid w:val="00082779"/>
    <w:rsid w:val="00083240"/>
    <w:rsid w:val="00084276"/>
    <w:rsid w:val="000866DD"/>
    <w:rsid w:val="00090D2A"/>
    <w:rsid w:val="000913B9"/>
    <w:rsid w:val="00091D52"/>
    <w:rsid w:val="00092391"/>
    <w:rsid w:val="0009320B"/>
    <w:rsid w:val="00093317"/>
    <w:rsid w:val="00093791"/>
    <w:rsid w:val="00093B6E"/>
    <w:rsid w:val="0009472E"/>
    <w:rsid w:val="00094A35"/>
    <w:rsid w:val="00094A76"/>
    <w:rsid w:val="00095666"/>
    <w:rsid w:val="00095897"/>
    <w:rsid w:val="000958B9"/>
    <w:rsid w:val="00095EFF"/>
    <w:rsid w:val="00096170"/>
    <w:rsid w:val="00096627"/>
    <w:rsid w:val="00097D1D"/>
    <w:rsid w:val="000A0A2E"/>
    <w:rsid w:val="000A1FF0"/>
    <w:rsid w:val="000A2F15"/>
    <w:rsid w:val="000A2FD7"/>
    <w:rsid w:val="000A39EC"/>
    <w:rsid w:val="000A3DEE"/>
    <w:rsid w:val="000A3F34"/>
    <w:rsid w:val="000A3FBB"/>
    <w:rsid w:val="000A5F72"/>
    <w:rsid w:val="000A651B"/>
    <w:rsid w:val="000A6704"/>
    <w:rsid w:val="000A6923"/>
    <w:rsid w:val="000A6CB9"/>
    <w:rsid w:val="000A7183"/>
    <w:rsid w:val="000A7303"/>
    <w:rsid w:val="000A7CA2"/>
    <w:rsid w:val="000B01E9"/>
    <w:rsid w:val="000B1152"/>
    <w:rsid w:val="000B1186"/>
    <w:rsid w:val="000B14A5"/>
    <w:rsid w:val="000B18AB"/>
    <w:rsid w:val="000B1D2C"/>
    <w:rsid w:val="000B1F06"/>
    <w:rsid w:val="000B30B6"/>
    <w:rsid w:val="000B3463"/>
    <w:rsid w:val="000B3555"/>
    <w:rsid w:val="000B3B32"/>
    <w:rsid w:val="000B4CAC"/>
    <w:rsid w:val="000B52A3"/>
    <w:rsid w:val="000B54C7"/>
    <w:rsid w:val="000B582A"/>
    <w:rsid w:val="000B5AA6"/>
    <w:rsid w:val="000B5CEA"/>
    <w:rsid w:val="000B5ED6"/>
    <w:rsid w:val="000B6A6D"/>
    <w:rsid w:val="000B7A66"/>
    <w:rsid w:val="000B7D6E"/>
    <w:rsid w:val="000C0564"/>
    <w:rsid w:val="000C0F6E"/>
    <w:rsid w:val="000C2581"/>
    <w:rsid w:val="000C25C0"/>
    <w:rsid w:val="000C2745"/>
    <w:rsid w:val="000C2766"/>
    <w:rsid w:val="000C2958"/>
    <w:rsid w:val="000C305B"/>
    <w:rsid w:val="000C345A"/>
    <w:rsid w:val="000C3695"/>
    <w:rsid w:val="000C41C4"/>
    <w:rsid w:val="000C470A"/>
    <w:rsid w:val="000C59BD"/>
    <w:rsid w:val="000C65CF"/>
    <w:rsid w:val="000C68BA"/>
    <w:rsid w:val="000D0E32"/>
    <w:rsid w:val="000D1308"/>
    <w:rsid w:val="000D2168"/>
    <w:rsid w:val="000D231A"/>
    <w:rsid w:val="000D28F1"/>
    <w:rsid w:val="000D32E8"/>
    <w:rsid w:val="000D3566"/>
    <w:rsid w:val="000D473C"/>
    <w:rsid w:val="000D47DC"/>
    <w:rsid w:val="000D5F71"/>
    <w:rsid w:val="000D6B83"/>
    <w:rsid w:val="000D6EA5"/>
    <w:rsid w:val="000D7048"/>
    <w:rsid w:val="000E04A8"/>
    <w:rsid w:val="000E0D98"/>
    <w:rsid w:val="000E13D8"/>
    <w:rsid w:val="000E1982"/>
    <w:rsid w:val="000E1F46"/>
    <w:rsid w:val="000E2295"/>
    <w:rsid w:val="000E24F7"/>
    <w:rsid w:val="000E3A17"/>
    <w:rsid w:val="000E45C3"/>
    <w:rsid w:val="000E45CD"/>
    <w:rsid w:val="000E4A4F"/>
    <w:rsid w:val="000E66BE"/>
    <w:rsid w:val="000E6753"/>
    <w:rsid w:val="000E68EA"/>
    <w:rsid w:val="000E6B1F"/>
    <w:rsid w:val="000E6B3C"/>
    <w:rsid w:val="000E6B4F"/>
    <w:rsid w:val="000E732F"/>
    <w:rsid w:val="000E7C9F"/>
    <w:rsid w:val="000F05D5"/>
    <w:rsid w:val="000F0748"/>
    <w:rsid w:val="000F082A"/>
    <w:rsid w:val="000F08C0"/>
    <w:rsid w:val="000F15D3"/>
    <w:rsid w:val="000F2DE5"/>
    <w:rsid w:val="000F3374"/>
    <w:rsid w:val="000F389C"/>
    <w:rsid w:val="000F38E6"/>
    <w:rsid w:val="000F39F4"/>
    <w:rsid w:val="000F4035"/>
    <w:rsid w:val="000F441E"/>
    <w:rsid w:val="000F52EB"/>
    <w:rsid w:val="000F5DB4"/>
    <w:rsid w:val="000F66CB"/>
    <w:rsid w:val="000F6B45"/>
    <w:rsid w:val="000F6D83"/>
    <w:rsid w:val="000F6F2D"/>
    <w:rsid w:val="000F74F5"/>
    <w:rsid w:val="00100D30"/>
    <w:rsid w:val="00101BBC"/>
    <w:rsid w:val="00102743"/>
    <w:rsid w:val="00102A84"/>
    <w:rsid w:val="0010339C"/>
    <w:rsid w:val="00104590"/>
    <w:rsid w:val="00104764"/>
    <w:rsid w:val="00104829"/>
    <w:rsid w:val="0010485D"/>
    <w:rsid w:val="00104B09"/>
    <w:rsid w:val="00104FB1"/>
    <w:rsid w:val="00105235"/>
    <w:rsid w:val="001069AE"/>
    <w:rsid w:val="00107155"/>
    <w:rsid w:val="0010730D"/>
    <w:rsid w:val="0010767F"/>
    <w:rsid w:val="001100E6"/>
    <w:rsid w:val="001110AA"/>
    <w:rsid w:val="001110F3"/>
    <w:rsid w:val="00111893"/>
    <w:rsid w:val="0011202F"/>
    <w:rsid w:val="001122BC"/>
    <w:rsid w:val="001128B8"/>
    <w:rsid w:val="00112AC4"/>
    <w:rsid w:val="0011301C"/>
    <w:rsid w:val="001136FB"/>
    <w:rsid w:val="00113883"/>
    <w:rsid w:val="001138A6"/>
    <w:rsid w:val="00113E49"/>
    <w:rsid w:val="00113FBF"/>
    <w:rsid w:val="001141E8"/>
    <w:rsid w:val="00114581"/>
    <w:rsid w:val="0011499B"/>
    <w:rsid w:val="001151E7"/>
    <w:rsid w:val="001152A8"/>
    <w:rsid w:val="0011536A"/>
    <w:rsid w:val="00115377"/>
    <w:rsid w:val="001154AA"/>
    <w:rsid w:val="0011613B"/>
    <w:rsid w:val="00117056"/>
    <w:rsid w:val="00117375"/>
    <w:rsid w:val="00117450"/>
    <w:rsid w:val="00117DAF"/>
    <w:rsid w:val="0012052E"/>
    <w:rsid w:val="001230FF"/>
    <w:rsid w:val="001237C8"/>
    <w:rsid w:val="00123A5D"/>
    <w:rsid w:val="001241D2"/>
    <w:rsid w:val="001247B3"/>
    <w:rsid w:val="001248A7"/>
    <w:rsid w:val="00124DA6"/>
    <w:rsid w:val="00125B59"/>
    <w:rsid w:val="00125CF8"/>
    <w:rsid w:val="0012672A"/>
    <w:rsid w:val="00126BB5"/>
    <w:rsid w:val="00126C8F"/>
    <w:rsid w:val="00127187"/>
    <w:rsid w:val="00127759"/>
    <w:rsid w:val="00127813"/>
    <w:rsid w:val="001279D0"/>
    <w:rsid w:val="00127DB1"/>
    <w:rsid w:val="00130520"/>
    <w:rsid w:val="001307CD"/>
    <w:rsid w:val="0013122D"/>
    <w:rsid w:val="001313A6"/>
    <w:rsid w:val="001329C2"/>
    <w:rsid w:val="00132BEC"/>
    <w:rsid w:val="001340E9"/>
    <w:rsid w:val="00134117"/>
    <w:rsid w:val="00135789"/>
    <w:rsid w:val="00135CF1"/>
    <w:rsid w:val="00135F4D"/>
    <w:rsid w:val="001363F6"/>
    <w:rsid w:val="00136C37"/>
    <w:rsid w:val="00140B3B"/>
    <w:rsid w:val="00140E92"/>
    <w:rsid w:val="001417FE"/>
    <w:rsid w:val="00141B60"/>
    <w:rsid w:val="00141DE9"/>
    <w:rsid w:val="00142779"/>
    <w:rsid w:val="001429EF"/>
    <w:rsid w:val="00142C01"/>
    <w:rsid w:val="00143CF6"/>
    <w:rsid w:val="001452EA"/>
    <w:rsid w:val="00145450"/>
    <w:rsid w:val="00146965"/>
    <w:rsid w:val="00146D90"/>
    <w:rsid w:val="00146F64"/>
    <w:rsid w:val="00147CB1"/>
    <w:rsid w:val="00147F4F"/>
    <w:rsid w:val="001505BD"/>
    <w:rsid w:val="00150676"/>
    <w:rsid w:val="00150A7D"/>
    <w:rsid w:val="00150F59"/>
    <w:rsid w:val="00151D55"/>
    <w:rsid w:val="00151DDA"/>
    <w:rsid w:val="00151FAA"/>
    <w:rsid w:val="00152852"/>
    <w:rsid w:val="00152D6D"/>
    <w:rsid w:val="00153293"/>
    <w:rsid w:val="00153944"/>
    <w:rsid w:val="00154A64"/>
    <w:rsid w:val="00154E2B"/>
    <w:rsid w:val="001553DA"/>
    <w:rsid w:val="00155B5C"/>
    <w:rsid w:val="0015613F"/>
    <w:rsid w:val="001563E4"/>
    <w:rsid w:val="0015640B"/>
    <w:rsid w:val="00156AED"/>
    <w:rsid w:val="00156D77"/>
    <w:rsid w:val="001573FD"/>
    <w:rsid w:val="00157DF5"/>
    <w:rsid w:val="00160255"/>
    <w:rsid w:val="00160B10"/>
    <w:rsid w:val="00160B36"/>
    <w:rsid w:val="00160EF3"/>
    <w:rsid w:val="001616CD"/>
    <w:rsid w:val="001619C6"/>
    <w:rsid w:val="00161D5E"/>
    <w:rsid w:val="00161D75"/>
    <w:rsid w:val="00161EFF"/>
    <w:rsid w:val="00161FD3"/>
    <w:rsid w:val="00162854"/>
    <w:rsid w:val="001628F4"/>
    <w:rsid w:val="00162A6B"/>
    <w:rsid w:val="00162FC1"/>
    <w:rsid w:val="00163BD8"/>
    <w:rsid w:val="00164990"/>
    <w:rsid w:val="00164B87"/>
    <w:rsid w:val="00164EBC"/>
    <w:rsid w:val="00164EC4"/>
    <w:rsid w:val="001657DC"/>
    <w:rsid w:val="00166024"/>
    <w:rsid w:val="00166170"/>
    <w:rsid w:val="00167156"/>
    <w:rsid w:val="0016725F"/>
    <w:rsid w:val="00167E1C"/>
    <w:rsid w:val="0017053D"/>
    <w:rsid w:val="00170AB3"/>
    <w:rsid w:val="00171CB9"/>
    <w:rsid w:val="001725FB"/>
    <w:rsid w:val="00172E90"/>
    <w:rsid w:val="00173617"/>
    <w:rsid w:val="00173E7B"/>
    <w:rsid w:val="001740AE"/>
    <w:rsid w:val="00174188"/>
    <w:rsid w:val="001743C3"/>
    <w:rsid w:val="001745B4"/>
    <w:rsid w:val="00174A69"/>
    <w:rsid w:val="00175392"/>
    <w:rsid w:val="00175B70"/>
    <w:rsid w:val="00176166"/>
    <w:rsid w:val="001761E4"/>
    <w:rsid w:val="0017714F"/>
    <w:rsid w:val="0017734F"/>
    <w:rsid w:val="001801FF"/>
    <w:rsid w:val="00180839"/>
    <w:rsid w:val="0018101C"/>
    <w:rsid w:val="001812D2"/>
    <w:rsid w:val="001821D2"/>
    <w:rsid w:val="00182A07"/>
    <w:rsid w:val="00182A33"/>
    <w:rsid w:val="00182D2D"/>
    <w:rsid w:val="00183EAD"/>
    <w:rsid w:val="00183F8A"/>
    <w:rsid w:val="001841ED"/>
    <w:rsid w:val="00184CE7"/>
    <w:rsid w:val="00184E7B"/>
    <w:rsid w:val="0018515D"/>
    <w:rsid w:val="001851A4"/>
    <w:rsid w:val="0018528B"/>
    <w:rsid w:val="00185639"/>
    <w:rsid w:val="001859B6"/>
    <w:rsid w:val="00185ADD"/>
    <w:rsid w:val="00185CA7"/>
    <w:rsid w:val="00186A19"/>
    <w:rsid w:val="00186FE2"/>
    <w:rsid w:val="00190151"/>
    <w:rsid w:val="001910D7"/>
    <w:rsid w:val="0019127F"/>
    <w:rsid w:val="00192528"/>
    <w:rsid w:val="00192A05"/>
    <w:rsid w:val="00192F52"/>
    <w:rsid w:val="00194206"/>
    <w:rsid w:val="0019461D"/>
    <w:rsid w:val="0019474E"/>
    <w:rsid w:val="001949EF"/>
    <w:rsid w:val="00194B93"/>
    <w:rsid w:val="00195648"/>
    <w:rsid w:val="00195951"/>
    <w:rsid w:val="00196D45"/>
    <w:rsid w:val="00197597"/>
    <w:rsid w:val="00197651"/>
    <w:rsid w:val="001978F1"/>
    <w:rsid w:val="00197E41"/>
    <w:rsid w:val="001A0745"/>
    <w:rsid w:val="001A0906"/>
    <w:rsid w:val="001A0B25"/>
    <w:rsid w:val="001A14BB"/>
    <w:rsid w:val="001A17F9"/>
    <w:rsid w:val="001A2C1F"/>
    <w:rsid w:val="001A3D29"/>
    <w:rsid w:val="001A3FAD"/>
    <w:rsid w:val="001A4579"/>
    <w:rsid w:val="001A55EC"/>
    <w:rsid w:val="001A5A44"/>
    <w:rsid w:val="001A5EE5"/>
    <w:rsid w:val="001A626D"/>
    <w:rsid w:val="001A651C"/>
    <w:rsid w:val="001A677B"/>
    <w:rsid w:val="001A7054"/>
    <w:rsid w:val="001A74C2"/>
    <w:rsid w:val="001A7B47"/>
    <w:rsid w:val="001B0452"/>
    <w:rsid w:val="001B0AD0"/>
    <w:rsid w:val="001B0D67"/>
    <w:rsid w:val="001B0DA1"/>
    <w:rsid w:val="001B21B7"/>
    <w:rsid w:val="001B2D52"/>
    <w:rsid w:val="001B2E0E"/>
    <w:rsid w:val="001B2E63"/>
    <w:rsid w:val="001B2EBD"/>
    <w:rsid w:val="001B3213"/>
    <w:rsid w:val="001B344A"/>
    <w:rsid w:val="001B3561"/>
    <w:rsid w:val="001B45E9"/>
    <w:rsid w:val="001B5440"/>
    <w:rsid w:val="001B65E4"/>
    <w:rsid w:val="001B6D0B"/>
    <w:rsid w:val="001B7ECD"/>
    <w:rsid w:val="001B7EEE"/>
    <w:rsid w:val="001C029F"/>
    <w:rsid w:val="001C07E7"/>
    <w:rsid w:val="001C10A9"/>
    <w:rsid w:val="001C15D0"/>
    <w:rsid w:val="001C1845"/>
    <w:rsid w:val="001C1FC7"/>
    <w:rsid w:val="001C24BA"/>
    <w:rsid w:val="001C2573"/>
    <w:rsid w:val="001C27F0"/>
    <w:rsid w:val="001C2B68"/>
    <w:rsid w:val="001C30D2"/>
    <w:rsid w:val="001C3CF6"/>
    <w:rsid w:val="001C40D1"/>
    <w:rsid w:val="001C42D4"/>
    <w:rsid w:val="001C43C5"/>
    <w:rsid w:val="001C5E5D"/>
    <w:rsid w:val="001C5E7D"/>
    <w:rsid w:val="001C6160"/>
    <w:rsid w:val="001C69CC"/>
    <w:rsid w:val="001C6AA2"/>
    <w:rsid w:val="001C6B55"/>
    <w:rsid w:val="001C6C02"/>
    <w:rsid w:val="001C72D7"/>
    <w:rsid w:val="001C7851"/>
    <w:rsid w:val="001C786D"/>
    <w:rsid w:val="001D15EE"/>
    <w:rsid w:val="001D2310"/>
    <w:rsid w:val="001D23AC"/>
    <w:rsid w:val="001D23C5"/>
    <w:rsid w:val="001D3573"/>
    <w:rsid w:val="001D3E15"/>
    <w:rsid w:val="001D5A76"/>
    <w:rsid w:val="001D5B2D"/>
    <w:rsid w:val="001D5BFB"/>
    <w:rsid w:val="001D5F85"/>
    <w:rsid w:val="001D6AAF"/>
    <w:rsid w:val="001D6DE4"/>
    <w:rsid w:val="001D7127"/>
    <w:rsid w:val="001E04D2"/>
    <w:rsid w:val="001E1475"/>
    <w:rsid w:val="001E15E4"/>
    <w:rsid w:val="001E2AA1"/>
    <w:rsid w:val="001E310C"/>
    <w:rsid w:val="001E32EB"/>
    <w:rsid w:val="001E3395"/>
    <w:rsid w:val="001E498F"/>
    <w:rsid w:val="001E4AC6"/>
    <w:rsid w:val="001E4B92"/>
    <w:rsid w:val="001E4B93"/>
    <w:rsid w:val="001E4C60"/>
    <w:rsid w:val="001E4CEF"/>
    <w:rsid w:val="001E5176"/>
    <w:rsid w:val="001E55FA"/>
    <w:rsid w:val="001E5ADF"/>
    <w:rsid w:val="001E5D15"/>
    <w:rsid w:val="001E628D"/>
    <w:rsid w:val="001E64FE"/>
    <w:rsid w:val="001E6C30"/>
    <w:rsid w:val="001E6F06"/>
    <w:rsid w:val="001E7729"/>
    <w:rsid w:val="001E78B5"/>
    <w:rsid w:val="001E7A05"/>
    <w:rsid w:val="001E7A51"/>
    <w:rsid w:val="001E7DD7"/>
    <w:rsid w:val="001F02BB"/>
    <w:rsid w:val="001F0D52"/>
    <w:rsid w:val="001F17FD"/>
    <w:rsid w:val="001F2151"/>
    <w:rsid w:val="001F2629"/>
    <w:rsid w:val="001F3D74"/>
    <w:rsid w:val="001F405B"/>
    <w:rsid w:val="001F5F61"/>
    <w:rsid w:val="001F68B4"/>
    <w:rsid w:val="001F6D39"/>
    <w:rsid w:val="001F758E"/>
    <w:rsid w:val="00200D3B"/>
    <w:rsid w:val="00201245"/>
    <w:rsid w:val="002013B4"/>
    <w:rsid w:val="00201623"/>
    <w:rsid w:val="002018B8"/>
    <w:rsid w:val="002018D5"/>
    <w:rsid w:val="00204093"/>
    <w:rsid w:val="00204A9A"/>
    <w:rsid w:val="00204DA7"/>
    <w:rsid w:val="0020593A"/>
    <w:rsid w:val="00205AD2"/>
    <w:rsid w:val="00205EC5"/>
    <w:rsid w:val="0020651E"/>
    <w:rsid w:val="00206711"/>
    <w:rsid w:val="00206F14"/>
    <w:rsid w:val="00210CA3"/>
    <w:rsid w:val="00210E21"/>
    <w:rsid w:val="00211441"/>
    <w:rsid w:val="00211472"/>
    <w:rsid w:val="002116EA"/>
    <w:rsid w:val="00211AA2"/>
    <w:rsid w:val="00213260"/>
    <w:rsid w:val="00213AFC"/>
    <w:rsid w:val="00213ED9"/>
    <w:rsid w:val="00213FB0"/>
    <w:rsid w:val="00214D54"/>
    <w:rsid w:val="0021655C"/>
    <w:rsid w:val="00216795"/>
    <w:rsid w:val="002173B3"/>
    <w:rsid w:val="002179BF"/>
    <w:rsid w:val="00217B26"/>
    <w:rsid w:val="00217B30"/>
    <w:rsid w:val="0022021C"/>
    <w:rsid w:val="002205CB"/>
    <w:rsid w:val="00220A9F"/>
    <w:rsid w:val="0022159D"/>
    <w:rsid w:val="002215C2"/>
    <w:rsid w:val="002227A4"/>
    <w:rsid w:val="00222A45"/>
    <w:rsid w:val="00222DC8"/>
    <w:rsid w:val="0022307C"/>
    <w:rsid w:val="00223BA3"/>
    <w:rsid w:val="00223BC9"/>
    <w:rsid w:val="00223D89"/>
    <w:rsid w:val="00224548"/>
    <w:rsid w:val="00224593"/>
    <w:rsid w:val="0022465A"/>
    <w:rsid w:val="0022583A"/>
    <w:rsid w:val="00226A81"/>
    <w:rsid w:val="0022743F"/>
    <w:rsid w:val="00227B1F"/>
    <w:rsid w:val="002309E9"/>
    <w:rsid w:val="002311FE"/>
    <w:rsid w:val="00233A8D"/>
    <w:rsid w:val="00234401"/>
    <w:rsid w:val="00234745"/>
    <w:rsid w:val="002354A7"/>
    <w:rsid w:val="00236660"/>
    <w:rsid w:val="00236B05"/>
    <w:rsid w:val="00236F8B"/>
    <w:rsid w:val="002370DA"/>
    <w:rsid w:val="002376D6"/>
    <w:rsid w:val="00237EA5"/>
    <w:rsid w:val="00240212"/>
    <w:rsid w:val="00240448"/>
    <w:rsid w:val="0024092A"/>
    <w:rsid w:val="00240ADC"/>
    <w:rsid w:val="00240D53"/>
    <w:rsid w:val="002416F4"/>
    <w:rsid w:val="002425BD"/>
    <w:rsid w:val="00242731"/>
    <w:rsid w:val="00242B2C"/>
    <w:rsid w:val="00242DA1"/>
    <w:rsid w:val="0024376F"/>
    <w:rsid w:val="002439A5"/>
    <w:rsid w:val="00243C03"/>
    <w:rsid w:val="00243EAC"/>
    <w:rsid w:val="0024409C"/>
    <w:rsid w:val="00244C86"/>
    <w:rsid w:val="00244F24"/>
    <w:rsid w:val="00245F1C"/>
    <w:rsid w:val="00246BFD"/>
    <w:rsid w:val="00246C61"/>
    <w:rsid w:val="00246C83"/>
    <w:rsid w:val="00246DCF"/>
    <w:rsid w:val="00246EF4"/>
    <w:rsid w:val="0024751E"/>
    <w:rsid w:val="0024770E"/>
    <w:rsid w:val="002477E6"/>
    <w:rsid w:val="0025011F"/>
    <w:rsid w:val="00250A58"/>
    <w:rsid w:val="00250CC0"/>
    <w:rsid w:val="00250D20"/>
    <w:rsid w:val="00250D30"/>
    <w:rsid w:val="00251361"/>
    <w:rsid w:val="002514FE"/>
    <w:rsid w:val="00251843"/>
    <w:rsid w:val="002518B4"/>
    <w:rsid w:val="00252B10"/>
    <w:rsid w:val="00253A37"/>
    <w:rsid w:val="00253FD8"/>
    <w:rsid w:val="0025400E"/>
    <w:rsid w:val="002542A6"/>
    <w:rsid w:val="00255285"/>
    <w:rsid w:val="002553FE"/>
    <w:rsid w:val="00256806"/>
    <w:rsid w:val="00260167"/>
    <w:rsid w:val="0026028D"/>
    <w:rsid w:val="00260332"/>
    <w:rsid w:val="0026056F"/>
    <w:rsid w:val="00260710"/>
    <w:rsid w:val="002608D3"/>
    <w:rsid w:val="002615DD"/>
    <w:rsid w:val="00261627"/>
    <w:rsid w:val="002618E7"/>
    <w:rsid w:val="00261DDE"/>
    <w:rsid w:val="00262751"/>
    <w:rsid w:val="00262CF4"/>
    <w:rsid w:val="0026460E"/>
    <w:rsid w:val="00264C72"/>
    <w:rsid w:val="0026504B"/>
    <w:rsid w:val="00265D73"/>
    <w:rsid w:val="00266D74"/>
    <w:rsid w:val="00266EE0"/>
    <w:rsid w:val="0026768B"/>
    <w:rsid w:val="002706C1"/>
    <w:rsid w:val="00270798"/>
    <w:rsid w:val="0027104C"/>
    <w:rsid w:val="00271710"/>
    <w:rsid w:val="00271B83"/>
    <w:rsid w:val="00272169"/>
    <w:rsid w:val="00272877"/>
    <w:rsid w:val="00273064"/>
    <w:rsid w:val="00273B24"/>
    <w:rsid w:val="00273BD2"/>
    <w:rsid w:val="00273F74"/>
    <w:rsid w:val="00273FEC"/>
    <w:rsid w:val="00274064"/>
    <w:rsid w:val="00274542"/>
    <w:rsid w:val="00274985"/>
    <w:rsid w:val="002749C4"/>
    <w:rsid w:val="00274BBE"/>
    <w:rsid w:val="00275625"/>
    <w:rsid w:val="00275AE3"/>
    <w:rsid w:val="00276018"/>
    <w:rsid w:val="002763EB"/>
    <w:rsid w:val="002774A2"/>
    <w:rsid w:val="00277828"/>
    <w:rsid w:val="00277C66"/>
    <w:rsid w:val="00280636"/>
    <w:rsid w:val="0028255D"/>
    <w:rsid w:val="00282724"/>
    <w:rsid w:val="00282801"/>
    <w:rsid w:val="002828D6"/>
    <w:rsid w:val="002830FE"/>
    <w:rsid w:val="00283225"/>
    <w:rsid w:val="002836D5"/>
    <w:rsid w:val="002837C5"/>
    <w:rsid w:val="00284836"/>
    <w:rsid w:val="00284F28"/>
    <w:rsid w:val="0028656A"/>
    <w:rsid w:val="00286FF6"/>
    <w:rsid w:val="002870B5"/>
    <w:rsid w:val="00287306"/>
    <w:rsid w:val="00287309"/>
    <w:rsid w:val="0028773F"/>
    <w:rsid w:val="00287995"/>
    <w:rsid w:val="00287AE5"/>
    <w:rsid w:val="00290278"/>
    <w:rsid w:val="00291681"/>
    <w:rsid w:val="00291E12"/>
    <w:rsid w:val="00291EBF"/>
    <w:rsid w:val="00292A65"/>
    <w:rsid w:val="00292BF0"/>
    <w:rsid w:val="002931A6"/>
    <w:rsid w:val="00293A61"/>
    <w:rsid w:val="00294132"/>
    <w:rsid w:val="0029507C"/>
    <w:rsid w:val="00295957"/>
    <w:rsid w:val="00296132"/>
    <w:rsid w:val="00296AE3"/>
    <w:rsid w:val="00296CDB"/>
    <w:rsid w:val="00297075"/>
    <w:rsid w:val="002970A9"/>
    <w:rsid w:val="002971C4"/>
    <w:rsid w:val="002973C4"/>
    <w:rsid w:val="00297619"/>
    <w:rsid w:val="00297AB0"/>
    <w:rsid w:val="00297E25"/>
    <w:rsid w:val="002A0175"/>
    <w:rsid w:val="002A01DF"/>
    <w:rsid w:val="002A022B"/>
    <w:rsid w:val="002A0C7B"/>
    <w:rsid w:val="002A11C8"/>
    <w:rsid w:val="002A1A14"/>
    <w:rsid w:val="002A2384"/>
    <w:rsid w:val="002A2673"/>
    <w:rsid w:val="002A26D8"/>
    <w:rsid w:val="002A2854"/>
    <w:rsid w:val="002A3E9A"/>
    <w:rsid w:val="002A441C"/>
    <w:rsid w:val="002A4EFB"/>
    <w:rsid w:val="002A53EE"/>
    <w:rsid w:val="002A53FB"/>
    <w:rsid w:val="002A58E4"/>
    <w:rsid w:val="002A5D56"/>
    <w:rsid w:val="002A5E27"/>
    <w:rsid w:val="002A5E52"/>
    <w:rsid w:val="002A5E8D"/>
    <w:rsid w:val="002A659D"/>
    <w:rsid w:val="002A7684"/>
    <w:rsid w:val="002A7848"/>
    <w:rsid w:val="002A7926"/>
    <w:rsid w:val="002A7A20"/>
    <w:rsid w:val="002B0950"/>
    <w:rsid w:val="002B1478"/>
    <w:rsid w:val="002B17D9"/>
    <w:rsid w:val="002B23A3"/>
    <w:rsid w:val="002B245D"/>
    <w:rsid w:val="002B2DF3"/>
    <w:rsid w:val="002B2DF9"/>
    <w:rsid w:val="002B3801"/>
    <w:rsid w:val="002B3A31"/>
    <w:rsid w:val="002B3B5A"/>
    <w:rsid w:val="002B48B7"/>
    <w:rsid w:val="002B4C8B"/>
    <w:rsid w:val="002B4D26"/>
    <w:rsid w:val="002B5EC3"/>
    <w:rsid w:val="002B6544"/>
    <w:rsid w:val="002B6580"/>
    <w:rsid w:val="002B6C78"/>
    <w:rsid w:val="002B6E0C"/>
    <w:rsid w:val="002B709F"/>
    <w:rsid w:val="002B74ED"/>
    <w:rsid w:val="002B75F4"/>
    <w:rsid w:val="002B7609"/>
    <w:rsid w:val="002B79C3"/>
    <w:rsid w:val="002C02CB"/>
    <w:rsid w:val="002C0B06"/>
    <w:rsid w:val="002C1305"/>
    <w:rsid w:val="002C19D5"/>
    <w:rsid w:val="002C1C34"/>
    <w:rsid w:val="002C210D"/>
    <w:rsid w:val="002C3EEE"/>
    <w:rsid w:val="002C4C00"/>
    <w:rsid w:val="002C5B12"/>
    <w:rsid w:val="002C62F3"/>
    <w:rsid w:val="002C64C5"/>
    <w:rsid w:val="002C7294"/>
    <w:rsid w:val="002D01CC"/>
    <w:rsid w:val="002D048F"/>
    <w:rsid w:val="002D0AC6"/>
    <w:rsid w:val="002D0BA2"/>
    <w:rsid w:val="002D1B64"/>
    <w:rsid w:val="002D2456"/>
    <w:rsid w:val="002D2CE5"/>
    <w:rsid w:val="002D3994"/>
    <w:rsid w:val="002D42A6"/>
    <w:rsid w:val="002D4504"/>
    <w:rsid w:val="002D504E"/>
    <w:rsid w:val="002D5795"/>
    <w:rsid w:val="002D57D4"/>
    <w:rsid w:val="002D5954"/>
    <w:rsid w:val="002D5D7B"/>
    <w:rsid w:val="002D5FBF"/>
    <w:rsid w:val="002D66B4"/>
    <w:rsid w:val="002D705D"/>
    <w:rsid w:val="002D7173"/>
    <w:rsid w:val="002D74DE"/>
    <w:rsid w:val="002D787A"/>
    <w:rsid w:val="002E0309"/>
    <w:rsid w:val="002E0495"/>
    <w:rsid w:val="002E0F60"/>
    <w:rsid w:val="002E13C9"/>
    <w:rsid w:val="002E3B25"/>
    <w:rsid w:val="002E433D"/>
    <w:rsid w:val="002E44ED"/>
    <w:rsid w:val="002E451D"/>
    <w:rsid w:val="002E4E62"/>
    <w:rsid w:val="002E4EFA"/>
    <w:rsid w:val="002E5040"/>
    <w:rsid w:val="002E5399"/>
    <w:rsid w:val="002E5BDE"/>
    <w:rsid w:val="002E6026"/>
    <w:rsid w:val="002E69A6"/>
    <w:rsid w:val="002E7079"/>
    <w:rsid w:val="002E77B6"/>
    <w:rsid w:val="002E78E2"/>
    <w:rsid w:val="002E7A60"/>
    <w:rsid w:val="002F067B"/>
    <w:rsid w:val="002F0690"/>
    <w:rsid w:val="002F1E2F"/>
    <w:rsid w:val="002F2194"/>
    <w:rsid w:val="002F266C"/>
    <w:rsid w:val="002F2AB4"/>
    <w:rsid w:val="002F2AE8"/>
    <w:rsid w:val="002F4EE4"/>
    <w:rsid w:val="002F54B2"/>
    <w:rsid w:val="002F637D"/>
    <w:rsid w:val="002F67C1"/>
    <w:rsid w:val="002F6B11"/>
    <w:rsid w:val="002F6D23"/>
    <w:rsid w:val="002F74C6"/>
    <w:rsid w:val="003002A7"/>
    <w:rsid w:val="00300FE8"/>
    <w:rsid w:val="00301610"/>
    <w:rsid w:val="0030172D"/>
    <w:rsid w:val="00301D0B"/>
    <w:rsid w:val="00301DDB"/>
    <w:rsid w:val="00302853"/>
    <w:rsid w:val="00302EB5"/>
    <w:rsid w:val="00303056"/>
    <w:rsid w:val="00304342"/>
    <w:rsid w:val="0030523B"/>
    <w:rsid w:val="00305AD8"/>
    <w:rsid w:val="00305FCF"/>
    <w:rsid w:val="003060AE"/>
    <w:rsid w:val="00307F8D"/>
    <w:rsid w:val="003111F9"/>
    <w:rsid w:val="00313AA7"/>
    <w:rsid w:val="00313C40"/>
    <w:rsid w:val="003144C1"/>
    <w:rsid w:val="00314902"/>
    <w:rsid w:val="00314BEB"/>
    <w:rsid w:val="00314E84"/>
    <w:rsid w:val="00314FC5"/>
    <w:rsid w:val="00315BA1"/>
    <w:rsid w:val="00315EC5"/>
    <w:rsid w:val="003164E5"/>
    <w:rsid w:val="00320E9A"/>
    <w:rsid w:val="00321C08"/>
    <w:rsid w:val="00321DB9"/>
    <w:rsid w:val="00321FE1"/>
    <w:rsid w:val="00322AB1"/>
    <w:rsid w:val="0032366C"/>
    <w:rsid w:val="003243B7"/>
    <w:rsid w:val="003244F0"/>
    <w:rsid w:val="00324BAA"/>
    <w:rsid w:val="00324DD0"/>
    <w:rsid w:val="00324F68"/>
    <w:rsid w:val="00324F7A"/>
    <w:rsid w:val="003252F4"/>
    <w:rsid w:val="003254FC"/>
    <w:rsid w:val="0032570F"/>
    <w:rsid w:val="00325898"/>
    <w:rsid w:val="00325A2B"/>
    <w:rsid w:val="00325F39"/>
    <w:rsid w:val="0032616A"/>
    <w:rsid w:val="0032651B"/>
    <w:rsid w:val="003269D4"/>
    <w:rsid w:val="00326A57"/>
    <w:rsid w:val="00326BCC"/>
    <w:rsid w:val="00327230"/>
    <w:rsid w:val="00327B45"/>
    <w:rsid w:val="00327CED"/>
    <w:rsid w:val="0033087C"/>
    <w:rsid w:val="00331354"/>
    <w:rsid w:val="0033170A"/>
    <w:rsid w:val="00331833"/>
    <w:rsid w:val="003319B8"/>
    <w:rsid w:val="00332B38"/>
    <w:rsid w:val="003336A5"/>
    <w:rsid w:val="003338C2"/>
    <w:rsid w:val="00333DF5"/>
    <w:rsid w:val="003342E8"/>
    <w:rsid w:val="00334D49"/>
    <w:rsid w:val="00334E69"/>
    <w:rsid w:val="0033522E"/>
    <w:rsid w:val="00335DF0"/>
    <w:rsid w:val="00335F5D"/>
    <w:rsid w:val="00337340"/>
    <w:rsid w:val="00337692"/>
    <w:rsid w:val="00340383"/>
    <w:rsid w:val="003404AE"/>
    <w:rsid w:val="00340618"/>
    <w:rsid w:val="003410F9"/>
    <w:rsid w:val="0034148F"/>
    <w:rsid w:val="003423E9"/>
    <w:rsid w:val="00342E4A"/>
    <w:rsid w:val="003440A8"/>
    <w:rsid w:val="0034475D"/>
    <w:rsid w:val="003448F9"/>
    <w:rsid w:val="00344C1B"/>
    <w:rsid w:val="0034503A"/>
    <w:rsid w:val="003458BB"/>
    <w:rsid w:val="00345FBC"/>
    <w:rsid w:val="003460EA"/>
    <w:rsid w:val="0034620F"/>
    <w:rsid w:val="003468D3"/>
    <w:rsid w:val="00346942"/>
    <w:rsid w:val="0034717D"/>
    <w:rsid w:val="0034797E"/>
    <w:rsid w:val="00347D11"/>
    <w:rsid w:val="00347D2D"/>
    <w:rsid w:val="00350182"/>
    <w:rsid w:val="00351372"/>
    <w:rsid w:val="003517D1"/>
    <w:rsid w:val="00352733"/>
    <w:rsid w:val="00352771"/>
    <w:rsid w:val="003528DF"/>
    <w:rsid w:val="00352901"/>
    <w:rsid w:val="00352942"/>
    <w:rsid w:val="00353A5F"/>
    <w:rsid w:val="00354D13"/>
    <w:rsid w:val="00354E7D"/>
    <w:rsid w:val="00355022"/>
    <w:rsid w:val="00355FD1"/>
    <w:rsid w:val="00356087"/>
    <w:rsid w:val="00356172"/>
    <w:rsid w:val="003561B2"/>
    <w:rsid w:val="003563B1"/>
    <w:rsid w:val="00357605"/>
    <w:rsid w:val="0035777D"/>
    <w:rsid w:val="00357D18"/>
    <w:rsid w:val="00360A7B"/>
    <w:rsid w:val="00360AB1"/>
    <w:rsid w:val="003615EC"/>
    <w:rsid w:val="00361A18"/>
    <w:rsid w:val="00362461"/>
    <w:rsid w:val="00362B4A"/>
    <w:rsid w:val="00363828"/>
    <w:rsid w:val="00364EB1"/>
    <w:rsid w:val="00366E72"/>
    <w:rsid w:val="00366EB5"/>
    <w:rsid w:val="0036798A"/>
    <w:rsid w:val="00367997"/>
    <w:rsid w:val="003679F4"/>
    <w:rsid w:val="003707FF"/>
    <w:rsid w:val="0037127D"/>
    <w:rsid w:val="00371504"/>
    <w:rsid w:val="00371B6E"/>
    <w:rsid w:val="00372248"/>
    <w:rsid w:val="00372284"/>
    <w:rsid w:val="00372627"/>
    <w:rsid w:val="00372A54"/>
    <w:rsid w:val="00374238"/>
    <w:rsid w:val="0037467E"/>
    <w:rsid w:val="003757EC"/>
    <w:rsid w:val="00375B78"/>
    <w:rsid w:val="00375CBF"/>
    <w:rsid w:val="003761CD"/>
    <w:rsid w:val="0037652E"/>
    <w:rsid w:val="00376576"/>
    <w:rsid w:val="003768A5"/>
    <w:rsid w:val="003774B5"/>
    <w:rsid w:val="00377935"/>
    <w:rsid w:val="00377DB3"/>
    <w:rsid w:val="00380207"/>
    <w:rsid w:val="00380F5F"/>
    <w:rsid w:val="00381A13"/>
    <w:rsid w:val="00381B81"/>
    <w:rsid w:val="00381E62"/>
    <w:rsid w:val="00382540"/>
    <w:rsid w:val="00383395"/>
    <w:rsid w:val="00383508"/>
    <w:rsid w:val="00383897"/>
    <w:rsid w:val="00383BFE"/>
    <w:rsid w:val="00384401"/>
    <w:rsid w:val="003848A1"/>
    <w:rsid w:val="00384FC9"/>
    <w:rsid w:val="003852AB"/>
    <w:rsid w:val="00385435"/>
    <w:rsid w:val="00385483"/>
    <w:rsid w:val="00386A4F"/>
    <w:rsid w:val="00387910"/>
    <w:rsid w:val="00387AEC"/>
    <w:rsid w:val="00387F3C"/>
    <w:rsid w:val="00387F75"/>
    <w:rsid w:val="00390154"/>
    <w:rsid w:val="00390BBE"/>
    <w:rsid w:val="00391290"/>
    <w:rsid w:val="00391505"/>
    <w:rsid w:val="00391F30"/>
    <w:rsid w:val="00392600"/>
    <w:rsid w:val="00392CB6"/>
    <w:rsid w:val="003934C4"/>
    <w:rsid w:val="003936D0"/>
    <w:rsid w:val="00393A66"/>
    <w:rsid w:val="003944D3"/>
    <w:rsid w:val="00394BAA"/>
    <w:rsid w:val="00395EB4"/>
    <w:rsid w:val="0039666D"/>
    <w:rsid w:val="00396B6C"/>
    <w:rsid w:val="00396D5B"/>
    <w:rsid w:val="00397C38"/>
    <w:rsid w:val="003A0070"/>
    <w:rsid w:val="003A0C55"/>
    <w:rsid w:val="003A0C78"/>
    <w:rsid w:val="003A103C"/>
    <w:rsid w:val="003A1786"/>
    <w:rsid w:val="003A1C56"/>
    <w:rsid w:val="003A21C0"/>
    <w:rsid w:val="003A22F3"/>
    <w:rsid w:val="003A24D7"/>
    <w:rsid w:val="003A2AC8"/>
    <w:rsid w:val="003A46E1"/>
    <w:rsid w:val="003A4808"/>
    <w:rsid w:val="003A5B74"/>
    <w:rsid w:val="003A5E80"/>
    <w:rsid w:val="003A5FB1"/>
    <w:rsid w:val="003A6256"/>
    <w:rsid w:val="003A64D8"/>
    <w:rsid w:val="003B0445"/>
    <w:rsid w:val="003B04D0"/>
    <w:rsid w:val="003B0C8A"/>
    <w:rsid w:val="003B1353"/>
    <w:rsid w:val="003B1476"/>
    <w:rsid w:val="003B2DE9"/>
    <w:rsid w:val="003B3967"/>
    <w:rsid w:val="003B3C64"/>
    <w:rsid w:val="003B4498"/>
    <w:rsid w:val="003B454F"/>
    <w:rsid w:val="003B5511"/>
    <w:rsid w:val="003B6429"/>
    <w:rsid w:val="003B721D"/>
    <w:rsid w:val="003B7459"/>
    <w:rsid w:val="003B78B6"/>
    <w:rsid w:val="003B7E3B"/>
    <w:rsid w:val="003C06B2"/>
    <w:rsid w:val="003C0AEE"/>
    <w:rsid w:val="003C107A"/>
    <w:rsid w:val="003C3EA5"/>
    <w:rsid w:val="003C5185"/>
    <w:rsid w:val="003C52CA"/>
    <w:rsid w:val="003C66AF"/>
    <w:rsid w:val="003C692A"/>
    <w:rsid w:val="003C743A"/>
    <w:rsid w:val="003D026F"/>
    <w:rsid w:val="003D0392"/>
    <w:rsid w:val="003D03DD"/>
    <w:rsid w:val="003D0532"/>
    <w:rsid w:val="003D0653"/>
    <w:rsid w:val="003D092F"/>
    <w:rsid w:val="003D10D3"/>
    <w:rsid w:val="003D16E2"/>
    <w:rsid w:val="003D18D3"/>
    <w:rsid w:val="003D26AC"/>
    <w:rsid w:val="003D3DD8"/>
    <w:rsid w:val="003D49C8"/>
    <w:rsid w:val="003D5677"/>
    <w:rsid w:val="003D58A7"/>
    <w:rsid w:val="003D5CEB"/>
    <w:rsid w:val="003D6668"/>
    <w:rsid w:val="003D6E94"/>
    <w:rsid w:val="003D6F4B"/>
    <w:rsid w:val="003D7287"/>
    <w:rsid w:val="003D7652"/>
    <w:rsid w:val="003D784E"/>
    <w:rsid w:val="003D7D40"/>
    <w:rsid w:val="003E0903"/>
    <w:rsid w:val="003E0DC3"/>
    <w:rsid w:val="003E11FB"/>
    <w:rsid w:val="003E13C7"/>
    <w:rsid w:val="003E1B25"/>
    <w:rsid w:val="003E3392"/>
    <w:rsid w:val="003E52B3"/>
    <w:rsid w:val="003E603C"/>
    <w:rsid w:val="003E61A5"/>
    <w:rsid w:val="003E6A6B"/>
    <w:rsid w:val="003E761D"/>
    <w:rsid w:val="003E77C3"/>
    <w:rsid w:val="003E7B0C"/>
    <w:rsid w:val="003E7B87"/>
    <w:rsid w:val="003F047C"/>
    <w:rsid w:val="003F0A0D"/>
    <w:rsid w:val="003F1321"/>
    <w:rsid w:val="003F18AF"/>
    <w:rsid w:val="003F207E"/>
    <w:rsid w:val="003F20E3"/>
    <w:rsid w:val="003F2629"/>
    <w:rsid w:val="003F291B"/>
    <w:rsid w:val="003F2A41"/>
    <w:rsid w:val="003F2D1C"/>
    <w:rsid w:val="003F3DB9"/>
    <w:rsid w:val="003F3F67"/>
    <w:rsid w:val="003F44BC"/>
    <w:rsid w:val="003F4955"/>
    <w:rsid w:val="003F4AF4"/>
    <w:rsid w:val="003F4C08"/>
    <w:rsid w:val="003F4D67"/>
    <w:rsid w:val="003F4EEA"/>
    <w:rsid w:val="003F4F98"/>
    <w:rsid w:val="003F5124"/>
    <w:rsid w:val="003F5632"/>
    <w:rsid w:val="003F6159"/>
    <w:rsid w:val="003F65D3"/>
    <w:rsid w:val="003F6C65"/>
    <w:rsid w:val="003F6CBD"/>
    <w:rsid w:val="003F6DEB"/>
    <w:rsid w:val="003F6F06"/>
    <w:rsid w:val="00400261"/>
    <w:rsid w:val="00400D95"/>
    <w:rsid w:val="00401440"/>
    <w:rsid w:val="00401613"/>
    <w:rsid w:val="00401EBF"/>
    <w:rsid w:val="00402C39"/>
    <w:rsid w:val="0040327D"/>
    <w:rsid w:val="00403856"/>
    <w:rsid w:val="00403FB7"/>
    <w:rsid w:val="004045CC"/>
    <w:rsid w:val="00404720"/>
    <w:rsid w:val="00404F98"/>
    <w:rsid w:val="00404FAC"/>
    <w:rsid w:val="00405013"/>
    <w:rsid w:val="004052B1"/>
    <w:rsid w:val="00405442"/>
    <w:rsid w:val="0040547B"/>
    <w:rsid w:val="00405BE5"/>
    <w:rsid w:val="00405D96"/>
    <w:rsid w:val="00405EEF"/>
    <w:rsid w:val="00406906"/>
    <w:rsid w:val="00406E08"/>
    <w:rsid w:val="00410BFC"/>
    <w:rsid w:val="00410E8A"/>
    <w:rsid w:val="004110E5"/>
    <w:rsid w:val="00411461"/>
    <w:rsid w:val="00411E15"/>
    <w:rsid w:val="00412E73"/>
    <w:rsid w:val="00413CEB"/>
    <w:rsid w:val="00413F5A"/>
    <w:rsid w:val="00414507"/>
    <w:rsid w:val="004151BF"/>
    <w:rsid w:val="00415424"/>
    <w:rsid w:val="0041667E"/>
    <w:rsid w:val="004176D8"/>
    <w:rsid w:val="00417DA5"/>
    <w:rsid w:val="00417E33"/>
    <w:rsid w:val="00417F0F"/>
    <w:rsid w:val="00417F3D"/>
    <w:rsid w:val="00420B3D"/>
    <w:rsid w:val="00420F47"/>
    <w:rsid w:val="00422D81"/>
    <w:rsid w:val="004238B9"/>
    <w:rsid w:val="0042480B"/>
    <w:rsid w:val="0042537C"/>
    <w:rsid w:val="004256FF"/>
    <w:rsid w:val="00426229"/>
    <w:rsid w:val="00426580"/>
    <w:rsid w:val="004269B9"/>
    <w:rsid w:val="00426B55"/>
    <w:rsid w:val="00427A3B"/>
    <w:rsid w:val="004309EA"/>
    <w:rsid w:val="00431468"/>
    <w:rsid w:val="0043202F"/>
    <w:rsid w:val="004321A2"/>
    <w:rsid w:val="00432244"/>
    <w:rsid w:val="0043428A"/>
    <w:rsid w:val="0043489F"/>
    <w:rsid w:val="00434A9E"/>
    <w:rsid w:val="00435C05"/>
    <w:rsid w:val="004365B6"/>
    <w:rsid w:val="00436600"/>
    <w:rsid w:val="00436925"/>
    <w:rsid w:val="004374BE"/>
    <w:rsid w:val="00437D1F"/>
    <w:rsid w:val="004404C6"/>
    <w:rsid w:val="004404F7"/>
    <w:rsid w:val="0044057B"/>
    <w:rsid w:val="004406B7"/>
    <w:rsid w:val="00440815"/>
    <w:rsid w:val="004409E6"/>
    <w:rsid w:val="00440DB3"/>
    <w:rsid w:val="0044133A"/>
    <w:rsid w:val="00441993"/>
    <w:rsid w:val="00442104"/>
    <w:rsid w:val="00442A15"/>
    <w:rsid w:val="00442DCB"/>
    <w:rsid w:val="0044387B"/>
    <w:rsid w:val="00443AC6"/>
    <w:rsid w:val="00444E92"/>
    <w:rsid w:val="00445C1F"/>
    <w:rsid w:val="0044658F"/>
    <w:rsid w:val="00446849"/>
    <w:rsid w:val="00446F20"/>
    <w:rsid w:val="0044770A"/>
    <w:rsid w:val="0044785C"/>
    <w:rsid w:val="0045025F"/>
    <w:rsid w:val="00450395"/>
    <w:rsid w:val="004504BD"/>
    <w:rsid w:val="00450620"/>
    <w:rsid w:val="00450A02"/>
    <w:rsid w:val="00451560"/>
    <w:rsid w:val="00451620"/>
    <w:rsid w:val="00452B91"/>
    <w:rsid w:val="0045343F"/>
    <w:rsid w:val="00453D96"/>
    <w:rsid w:val="00453F04"/>
    <w:rsid w:val="004540DE"/>
    <w:rsid w:val="0045427D"/>
    <w:rsid w:val="00454801"/>
    <w:rsid w:val="004548FD"/>
    <w:rsid w:val="00454C5E"/>
    <w:rsid w:val="00456237"/>
    <w:rsid w:val="0045637D"/>
    <w:rsid w:val="0045686B"/>
    <w:rsid w:val="00457ADE"/>
    <w:rsid w:val="00457B58"/>
    <w:rsid w:val="004605E2"/>
    <w:rsid w:val="00460730"/>
    <w:rsid w:val="0046122E"/>
    <w:rsid w:val="00462042"/>
    <w:rsid w:val="00462FEF"/>
    <w:rsid w:val="0046311E"/>
    <w:rsid w:val="0046332C"/>
    <w:rsid w:val="00463358"/>
    <w:rsid w:val="00463D9B"/>
    <w:rsid w:val="00465491"/>
    <w:rsid w:val="00465A72"/>
    <w:rsid w:val="00465DA6"/>
    <w:rsid w:val="00466AFC"/>
    <w:rsid w:val="00467168"/>
    <w:rsid w:val="004710F0"/>
    <w:rsid w:val="00471D6B"/>
    <w:rsid w:val="00472100"/>
    <w:rsid w:val="004721DA"/>
    <w:rsid w:val="004721F7"/>
    <w:rsid w:val="0047228B"/>
    <w:rsid w:val="004725E0"/>
    <w:rsid w:val="00472708"/>
    <w:rsid w:val="004728DF"/>
    <w:rsid w:val="00473780"/>
    <w:rsid w:val="00473DD2"/>
    <w:rsid w:val="00474147"/>
    <w:rsid w:val="00474753"/>
    <w:rsid w:val="00474A64"/>
    <w:rsid w:val="00474ABB"/>
    <w:rsid w:val="004750E9"/>
    <w:rsid w:val="00476218"/>
    <w:rsid w:val="00476583"/>
    <w:rsid w:val="00476AD7"/>
    <w:rsid w:val="00476EF1"/>
    <w:rsid w:val="0047754C"/>
    <w:rsid w:val="00477E7C"/>
    <w:rsid w:val="00480DDC"/>
    <w:rsid w:val="0048192B"/>
    <w:rsid w:val="00481DC9"/>
    <w:rsid w:val="004823CD"/>
    <w:rsid w:val="004832E1"/>
    <w:rsid w:val="0048383A"/>
    <w:rsid w:val="004839C2"/>
    <w:rsid w:val="00483FC5"/>
    <w:rsid w:val="00485A34"/>
    <w:rsid w:val="00485A46"/>
    <w:rsid w:val="00485E3D"/>
    <w:rsid w:val="0048654F"/>
    <w:rsid w:val="004865C8"/>
    <w:rsid w:val="00486BC1"/>
    <w:rsid w:val="0048720D"/>
    <w:rsid w:val="00487579"/>
    <w:rsid w:val="004879F3"/>
    <w:rsid w:val="0049082B"/>
    <w:rsid w:val="00491768"/>
    <w:rsid w:val="00491930"/>
    <w:rsid w:val="00492189"/>
    <w:rsid w:val="00493467"/>
    <w:rsid w:val="00493AAA"/>
    <w:rsid w:val="00494CDC"/>
    <w:rsid w:val="00495395"/>
    <w:rsid w:val="00495A10"/>
    <w:rsid w:val="004967A3"/>
    <w:rsid w:val="00496BD5"/>
    <w:rsid w:val="004971FD"/>
    <w:rsid w:val="00497C94"/>
    <w:rsid w:val="00497DB7"/>
    <w:rsid w:val="00497ECB"/>
    <w:rsid w:val="004A0597"/>
    <w:rsid w:val="004A0927"/>
    <w:rsid w:val="004A0A91"/>
    <w:rsid w:val="004A0C16"/>
    <w:rsid w:val="004A1CC3"/>
    <w:rsid w:val="004A2E5E"/>
    <w:rsid w:val="004A2FAE"/>
    <w:rsid w:val="004A313E"/>
    <w:rsid w:val="004A35AE"/>
    <w:rsid w:val="004A37DB"/>
    <w:rsid w:val="004A509E"/>
    <w:rsid w:val="004A5764"/>
    <w:rsid w:val="004A6391"/>
    <w:rsid w:val="004A6C8F"/>
    <w:rsid w:val="004A7227"/>
    <w:rsid w:val="004A75A4"/>
    <w:rsid w:val="004A7915"/>
    <w:rsid w:val="004B0378"/>
    <w:rsid w:val="004B0683"/>
    <w:rsid w:val="004B0C3A"/>
    <w:rsid w:val="004B14D1"/>
    <w:rsid w:val="004B1FCA"/>
    <w:rsid w:val="004B2A5C"/>
    <w:rsid w:val="004B3830"/>
    <w:rsid w:val="004B48FF"/>
    <w:rsid w:val="004B4AF9"/>
    <w:rsid w:val="004B4E23"/>
    <w:rsid w:val="004B56CE"/>
    <w:rsid w:val="004B588F"/>
    <w:rsid w:val="004B5DF9"/>
    <w:rsid w:val="004B6599"/>
    <w:rsid w:val="004B6689"/>
    <w:rsid w:val="004B6DC9"/>
    <w:rsid w:val="004B71EE"/>
    <w:rsid w:val="004B752D"/>
    <w:rsid w:val="004B7B88"/>
    <w:rsid w:val="004C0E20"/>
    <w:rsid w:val="004C1236"/>
    <w:rsid w:val="004C12BC"/>
    <w:rsid w:val="004C1E0B"/>
    <w:rsid w:val="004C23F3"/>
    <w:rsid w:val="004C24A2"/>
    <w:rsid w:val="004C28F8"/>
    <w:rsid w:val="004C2F9C"/>
    <w:rsid w:val="004C346A"/>
    <w:rsid w:val="004C3638"/>
    <w:rsid w:val="004C3947"/>
    <w:rsid w:val="004C3BBF"/>
    <w:rsid w:val="004C3EB3"/>
    <w:rsid w:val="004C41B9"/>
    <w:rsid w:val="004C474D"/>
    <w:rsid w:val="004C518F"/>
    <w:rsid w:val="004C5308"/>
    <w:rsid w:val="004C57F2"/>
    <w:rsid w:val="004C5BE6"/>
    <w:rsid w:val="004C631D"/>
    <w:rsid w:val="004C73D7"/>
    <w:rsid w:val="004C7404"/>
    <w:rsid w:val="004C7A8D"/>
    <w:rsid w:val="004D1094"/>
    <w:rsid w:val="004D1F8E"/>
    <w:rsid w:val="004D2499"/>
    <w:rsid w:val="004D32A4"/>
    <w:rsid w:val="004D4102"/>
    <w:rsid w:val="004D4635"/>
    <w:rsid w:val="004D46DD"/>
    <w:rsid w:val="004D482E"/>
    <w:rsid w:val="004D4B6D"/>
    <w:rsid w:val="004D4D0D"/>
    <w:rsid w:val="004D4FC3"/>
    <w:rsid w:val="004D54D0"/>
    <w:rsid w:val="004D575D"/>
    <w:rsid w:val="004D5F00"/>
    <w:rsid w:val="004D60B9"/>
    <w:rsid w:val="004D63F4"/>
    <w:rsid w:val="004D732F"/>
    <w:rsid w:val="004D73D8"/>
    <w:rsid w:val="004D79FB"/>
    <w:rsid w:val="004E084F"/>
    <w:rsid w:val="004E0D78"/>
    <w:rsid w:val="004E108D"/>
    <w:rsid w:val="004E148E"/>
    <w:rsid w:val="004E1A52"/>
    <w:rsid w:val="004E1BDF"/>
    <w:rsid w:val="004E203C"/>
    <w:rsid w:val="004E2970"/>
    <w:rsid w:val="004E2CF9"/>
    <w:rsid w:val="004E2E39"/>
    <w:rsid w:val="004E31D1"/>
    <w:rsid w:val="004E38B0"/>
    <w:rsid w:val="004E3B9E"/>
    <w:rsid w:val="004E3ECE"/>
    <w:rsid w:val="004E422C"/>
    <w:rsid w:val="004E4297"/>
    <w:rsid w:val="004E4E9E"/>
    <w:rsid w:val="004E4F60"/>
    <w:rsid w:val="004E5276"/>
    <w:rsid w:val="004E5352"/>
    <w:rsid w:val="004E6033"/>
    <w:rsid w:val="004E60AB"/>
    <w:rsid w:val="004E6E6B"/>
    <w:rsid w:val="004E7D97"/>
    <w:rsid w:val="004F0259"/>
    <w:rsid w:val="004F032E"/>
    <w:rsid w:val="004F0353"/>
    <w:rsid w:val="004F0486"/>
    <w:rsid w:val="004F06A0"/>
    <w:rsid w:val="004F09ED"/>
    <w:rsid w:val="004F1659"/>
    <w:rsid w:val="004F1800"/>
    <w:rsid w:val="004F1D77"/>
    <w:rsid w:val="004F1F20"/>
    <w:rsid w:val="004F1F7B"/>
    <w:rsid w:val="004F1FCE"/>
    <w:rsid w:val="004F204E"/>
    <w:rsid w:val="004F237C"/>
    <w:rsid w:val="004F25E1"/>
    <w:rsid w:val="004F28C9"/>
    <w:rsid w:val="004F303A"/>
    <w:rsid w:val="004F361F"/>
    <w:rsid w:val="004F3CA0"/>
    <w:rsid w:val="004F3D0F"/>
    <w:rsid w:val="004F3EB8"/>
    <w:rsid w:val="004F40CA"/>
    <w:rsid w:val="004F4245"/>
    <w:rsid w:val="004F4756"/>
    <w:rsid w:val="004F52C7"/>
    <w:rsid w:val="004F5672"/>
    <w:rsid w:val="004F5D64"/>
    <w:rsid w:val="004F5EB9"/>
    <w:rsid w:val="004F5F26"/>
    <w:rsid w:val="004F6109"/>
    <w:rsid w:val="004F7531"/>
    <w:rsid w:val="004F7791"/>
    <w:rsid w:val="005002F2"/>
    <w:rsid w:val="005016A3"/>
    <w:rsid w:val="0050197A"/>
    <w:rsid w:val="00501B20"/>
    <w:rsid w:val="00501D33"/>
    <w:rsid w:val="00502609"/>
    <w:rsid w:val="005026A9"/>
    <w:rsid w:val="00502A86"/>
    <w:rsid w:val="00502D1A"/>
    <w:rsid w:val="0050349C"/>
    <w:rsid w:val="0050351C"/>
    <w:rsid w:val="0050366B"/>
    <w:rsid w:val="005039E6"/>
    <w:rsid w:val="00503F24"/>
    <w:rsid w:val="0050435B"/>
    <w:rsid w:val="00504450"/>
    <w:rsid w:val="00505B5C"/>
    <w:rsid w:val="0050609C"/>
    <w:rsid w:val="005062F4"/>
    <w:rsid w:val="00506414"/>
    <w:rsid w:val="00506BE1"/>
    <w:rsid w:val="00507463"/>
    <w:rsid w:val="005074A8"/>
    <w:rsid w:val="0050799D"/>
    <w:rsid w:val="00507B0C"/>
    <w:rsid w:val="00507BAB"/>
    <w:rsid w:val="00507C50"/>
    <w:rsid w:val="00507F26"/>
    <w:rsid w:val="00510145"/>
    <w:rsid w:val="00510231"/>
    <w:rsid w:val="00512A74"/>
    <w:rsid w:val="00512BB6"/>
    <w:rsid w:val="00513282"/>
    <w:rsid w:val="005135C0"/>
    <w:rsid w:val="00513928"/>
    <w:rsid w:val="00513C0B"/>
    <w:rsid w:val="00513E8D"/>
    <w:rsid w:val="00514AB6"/>
    <w:rsid w:val="005150EE"/>
    <w:rsid w:val="0051599B"/>
    <w:rsid w:val="00515FEC"/>
    <w:rsid w:val="0051657F"/>
    <w:rsid w:val="00516949"/>
    <w:rsid w:val="005175B2"/>
    <w:rsid w:val="005176C6"/>
    <w:rsid w:val="00520408"/>
    <w:rsid w:val="00520785"/>
    <w:rsid w:val="005208EF"/>
    <w:rsid w:val="00520C76"/>
    <w:rsid w:val="00520E38"/>
    <w:rsid w:val="00520EF7"/>
    <w:rsid w:val="005216B8"/>
    <w:rsid w:val="00521CF5"/>
    <w:rsid w:val="00522470"/>
    <w:rsid w:val="00522D28"/>
    <w:rsid w:val="0052394D"/>
    <w:rsid w:val="00523DCC"/>
    <w:rsid w:val="00523E6A"/>
    <w:rsid w:val="00523F45"/>
    <w:rsid w:val="005247C7"/>
    <w:rsid w:val="00525B7B"/>
    <w:rsid w:val="00525E85"/>
    <w:rsid w:val="00525FDD"/>
    <w:rsid w:val="0052636F"/>
    <w:rsid w:val="00526465"/>
    <w:rsid w:val="0052680A"/>
    <w:rsid w:val="00526B7B"/>
    <w:rsid w:val="00527BA9"/>
    <w:rsid w:val="00530DE8"/>
    <w:rsid w:val="00532C68"/>
    <w:rsid w:val="0053401E"/>
    <w:rsid w:val="00534A7F"/>
    <w:rsid w:val="00534C69"/>
    <w:rsid w:val="00535A66"/>
    <w:rsid w:val="005362CA"/>
    <w:rsid w:val="00536430"/>
    <w:rsid w:val="0053655D"/>
    <w:rsid w:val="005404FB"/>
    <w:rsid w:val="005408D7"/>
    <w:rsid w:val="00540EE9"/>
    <w:rsid w:val="0054123C"/>
    <w:rsid w:val="00541827"/>
    <w:rsid w:val="00541B81"/>
    <w:rsid w:val="005423FA"/>
    <w:rsid w:val="00542EF9"/>
    <w:rsid w:val="00542FA3"/>
    <w:rsid w:val="00543151"/>
    <w:rsid w:val="0054329B"/>
    <w:rsid w:val="00543434"/>
    <w:rsid w:val="005435E4"/>
    <w:rsid w:val="00543C5D"/>
    <w:rsid w:val="00544331"/>
    <w:rsid w:val="00544F8E"/>
    <w:rsid w:val="0054546F"/>
    <w:rsid w:val="005455B9"/>
    <w:rsid w:val="00545CE9"/>
    <w:rsid w:val="00545D45"/>
    <w:rsid w:val="00546008"/>
    <w:rsid w:val="00546578"/>
    <w:rsid w:val="00546987"/>
    <w:rsid w:val="00547775"/>
    <w:rsid w:val="00547891"/>
    <w:rsid w:val="00547C11"/>
    <w:rsid w:val="00547D9B"/>
    <w:rsid w:val="00550CD7"/>
    <w:rsid w:val="00550E56"/>
    <w:rsid w:val="00551011"/>
    <w:rsid w:val="0055135E"/>
    <w:rsid w:val="00551A34"/>
    <w:rsid w:val="00552059"/>
    <w:rsid w:val="0055266C"/>
    <w:rsid w:val="00552799"/>
    <w:rsid w:val="005528E7"/>
    <w:rsid w:val="00552A37"/>
    <w:rsid w:val="0055437C"/>
    <w:rsid w:val="0055496D"/>
    <w:rsid w:val="00554F1F"/>
    <w:rsid w:val="005552F3"/>
    <w:rsid w:val="005558ED"/>
    <w:rsid w:val="005559E7"/>
    <w:rsid w:val="005572B8"/>
    <w:rsid w:val="005572FE"/>
    <w:rsid w:val="00560047"/>
    <w:rsid w:val="005603C8"/>
    <w:rsid w:val="00560E4A"/>
    <w:rsid w:val="005616F8"/>
    <w:rsid w:val="00563179"/>
    <w:rsid w:val="005636E5"/>
    <w:rsid w:val="00563C2E"/>
    <w:rsid w:val="00564B85"/>
    <w:rsid w:val="005669C8"/>
    <w:rsid w:val="00566FE8"/>
    <w:rsid w:val="00567EE6"/>
    <w:rsid w:val="00572096"/>
    <w:rsid w:val="00572B42"/>
    <w:rsid w:val="00573135"/>
    <w:rsid w:val="0057381B"/>
    <w:rsid w:val="005742B6"/>
    <w:rsid w:val="00574943"/>
    <w:rsid w:val="00575075"/>
    <w:rsid w:val="00575770"/>
    <w:rsid w:val="00575A44"/>
    <w:rsid w:val="00575AAD"/>
    <w:rsid w:val="00575AF8"/>
    <w:rsid w:val="005761AF"/>
    <w:rsid w:val="0057676D"/>
    <w:rsid w:val="005769F2"/>
    <w:rsid w:val="00577CED"/>
    <w:rsid w:val="00580463"/>
    <w:rsid w:val="00581227"/>
    <w:rsid w:val="005813C2"/>
    <w:rsid w:val="00582747"/>
    <w:rsid w:val="00582A1B"/>
    <w:rsid w:val="00582D73"/>
    <w:rsid w:val="00582E6A"/>
    <w:rsid w:val="005832A1"/>
    <w:rsid w:val="005833B3"/>
    <w:rsid w:val="005838A3"/>
    <w:rsid w:val="00583EBD"/>
    <w:rsid w:val="005840D9"/>
    <w:rsid w:val="00584572"/>
    <w:rsid w:val="00584578"/>
    <w:rsid w:val="00584632"/>
    <w:rsid w:val="00584FFC"/>
    <w:rsid w:val="00585720"/>
    <w:rsid w:val="00585F74"/>
    <w:rsid w:val="005867C6"/>
    <w:rsid w:val="005867D2"/>
    <w:rsid w:val="00586D2E"/>
    <w:rsid w:val="00587D52"/>
    <w:rsid w:val="00587F15"/>
    <w:rsid w:val="00590DEB"/>
    <w:rsid w:val="005916C0"/>
    <w:rsid w:val="00591795"/>
    <w:rsid w:val="00591FFD"/>
    <w:rsid w:val="00592559"/>
    <w:rsid w:val="00592EDE"/>
    <w:rsid w:val="00593B16"/>
    <w:rsid w:val="00593FC3"/>
    <w:rsid w:val="005947D4"/>
    <w:rsid w:val="0059484C"/>
    <w:rsid w:val="00595862"/>
    <w:rsid w:val="00596418"/>
    <w:rsid w:val="00596698"/>
    <w:rsid w:val="00596D9A"/>
    <w:rsid w:val="00597BB2"/>
    <w:rsid w:val="00597E62"/>
    <w:rsid w:val="005A07F5"/>
    <w:rsid w:val="005A092C"/>
    <w:rsid w:val="005A1B6B"/>
    <w:rsid w:val="005A1BA2"/>
    <w:rsid w:val="005A1E7C"/>
    <w:rsid w:val="005A1FC3"/>
    <w:rsid w:val="005A28ED"/>
    <w:rsid w:val="005A3243"/>
    <w:rsid w:val="005A369C"/>
    <w:rsid w:val="005A3C9A"/>
    <w:rsid w:val="005A4483"/>
    <w:rsid w:val="005A450A"/>
    <w:rsid w:val="005A4CF6"/>
    <w:rsid w:val="005A5660"/>
    <w:rsid w:val="005A59AE"/>
    <w:rsid w:val="005A5AC3"/>
    <w:rsid w:val="005A5BC2"/>
    <w:rsid w:val="005A63C2"/>
    <w:rsid w:val="005A6B4D"/>
    <w:rsid w:val="005A6D2B"/>
    <w:rsid w:val="005A722A"/>
    <w:rsid w:val="005A7273"/>
    <w:rsid w:val="005A76FD"/>
    <w:rsid w:val="005A7903"/>
    <w:rsid w:val="005B0FA0"/>
    <w:rsid w:val="005B0FEB"/>
    <w:rsid w:val="005B12A7"/>
    <w:rsid w:val="005B1B38"/>
    <w:rsid w:val="005B2011"/>
    <w:rsid w:val="005B288F"/>
    <w:rsid w:val="005B3571"/>
    <w:rsid w:val="005B3CCC"/>
    <w:rsid w:val="005B3D74"/>
    <w:rsid w:val="005B3DFC"/>
    <w:rsid w:val="005B3F2D"/>
    <w:rsid w:val="005B3F8B"/>
    <w:rsid w:val="005B4B20"/>
    <w:rsid w:val="005B4E4E"/>
    <w:rsid w:val="005B5017"/>
    <w:rsid w:val="005B548D"/>
    <w:rsid w:val="005B5DF5"/>
    <w:rsid w:val="005B652A"/>
    <w:rsid w:val="005B6B3B"/>
    <w:rsid w:val="005B6DE7"/>
    <w:rsid w:val="005B6F2A"/>
    <w:rsid w:val="005B7061"/>
    <w:rsid w:val="005B728B"/>
    <w:rsid w:val="005B7AE5"/>
    <w:rsid w:val="005C0F04"/>
    <w:rsid w:val="005C13D3"/>
    <w:rsid w:val="005C1AE2"/>
    <w:rsid w:val="005C29E3"/>
    <w:rsid w:val="005C2E30"/>
    <w:rsid w:val="005C2F31"/>
    <w:rsid w:val="005C3ED1"/>
    <w:rsid w:val="005C442D"/>
    <w:rsid w:val="005C4D53"/>
    <w:rsid w:val="005C511E"/>
    <w:rsid w:val="005C5621"/>
    <w:rsid w:val="005C5D8C"/>
    <w:rsid w:val="005C608A"/>
    <w:rsid w:val="005C6124"/>
    <w:rsid w:val="005C66BD"/>
    <w:rsid w:val="005C7292"/>
    <w:rsid w:val="005C7382"/>
    <w:rsid w:val="005C77F2"/>
    <w:rsid w:val="005C7AEE"/>
    <w:rsid w:val="005C7F8B"/>
    <w:rsid w:val="005D0080"/>
    <w:rsid w:val="005D0D78"/>
    <w:rsid w:val="005D18C2"/>
    <w:rsid w:val="005D1BB9"/>
    <w:rsid w:val="005D207C"/>
    <w:rsid w:val="005D2553"/>
    <w:rsid w:val="005D2A1B"/>
    <w:rsid w:val="005D2F08"/>
    <w:rsid w:val="005D3150"/>
    <w:rsid w:val="005D3296"/>
    <w:rsid w:val="005D32AB"/>
    <w:rsid w:val="005D3753"/>
    <w:rsid w:val="005D4429"/>
    <w:rsid w:val="005D45F7"/>
    <w:rsid w:val="005D52D5"/>
    <w:rsid w:val="005D5C68"/>
    <w:rsid w:val="005D657F"/>
    <w:rsid w:val="005D6985"/>
    <w:rsid w:val="005D6CF7"/>
    <w:rsid w:val="005D6CFB"/>
    <w:rsid w:val="005D73ED"/>
    <w:rsid w:val="005D74B5"/>
    <w:rsid w:val="005D74F2"/>
    <w:rsid w:val="005D79F2"/>
    <w:rsid w:val="005D7D2E"/>
    <w:rsid w:val="005E00CD"/>
    <w:rsid w:val="005E025E"/>
    <w:rsid w:val="005E0DB0"/>
    <w:rsid w:val="005E10F9"/>
    <w:rsid w:val="005E14CE"/>
    <w:rsid w:val="005E16FF"/>
    <w:rsid w:val="005E1ECE"/>
    <w:rsid w:val="005E29E7"/>
    <w:rsid w:val="005E2A76"/>
    <w:rsid w:val="005E2ACB"/>
    <w:rsid w:val="005E3310"/>
    <w:rsid w:val="005E3432"/>
    <w:rsid w:val="005E378D"/>
    <w:rsid w:val="005E3FFB"/>
    <w:rsid w:val="005E4274"/>
    <w:rsid w:val="005E455F"/>
    <w:rsid w:val="005E456E"/>
    <w:rsid w:val="005E4DCE"/>
    <w:rsid w:val="005E4FE8"/>
    <w:rsid w:val="005E55CA"/>
    <w:rsid w:val="005E5691"/>
    <w:rsid w:val="005E5F45"/>
    <w:rsid w:val="005E7195"/>
    <w:rsid w:val="005F00C2"/>
    <w:rsid w:val="005F05AF"/>
    <w:rsid w:val="005F0BC7"/>
    <w:rsid w:val="005F0E09"/>
    <w:rsid w:val="005F250F"/>
    <w:rsid w:val="005F2812"/>
    <w:rsid w:val="005F2C36"/>
    <w:rsid w:val="005F2F78"/>
    <w:rsid w:val="005F3F59"/>
    <w:rsid w:val="005F483E"/>
    <w:rsid w:val="005F5664"/>
    <w:rsid w:val="005F57BE"/>
    <w:rsid w:val="005F5D5F"/>
    <w:rsid w:val="005F5F1A"/>
    <w:rsid w:val="005F5F23"/>
    <w:rsid w:val="005F5F3E"/>
    <w:rsid w:val="005F635A"/>
    <w:rsid w:val="005F63C6"/>
    <w:rsid w:val="005F6B82"/>
    <w:rsid w:val="005F6CFF"/>
    <w:rsid w:val="005F7F57"/>
    <w:rsid w:val="006002CE"/>
    <w:rsid w:val="006007D6"/>
    <w:rsid w:val="00600A56"/>
    <w:rsid w:val="00600F8F"/>
    <w:rsid w:val="0060181B"/>
    <w:rsid w:val="00601E1E"/>
    <w:rsid w:val="006024BC"/>
    <w:rsid w:val="006026C0"/>
    <w:rsid w:val="00602906"/>
    <w:rsid w:val="00602BEF"/>
    <w:rsid w:val="00602DB6"/>
    <w:rsid w:val="0060333F"/>
    <w:rsid w:val="00603FCD"/>
    <w:rsid w:val="00604046"/>
    <w:rsid w:val="00604766"/>
    <w:rsid w:val="00604775"/>
    <w:rsid w:val="006047ED"/>
    <w:rsid w:val="00605580"/>
    <w:rsid w:val="00605FF1"/>
    <w:rsid w:val="0060667B"/>
    <w:rsid w:val="00606982"/>
    <w:rsid w:val="00606AEB"/>
    <w:rsid w:val="00606BF0"/>
    <w:rsid w:val="00607CFE"/>
    <w:rsid w:val="00607F34"/>
    <w:rsid w:val="00610187"/>
    <w:rsid w:val="006102A0"/>
    <w:rsid w:val="00610C3F"/>
    <w:rsid w:val="006110B2"/>
    <w:rsid w:val="006110E7"/>
    <w:rsid w:val="00611AC9"/>
    <w:rsid w:val="0061389E"/>
    <w:rsid w:val="00613D0B"/>
    <w:rsid w:val="00614540"/>
    <w:rsid w:val="00614560"/>
    <w:rsid w:val="006147EC"/>
    <w:rsid w:val="00614E74"/>
    <w:rsid w:val="0061601E"/>
    <w:rsid w:val="00616087"/>
    <w:rsid w:val="00616915"/>
    <w:rsid w:val="00616A3E"/>
    <w:rsid w:val="00616C40"/>
    <w:rsid w:val="006173E0"/>
    <w:rsid w:val="006178DE"/>
    <w:rsid w:val="00617ADB"/>
    <w:rsid w:val="006209B2"/>
    <w:rsid w:val="00620BD1"/>
    <w:rsid w:val="00620ED1"/>
    <w:rsid w:val="00621264"/>
    <w:rsid w:val="00621865"/>
    <w:rsid w:val="00621B58"/>
    <w:rsid w:val="006223CB"/>
    <w:rsid w:val="0062270F"/>
    <w:rsid w:val="006244E8"/>
    <w:rsid w:val="006246F0"/>
    <w:rsid w:val="00625526"/>
    <w:rsid w:val="00625761"/>
    <w:rsid w:val="00625CFE"/>
    <w:rsid w:val="006260FC"/>
    <w:rsid w:val="00626AB3"/>
    <w:rsid w:val="00627762"/>
    <w:rsid w:val="006277A6"/>
    <w:rsid w:val="0063053B"/>
    <w:rsid w:val="00630B0F"/>
    <w:rsid w:val="00630B9B"/>
    <w:rsid w:val="00630F61"/>
    <w:rsid w:val="00631027"/>
    <w:rsid w:val="00631C14"/>
    <w:rsid w:val="00631C91"/>
    <w:rsid w:val="006321A1"/>
    <w:rsid w:val="00632398"/>
    <w:rsid w:val="006323D0"/>
    <w:rsid w:val="00633119"/>
    <w:rsid w:val="00633DC0"/>
    <w:rsid w:val="00633F99"/>
    <w:rsid w:val="00635333"/>
    <w:rsid w:val="00635712"/>
    <w:rsid w:val="00637502"/>
    <w:rsid w:val="00637B2D"/>
    <w:rsid w:val="00637C3A"/>
    <w:rsid w:val="0064045F"/>
    <w:rsid w:val="006405B0"/>
    <w:rsid w:val="006405E5"/>
    <w:rsid w:val="00640CF9"/>
    <w:rsid w:val="00641768"/>
    <w:rsid w:val="006421E7"/>
    <w:rsid w:val="0064224B"/>
    <w:rsid w:val="00642E5C"/>
    <w:rsid w:val="00643110"/>
    <w:rsid w:val="0064315D"/>
    <w:rsid w:val="0064326E"/>
    <w:rsid w:val="00643543"/>
    <w:rsid w:val="0064363B"/>
    <w:rsid w:val="00643DF0"/>
    <w:rsid w:val="006448B0"/>
    <w:rsid w:val="00644DAA"/>
    <w:rsid w:val="00645B9A"/>
    <w:rsid w:val="0064697F"/>
    <w:rsid w:val="00647414"/>
    <w:rsid w:val="00647BE3"/>
    <w:rsid w:val="00647E4C"/>
    <w:rsid w:val="0065003D"/>
    <w:rsid w:val="00650695"/>
    <w:rsid w:val="0065118A"/>
    <w:rsid w:val="00651269"/>
    <w:rsid w:val="006516F7"/>
    <w:rsid w:val="0065187D"/>
    <w:rsid w:val="00651977"/>
    <w:rsid w:val="00651A79"/>
    <w:rsid w:val="00651ECF"/>
    <w:rsid w:val="0065232E"/>
    <w:rsid w:val="00652BEB"/>
    <w:rsid w:val="00652CB3"/>
    <w:rsid w:val="00652DB4"/>
    <w:rsid w:val="00653287"/>
    <w:rsid w:val="00653948"/>
    <w:rsid w:val="006539E8"/>
    <w:rsid w:val="006546CA"/>
    <w:rsid w:val="00654D38"/>
    <w:rsid w:val="006556CE"/>
    <w:rsid w:val="00655767"/>
    <w:rsid w:val="006557FE"/>
    <w:rsid w:val="00655C27"/>
    <w:rsid w:val="0065607B"/>
    <w:rsid w:val="006565F4"/>
    <w:rsid w:val="0065691C"/>
    <w:rsid w:val="00656CD9"/>
    <w:rsid w:val="00657473"/>
    <w:rsid w:val="006578D5"/>
    <w:rsid w:val="00657A29"/>
    <w:rsid w:val="00660133"/>
    <w:rsid w:val="00660645"/>
    <w:rsid w:val="0066087C"/>
    <w:rsid w:val="006608EB"/>
    <w:rsid w:val="00660B3C"/>
    <w:rsid w:val="00660D23"/>
    <w:rsid w:val="00661A8E"/>
    <w:rsid w:val="00661CEA"/>
    <w:rsid w:val="00661FDF"/>
    <w:rsid w:val="006635DC"/>
    <w:rsid w:val="00663DC9"/>
    <w:rsid w:val="006645FE"/>
    <w:rsid w:val="0066464D"/>
    <w:rsid w:val="00665224"/>
    <w:rsid w:val="0066573E"/>
    <w:rsid w:val="00666801"/>
    <w:rsid w:val="00666F25"/>
    <w:rsid w:val="00667F40"/>
    <w:rsid w:val="006703DF"/>
    <w:rsid w:val="00670D1B"/>
    <w:rsid w:val="00670EE6"/>
    <w:rsid w:val="00671032"/>
    <w:rsid w:val="0067193A"/>
    <w:rsid w:val="00671E32"/>
    <w:rsid w:val="00672408"/>
    <w:rsid w:val="00672711"/>
    <w:rsid w:val="00672EE3"/>
    <w:rsid w:val="00673AB1"/>
    <w:rsid w:val="00673C53"/>
    <w:rsid w:val="006744E8"/>
    <w:rsid w:val="00674602"/>
    <w:rsid w:val="00674BFC"/>
    <w:rsid w:val="00674EAC"/>
    <w:rsid w:val="00675046"/>
    <w:rsid w:val="00675788"/>
    <w:rsid w:val="00675C79"/>
    <w:rsid w:val="00675E54"/>
    <w:rsid w:val="0067640C"/>
    <w:rsid w:val="0067650B"/>
    <w:rsid w:val="00677020"/>
    <w:rsid w:val="0067782E"/>
    <w:rsid w:val="00677B25"/>
    <w:rsid w:val="00677D12"/>
    <w:rsid w:val="00680406"/>
    <w:rsid w:val="00680488"/>
    <w:rsid w:val="00680E18"/>
    <w:rsid w:val="006810C4"/>
    <w:rsid w:val="00681497"/>
    <w:rsid w:val="006819CC"/>
    <w:rsid w:val="00681CA0"/>
    <w:rsid w:val="006828A2"/>
    <w:rsid w:val="006829A5"/>
    <w:rsid w:val="0068434B"/>
    <w:rsid w:val="0068494B"/>
    <w:rsid w:val="00684C3C"/>
    <w:rsid w:val="0068655D"/>
    <w:rsid w:val="006867A5"/>
    <w:rsid w:val="00686F96"/>
    <w:rsid w:val="00686FE3"/>
    <w:rsid w:val="006872D6"/>
    <w:rsid w:val="00687DCD"/>
    <w:rsid w:val="00687E3F"/>
    <w:rsid w:val="006901C8"/>
    <w:rsid w:val="006901EE"/>
    <w:rsid w:val="00690429"/>
    <w:rsid w:val="00690F2F"/>
    <w:rsid w:val="006910DA"/>
    <w:rsid w:val="00691805"/>
    <w:rsid w:val="006919AC"/>
    <w:rsid w:val="006920C5"/>
    <w:rsid w:val="00694172"/>
    <w:rsid w:val="00694CDD"/>
    <w:rsid w:val="00695180"/>
    <w:rsid w:val="00695B34"/>
    <w:rsid w:val="00695EA2"/>
    <w:rsid w:val="006965B5"/>
    <w:rsid w:val="00697125"/>
    <w:rsid w:val="006975A0"/>
    <w:rsid w:val="00697746"/>
    <w:rsid w:val="006978AB"/>
    <w:rsid w:val="0069797B"/>
    <w:rsid w:val="00697DA9"/>
    <w:rsid w:val="00697F35"/>
    <w:rsid w:val="006A0547"/>
    <w:rsid w:val="006A064A"/>
    <w:rsid w:val="006A068B"/>
    <w:rsid w:val="006A0D4D"/>
    <w:rsid w:val="006A1B90"/>
    <w:rsid w:val="006A1C85"/>
    <w:rsid w:val="006A2692"/>
    <w:rsid w:val="006A278B"/>
    <w:rsid w:val="006A2994"/>
    <w:rsid w:val="006A29C8"/>
    <w:rsid w:val="006A2E90"/>
    <w:rsid w:val="006A313A"/>
    <w:rsid w:val="006A3A29"/>
    <w:rsid w:val="006A46D9"/>
    <w:rsid w:val="006A5A83"/>
    <w:rsid w:val="006A636C"/>
    <w:rsid w:val="006A672A"/>
    <w:rsid w:val="006A6937"/>
    <w:rsid w:val="006A7F45"/>
    <w:rsid w:val="006B1145"/>
    <w:rsid w:val="006B123E"/>
    <w:rsid w:val="006B27EC"/>
    <w:rsid w:val="006B2BEE"/>
    <w:rsid w:val="006B3094"/>
    <w:rsid w:val="006B3565"/>
    <w:rsid w:val="006B3AA0"/>
    <w:rsid w:val="006B415F"/>
    <w:rsid w:val="006B44A5"/>
    <w:rsid w:val="006B47D7"/>
    <w:rsid w:val="006B4C09"/>
    <w:rsid w:val="006B4E75"/>
    <w:rsid w:val="006B4F2D"/>
    <w:rsid w:val="006B557E"/>
    <w:rsid w:val="006B724D"/>
    <w:rsid w:val="006B7508"/>
    <w:rsid w:val="006C0354"/>
    <w:rsid w:val="006C0872"/>
    <w:rsid w:val="006C1D16"/>
    <w:rsid w:val="006C2107"/>
    <w:rsid w:val="006C30F7"/>
    <w:rsid w:val="006C3360"/>
    <w:rsid w:val="006C3DE0"/>
    <w:rsid w:val="006C45AB"/>
    <w:rsid w:val="006C466F"/>
    <w:rsid w:val="006C4B24"/>
    <w:rsid w:val="006C5119"/>
    <w:rsid w:val="006C5203"/>
    <w:rsid w:val="006C58EF"/>
    <w:rsid w:val="006C600E"/>
    <w:rsid w:val="006C61BB"/>
    <w:rsid w:val="006C63D4"/>
    <w:rsid w:val="006C6BB6"/>
    <w:rsid w:val="006C6DB8"/>
    <w:rsid w:val="006C6E23"/>
    <w:rsid w:val="006C7556"/>
    <w:rsid w:val="006C7885"/>
    <w:rsid w:val="006C7BF7"/>
    <w:rsid w:val="006D0406"/>
    <w:rsid w:val="006D064B"/>
    <w:rsid w:val="006D0820"/>
    <w:rsid w:val="006D0E64"/>
    <w:rsid w:val="006D12CF"/>
    <w:rsid w:val="006D135A"/>
    <w:rsid w:val="006D187A"/>
    <w:rsid w:val="006D19EF"/>
    <w:rsid w:val="006D26E0"/>
    <w:rsid w:val="006D2DA3"/>
    <w:rsid w:val="006D2E3E"/>
    <w:rsid w:val="006D3249"/>
    <w:rsid w:val="006D3424"/>
    <w:rsid w:val="006D38DB"/>
    <w:rsid w:val="006D38E8"/>
    <w:rsid w:val="006D38F7"/>
    <w:rsid w:val="006D4581"/>
    <w:rsid w:val="006D6357"/>
    <w:rsid w:val="006D655B"/>
    <w:rsid w:val="006D6A17"/>
    <w:rsid w:val="006D72FA"/>
    <w:rsid w:val="006E094A"/>
    <w:rsid w:val="006E12ED"/>
    <w:rsid w:val="006E18A3"/>
    <w:rsid w:val="006E1AA9"/>
    <w:rsid w:val="006E2250"/>
    <w:rsid w:val="006E23E7"/>
    <w:rsid w:val="006E2456"/>
    <w:rsid w:val="006E37D3"/>
    <w:rsid w:val="006E3BBD"/>
    <w:rsid w:val="006E42B1"/>
    <w:rsid w:val="006E4413"/>
    <w:rsid w:val="006E4826"/>
    <w:rsid w:val="006E497C"/>
    <w:rsid w:val="006E4BE1"/>
    <w:rsid w:val="006E5956"/>
    <w:rsid w:val="006E5D3C"/>
    <w:rsid w:val="006E63C5"/>
    <w:rsid w:val="006E6428"/>
    <w:rsid w:val="006E64C5"/>
    <w:rsid w:val="006E6530"/>
    <w:rsid w:val="006E6554"/>
    <w:rsid w:val="006E69B6"/>
    <w:rsid w:val="006E7E0F"/>
    <w:rsid w:val="006F01CB"/>
    <w:rsid w:val="006F0578"/>
    <w:rsid w:val="006F155D"/>
    <w:rsid w:val="006F18A4"/>
    <w:rsid w:val="006F18E4"/>
    <w:rsid w:val="006F2419"/>
    <w:rsid w:val="006F31F3"/>
    <w:rsid w:val="006F3CBB"/>
    <w:rsid w:val="006F3F13"/>
    <w:rsid w:val="006F5E77"/>
    <w:rsid w:val="006F6535"/>
    <w:rsid w:val="006F6733"/>
    <w:rsid w:val="006F677F"/>
    <w:rsid w:val="006F6C9F"/>
    <w:rsid w:val="006F6D89"/>
    <w:rsid w:val="006F6FE8"/>
    <w:rsid w:val="006F7C54"/>
    <w:rsid w:val="0070067A"/>
    <w:rsid w:val="007008D1"/>
    <w:rsid w:val="007026E1"/>
    <w:rsid w:val="00704EDB"/>
    <w:rsid w:val="007050D6"/>
    <w:rsid w:val="00705781"/>
    <w:rsid w:val="007057B5"/>
    <w:rsid w:val="00705C53"/>
    <w:rsid w:val="00706A70"/>
    <w:rsid w:val="00706C39"/>
    <w:rsid w:val="00707712"/>
    <w:rsid w:val="007077CC"/>
    <w:rsid w:val="00710C87"/>
    <w:rsid w:val="00710D7A"/>
    <w:rsid w:val="0071135A"/>
    <w:rsid w:val="0071168B"/>
    <w:rsid w:val="00711CB9"/>
    <w:rsid w:val="00711F0E"/>
    <w:rsid w:val="007125E0"/>
    <w:rsid w:val="00712CDB"/>
    <w:rsid w:val="00712E82"/>
    <w:rsid w:val="0071324F"/>
    <w:rsid w:val="00713F08"/>
    <w:rsid w:val="00714158"/>
    <w:rsid w:val="00714304"/>
    <w:rsid w:val="00714654"/>
    <w:rsid w:val="00714919"/>
    <w:rsid w:val="00714D18"/>
    <w:rsid w:val="00714DDB"/>
    <w:rsid w:val="00715A08"/>
    <w:rsid w:val="00715F14"/>
    <w:rsid w:val="00717093"/>
    <w:rsid w:val="007173DD"/>
    <w:rsid w:val="00717A5F"/>
    <w:rsid w:val="00717B30"/>
    <w:rsid w:val="00720017"/>
    <w:rsid w:val="0072011B"/>
    <w:rsid w:val="00720D05"/>
    <w:rsid w:val="00720D66"/>
    <w:rsid w:val="00721313"/>
    <w:rsid w:val="00721464"/>
    <w:rsid w:val="0072248E"/>
    <w:rsid w:val="007224C0"/>
    <w:rsid w:val="00722AA6"/>
    <w:rsid w:val="00723060"/>
    <w:rsid w:val="0072373D"/>
    <w:rsid w:val="00723A6C"/>
    <w:rsid w:val="00723E4F"/>
    <w:rsid w:val="00724289"/>
    <w:rsid w:val="00724510"/>
    <w:rsid w:val="00724647"/>
    <w:rsid w:val="00726218"/>
    <w:rsid w:val="007266FD"/>
    <w:rsid w:val="00726BB2"/>
    <w:rsid w:val="007275CE"/>
    <w:rsid w:val="00727FA2"/>
    <w:rsid w:val="00730071"/>
    <w:rsid w:val="0073010E"/>
    <w:rsid w:val="007302B7"/>
    <w:rsid w:val="0073047D"/>
    <w:rsid w:val="007318F7"/>
    <w:rsid w:val="0073205E"/>
    <w:rsid w:val="00732063"/>
    <w:rsid w:val="0073312C"/>
    <w:rsid w:val="007331E8"/>
    <w:rsid w:val="007336D1"/>
    <w:rsid w:val="0073435C"/>
    <w:rsid w:val="007343A7"/>
    <w:rsid w:val="007344F5"/>
    <w:rsid w:val="007349B2"/>
    <w:rsid w:val="00734BF0"/>
    <w:rsid w:val="007362EA"/>
    <w:rsid w:val="007364C0"/>
    <w:rsid w:val="00736870"/>
    <w:rsid w:val="00736CBE"/>
    <w:rsid w:val="00736E9F"/>
    <w:rsid w:val="007376E0"/>
    <w:rsid w:val="00737A61"/>
    <w:rsid w:val="00737A8C"/>
    <w:rsid w:val="00737C11"/>
    <w:rsid w:val="007400C6"/>
    <w:rsid w:val="00740287"/>
    <w:rsid w:val="00740663"/>
    <w:rsid w:val="0074113D"/>
    <w:rsid w:val="00741406"/>
    <w:rsid w:val="007414AD"/>
    <w:rsid w:val="0074164E"/>
    <w:rsid w:val="007421F2"/>
    <w:rsid w:val="0074252F"/>
    <w:rsid w:val="00742A32"/>
    <w:rsid w:val="00742A3D"/>
    <w:rsid w:val="00742DE8"/>
    <w:rsid w:val="00743100"/>
    <w:rsid w:val="0074494B"/>
    <w:rsid w:val="00744B0E"/>
    <w:rsid w:val="00745513"/>
    <w:rsid w:val="00745B64"/>
    <w:rsid w:val="007474E8"/>
    <w:rsid w:val="007476A8"/>
    <w:rsid w:val="00747D35"/>
    <w:rsid w:val="00747E9A"/>
    <w:rsid w:val="00747EF1"/>
    <w:rsid w:val="007502E3"/>
    <w:rsid w:val="00750A83"/>
    <w:rsid w:val="007515BB"/>
    <w:rsid w:val="007518CB"/>
    <w:rsid w:val="0075219C"/>
    <w:rsid w:val="00752338"/>
    <w:rsid w:val="00752A9A"/>
    <w:rsid w:val="0075376C"/>
    <w:rsid w:val="00754086"/>
    <w:rsid w:val="007540A1"/>
    <w:rsid w:val="0075419D"/>
    <w:rsid w:val="007545B1"/>
    <w:rsid w:val="007551E7"/>
    <w:rsid w:val="00755486"/>
    <w:rsid w:val="00755C2F"/>
    <w:rsid w:val="0075645B"/>
    <w:rsid w:val="00756852"/>
    <w:rsid w:val="00756B29"/>
    <w:rsid w:val="0075766E"/>
    <w:rsid w:val="007600E8"/>
    <w:rsid w:val="00760621"/>
    <w:rsid w:val="007608EE"/>
    <w:rsid w:val="00760CEB"/>
    <w:rsid w:val="0076154A"/>
    <w:rsid w:val="00762235"/>
    <w:rsid w:val="0076242C"/>
    <w:rsid w:val="007625C8"/>
    <w:rsid w:val="00762F53"/>
    <w:rsid w:val="00763190"/>
    <w:rsid w:val="00763428"/>
    <w:rsid w:val="00763659"/>
    <w:rsid w:val="007641F3"/>
    <w:rsid w:val="00764308"/>
    <w:rsid w:val="00764530"/>
    <w:rsid w:val="0076482F"/>
    <w:rsid w:val="00764E3E"/>
    <w:rsid w:val="00766779"/>
    <w:rsid w:val="007668F2"/>
    <w:rsid w:val="00766D78"/>
    <w:rsid w:val="00766E76"/>
    <w:rsid w:val="00766F00"/>
    <w:rsid w:val="007675AF"/>
    <w:rsid w:val="0076792A"/>
    <w:rsid w:val="007704A2"/>
    <w:rsid w:val="00770786"/>
    <w:rsid w:val="00770813"/>
    <w:rsid w:val="007711EB"/>
    <w:rsid w:val="0077207E"/>
    <w:rsid w:val="007720AB"/>
    <w:rsid w:val="00772ACE"/>
    <w:rsid w:val="007732F9"/>
    <w:rsid w:val="007742DA"/>
    <w:rsid w:val="00774CC3"/>
    <w:rsid w:val="007754B9"/>
    <w:rsid w:val="007757D6"/>
    <w:rsid w:val="00775F9A"/>
    <w:rsid w:val="00776865"/>
    <w:rsid w:val="00776C0A"/>
    <w:rsid w:val="00777584"/>
    <w:rsid w:val="007775F4"/>
    <w:rsid w:val="00777641"/>
    <w:rsid w:val="00777B8E"/>
    <w:rsid w:val="00777BF7"/>
    <w:rsid w:val="00777E90"/>
    <w:rsid w:val="00781158"/>
    <w:rsid w:val="00781912"/>
    <w:rsid w:val="007822D3"/>
    <w:rsid w:val="007826CD"/>
    <w:rsid w:val="0078289B"/>
    <w:rsid w:val="00782AA2"/>
    <w:rsid w:val="00783066"/>
    <w:rsid w:val="00783D9A"/>
    <w:rsid w:val="007841B5"/>
    <w:rsid w:val="00784469"/>
    <w:rsid w:val="00784691"/>
    <w:rsid w:val="00784A81"/>
    <w:rsid w:val="0078528F"/>
    <w:rsid w:val="007854A6"/>
    <w:rsid w:val="00786098"/>
    <w:rsid w:val="0078656E"/>
    <w:rsid w:val="00787FC7"/>
    <w:rsid w:val="00791CC1"/>
    <w:rsid w:val="0079310A"/>
    <w:rsid w:val="00793339"/>
    <w:rsid w:val="00793572"/>
    <w:rsid w:val="00793626"/>
    <w:rsid w:val="00793C12"/>
    <w:rsid w:val="00793C42"/>
    <w:rsid w:val="007940EE"/>
    <w:rsid w:val="00795108"/>
    <w:rsid w:val="00795788"/>
    <w:rsid w:val="00795C63"/>
    <w:rsid w:val="00795EDB"/>
    <w:rsid w:val="00797109"/>
    <w:rsid w:val="0079751F"/>
    <w:rsid w:val="007977B9"/>
    <w:rsid w:val="00797F6B"/>
    <w:rsid w:val="007A02A3"/>
    <w:rsid w:val="007A0C90"/>
    <w:rsid w:val="007A107D"/>
    <w:rsid w:val="007A1A9A"/>
    <w:rsid w:val="007A1C7A"/>
    <w:rsid w:val="007A21BA"/>
    <w:rsid w:val="007A2384"/>
    <w:rsid w:val="007A32D4"/>
    <w:rsid w:val="007A3465"/>
    <w:rsid w:val="007A37C6"/>
    <w:rsid w:val="007A3835"/>
    <w:rsid w:val="007A3CA0"/>
    <w:rsid w:val="007A65BE"/>
    <w:rsid w:val="007A6651"/>
    <w:rsid w:val="007A6C2D"/>
    <w:rsid w:val="007A6D03"/>
    <w:rsid w:val="007A7679"/>
    <w:rsid w:val="007A7973"/>
    <w:rsid w:val="007A7C95"/>
    <w:rsid w:val="007A7DB6"/>
    <w:rsid w:val="007B03C7"/>
    <w:rsid w:val="007B043E"/>
    <w:rsid w:val="007B048A"/>
    <w:rsid w:val="007B07CB"/>
    <w:rsid w:val="007B0E39"/>
    <w:rsid w:val="007B1013"/>
    <w:rsid w:val="007B1764"/>
    <w:rsid w:val="007B1A43"/>
    <w:rsid w:val="007B1F63"/>
    <w:rsid w:val="007B2375"/>
    <w:rsid w:val="007B4C19"/>
    <w:rsid w:val="007B4C29"/>
    <w:rsid w:val="007B56C3"/>
    <w:rsid w:val="007B60C0"/>
    <w:rsid w:val="007B6122"/>
    <w:rsid w:val="007B6298"/>
    <w:rsid w:val="007B637E"/>
    <w:rsid w:val="007B64FD"/>
    <w:rsid w:val="007B6844"/>
    <w:rsid w:val="007B6CCC"/>
    <w:rsid w:val="007B7142"/>
    <w:rsid w:val="007B7359"/>
    <w:rsid w:val="007B74DA"/>
    <w:rsid w:val="007C0E63"/>
    <w:rsid w:val="007C149D"/>
    <w:rsid w:val="007C1A87"/>
    <w:rsid w:val="007C2626"/>
    <w:rsid w:val="007C2A7A"/>
    <w:rsid w:val="007C3AD9"/>
    <w:rsid w:val="007C3E47"/>
    <w:rsid w:val="007C3F78"/>
    <w:rsid w:val="007C5094"/>
    <w:rsid w:val="007C60E5"/>
    <w:rsid w:val="007C6390"/>
    <w:rsid w:val="007C67B4"/>
    <w:rsid w:val="007C7612"/>
    <w:rsid w:val="007C777F"/>
    <w:rsid w:val="007C7A6E"/>
    <w:rsid w:val="007D06D4"/>
    <w:rsid w:val="007D0EBE"/>
    <w:rsid w:val="007D16A5"/>
    <w:rsid w:val="007D28DB"/>
    <w:rsid w:val="007D2DC1"/>
    <w:rsid w:val="007D2F95"/>
    <w:rsid w:val="007D30F0"/>
    <w:rsid w:val="007D313A"/>
    <w:rsid w:val="007D3E7C"/>
    <w:rsid w:val="007D3F81"/>
    <w:rsid w:val="007D4FA6"/>
    <w:rsid w:val="007D5492"/>
    <w:rsid w:val="007D5990"/>
    <w:rsid w:val="007D5CB8"/>
    <w:rsid w:val="007D5D7D"/>
    <w:rsid w:val="007D5ECD"/>
    <w:rsid w:val="007D6196"/>
    <w:rsid w:val="007D7408"/>
    <w:rsid w:val="007D764C"/>
    <w:rsid w:val="007D7AF7"/>
    <w:rsid w:val="007D7BAC"/>
    <w:rsid w:val="007E00FE"/>
    <w:rsid w:val="007E025E"/>
    <w:rsid w:val="007E031C"/>
    <w:rsid w:val="007E07AC"/>
    <w:rsid w:val="007E118C"/>
    <w:rsid w:val="007E152D"/>
    <w:rsid w:val="007E1E8E"/>
    <w:rsid w:val="007E25DE"/>
    <w:rsid w:val="007E2941"/>
    <w:rsid w:val="007E2BCD"/>
    <w:rsid w:val="007E35F0"/>
    <w:rsid w:val="007E3959"/>
    <w:rsid w:val="007E4D37"/>
    <w:rsid w:val="007E5702"/>
    <w:rsid w:val="007E5E2D"/>
    <w:rsid w:val="007E6227"/>
    <w:rsid w:val="007E6B5F"/>
    <w:rsid w:val="007E6E29"/>
    <w:rsid w:val="007E71D2"/>
    <w:rsid w:val="007F0709"/>
    <w:rsid w:val="007F1425"/>
    <w:rsid w:val="007F1734"/>
    <w:rsid w:val="007F1CF4"/>
    <w:rsid w:val="007F22BC"/>
    <w:rsid w:val="007F2390"/>
    <w:rsid w:val="007F2BC8"/>
    <w:rsid w:val="007F2FAA"/>
    <w:rsid w:val="007F32D5"/>
    <w:rsid w:val="007F332F"/>
    <w:rsid w:val="007F39A5"/>
    <w:rsid w:val="007F3B5B"/>
    <w:rsid w:val="007F4190"/>
    <w:rsid w:val="007F45A1"/>
    <w:rsid w:val="007F47C8"/>
    <w:rsid w:val="007F4A87"/>
    <w:rsid w:val="007F4E0E"/>
    <w:rsid w:val="007F5EB7"/>
    <w:rsid w:val="007F6A04"/>
    <w:rsid w:val="007F7154"/>
    <w:rsid w:val="007F7831"/>
    <w:rsid w:val="0080080C"/>
    <w:rsid w:val="00800B22"/>
    <w:rsid w:val="00800B6B"/>
    <w:rsid w:val="008017C7"/>
    <w:rsid w:val="008026FD"/>
    <w:rsid w:val="00802BC9"/>
    <w:rsid w:val="00802FCE"/>
    <w:rsid w:val="0080363F"/>
    <w:rsid w:val="0080387E"/>
    <w:rsid w:val="00804021"/>
    <w:rsid w:val="00804F3E"/>
    <w:rsid w:val="008055E9"/>
    <w:rsid w:val="00805AF4"/>
    <w:rsid w:val="00806C41"/>
    <w:rsid w:val="00807738"/>
    <w:rsid w:val="008078E8"/>
    <w:rsid w:val="00807C4A"/>
    <w:rsid w:val="00807EC8"/>
    <w:rsid w:val="00807FEB"/>
    <w:rsid w:val="00810035"/>
    <w:rsid w:val="00810785"/>
    <w:rsid w:val="00810D78"/>
    <w:rsid w:val="0081186E"/>
    <w:rsid w:val="00811B37"/>
    <w:rsid w:val="00813280"/>
    <w:rsid w:val="00813291"/>
    <w:rsid w:val="00814806"/>
    <w:rsid w:val="00814B14"/>
    <w:rsid w:val="00814D11"/>
    <w:rsid w:val="0081535F"/>
    <w:rsid w:val="008157F1"/>
    <w:rsid w:val="008163F0"/>
    <w:rsid w:val="00817326"/>
    <w:rsid w:val="0081778D"/>
    <w:rsid w:val="00817A72"/>
    <w:rsid w:val="00817D3E"/>
    <w:rsid w:val="00817ECF"/>
    <w:rsid w:val="00820DD6"/>
    <w:rsid w:val="008214B2"/>
    <w:rsid w:val="00822654"/>
    <w:rsid w:val="00822BBB"/>
    <w:rsid w:val="00822DB1"/>
    <w:rsid w:val="00822E26"/>
    <w:rsid w:val="00823034"/>
    <w:rsid w:val="008230FB"/>
    <w:rsid w:val="008236B4"/>
    <w:rsid w:val="008237CC"/>
    <w:rsid w:val="008241AA"/>
    <w:rsid w:val="0082446A"/>
    <w:rsid w:val="00824561"/>
    <w:rsid w:val="0082473D"/>
    <w:rsid w:val="008254B3"/>
    <w:rsid w:val="008255CF"/>
    <w:rsid w:val="00826518"/>
    <w:rsid w:val="00826945"/>
    <w:rsid w:val="00826A31"/>
    <w:rsid w:val="00826F18"/>
    <w:rsid w:val="00826FC8"/>
    <w:rsid w:val="0083069F"/>
    <w:rsid w:val="00831696"/>
    <w:rsid w:val="00832448"/>
    <w:rsid w:val="00832B39"/>
    <w:rsid w:val="00833099"/>
    <w:rsid w:val="00834E53"/>
    <w:rsid w:val="00834F46"/>
    <w:rsid w:val="008350ED"/>
    <w:rsid w:val="00835684"/>
    <w:rsid w:val="008359D8"/>
    <w:rsid w:val="00835A73"/>
    <w:rsid w:val="00837350"/>
    <w:rsid w:val="008374EC"/>
    <w:rsid w:val="00837D4A"/>
    <w:rsid w:val="00840315"/>
    <w:rsid w:val="0084057E"/>
    <w:rsid w:val="00840852"/>
    <w:rsid w:val="00840BDB"/>
    <w:rsid w:val="008413C4"/>
    <w:rsid w:val="00841C13"/>
    <w:rsid w:val="00843685"/>
    <w:rsid w:val="008436C8"/>
    <w:rsid w:val="00843886"/>
    <w:rsid w:val="00843B17"/>
    <w:rsid w:val="00843DDD"/>
    <w:rsid w:val="00843E2D"/>
    <w:rsid w:val="00844F5C"/>
    <w:rsid w:val="00845F38"/>
    <w:rsid w:val="00846A0E"/>
    <w:rsid w:val="00846CC3"/>
    <w:rsid w:val="0084736E"/>
    <w:rsid w:val="00850118"/>
    <w:rsid w:val="00850B62"/>
    <w:rsid w:val="00851091"/>
    <w:rsid w:val="008510AF"/>
    <w:rsid w:val="0085173D"/>
    <w:rsid w:val="00851E7E"/>
    <w:rsid w:val="008525D0"/>
    <w:rsid w:val="00852C27"/>
    <w:rsid w:val="00852C79"/>
    <w:rsid w:val="008537A6"/>
    <w:rsid w:val="00854134"/>
    <w:rsid w:val="00854622"/>
    <w:rsid w:val="0085476F"/>
    <w:rsid w:val="00854EB9"/>
    <w:rsid w:val="008551DF"/>
    <w:rsid w:val="00855ADE"/>
    <w:rsid w:val="00855E3E"/>
    <w:rsid w:val="008564C3"/>
    <w:rsid w:val="0085671F"/>
    <w:rsid w:val="008569BE"/>
    <w:rsid w:val="00856BF0"/>
    <w:rsid w:val="00856D5D"/>
    <w:rsid w:val="00857DC6"/>
    <w:rsid w:val="008601D5"/>
    <w:rsid w:val="0086022C"/>
    <w:rsid w:val="0086039D"/>
    <w:rsid w:val="00860F20"/>
    <w:rsid w:val="00860F34"/>
    <w:rsid w:val="00861A72"/>
    <w:rsid w:val="00861E91"/>
    <w:rsid w:val="00862BFD"/>
    <w:rsid w:val="00862ED6"/>
    <w:rsid w:val="00863923"/>
    <w:rsid w:val="00863B80"/>
    <w:rsid w:val="00863D10"/>
    <w:rsid w:val="00864911"/>
    <w:rsid w:val="00865E8E"/>
    <w:rsid w:val="00866474"/>
    <w:rsid w:val="0086666C"/>
    <w:rsid w:val="0086673B"/>
    <w:rsid w:val="00866A7A"/>
    <w:rsid w:val="00866DFC"/>
    <w:rsid w:val="008673AA"/>
    <w:rsid w:val="008676C6"/>
    <w:rsid w:val="00867D24"/>
    <w:rsid w:val="00867E0B"/>
    <w:rsid w:val="00870279"/>
    <w:rsid w:val="00870685"/>
    <w:rsid w:val="00870ABA"/>
    <w:rsid w:val="00871104"/>
    <w:rsid w:val="00871275"/>
    <w:rsid w:val="00872A29"/>
    <w:rsid w:val="00872D5D"/>
    <w:rsid w:val="00872DB9"/>
    <w:rsid w:val="00873195"/>
    <w:rsid w:val="00873BD2"/>
    <w:rsid w:val="00873CEF"/>
    <w:rsid w:val="00874728"/>
    <w:rsid w:val="008759E5"/>
    <w:rsid w:val="00875A37"/>
    <w:rsid w:val="0087638F"/>
    <w:rsid w:val="00876D5C"/>
    <w:rsid w:val="00877213"/>
    <w:rsid w:val="008772D6"/>
    <w:rsid w:val="008773C2"/>
    <w:rsid w:val="008803FC"/>
    <w:rsid w:val="008808D4"/>
    <w:rsid w:val="00880F8D"/>
    <w:rsid w:val="0088115E"/>
    <w:rsid w:val="008817D9"/>
    <w:rsid w:val="00881980"/>
    <w:rsid w:val="00881C8F"/>
    <w:rsid w:val="00881D37"/>
    <w:rsid w:val="008823A7"/>
    <w:rsid w:val="008825AD"/>
    <w:rsid w:val="00882654"/>
    <w:rsid w:val="00882E6E"/>
    <w:rsid w:val="008835FD"/>
    <w:rsid w:val="008836FA"/>
    <w:rsid w:val="00883FE8"/>
    <w:rsid w:val="00884AA4"/>
    <w:rsid w:val="00884C30"/>
    <w:rsid w:val="00884F51"/>
    <w:rsid w:val="0088544C"/>
    <w:rsid w:val="00885DF5"/>
    <w:rsid w:val="00885F44"/>
    <w:rsid w:val="00885FAB"/>
    <w:rsid w:val="00886155"/>
    <w:rsid w:val="008865FC"/>
    <w:rsid w:val="00886B9F"/>
    <w:rsid w:val="008878C2"/>
    <w:rsid w:val="00887E3F"/>
    <w:rsid w:val="0089078F"/>
    <w:rsid w:val="00890ABE"/>
    <w:rsid w:val="00890ACF"/>
    <w:rsid w:val="00890F5E"/>
    <w:rsid w:val="008916F7"/>
    <w:rsid w:val="008919AA"/>
    <w:rsid w:val="008931B4"/>
    <w:rsid w:val="00894426"/>
    <w:rsid w:val="00894CE3"/>
    <w:rsid w:val="0089581B"/>
    <w:rsid w:val="008959C6"/>
    <w:rsid w:val="00895BB8"/>
    <w:rsid w:val="00895FCF"/>
    <w:rsid w:val="00896976"/>
    <w:rsid w:val="00896AAE"/>
    <w:rsid w:val="00896C2C"/>
    <w:rsid w:val="008970AC"/>
    <w:rsid w:val="008971DB"/>
    <w:rsid w:val="0089736E"/>
    <w:rsid w:val="008A0197"/>
    <w:rsid w:val="008A05B7"/>
    <w:rsid w:val="008A1013"/>
    <w:rsid w:val="008A31A4"/>
    <w:rsid w:val="008A3626"/>
    <w:rsid w:val="008A3843"/>
    <w:rsid w:val="008A3F5C"/>
    <w:rsid w:val="008A43EA"/>
    <w:rsid w:val="008A53AB"/>
    <w:rsid w:val="008A78E7"/>
    <w:rsid w:val="008B024F"/>
    <w:rsid w:val="008B104C"/>
    <w:rsid w:val="008B104E"/>
    <w:rsid w:val="008B145B"/>
    <w:rsid w:val="008B1D7C"/>
    <w:rsid w:val="008B1E61"/>
    <w:rsid w:val="008B2F69"/>
    <w:rsid w:val="008B338C"/>
    <w:rsid w:val="008B389A"/>
    <w:rsid w:val="008B389C"/>
    <w:rsid w:val="008B39A6"/>
    <w:rsid w:val="008B3E87"/>
    <w:rsid w:val="008B41C8"/>
    <w:rsid w:val="008B4C9A"/>
    <w:rsid w:val="008B5148"/>
    <w:rsid w:val="008B5299"/>
    <w:rsid w:val="008B5B1F"/>
    <w:rsid w:val="008B5E32"/>
    <w:rsid w:val="008B61D5"/>
    <w:rsid w:val="008B6366"/>
    <w:rsid w:val="008B6441"/>
    <w:rsid w:val="008B6A97"/>
    <w:rsid w:val="008B6E12"/>
    <w:rsid w:val="008B724F"/>
    <w:rsid w:val="008B732D"/>
    <w:rsid w:val="008B777F"/>
    <w:rsid w:val="008C193C"/>
    <w:rsid w:val="008C1D0B"/>
    <w:rsid w:val="008C20AD"/>
    <w:rsid w:val="008C274A"/>
    <w:rsid w:val="008C2E0D"/>
    <w:rsid w:val="008C3173"/>
    <w:rsid w:val="008C37BE"/>
    <w:rsid w:val="008C3E44"/>
    <w:rsid w:val="008C3E77"/>
    <w:rsid w:val="008C41AB"/>
    <w:rsid w:val="008C43E2"/>
    <w:rsid w:val="008C470A"/>
    <w:rsid w:val="008C50B8"/>
    <w:rsid w:val="008C6754"/>
    <w:rsid w:val="008C6A7E"/>
    <w:rsid w:val="008C6F7F"/>
    <w:rsid w:val="008D023A"/>
    <w:rsid w:val="008D06FA"/>
    <w:rsid w:val="008D0893"/>
    <w:rsid w:val="008D0D1A"/>
    <w:rsid w:val="008D23CB"/>
    <w:rsid w:val="008D25DA"/>
    <w:rsid w:val="008D2DA3"/>
    <w:rsid w:val="008D33D8"/>
    <w:rsid w:val="008D34DB"/>
    <w:rsid w:val="008D4149"/>
    <w:rsid w:val="008D4920"/>
    <w:rsid w:val="008D54E2"/>
    <w:rsid w:val="008D57F2"/>
    <w:rsid w:val="008D591D"/>
    <w:rsid w:val="008D77CA"/>
    <w:rsid w:val="008D7AE6"/>
    <w:rsid w:val="008D7E5F"/>
    <w:rsid w:val="008E04E6"/>
    <w:rsid w:val="008E059F"/>
    <w:rsid w:val="008E068A"/>
    <w:rsid w:val="008E175F"/>
    <w:rsid w:val="008E19A4"/>
    <w:rsid w:val="008E201F"/>
    <w:rsid w:val="008E25D6"/>
    <w:rsid w:val="008E3294"/>
    <w:rsid w:val="008E36F7"/>
    <w:rsid w:val="008E3C2C"/>
    <w:rsid w:val="008E3DBE"/>
    <w:rsid w:val="008E47A3"/>
    <w:rsid w:val="008E47E7"/>
    <w:rsid w:val="008E50B3"/>
    <w:rsid w:val="008E50F4"/>
    <w:rsid w:val="008E577F"/>
    <w:rsid w:val="008E5DEA"/>
    <w:rsid w:val="008E6297"/>
    <w:rsid w:val="008E74F8"/>
    <w:rsid w:val="008F02D6"/>
    <w:rsid w:val="008F08CF"/>
    <w:rsid w:val="008F0B52"/>
    <w:rsid w:val="008F0DD0"/>
    <w:rsid w:val="008F121D"/>
    <w:rsid w:val="008F1620"/>
    <w:rsid w:val="008F1DB2"/>
    <w:rsid w:val="008F1EF7"/>
    <w:rsid w:val="008F21FF"/>
    <w:rsid w:val="008F230D"/>
    <w:rsid w:val="008F2671"/>
    <w:rsid w:val="008F2742"/>
    <w:rsid w:val="008F30BD"/>
    <w:rsid w:val="008F3FF6"/>
    <w:rsid w:val="008F4265"/>
    <w:rsid w:val="008F43BF"/>
    <w:rsid w:val="008F492E"/>
    <w:rsid w:val="008F4FE3"/>
    <w:rsid w:val="008F54F9"/>
    <w:rsid w:val="008F6066"/>
    <w:rsid w:val="008F66B4"/>
    <w:rsid w:val="008F72D8"/>
    <w:rsid w:val="0090040E"/>
    <w:rsid w:val="009009D3"/>
    <w:rsid w:val="00900FF9"/>
    <w:rsid w:val="009010BF"/>
    <w:rsid w:val="009011E9"/>
    <w:rsid w:val="00901463"/>
    <w:rsid w:val="00901FCD"/>
    <w:rsid w:val="0090261F"/>
    <w:rsid w:val="00902AE9"/>
    <w:rsid w:val="00903122"/>
    <w:rsid w:val="00903947"/>
    <w:rsid w:val="00903EAB"/>
    <w:rsid w:val="009050CD"/>
    <w:rsid w:val="00905663"/>
    <w:rsid w:val="00905E63"/>
    <w:rsid w:val="00906D05"/>
    <w:rsid w:val="00906DD7"/>
    <w:rsid w:val="00906E67"/>
    <w:rsid w:val="009070EE"/>
    <w:rsid w:val="009070F8"/>
    <w:rsid w:val="009077FA"/>
    <w:rsid w:val="00907ADE"/>
    <w:rsid w:val="00910573"/>
    <w:rsid w:val="00910A83"/>
    <w:rsid w:val="0091100E"/>
    <w:rsid w:val="009110CF"/>
    <w:rsid w:val="0091260D"/>
    <w:rsid w:val="00913171"/>
    <w:rsid w:val="00913191"/>
    <w:rsid w:val="009131AF"/>
    <w:rsid w:val="00913289"/>
    <w:rsid w:val="009147CE"/>
    <w:rsid w:val="00914C76"/>
    <w:rsid w:val="0091546A"/>
    <w:rsid w:val="00915957"/>
    <w:rsid w:val="00915A15"/>
    <w:rsid w:val="00915B75"/>
    <w:rsid w:val="0091632A"/>
    <w:rsid w:val="00916B6F"/>
    <w:rsid w:val="00916D45"/>
    <w:rsid w:val="00916D9C"/>
    <w:rsid w:val="00917CDF"/>
    <w:rsid w:val="0092020B"/>
    <w:rsid w:val="00920596"/>
    <w:rsid w:val="009208AE"/>
    <w:rsid w:val="00920B00"/>
    <w:rsid w:val="00920E9D"/>
    <w:rsid w:val="00921295"/>
    <w:rsid w:val="00921616"/>
    <w:rsid w:val="00921B63"/>
    <w:rsid w:val="00921C51"/>
    <w:rsid w:val="00922B1E"/>
    <w:rsid w:val="00922B97"/>
    <w:rsid w:val="00922C74"/>
    <w:rsid w:val="00922CBF"/>
    <w:rsid w:val="009234F0"/>
    <w:rsid w:val="00923B97"/>
    <w:rsid w:val="009247E9"/>
    <w:rsid w:val="00924F7D"/>
    <w:rsid w:val="00925300"/>
    <w:rsid w:val="00925435"/>
    <w:rsid w:val="009258FE"/>
    <w:rsid w:val="009262D0"/>
    <w:rsid w:val="009264A4"/>
    <w:rsid w:val="00926FCD"/>
    <w:rsid w:val="009309C1"/>
    <w:rsid w:val="009318FB"/>
    <w:rsid w:val="00931A2B"/>
    <w:rsid w:val="00931EF0"/>
    <w:rsid w:val="00932C1B"/>
    <w:rsid w:val="00932E96"/>
    <w:rsid w:val="00932EEE"/>
    <w:rsid w:val="009335FD"/>
    <w:rsid w:val="00933AE7"/>
    <w:rsid w:val="00933B7D"/>
    <w:rsid w:val="00934A27"/>
    <w:rsid w:val="00934CAC"/>
    <w:rsid w:val="00934CF4"/>
    <w:rsid w:val="0093515F"/>
    <w:rsid w:val="00935283"/>
    <w:rsid w:val="00935BB8"/>
    <w:rsid w:val="00936312"/>
    <w:rsid w:val="009364DF"/>
    <w:rsid w:val="009365B7"/>
    <w:rsid w:val="00936BFF"/>
    <w:rsid w:val="00940335"/>
    <w:rsid w:val="009412CD"/>
    <w:rsid w:val="00941A06"/>
    <w:rsid w:val="00941DD0"/>
    <w:rsid w:val="009430D4"/>
    <w:rsid w:val="00943AB8"/>
    <w:rsid w:val="00943FBC"/>
    <w:rsid w:val="00944A4B"/>
    <w:rsid w:val="00944DF4"/>
    <w:rsid w:val="0094557D"/>
    <w:rsid w:val="00945A3B"/>
    <w:rsid w:val="00947C8E"/>
    <w:rsid w:val="009504C4"/>
    <w:rsid w:val="00950A18"/>
    <w:rsid w:val="00950AC0"/>
    <w:rsid w:val="009517E3"/>
    <w:rsid w:val="00951B89"/>
    <w:rsid w:val="00951BE5"/>
    <w:rsid w:val="00951E65"/>
    <w:rsid w:val="00954268"/>
    <w:rsid w:val="00954B35"/>
    <w:rsid w:val="00954E8F"/>
    <w:rsid w:val="00954FB8"/>
    <w:rsid w:val="00955866"/>
    <w:rsid w:val="00955BB9"/>
    <w:rsid w:val="0095611F"/>
    <w:rsid w:val="00956AB9"/>
    <w:rsid w:val="00956EB5"/>
    <w:rsid w:val="0096021C"/>
    <w:rsid w:val="0096069C"/>
    <w:rsid w:val="00960950"/>
    <w:rsid w:val="00961104"/>
    <w:rsid w:val="009615A8"/>
    <w:rsid w:val="00961928"/>
    <w:rsid w:val="009621A8"/>
    <w:rsid w:val="00962789"/>
    <w:rsid w:val="0096293C"/>
    <w:rsid w:val="00962D3D"/>
    <w:rsid w:val="00962E4B"/>
    <w:rsid w:val="00962F03"/>
    <w:rsid w:val="00963AB5"/>
    <w:rsid w:val="00964F1A"/>
    <w:rsid w:val="00964FAB"/>
    <w:rsid w:val="00965DE2"/>
    <w:rsid w:val="00966236"/>
    <w:rsid w:val="0097077E"/>
    <w:rsid w:val="009711EA"/>
    <w:rsid w:val="00971666"/>
    <w:rsid w:val="00971A67"/>
    <w:rsid w:val="00971F59"/>
    <w:rsid w:val="00972AE2"/>
    <w:rsid w:val="00972C93"/>
    <w:rsid w:val="00973433"/>
    <w:rsid w:val="00973B2C"/>
    <w:rsid w:val="00973DE5"/>
    <w:rsid w:val="00974121"/>
    <w:rsid w:val="00974269"/>
    <w:rsid w:val="00974A72"/>
    <w:rsid w:val="00975058"/>
    <w:rsid w:val="00975334"/>
    <w:rsid w:val="009755FE"/>
    <w:rsid w:val="00976486"/>
    <w:rsid w:val="00976674"/>
    <w:rsid w:val="00976FB8"/>
    <w:rsid w:val="00977C81"/>
    <w:rsid w:val="00977F47"/>
    <w:rsid w:val="009802C2"/>
    <w:rsid w:val="00981321"/>
    <w:rsid w:val="009814DA"/>
    <w:rsid w:val="0098199F"/>
    <w:rsid w:val="00982306"/>
    <w:rsid w:val="00982C3E"/>
    <w:rsid w:val="009831C3"/>
    <w:rsid w:val="00983356"/>
    <w:rsid w:val="00983663"/>
    <w:rsid w:val="0098378D"/>
    <w:rsid w:val="009839FF"/>
    <w:rsid w:val="00983B54"/>
    <w:rsid w:val="00984113"/>
    <w:rsid w:val="00984B30"/>
    <w:rsid w:val="0098551E"/>
    <w:rsid w:val="0098606F"/>
    <w:rsid w:val="00986096"/>
    <w:rsid w:val="0098665E"/>
    <w:rsid w:val="00987C87"/>
    <w:rsid w:val="00987E93"/>
    <w:rsid w:val="009904DE"/>
    <w:rsid w:val="009909C7"/>
    <w:rsid w:val="00990EE2"/>
    <w:rsid w:val="00991988"/>
    <w:rsid w:val="00991A39"/>
    <w:rsid w:val="00991DFE"/>
    <w:rsid w:val="00992057"/>
    <w:rsid w:val="0099230C"/>
    <w:rsid w:val="00992604"/>
    <w:rsid w:val="00992E68"/>
    <w:rsid w:val="0099367C"/>
    <w:rsid w:val="00993823"/>
    <w:rsid w:val="00994096"/>
    <w:rsid w:val="00994551"/>
    <w:rsid w:val="009946A2"/>
    <w:rsid w:val="00994754"/>
    <w:rsid w:val="00994DC8"/>
    <w:rsid w:val="00995827"/>
    <w:rsid w:val="00995DED"/>
    <w:rsid w:val="00996178"/>
    <w:rsid w:val="00996B21"/>
    <w:rsid w:val="00997A13"/>
    <w:rsid w:val="009A1193"/>
    <w:rsid w:val="009A1429"/>
    <w:rsid w:val="009A169B"/>
    <w:rsid w:val="009A18B1"/>
    <w:rsid w:val="009A2319"/>
    <w:rsid w:val="009A2536"/>
    <w:rsid w:val="009A3833"/>
    <w:rsid w:val="009A3962"/>
    <w:rsid w:val="009A4B66"/>
    <w:rsid w:val="009A61A3"/>
    <w:rsid w:val="009A73AD"/>
    <w:rsid w:val="009A746E"/>
    <w:rsid w:val="009A755F"/>
    <w:rsid w:val="009A7869"/>
    <w:rsid w:val="009A7DD3"/>
    <w:rsid w:val="009A7E66"/>
    <w:rsid w:val="009B061B"/>
    <w:rsid w:val="009B10CA"/>
    <w:rsid w:val="009B10F4"/>
    <w:rsid w:val="009B1ABE"/>
    <w:rsid w:val="009B1DE1"/>
    <w:rsid w:val="009B2528"/>
    <w:rsid w:val="009B27BE"/>
    <w:rsid w:val="009B2A72"/>
    <w:rsid w:val="009B2DA7"/>
    <w:rsid w:val="009B2FEF"/>
    <w:rsid w:val="009B371C"/>
    <w:rsid w:val="009B40CC"/>
    <w:rsid w:val="009B416C"/>
    <w:rsid w:val="009B439A"/>
    <w:rsid w:val="009B4BF4"/>
    <w:rsid w:val="009B4F6F"/>
    <w:rsid w:val="009B5A96"/>
    <w:rsid w:val="009C0013"/>
    <w:rsid w:val="009C0F43"/>
    <w:rsid w:val="009C1BC7"/>
    <w:rsid w:val="009C2672"/>
    <w:rsid w:val="009C31BB"/>
    <w:rsid w:val="009C35B8"/>
    <w:rsid w:val="009C3865"/>
    <w:rsid w:val="009C3A24"/>
    <w:rsid w:val="009C4236"/>
    <w:rsid w:val="009C438D"/>
    <w:rsid w:val="009C438E"/>
    <w:rsid w:val="009C49D6"/>
    <w:rsid w:val="009C4ACD"/>
    <w:rsid w:val="009C4CB0"/>
    <w:rsid w:val="009C4F9D"/>
    <w:rsid w:val="009C5015"/>
    <w:rsid w:val="009C538D"/>
    <w:rsid w:val="009C58B3"/>
    <w:rsid w:val="009C7773"/>
    <w:rsid w:val="009C78D5"/>
    <w:rsid w:val="009C7A11"/>
    <w:rsid w:val="009C7EE5"/>
    <w:rsid w:val="009D0102"/>
    <w:rsid w:val="009D12E4"/>
    <w:rsid w:val="009D14A9"/>
    <w:rsid w:val="009D3036"/>
    <w:rsid w:val="009D3C2F"/>
    <w:rsid w:val="009D40F2"/>
    <w:rsid w:val="009D447C"/>
    <w:rsid w:val="009D5EBA"/>
    <w:rsid w:val="009D678D"/>
    <w:rsid w:val="009D6AE6"/>
    <w:rsid w:val="009D6EE0"/>
    <w:rsid w:val="009D6F17"/>
    <w:rsid w:val="009D7207"/>
    <w:rsid w:val="009D72EB"/>
    <w:rsid w:val="009D75F2"/>
    <w:rsid w:val="009D7682"/>
    <w:rsid w:val="009D770C"/>
    <w:rsid w:val="009D7ED7"/>
    <w:rsid w:val="009E01C9"/>
    <w:rsid w:val="009E049F"/>
    <w:rsid w:val="009E1621"/>
    <w:rsid w:val="009E1A17"/>
    <w:rsid w:val="009E1C30"/>
    <w:rsid w:val="009E1FF1"/>
    <w:rsid w:val="009E23AB"/>
    <w:rsid w:val="009E3039"/>
    <w:rsid w:val="009E3387"/>
    <w:rsid w:val="009E381F"/>
    <w:rsid w:val="009E3E62"/>
    <w:rsid w:val="009E42FC"/>
    <w:rsid w:val="009E46EB"/>
    <w:rsid w:val="009E4D3B"/>
    <w:rsid w:val="009E4EEC"/>
    <w:rsid w:val="009E4F57"/>
    <w:rsid w:val="009E58E3"/>
    <w:rsid w:val="009E5B55"/>
    <w:rsid w:val="009E5BC9"/>
    <w:rsid w:val="009E72B5"/>
    <w:rsid w:val="009E735A"/>
    <w:rsid w:val="009E7766"/>
    <w:rsid w:val="009E788A"/>
    <w:rsid w:val="009E79D3"/>
    <w:rsid w:val="009F03E8"/>
    <w:rsid w:val="009F0B8E"/>
    <w:rsid w:val="009F0D72"/>
    <w:rsid w:val="009F0E7B"/>
    <w:rsid w:val="009F1C25"/>
    <w:rsid w:val="009F21F2"/>
    <w:rsid w:val="009F25B9"/>
    <w:rsid w:val="009F271C"/>
    <w:rsid w:val="009F2967"/>
    <w:rsid w:val="009F2F83"/>
    <w:rsid w:val="009F39F3"/>
    <w:rsid w:val="009F403C"/>
    <w:rsid w:val="009F418C"/>
    <w:rsid w:val="009F430C"/>
    <w:rsid w:val="009F5AB7"/>
    <w:rsid w:val="009F6745"/>
    <w:rsid w:val="009F6867"/>
    <w:rsid w:val="009F6AE4"/>
    <w:rsid w:val="009F6C2C"/>
    <w:rsid w:val="009F6DC3"/>
    <w:rsid w:val="009F7663"/>
    <w:rsid w:val="009F76CC"/>
    <w:rsid w:val="00A003DF"/>
    <w:rsid w:val="00A0040B"/>
    <w:rsid w:val="00A004DF"/>
    <w:rsid w:val="00A007BD"/>
    <w:rsid w:val="00A00A3A"/>
    <w:rsid w:val="00A012B2"/>
    <w:rsid w:val="00A014CE"/>
    <w:rsid w:val="00A01D8E"/>
    <w:rsid w:val="00A02248"/>
    <w:rsid w:val="00A027C2"/>
    <w:rsid w:val="00A027F9"/>
    <w:rsid w:val="00A02FE9"/>
    <w:rsid w:val="00A0303D"/>
    <w:rsid w:val="00A038C1"/>
    <w:rsid w:val="00A0438D"/>
    <w:rsid w:val="00A04A62"/>
    <w:rsid w:val="00A04E03"/>
    <w:rsid w:val="00A04F65"/>
    <w:rsid w:val="00A051EF"/>
    <w:rsid w:val="00A05287"/>
    <w:rsid w:val="00A0528C"/>
    <w:rsid w:val="00A053EE"/>
    <w:rsid w:val="00A057F9"/>
    <w:rsid w:val="00A05821"/>
    <w:rsid w:val="00A05890"/>
    <w:rsid w:val="00A07853"/>
    <w:rsid w:val="00A07A44"/>
    <w:rsid w:val="00A1111F"/>
    <w:rsid w:val="00A124ED"/>
    <w:rsid w:val="00A12508"/>
    <w:rsid w:val="00A1269D"/>
    <w:rsid w:val="00A12D88"/>
    <w:rsid w:val="00A12D94"/>
    <w:rsid w:val="00A13289"/>
    <w:rsid w:val="00A137E7"/>
    <w:rsid w:val="00A14144"/>
    <w:rsid w:val="00A1496C"/>
    <w:rsid w:val="00A14976"/>
    <w:rsid w:val="00A1563A"/>
    <w:rsid w:val="00A157EB"/>
    <w:rsid w:val="00A158A4"/>
    <w:rsid w:val="00A159B7"/>
    <w:rsid w:val="00A15B87"/>
    <w:rsid w:val="00A16146"/>
    <w:rsid w:val="00A16449"/>
    <w:rsid w:val="00A16571"/>
    <w:rsid w:val="00A16A06"/>
    <w:rsid w:val="00A16BD6"/>
    <w:rsid w:val="00A17B1C"/>
    <w:rsid w:val="00A17ED2"/>
    <w:rsid w:val="00A17FF9"/>
    <w:rsid w:val="00A20116"/>
    <w:rsid w:val="00A20194"/>
    <w:rsid w:val="00A20784"/>
    <w:rsid w:val="00A207BC"/>
    <w:rsid w:val="00A211FB"/>
    <w:rsid w:val="00A212CF"/>
    <w:rsid w:val="00A222FF"/>
    <w:rsid w:val="00A22C35"/>
    <w:rsid w:val="00A23088"/>
    <w:rsid w:val="00A233C0"/>
    <w:rsid w:val="00A23964"/>
    <w:rsid w:val="00A24568"/>
    <w:rsid w:val="00A24966"/>
    <w:rsid w:val="00A24BBE"/>
    <w:rsid w:val="00A24CE7"/>
    <w:rsid w:val="00A25827"/>
    <w:rsid w:val="00A261D6"/>
    <w:rsid w:val="00A265C5"/>
    <w:rsid w:val="00A26AAC"/>
    <w:rsid w:val="00A26DF0"/>
    <w:rsid w:val="00A26E1F"/>
    <w:rsid w:val="00A27518"/>
    <w:rsid w:val="00A2771F"/>
    <w:rsid w:val="00A27786"/>
    <w:rsid w:val="00A277A8"/>
    <w:rsid w:val="00A2781B"/>
    <w:rsid w:val="00A27D0A"/>
    <w:rsid w:val="00A27F17"/>
    <w:rsid w:val="00A30205"/>
    <w:rsid w:val="00A30253"/>
    <w:rsid w:val="00A305BC"/>
    <w:rsid w:val="00A30ACA"/>
    <w:rsid w:val="00A317EA"/>
    <w:rsid w:val="00A323EE"/>
    <w:rsid w:val="00A3277E"/>
    <w:rsid w:val="00A349EE"/>
    <w:rsid w:val="00A34B26"/>
    <w:rsid w:val="00A35224"/>
    <w:rsid w:val="00A36403"/>
    <w:rsid w:val="00A36897"/>
    <w:rsid w:val="00A376F5"/>
    <w:rsid w:val="00A400B5"/>
    <w:rsid w:val="00A400CE"/>
    <w:rsid w:val="00A40461"/>
    <w:rsid w:val="00A4068D"/>
    <w:rsid w:val="00A41203"/>
    <w:rsid w:val="00A41292"/>
    <w:rsid w:val="00A417AD"/>
    <w:rsid w:val="00A4240C"/>
    <w:rsid w:val="00A42410"/>
    <w:rsid w:val="00A42436"/>
    <w:rsid w:val="00A432D0"/>
    <w:rsid w:val="00A43349"/>
    <w:rsid w:val="00A43676"/>
    <w:rsid w:val="00A43946"/>
    <w:rsid w:val="00A44E71"/>
    <w:rsid w:val="00A46CB6"/>
    <w:rsid w:val="00A473FD"/>
    <w:rsid w:val="00A50084"/>
    <w:rsid w:val="00A50528"/>
    <w:rsid w:val="00A50692"/>
    <w:rsid w:val="00A507AD"/>
    <w:rsid w:val="00A5081B"/>
    <w:rsid w:val="00A511AD"/>
    <w:rsid w:val="00A5156B"/>
    <w:rsid w:val="00A5168D"/>
    <w:rsid w:val="00A5198B"/>
    <w:rsid w:val="00A51EA0"/>
    <w:rsid w:val="00A524AC"/>
    <w:rsid w:val="00A52DD4"/>
    <w:rsid w:val="00A530D1"/>
    <w:rsid w:val="00A534EB"/>
    <w:rsid w:val="00A5389F"/>
    <w:rsid w:val="00A53DF2"/>
    <w:rsid w:val="00A5406B"/>
    <w:rsid w:val="00A56A26"/>
    <w:rsid w:val="00A56B3A"/>
    <w:rsid w:val="00A56C1E"/>
    <w:rsid w:val="00A56CBB"/>
    <w:rsid w:val="00A56FDC"/>
    <w:rsid w:val="00A5746B"/>
    <w:rsid w:val="00A577D6"/>
    <w:rsid w:val="00A6041E"/>
    <w:rsid w:val="00A608EE"/>
    <w:rsid w:val="00A60E32"/>
    <w:rsid w:val="00A61394"/>
    <w:rsid w:val="00A6166A"/>
    <w:rsid w:val="00A61741"/>
    <w:rsid w:val="00A61862"/>
    <w:rsid w:val="00A61B22"/>
    <w:rsid w:val="00A62FE3"/>
    <w:rsid w:val="00A63037"/>
    <w:rsid w:val="00A63192"/>
    <w:rsid w:val="00A63557"/>
    <w:rsid w:val="00A6428A"/>
    <w:rsid w:val="00A650E2"/>
    <w:rsid w:val="00A65218"/>
    <w:rsid w:val="00A65AFB"/>
    <w:rsid w:val="00A66281"/>
    <w:rsid w:val="00A66856"/>
    <w:rsid w:val="00A6685F"/>
    <w:rsid w:val="00A66A2A"/>
    <w:rsid w:val="00A671A9"/>
    <w:rsid w:val="00A67398"/>
    <w:rsid w:val="00A67456"/>
    <w:rsid w:val="00A67CD5"/>
    <w:rsid w:val="00A7017E"/>
    <w:rsid w:val="00A71E50"/>
    <w:rsid w:val="00A71F0B"/>
    <w:rsid w:val="00A7359B"/>
    <w:rsid w:val="00A73872"/>
    <w:rsid w:val="00A73DB9"/>
    <w:rsid w:val="00A7401E"/>
    <w:rsid w:val="00A746D4"/>
    <w:rsid w:val="00A767D2"/>
    <w:rsid w:val="00A76D18"/>
    <w:rsid w:val="00A76D68"/>
    <w:rsid w:val="00A76E65"/>
    <w:rsid w:val="00A77FA5"/>
    <w:rsid w:val="00A80332"/>
    <w:rsid w:val="00A80710"/>
    <w:rsid w:val="00A816D7"/>
    <w:rsid w:val="00A81A40"/>
    <w:rsid w:val="00A82997"/>
    <w:rsid w:val="00A82C12"/>
    <w:rsid w:val="00A82CD5"/>
    <w:rsid w:val="00A8303A"/>
    <w:rsid w:val="00A8321F"/>
    <w:rsid w:val="00A83775"/>
    <w:rsid w:val="00A83A3D"/>
    <w:rsid w:val="00A83F65"/>
    <w:rsid w:val="00A84656"/>
    <w:rsid w:val="00A847C1"/>
    <w:rsid w:val="00A851F4"/>
    <w:rsid w:val="00A86952"/>
    <w:rsid w:val="00A86C6D"/>
    <w:rsid w:val="00A87346"/>
    <w:rsid w:val="00A8749B"/>
    <w:rsid w:val="00A877DD"/>
    <w:rsid w:val="00A87F23"/>
    <w:rsid w:val="00A87F38"/>
    <w:rsid w:val="00A9023A"/>
    <w:rsid w:val="00A9089D"/>
    <w:rsid w:val="00A90909"/>
    <w:rsid w:val="00A90C8C"/>
    <w:rsid w:val="00A90CBA"/>
    <w:rsid w:val="00A910EF"/>
    <w:rsid w:val="00A911B5"/>
    <w:rsid w:val="00A91697"/>
    <w:rsid w:val="00A91B3C"/>
    <w:rsid w:val="00A91DF1"/>
    <w:rsid w:val="00A925AD"/>
    <w:rsid w:val="00A92691"/>
    <w:rsid w:val="00A9311D"/>
    <w:rsid w:val="00A93F6D"/>
    <w:rsid w:val="00A94A76"/>
    <w:rsid w:val="00A94CEB"/>
    <w:rsid w:val="00A94D26"/>
    <w:rsid w:val="00A95490"/>
    <w:rsid w:val="00A95822"/>
    <w:rsid w:val="00A95BB9"/>
    <w:rsid w:val="00A96831"/>
    <w:rsid w:val="00A96E16"/>
    <w:rsid w:val="00A96ECC"/>
    <w:rsid w:val="00A96EEF"/>
    <w:rsid w:val="00A97074"/>
    <w:rsid w:val="00A972B0"/>
    <w:rsid w:val="00A977D2"/>
    <w:rsid w:val="00A978DD"/>
    <w:rsid w:val="00A97E9E"/>
    <w:rsid w:val="00AA0AD1"/>
    <w:rsid w:val="00AA102C"/>
    <w:rsid w:val="00AA1256"/>
    <w:rsid w:val="00AA353A"/>
    <w:rsid w:val="00AA42CC"/>
    <w:rsid w:val="00AA4E78"/>
    <w:rsid w:val="00AA52BF"/>
    <w:rsid w:val="00AA5406"/>
    <w:rsid w:val="00AA54C2"/>
    <w:rsid w:val="00AA555E"/>
    <w:rsid w:val="00AA6CF2"/>
    <w:rsid w:val="00AA721A"/>
    <w:rsid w:val="00AA7688"/>
    <w:rsid w:val="00AA79CF"/>
    <w:rsid w:val="00AB13D4"/>
    <w:rsid w:val="00AB17C0"/>
    <w:rsid w:val="00AB2B30"/>
    <w:rsid w:val="00AB34C0"/>
    <w:rsid w:val="00AB3551"/>
    <w:rsid w:val="00AB3804"/>
    <w:rsid w:val="00AB3892"/>
    <w:rsid w:val="00AB3EFC"/>
    <w:rsid w:val="00AB41CB"/>
    <w:rsid w:val="00AB47A9"/>
    <w:rsid w:val="00AB5499"/>
    <w:rsid w:val="00AB5D51"/>
    <w:rsid w:val="00AB65E6"/>
    <w:rsid w:val="00AB6A6D"/>
    <w:rsid w:val="00AB6EF7"/>
    <w:rsid w:val="00AB731E"/>
    <w:rsid w:val="00AB7809"/>
    <w:rsid w:val="00AB7A33"/>
    <w:rsid w:val="00AC03FE"/>
    <w:rsid w:val="00AC0825"/>
    <w:rsid w:val="00AC0ABB"/>
    <w:rsid w:val="00AC0CF4"/>
    <w:rsid w:val="00AC1D03"/>
    <w:rsid w:val="00AC2494"/>
    <w:rsid w:val="00AC4328"/>
    <w:rsid w:val="00AC471D"/>
    <w:rsid w:val="00AC52E3"/>
    <w:rsid w:val="00AC5B86"/>
    <w:rsid w:val="00AC5BEF"/>
    <w:rsid w:val="00AC6377"/>
    <w:rsid w:val="00AC675D"/>
    <w:rsid w:val="00AC6777"/>
    <w:rsid w:val="00AC6828"/>
    <w:rsid w:val="00AC6B2A"/>
    <w:rsid w:val="00AC7124"/>
    <w:rsid w:val="00AC73C3"/>
    <w:rsid w:val="00AC74F6"/>
    <w:rsid w:val="00AD0688"/>
    <w:rsid w:val="00AD079D"/>
    <w:rsid w:val="00AD09C6"/>
    <w:rsid w:val="00AD1348"/>
    <w:rsid w:val="00AD1530"/>
    <w:rsid w:val="00AD1952"/>
    <w:rsid w:val="00AD2375"/>
    <w:rsid w:val="00AD244E"/>
    <w:rsid w:val="00AD2DB6"/>
    <w:rsid w:val="00AD3B5A"/>
    <w:rsid w:val="00AD3C29"/>
    <w:rsid w:val="00AD3CA2"/>
    <w:rsid w:val="00AD4217"/>
    <w:rsid w:val="00AD4259"/>
    <w:rsid w:val="00AD4721"/>
    <w:rsid w:val="00AD488F"/>
    <w:rsid w:val="00AD4C43"/>
    <w:rsid w:val="00AD4CF3"/>
    <w:rsid w:val="00AD5140"/>
    <w:rsid w:val="00AD53CB"/>
    <w:rsid w:val="00AD5B65"/>
    <w:rsid w:val="00AD5C64"/>
    <w:rsid w:val="00AD6241"/>
    <w:rsid w:val="00AD65DB"/>
    <w:rsid w:val="00AD6DB8"/>
    <w:rsid w:val="00AD7626"/>
    <w:rsid w:val="00AE078E"/>
    <w:rsid w:val="00AE0859"/>
    <w:rsid w:val="00AE0AF7"/>
    <w:rsid w:val="00AE0F2D"/>
    <w:rsid w:val="00AE0F63"/>
    <w:rsid w:val="00AE1371"/>
    <w:rsid w:val="00AE13CD"/>
    <w:rsid w:val="00AE2EE4"/>
    <w:rsid w:val="00AE3846"/>
    <w:rsid w:val="00AE3EC0"/>
    <w:rsid w:val="00AE3EE1"/>
    <w:rsid w:val="00AE4F53"/>
    <w:rsid w:val="00AE5371"/>
    <w:rsid w:val="00AE5A2D"/>
    <w:rsid w:val="00AE6DC1"/>
    <w:rsid w:val="00AE7844"/>
    <w:rsid w:val="00AF076A"/>
    <w:rsid w:val="00AF14AC"/>
    <w:rsid w:val="00AF1CD3"/>
    <w:rsid w:val="00AF2171"/>
    <w:rsid w:val="00AF273D"/>
    <w:rsid w:val="00AF39A4"/>
    <w:rsid w:val="00AF4B48"/>
    <w:rsid w:val="00AF4C87"/>
    <w:rsid w:val="00AF5066"/>
    <w:rsid w:val="00AF50F3"/>
    <w:rsid w:val="00AF51C7"/>
    <w:rsid w:val="00AF5C0F"/>
    <w:rsid w:val="00AF5DFC"/>
    <w:rsid w:val="00AF6455"/>
    <w:rsid w:val="00AF6977"/>
    <w:rsid w:val="00AF6B18"/>
    <w:rsid w:val="00AF7184"/>
    <w:rsid w:val="00AF7947"/>
    <w:rsid w:val="00B00AF4"/>
    <w:rsid w:val="00B0179A"/>
    <w:rsid w:val="00B019FB"/>
    <w:rsid w:val="00B023DC"/>
    <w:rsid w:val="00B0295B"/>
    <w:rsid w:val="00B03006"/>
    <w:rsid w:val="00B03064"/>
    <w:rsid w:val="00B03174"/>
    <w:rsid w:val="00B036BE"/>
    <w:rsid w:val="00B045C0"/>
    <w:rsid w:val="00B04B6B"/>
    <w:rsid w:val="00B04CDE"/>
    <w:rsid w:val="00B04D6A"/>
    <w:rsid w:val="00B05E42"/>
    <w:rsid w:val="00B0719E"/>
    <w:rsid w:val="00B10742"/>
    <w:rsid w:val="00B108C1"/>
    <w:rsid w:val="00B116B1"/>
    <w:rsid w:val="00B117D7"/>
    <w:rsid w:val="00B119DB"/>
    <w:rsid w:val="00B11C8E"/>
    <w:rsid w:val="00B12003"/>
    <w:rsid w:val="00B130EB"/>
    <w:rsid w:val="00B140C7"/>
    <w:rsid w:val="00B14662"/>
    <w:rsid w:val="00B14958"/>
    <w:rsid w:val="00B14FD7"/>
    <w:rsid w:val="00B15236"/>
    <w:rsid w:val="00B15304"/>
    <w:rsid w:val="00B160C6"/>
    <w:rsid w:val="00B16314"/>
    <w:rsid w:val="00B16681"/>
    <w:rsid w:val="00B16F99"/>
    <w:rsid w:val="00B176B9"/>
    <w:rsid w:val="00B178D3"/>
    <w:rsid w:val="00B17A08"/>
    <w:rsid w:val="00B205B8"/>
    <w:rsid w:val="00B20993"/>
    <w:rsid w:val="00B20B84"/>
    <w:rsid w:val="00B20E12"/>
    <w:rsid w:val="00B22A88"/>
    <w:rsid w:val="00B22C7F"/>
    <w:rsid w:val="00B231F3"/>
    <w:rsid w:val="00B2355B"/>
    <w:rsid w:val="00B23935"/>
    <w:rsid w:val="00B23A2A"/>
    <w:rsid w:val="00B23A80"/>
    <w:rsid w:val="00B2484C"/>
    <w:rsid w:val="00B24855"/>
    <w:rsid w:val="00B24A21"/>
    <w:rsid w:val="00B24AC0"/>
    <w:rsid w:val="00B24E16"/>
    <w:rsid w:val="00B26499"/>
    <w:rsid w:val="00B266D2"/>
    <w:rsid w:val="00B26A4F"/>
    <w:rsid w:val="00B27751"/>
    <w:rsid w:val="00B27A57"/>
    <w:rsid w:val="00B27C4B"/>
    <w:rsid w:val="00B27CF8"/>
    <w:rsid w:val="00B30525"/>
    <w:rsid w:val="00B3120F"/>
    <w:rsid w:val="00B31346"/>
    <w:rsid w:val="00B31648"/>
    <w:rsid w:val="00B31DCA"/>
    <w:rsid w:val="00B3201C"/>
    <w:rsid w:val="00B321FF"/>
    <w:rsid w:val="00B32385"/>
    <w:rsid w:val="00B327A4"/>
    <w:rsid w:val="00B327B3"/>
    <w:rsid w:val="00B32D5A"/>
    <w:rsid w:val="00B33D8D"/>
    <w:rsid w:val="00B342C9"/>
    <w:rsid w:val="00B34314"/>
    <w:rsid w:val="00B3465E"/>
    <w:rsid w:val="00B35CB3"/>
    <w:rsid w:val="00B35E2B"/>
    <w:rsid w:val="00B36E63"/>
    <w:rsid w:val="00B37757"/>
    <w:rsid w:val="00B37C5A"/>
    <w:rsid w:val="00B40E0B"/>
    <w:rsid w:val="00B412CA"/>
    <w:rsid w:val="00B4173A"/>
    <w:rsid w:val="00B41F1F"/>
    <w:rsid w:val="00B422F5"/>
    <w:rsid w:val="00B42C24"/>
    <w:rsid w:val="00B43F06"/>
    <w:rsid w:val="00B43F23"/>
    <w:rsid w:val="00B441A9"/>
    <w:rsid w:val="00B44DE7"/>
    <w:rsid w:val="00B456E1"/>
    <w:rsid w:val="00B46328"/>
    <w:rsid w:val="00B468BB"/>
    <w:rsid w:val="00B4702F"/>
    <w:rsid w:val="00B470B8"/>
    <w:rsid w:val="00B476B3"/>
    <w:rsid w:val="00B50F68"/>
    <w:rsid w:val="00B5134C"/>
    <w:rsid w:val="00B51F55"/>
    <w:rsid w:val="00B51F6D"/>
    <w:rsid w:val="00B520C2"/>
    <w:rsid w:val="00B520D6"/>
    <w:rsid w:val="00B52650"/>
    <w:rsid w:val="00B5280B"/>
    <w:rsid w:val="00B52C0A"/>
    <w:rsid w:val="00B52C39"/>
    <w:rsid w:val="00B52FDD"/>
    <w:rsid w:val="00B530A1"/>
    <w:rsid w:val="00B53217"/>
    <w:rsid w:val="00B537EE"/>
    <w:rsid w:val="00B54AA8"/>
    <w:rsid w:val="00B5543C"/>
    <w:rsid w:val="00B567D5"/>
    <w:rsid w:val="00B56880"/>
    <w:rsid w:val="00B574B1"/>
    <w:rsid w:val="00B57622"/>
    <w:rsid w:val="00B57672"/>
    <w:rsid w:val="00B601FA"/>
    <w:rsid w:val="00B60749"/>
    <w:rsid w:val="00B609B2"/>
    <w:rsid w:val="00B60C7E"/>
    <w:rsid w:val="00B617C0"/>
    <w:rsid w:val="00B623B0"/>
    <w:rsid w:val="00B6299E"/>
    <w:rsid w:val="00B62C5B"/>
    <w:rsid w:val="00B630D0"/>
    <w:rsid w:val="00B6413B"/>
    <w:rsid w:val="00B64186"/>
    <w:rsid w:val="00B6454A"/>
    <w:rsid w:val="00B645D5"/>
    <w:rsid w:val="00B64A81"/>
    <w:rsid w:val="00B64DB2"/>
    <w:rsid w:val="00B65815"/>
    <w:rsid w:val="00B65B94"/>
    <w:rsid w:val="00B65EE1"/>
    <w:rsid w:val="00B66647"/>
    <w:rsid w:val="00B66B38"/>
    <w:rsid w:val="00B66F48"/>
    <w:rsid w:val="00B672F5"/>
    <w:rsid w:val="00B67924"/>
    <w:rsid w:val="00B70730"/>
    <w:rsid w:val="00B708C3"/>
    <w:rsid w:val="00B70B9D"/>
    <w:rsid w:val="00B70CF8"/>
    <w:rsid w:val="00B71169"/>
    <w:rsid w:val="00B71B16"/>
    <w:rsid w:val="00B720CE"/>
    <w:rsid w:val="00B72830"/>
    <w:rsid w:val="00B72D09"/>
    <w:rsid w:val="00B73791"/>
    <w:rsid w:val="00B73A52"/>
    <w:rsid w:val="00B741B4"/>
    <w:rsid w:val="00B7470B"/>
    <w:rsid w:val="00B7536D"/>
    <w:rsid w:val="00B755E0"/>
    <w:rsid w:val="00B759D1"/>
    <w:rsid w:val="00B75DC8"/>
    <w:rsid w:val="00B761FE"/>
    <w:rsid w:val="00B7638E"/>
    <w:rsid w:val="00B7662E"/>
    <w:rsid w:val="00B772AC"/>
    <w:rsid w:val="00B77896"/>
    <w:rsid w:val="00B801B1"/>
    <w:rsid w:val="00B80649"/>
    <w:rsid w:val="00B80994"/>
    <w:rsid w:val="00B80BFE"/>
    <w:rsid w:val="00B811AE"/>
    <w:rsid w:val="00B81233"/>
    <w:rsid w:val="00B8174F"/>
    <w:rsid w:val="00B81B88"/>
    <w:rsid w:val="00B83E2A"/>
    <w:rsid w:val="00B842F3"/>
    <w:rsid w:val="00B84766"/>
    <w:rsid w:val="00B84A9A"/>
    <w:rsid w:val="00B84BB5"/>
    <w:rsid w:val="00B850F8"/>
    <w:rsid w:val="00B85418"/>
    <w:rsid w:val="00B8670A"/>
    <w:rsid w:val="00B87B1E"/>
    <w:rsid w:val="00B87EAD"/>
    <w:rsid w:val="00B903ED"/>
    <w:rsid w:val="00B90767"/>
    <w:rsid w:val="00B909F4"/>
    <w:rsid w:val="00B90A5A"/>
    <w:rsid w:val="00B91D0F"/>
    <w:rsid w:val="00B9207C"/>
    <w:rsid w:val="00B9279C"/>
    <w:rsid w:val="00B93522"/>
    <w:rsid w:val="00B9383A"/>
    <w:rsid w:val="00B942ED"/>
    <w:rsid w:val="00B94390"/>
    <w:rsid w:val="00B9586C"/>
    <w:rsid w:val="00B95E31"/>
    <w:rsid w:val="00B960F0"/>
    <w:rsid w:val="00B962A3"/>
    <w:rsid w:val="00B96421"/>
    <w:rsid w:val="00B96783"/>
    <w:rsid w:val="00B967AC"/>
    <w:rsid w:val="00B969F3"/>
    <w:rsid w:val="00B975A0"/>
    <w:rsid w:val="00B978CD"/>
    <w:rsid w:val="00BA1106"/>
    <w:rsid w:val="00BA1149"/>
    <w:rsid w:val="00BA1553"/>
    <w:rsid w:val="00BA186A"/>
    <w:rsid w:val="00BA2282"/>
    <w:rsid w:val="00BA2B39"/>
    <w:rsid w:val="00BA2D0B"/>
    <w:rsid w:val="00BA3214"/>
    <w:rsid w:val="00BA325A"/>
    <w:rsid w:val="00BA33D8"/>
    <w:rsid w:val="00BA36A2"/>
    <w:rsid w:val="00BA49A3"/>
    <w:rsid w:val="00BA4CAA"/>
    <w:rsid w:val="00BA51B9"/>
    <w:rsid w:val="00BA53A9"/>
    <w:rsid w:val="00BA5E1F"/>
    <w:rsid w:val="00BA6588"/>
    <w:rsid w:val="00BA73AE"/>
    <w:rsid w:val="00BA754B"/>
    <w:rsid w:val="00BA79BD"/>
    <w:rsid w:val="00BA7A05"/>
    <w:rsid w:val="00BB02D2"/>
    <w:rsid w:val="00BB057A"/>
    <w:rsid w:val="00BB05C5"/>
    <w:rsid w:val="00BB1C3F"/>
    <w:rsid w:val="00BB22D0"/>
    <w:rsid w:val="00BB23EE"/>
    <w:rsid w:val="00BB32DD"/>
    <w:rsid w:val="00BB3CF0"/>
    <w:rsid w:val="00BB3DFD"/>
    <w:rsid w:val="00BB54AD"/>
    <w:rsid w:val="00BB61DD"/>
    <w:rsid w:val="00BB6BA1"/>
    <w:rsid w:val="00BB73D5"/>
    <w:rsid w:val="00BB7850"/>
    <w:rsid w:val="00BB7970"/>
    <w:rsid w:val="00BC1066"/>
    <w:rsid w:val="00BC1897"/>
    <w:rsid w:val="00BC18BA"/>
    <w:rsid w:val="00BC261C"/>
    <w:rsid w:val="00BC2623"/>
    <w:rsid w:val="00BC2BA9"/>
    <w:rsid w:val="00BC344C"/>
    <w:rsid w:val="00BC39AF"/>
    <w:rsid w:val="00BC3F75"/>
    <w:rsid w:val="00BC42FF"/>
    <w:rsid w:val="00BC440C"/>
    <w:rsid w:val="00BC45BA"/>
    <w:rsid w:val="00BC5689"/>
    <w:rsid w:val="00BC6005"/>
    <w:rsid w:val="00BC6175"/>
    <w:rsid w:val="00BC6230"/>
    <w:rsid w:val="00BC66EA"/>
    <w:rsid w:val="00BC74D4"/>
    <w:rsid w:val="00BD1589"/>
    <w:rsid w:val="00BD1730"/>
    <w:rsid w:val="00BD2840"/>
    <w:rsid w:val="00BD29DC"/>
    <w:rsid w:val="00BD2F48"/>
    <w:rsid w:val="00BD33D6"/>
    <w:rsid w:val="00BD36D2"/>
    <w:rsid w:val="00BD399D"/>
    <w:rsid w:val="00BD3C07"/>
    <w:rsid w:val="00BD3EF5"/>
    <w:rsid w:val="00BD44BE"/>
    <w:rsid w:val="00BD4B70"/>
    <w:rsid w:val="00BD5407"/>
    <w:rsid w:val="00BD547A"/>
    <w:rsid w:val="00BD5766"/>
    <w:rsid w:val="00BD5B0C"/>
    <w:rsid w:val="00BD6304"/>
    <w:rsid w:val="00BD64A0"/>
    <w:rsid w:val="00BD66CF"/>
    <w:rsid w:val="00BD6828"/>
    <w:rsid w:val="00BE026C"/>
    <w:rsid w:val="00BE1A80"/>
    <w:rsid w:val="00BE2CD3"/>
    <w:rsid w:val="00BE309E"/>
    <w:rsid w:val="00BE3767"/>
    <w:rsid w:val="00BE428E"/>
    <w:rsid w:val="00BE4366"/>
    <w:rsid w:val="00BE4BA4"/>
    <w:rsid w:val="00BE57B8"/>
    <w:rsid w:val="00BE591F"/>
    <w:rsid w:val="00BE6489"/>
    <w:rsid w:val="00BE6853"/>
    <w:rsid w:val="00BF0196"/>
    <w:rsid w:val="00BF0854"/>
    <w:rsid w:val="00BF0871"/>
    <w:rsid w:val="00BF0DA3"/>
    <w:rsid w:val="00BF0F64"/>
    <w:rsid w:val="00BF124D"/>
    <w:rsid w:val="00BF1769"/>
    <w:rsid w:val="00BF2001"/>
    <w:rsid w:val="00BF2967"/>
    <w:rsid w:val="00BF4B34"/>
    <w:rsid w:val="00BF5B84"/>
    <w:rsid w:val="00BF5E8D"/>
    <w:rsid w:val="00BF720E"/>
    <w:rsid w:val="00BF76C9"/>
    <w:rsid w:val="00BF7985"/>
    <w:rsid w:val="00BF7991"/>
    <w:rsid w:val="00BF7B5B"/>
    <w:rsid w:val="00C00351"/>
    <w:rsid w:val="00C00664"/>
    <w:rsid w:val="00C00987"/>
    <w:rsid w:val="00C01017"/>
    <w:rsid w:val="00C0169F"/>
    <w:rsid w:val="00C024EF"/>
    <w:rsid w:val="00C030BB"/>
    <w:rsid w:val="00C03637"/>
    <w:rsid w:val="00C03962"/>
    <w:rsid w:val="00C0452D"/>
    <w:rsid w:val="00C0456C"/>
    <w:rsid w:val="00C04C8C"/>
    <w:rsid w:val="00C052F8"/>
    <w:rsid w:val="00C05405"/>
    <w:rsid w:val="00C05CD0"/>
    <w:rsid w:val="00C062A9"/>
    <w:rsid w:val="00C065FA"/>
    <w:rsid w:val="00C06688"/>
    <w:rsid w:val="00C06CBD"/>
    <w:rsid w:val="00C07AD4"/>
    <w:rsid w:val="00C10B52"/>
    <w:rsid w:val="00C117E2"/>
    <w:rsid w:val="00C11AE8"/>
    <w:rsid w:val="00C12AAE"/>
    <w:rsid w:val="00C12D43"/>
    <w:rsid w:val="00C13183"/>
    <w:rsid w:val="00C132B3"/>
    <w:rsid w:val="00C13C41"/>
    <w:rsid w:val="00C13D8A"/>
    <w:rsid w:val="00C14083"/>
    <w:rsid w:val="00C14592"/>
    <w:rsid w:val="00C14B99"/>
    <w:rsid w:val="00C152D2"/>
    <w:rsid w:val="00C1538A"/>
    <w:rsid w:val="00C159D5"/>
    <w:rsid w:val="00C15DB6"/>
    <w:rsid w:val="00C16622"/>
    <w:rsid w:val="00C16936"/>
    <w:rsid w:val="00C172B2"/>
    <w:rsid w:val="00C173C9"/>
    <w:rsid w:val="00C174B8"/>
    <w:rsid w:val="00C17877"/>
    <w:rsid w:val="00C17A00"/>
    <w:rsid w:val="00C17DC7"/>
    <w:rsid w:val="00C20026"/>
    <w:rsid w:val="00C20068"/>
    <w:rsid w:val="00C22169"/>
    <w:rsid w:val="00C2326F"/>
    <w:rsid w:val="00C23831"/>
    <w:rsid w:val="00C248DD"/>
    <w:rsid w:val="00C24CD3"/>
    <w:rsid w:val="00C259E3"/>
    <w:rsid w:val="00C25DAE"/>
    <w:rsid w:val="00C2758C"/>
    <w:rsid w:val="00C2765F"/>
    <w:rsid w:val="00C2769B"/>
    <w:rsid w:val="00C306B7"/>
    <w:rsid w:val="00C30E59"/>
    <w:rsid w:val="00C30F05"/>
    <w:rsid w:val="00C3157F"/>
    <w:rsid w:val="00C32131"/>
    <w:rsid w:val="00C32937"/>
    <w:rsid w:val="00C32D85"/>
    <w:rsid w:val="00C32D8B"/>
    <w:rsid w:val="00C32DD1"/>
    <w:rsid w:val="00C3409D"/>
    <w:rsid w:val="00C343F3"/>
    <w:rsid w:val="00C3453D"/>
    <w:rsid w:val="00C34BCA"/>
    <w:rsid w:val="00C34DB5"/>
    <w:rsid w:val="00C356ED"/>
    <w:rsid w:val="00C3581A"/>
    <w:rsid w:val="00C36336"/>
    <w:rsid w:val="00C37399"/>
    <w:rsid w:val="00C374D9"/>
    <w:rsid w:val="00C40D5A"/>
    <w:rsid w:val="00C40E7A"/>
    <w:rsid w:val="00C41A8E"/>
    <w:rsid w:val="00C41AFF"/>
    <w:rsid w:val="00C42745"/>
    <w:rsid w:val="00C42CB7"/>
    <w:rsid w:val="00C42CC2"/>
    <w:rsid w:val="00C4330B"/>
    <w:rsid w:val="00C4344E"/>
    <w:rsid w:val="00C4369F"/>
    <w:rsid w:val="00C436F8"/>
    <w:rsid w:val="00C437D1"/>
    <w:rsid w:val="00C44316"/>
    <w:rsid w:val="00C44513"/>
    <w:rsid w:val="00C4493E"/>
    <w:rsid w:val="00C45AEF"/>
    <w:rsid w:val="00C46186"/>
    <w:rsid w:val="00C46B9D"/>
    <w:rsid w:val="00C4717F"/>
    <w:rsid w:val="00C47D11"/>
    <w:rsid w:val="00C503F9"/>
    <w:rsid w:val="00C50536"/>
    <w:rsid w:val="00C508AB"/>
    <w:rsid w:val="00C50B70"/>
    <w:rsid w:val="00C5103F"/>
    <w:rsid w:val="00C51C32"/>
    <w:rsid w:val="00C5200C"/>
    <w:rsid w:val="00C52877"/>
    <w:rsid w:val="00C52F41"/>
    <w:rsid w:val="00C52F7B"/>
    <w:rsid w:val="00C53739"/>
    <w:rsid w:val="00C53BE3"/>
    <w:rsid w:val="00C53C38"/>
    <w:rsid w:val="00C53FEB"/>
    <w:rsid w:val="00C5440D"/>
    <w:rsid w:val="00C54657"/>
    <w:rsid w:val="00C54AF5"/>
    <w:rsid w:val="00C54DAC"/>
    <w:rsid w:val="00C54F5E"/>
    <w:rsid w:val="00C54FB8"/>
    <w:rsid w:val="00C553F0"/>
    <w:rsid w:val="00C5634F"/>
    <w:rsid w:val="00C56865"/>
    <w:rsid w:val="00C57213"/>
    <w:rsid w:val="00C573D2"/>
    <w:rsid w:val="00C57532"/>
    <w:rsid w:val="00C60D3E"/>
    <w:rsid w:val="00C610CB"/>
    <w:rsid w:val="00C6114C"/>
    <w:rsid w:val="00C611EE"/>
    <w:rsid w:val="00C6173F"/>
    <w:rsid w:val="00C6194B"/>
    <w:rsid w:val="00C61D95"/>
    <w:rsid w:val="00C630F0"/>
    <w:rsid w:val="00C6322B"/>
    <w:rsid w:val="00C6327F"/>
    <w:rsid w:val="00C6356D"/>
    <w:rsid w:val="00C64257"/>
    <w:rsid w:val="00C64644"/>
    <w:rsid w:val="00C646DB"/>
    <w:rsid w:val="00C6580A"/>
    <w:rsid w:val="00C6583B"/>
    <w:rsid w:val="00C65ACE"/>
    <w:rsid w:val="00C65FA7"/>
    <w:rsid w:val="00C66543"/>
    <w:rsid w:val="00C6673E"/>
    <w:rsid w:val="00C66EA2"/>
    <w:rsid w:val="00C676E7"/>
    <w:rsid w:val="00C67DE2"/>
    <w:rsid w:val="00C70811"/>
    <w:rsid w:val="00C70EEE"/>
    <w:rsid w:val="00C71BFA"/>
    <w:rsid w:val="00C72B10"/>
    <w:rsid w:val="00C7300F"/>
    <w:rsid w:val="00C73C49"/>
    <w:rsid w:val="00C74B78"/>
    <w:rsid w:val="00C75298"/>
    <w:rsid w:val="00C753DC"/>
    <w:rsid w:val="00C75459"/>
    <w:rsid w:val="00C7590E"/>
    <w:rsid w:val="00C75985"/>
    <w:rsid w:val="00C75C3D"/>
    <w:rsid w:val="00C7625F"/>
    <w:rsid w:val="00C76BC9"/>
    <w:rsid w:val="00C76FBC"/>
    <w:rsid w:val="00C77AA8"/>
    <w:rsid w:val="00C77F57"/>
    <w:rsid w:val="00C8034A"/>
    <w:rsid w:val="00C8045F"/>
    <w:rsid w:val="00C8085D"/>
    <w:rsid w:val="00C80C0D"/>
    <w:rsid w:val="00C818CF"/>
    <w:rsid w:val="00C81CAD"/>
    <w:rsid w:val="00C837CD"/>
    <w:rsid w:val="00C8426C"/>
    <w:rsid w:val="00C845EF"/>
    <w:rsid w:val="00C84C1F"/>
    <w:rsid w:val="00C8511D"/>
    <w:rsid w:val="00C853F1"/>
    <w:rsid w:val="00C856AA"/>
    <w:rsid w:val="00C85E03"/>
    <w:rsid w:val="00C85EC4"/>
    <w:rsid w:val="00C86331"/>
    <w:rsid w:val="00C876B0"/>
    <w:rsid w:val="00C90071"/>
    <w:rsid w:val="00C90308"/>
    <w:rsid w:val="00C90DE7"/>
    <w:rsid w:val="00C90FD5"/>
    <w:rsid w:val="00C91173"/>
    <w:rsid w:val="00C9139C"/>
    <w:rsid w:val="00C91DAB"/>
    <w:rsid w:val="00C920FD"/>
    <w:rsid w:val="00C931EB"/>
    <w:rsid w:val="00C9383F"/>
    <w:rsid w:val="00C93C39"/>
    <w:rsid w:val="00C94331"/>
    <w:rsid w:val="00C94495"/>
    <w:rsid w:val="00C94BFE"/>
    <w:rsid w:val="00C9500A"/>
    <w:rsid w:val="00C95555"/>
    <w:rsid w:val="00C956BE"/>
    <w:rsid w:val="00C9588D"/>
    <w:rsid w:val="00C95C4A"/>
    <w:rsid w:val="00C96211"/>
    <w:rsid w:val="00C97242"/>
    <w:rsid w:val="00CA019F"/>
    <w:rsid w:val="00CA04A3"/>
    <w:rsid w:val="00CA04D8"/>
    <w:rsid w:val="00CA05D4"/>
    <w:rsid w:val="00CA06BE"/>
    <w:rsid w:val="00CA12A6"/>
    <w:rsid w:val="00CA16A0"/>
    <w:rsid w:val="00CA1D84"/>
    <w:rsid w:val="00CA2026"/>
    <w:rsid w:val="00CA4AFF"/>
    <w:rsid w:val="00CA51CF"/>
    <w:rsid w:val="00CA5586"/>
    <w:rsid w:val="00CA5D6A"/>
    <w:rsid w:val="00CA5E80"/>
    <w:rsid w:val="00CA6E12"/>
    <w:rsid w:val="00CB09CB"/>
    <w:rsid w:val="00CB0A2E"/>
    <w:rsid w:val="00CB13B7"/>
    <w:rsid w:val="00CB1630"/>
    <w:rsid w:val="00CB17C0"/>
    <w:rsid w:val="00CB1CC4"/>
    <w:rsid w:val="00CB2C6A"/>
    <w:rsid w:val="00CB2EFA"/>
    <w:rsid w:val="00CB4F38"/>
    <w:rsid w:val="00CB59B6"/>
    <w:rsid w:val="00CB5C75"/>
    <w:rsid w:val="00CB5FB8"/>
    <w:rsid w:val="00CB6787"/>
    <w:rsid w:val="00CB67C0"/>
    <w:rsid w:val="00CB7BE8"/>
    <w:rsid w:val="00CC0671"/>
    <w:rsid w:val="00CC0DD3"/>
    <w:rsid w:val="00CC18F8"/>
    <w:rsid w:val="00CC1C3C"/>
    <w:rsid w:val="00CC233F"/>
    <w:rsid w:val="00CC2731"/>
    <w:rsid w:val="00CC39C8"/>
    <w:rsid w:val="00CC54C3"/>
    <w:rsid w:val="00CC5863"/>
    <w:rsid w:val="00CC5D36"/>
    <w:rsid w:val="00CC74BB"/>
    <w:rsid w:val="00CC7BEC"/>
    <w:rsid w:val="00CD018E"/>
    <w:rsid w:val="00CD01FE"/>
    <w:rsid w:val="00CD03EE"/>
    <w:rsid w:val="00CD06AF"/>
    <w:rsid w:val="00CD0935"/>
    <w:rsid w:val="00CD0C5D"/>
    <w:rsid w:val="00CD0FE8"/>
    <w:rsid w:val="00CD1322"/>
    <w:rsid w:val="00CD1633"/>
    <w:rsid w:val="00CD23B1"/>
    <w:rsid w:val="00CD2783"/>
    <w:rsid w:val="00CD28CA"/>
    <w:rsid w:val="00CD301B"/>
    <w:rsid w:val="00CD3300"/>
    <w:rsid w:val="00CD341F"/>
    <w:rsid w:val="00CD3702"/>
    <w:rsid w:val="00CD4143"/>
    <w:rsid w:val="00CD4386"/>
    <w:rsid w:val="00CD5416"/>
    <w:rsid w:val="00CD5ABA"/>
    <w:rsid w:val="00CD5B03"/>
    <w:rsid w:val="00CD62E5"/>
    <w:rsid w:val="00CD6651"/>
    <w:rsid w:val="00CD6A55"/>
    <w:rsid w:val="00CD6CA8"/>
    <w:rsid w:val="00CD711B"/>
    <w:rsid w:val="00CD740A"/>
    <w:rsid w:val="00CD763B"/>
    <w:rsid w:val="00CD7B99"/>
    <w:rsid w:val="00CE0781"/>
    <w:rsid w:val="00CE0BD9"/>
    <w:rsid w:val="00CE1B87"/>
    <w:rsid w:val="00CE1BB7"/>
    <w:rsid w:val="00CE1F6D"/>
    <w:rsid w:val="00CE21CB"/>
    <w:rsid w:val="00CE2B75"/>
    <w:rsid w:val="00CE33DF"/>
    <w:rsid w:val="00CE3A6A"/>
    <w:rsid w:val="00CE3F37"/>
    <w:rsid w:val="00CE5051"/>
    <w:rsid w:val="00CE5347"/>
    <w:rsid w:val="00CE56F1"/>
    <w:rsid w:val="00CE57ED"/>
    <w:rsid w:val="00CE57EF"/>
    <w:rsid w:val="00CE63BE"/>
    <w:rsid w:val="00CE6993"/>
    <w:rsid w:val="00CE7F30"/>
    <w:rsid w:val="00CF062F"/>
    <w:rsid w:val="00CF0E9E"/>
    <w:rsid w:val="00CF21A7"/>
    <w:rsid w:val="00CF2699"/>
    <w:rsid w:val="00CF2E60"/>
    <w:rsid w:val="00CF35C9"/>
    <w:rsid w:val="00CF3C64"/>
    <w:rsid w:val="00CF4773"/>
    <w:rsid w:val="00CF4C1A"/>
    <w:rsid w:val="00CF4C9E"/>
    <w:rsid w:val="00CF5171"/>
    <w:rsid w:val="00CF6292"/>
    <w:rsid w:val="00CF6460"/>
    <w:rsid w:val="00CF6D44"/>
    <w:rsid w:val="00CF6F44"/>
    <w:rsid w:val="00CF734A"/>
    <w:rsid w:val="00CF76DA"/>
    <w:rsid w:val="00CF7841"/>
    <w:rsid w:val="00D0015E"/>
    <w:rsid w:val="00D0164E"/>
    <w:rsid w:val="00D02794"/>
    <w:rsid w:val="00D028C6"/>
    <w:rsid w:val="00D02947"/>
    <w:rsid w:val="00D029EC"/>
    <w:rsid w:val="00D02EEA"/>
    <w:rsid w:val="00D035A1"/>
    <w:rsid w:val="00D03874"/>
    <w:rsid w:val="00D039E3"/>
    <w:rsid w:val="00D03A35"/>
    <w:rsid w:val="00D04239"/>
    <w:rsid w:val="00D043F4"/>
    <w:rsid w:val="00D045D2"/>
    <w:rsid w:val="00D04B1B"/>
    <w:rsid w:val="00D050A9"/>
    <w:rsid w:val="00D052FE"/>
    <w:rsid w:val="00D0543F"/>
    <w:rsid w:val="00D056A7"/>
    <w:rsid w:val="00D100C4"/>
    <w:rsid w:val="00D11619"/>
    <w:rsid w:val="00D12B72"/>
    <w:rsid w:val="00D12E06"/>
    <w:rsid w:val="00D131F3"/>
    <w:rsid w:val="00D13F0F"/>
    <w:rsid w:val="00D14754"/>
    <w:rsid w:val="00D152A7"/>
    <w:rsid w:val="00D1538E"/>
    <w:rsid w:val="00D1563B"/>
    <w:rsid w:val="00D15F5E"/>
    <w:rsid w:val="00D1604E"/>
    <w:rsid w:val="00D16419"/>
    <w:rsid w:val="00D1659B"/>
    <w:rsid w:val="00D166E9"/>
    <w:rsid w:val="00D200D9"/>
    <w:rsid w:val="00D202A9"/>
    <w:rsid w:val="00D20C05"/>
    <w:rsid w:val="00D21117"/>
    <w:rsid w:val="00D21185"/>
    <w:rsid w:val="00D21724"/>
    <w:rsid w:val="00D2203C"/>
    <w:rsid w:val="00D223E5"/>
    <w:rsid w:val="00D22A37"/>
    <w:rsid w:val="00D22D59"/>
    <w:rsid w:val="00D2369E"/>
    <w:rsid w:val="00D24A22"/>
    <w:rsid w:val="00D251FF"/>
    <w:rsid w:val="00D26CF1"/>
    <w:rsid w:val="00D26FEA"/>
    <w:rsid w:val="00D30336"/>
    <w:rsid w:val="00D309F7"/>
    <w:rsid w:val="00D30CAD"/>
    <w:rsid w:val="00D30E70"/>
    <w:rsid w:val="00D310F5"/>
    <w:rsid w:val="00D31447"/>
    <w:rsid w:val="00D31ED4"/>
    <w:rsid w:val="00D31FE8"/>
    <w:rsid w:val="00D32053"/>
    <w:rsid w:val="00D320E9"/>
    <w:rsid w:val="00D32193"/>
    <w:rsid w:val="00D324CF"/>
    <w:rsid w:val="00D336BA"/>
    <w:rsid w:val="00D34712"/>
    <w:rsid w:val="00D34A39"/>
    <w:rsid w:val="00D34C8A"/>
    <w:rsid w:val="00D361C3"/>
    <w:rsid w:val="00D36C16"/>
    <w:rsid w:val="00D37865"/>
    <w:rsid w:val="00D379C1"/>
    <w:rsid w:val="00D37DAA"/>
    <w:rsid w:val="00D37EC7"/>
    <w:rsid w:val="00D4028F"/>
    <w:rsid w:val="00D40E9C"/>
    <w:rsid w:val="00D4101B"/>
    <w:rsid w:val="00D411FA"/>
    <w:rsid w:val="00D41415"/>
    <w:rsid w:val="00D41B50"/>
    <w:rsid w:val="00D41F03"/>
    <w:rsid w:val="00D4224C"/>
    <w:rsid w:val="00D4293A"/>
    <w:rsid w:val="00D42F77"/>
    <w:rsid w:val="00D43ADD"/>
    <w:rsid w:val="00D440D7"/>
    <w:rsid w:val="00D445EF"/>
    <w:rsid w:val="00D44EDB"/>
    <w:rsid w:val="00D44F0C"/>
    <w:rsid w:val="00D45816"/>
    <w:rsid w:val="00D46000"/>
    <w:rsid w:val="00D467B3"/>
    <w:rsid w:val="00D46D6C"/>
    <w:rsid w:val="00D4748D"/>
    <w:rsid w:val="00D47710"/>
    <w:rsid w:val="00D477EF"/>
    <w:rsid w:val="00D47C73"/>
    <w:rsid w:val="00D47FE6"/>
    <w:rsid w:val="00D505FE"/>
    <w:rsid w:val="00D507E0"/>
    <w:rsid w:val="00D50AF5"/>
    <w:rsid w:val="00D515A4"/>
    <w:rsid w:val="00D519CC"/>
    <w:rsid w:val="00D51C60"/>
    <w:rsid w:val="00D52808"/>
    <w:rsid w:val="00D5333B"/>
    <w:rsid w:val="00D53B5D"/>
    <w:rsid w:val="00D53E0B"/>
    <w:rsid w:val="00D54A12"/>
    <w:rsid w:val="00D54D0A"/>
    <w:rsid w:val="00D55BA0"/>
    <w:rsid w:val="00D55BD4"/>
    <w:rsid w:val="00D55D36"/>
    <w:rsid w:val="00D5653A"/>
    <w:rsid w:val="00D5683E"/>
    <w:rsid w:val="00D57215"/>
    <w:rsid w:val="00D575E3"/>
    <w:rsid w:val="00D57615"/>
    <w:rsid w:val="00D57FF4"/>
    <w:rsid w:val="00D6122F"/>
    <w:rsid w:val="00D61DB6"/>
    <w:rsid w:val="00D62CD9"/>
    <w:rsid w:val="00D64055"/>
    <w:rsid w:val="00D64151"/>
    <w:rsid w:val="00D64684"/>
    <w:rsid w:val="00D6496A"/>
    <w:rsid w:val="00D65844"/>
    <w:rsid w:val="00D66EF8"/>
    <w:rsid w:val="00D66FAA"/>
    <w:rsid w:val="00D66FBA"/>
    <w:rsid w:val="00D66FF9"/>
    <w:rsid w:val="00D67228"/>
    <w:rsid w:val="00D67449"/>
    <w:rsid w:val="00D67458"/>
    <w:rsid w:val="00D67FCE"/>
    <w:rsid w:val="00D709D5"/>
    <w:rsid w:val="00D70DA4"/>
    <w:rsid w:val="00D71248"/>
    <w:rsid w:val="00D7163C"/>
    <w:rsid w:val="00D719CB"/>
    <w:rsid w:val="00D71B13"/>
    <w:rsid w:val="00D7226C"/>
    <w:rsid w:val="00D72677"/>
    <w:rsid w:val="00D72AFF"/>
    <w:rsid w:val="00D72B4A"/>
    <w:rsid w:val="00D7317E"/>
    <w:rsid w:val="00D74CB1"/>
    <w:rsid w:val="00D75DFA"/>
    <w:rsid w:val="00D76326"/>
    <w:rsid w:val="00D76EEF"/>
    <w:rsid w:val="00D77335"/>
    <w:rsid w:val="00D77623"/>
    <w:rsid w:val="00D77696"/>
    <w:rsid w:val="00D77BA0"/>
    <w:rsid w:val="00D81013"/>
    <w:rsid w:val="00D813CF"/>
    <w:rsid w:val="00D81CFC"/>
    <w:rsid w:val="00D81E6D"/>
    <w:rsid w:val="00D82B86"/>
    <w:rsid w:val="00D833F8"/>
    <w:rsid w:val="00D8343F"/>
    <w:rsid w:val="00D8355D"/>
    <w:rsid w:val="00D84B66"/>
    <w:rsid w:val="00D84F41"/>
    <w:rsid w:val="00D85662"/>
    <w:rsid w:val="00D857B4"/>
    <w:rsid w:val="00D85B81"/>
    <w:rsid w:val="00D85FE9"/>
    <w:rsid w:val="00D8602B"/>
    <w:rsid w:val="00D866C8"/>
    <w:rsid w:val="00D871E5"/>
    <w:rsid w:val="00D87249"/>
    <w:rsid w:val="00D87911"/>
    <w:rsid w:val="00D87ACF"/>
    <w:rsid w:val="00D87CD8"/>
    <w:rsid w:val="00D90315"/>
    <w:rsid w:val="00D90342"/>
    <w:rsid w:val="00D90349"/>
    <w:rsid w:val="00D90622"/>
    <w:rsid w:val="00D90625"/>
    <w:rsid w:val="00D906FA"/>
    <w:rsid w:val="00D909F8"/>
    <w:rsid w:val="00D91A68"/>
    <w:rsid w:val="00D91D59"/>
    <w:rsid w:val="00D92096"/>
    <w:rsid w:val="00D936C5"/>
    <w:rsid w:val="00D9376B"/>
    <w:rsid w:val="00D93781"/>
    <w:rsid w:val="00D94274"/>
    <w:rsid w:val="00D94B9E"/>
    <w:rsid w:val="00D94C19"/>
    <w:rsid w:val="00D963AD"/>
    <w:rsid w:val="00D97587"/>
    <w:rsid w:val="00D97AE8"/>
    <w:rsid w:val="00DA0169"/>
    <w:rsid w:val="00DA0494"/>
    <w:rsid w:val="00DA0504"/>
    <w:rsid w:val="00DA0CD8"/>
    <w:rsid w:val="00DA0E70"/>
    <w:rsid w:val="00DA0FC7"/>
    <w:rsid w:val="00DA12C9"/>
    <w:rsid w:val="00DA1670"/>
    <w:rsid w:val="00DA1815"/>
    <w:rsid w:val="00DA1867"/>
    <w:rsid w:val="00DA1ADE"/>
    <w:rsid w:val="00DA2292"/>
    <w:rsid w:val="00DA2D85"/>
    <w:rsid w:val="00DA3AEB"/>
    <w:rsid w:val="00DA43D1"/>
    <w:rsid w:val="00DA5CBF"/>
    <w:rsid w:val="00DA5F38"/>
    <w:rsid w:val="00DA628E"/>
    <w:rsid w:val="00DA758B"/>
    <w:rsid w:val="00DB0733"/>
    <w:rsid w:val="00DB19F6"/>
    <w:rsid w:val="00DB4FE2"/>
    <w:rsid w:val="00DB5035"/>
    <w:rsid w:val="00DB5D4F"/>
    <w:rsid w:val="00DB6B0C"/>
    <w:rsid w:val="00DB6C17"/>
    <w:rsid w:val="00DB6CB5"/>
    <w:rsid w:val="00DB6F34"/>
    <w:rsid w:val="00DB7509"/>
    <w:rsid w:val="00DB7558"/>
    <w:rsid w:val="00DB7581"/>
    <w:rsid w:val="00DB7900"/>
    <w:rsid w:val="00DC03F7"/>
    <w:rsid w:val="00DC044D"/>
    <w:rsid w:val="00DC0483"/>
    <w:rsid w:val="00DC076E"/>
    <w:rsid w:val="00DC0936"/>
    <w:rsid w:val="00DC112E"/>
    <w:rsid w:val="00DC15C2"/>
    <w:rsid w:val="00DC1872"/>
    <w:rsid w:val="00DC268D"/>
    <w:rsid w:val="00DC27F3"/>
    <w:rsid w:val="00DC2ABA"/>
    <w:rsid w:val="00DC2DFB"/>
    <w:rsid w:val="00DC303A"/>
    <w:rsid w:val="00DC394E"/>
    <w:rsid w:val="00DC4303"/>
    <w:rsid w:val="00DC4A03"/>
    <w:rsid w:val="00DC51E5"/>
    <w:rsid w:val="00DC5543"/>
    <w:rsid w:val="00DC658D"/>
    <w:rsid w:val="00DC6B89"/>
    <w:rsid w:val="00DC70AD"/>
    <w:rsid w:val="00DC7EBC"/>
    <w:rsid w:val="00DD034E"/>
    <w:rsid w:val="00DD0672"/>
    <w:rsid w:val="00DD10E8"/>
    <w:rsid w:val="00DD16F3"/>
    <w:rsid w:val="00DD1E5C"/>
    <w:rsid w:val="00DD25C4"/>
    <w:rsid w:val="00DD292F"/>
    <w:rsid w:val="00DD2BC4"/>
    <w:rsid w:val="00DD2DBB"/>
    <w:rsid w:val="00DD591D"/>
    <w:rsid w:val="00DD5D9B"/>
    <w:rsid w:val="00DD61F4"/>
    <w:rsid w:val="00DD6EE5"/>
    <w:rsid w:val="00DD7461"/>
    <w:rsid w:val="00DD757B"/>
    <w:rsid w:val="00DD7CCF"/>
    <w:rsid w:val="00DE0017"/>
    <w:rsid w:val="00DE0606"/>
    <w:rsid w:val="00DE0AA9"/>
    <w:rsid w:val="00DE0E7E"/>
    <w:rsid w:val="00DE11EF"/>
    <w:rsid w:val="00DE163C"/>
    <w:rsid w:val="00DE20C1"/>
    <w:rsid w:val="00DE20C2"/>
    <w:rsid w:val="00DE28CA"/>
    <w:rsid w:val="00DE2D90"/>
    <w:rsid w:val="00DE336B"/>
    <w:rsid w:val="00DE3D88"/>
    <w:rsid w:val="00DE4E69"/>
    <w:rsid w:val="00DE4F10"/>
    <w:rsid w:val="00DE5677"/>
    <w:rsid w:val="00DE592C"/>
    <w:rsid w:val="00DE6360"/>
    <w:rsid w:val="00DE6DC3"/>
    <w:rsid w:val="00DE7010"/>
    <w:rsid w:val="00DE71DA"/>
    <w:rsid w:val="00DE757F"/>
    <w:rsid w:val="00DE75C2"/>
    <w:rsid w:val="00DE75D0"/>
    <w:rsid w:val="00DE7C7D"/>
    <w:rsid w:val="00DE7E23"/>
    <w:rsid w:val="00DF0EC4"/>
    <w:rsid w:val="00DF1AD0"/>
    <w:rsid w:val="00DF2079"/>
    <w:rsid w:val="00DF247E"/>
    <w:rsid w:val="00DF24C0"/>
    <w:rsid w:val="00DF2A53"/>
    <w:rsid w:val="00DF300E"/>
    <w:rsid w:val="00DF412E"/>
    <w:rsid w:val="00DF44E6"/>
    <w:rsid w:val="00DF47BA"/>
    <w:rsid w:val="00DF4E99"/>
    <w:rsid w:val="00DF5329"/>
    <w:rsid w:val="00DF5BAB"/>
    <w:rsid w:val="00DF5C8D"/>
    <w:rsid w:val="00DF5DDA"/>
    <w:rsid w:val="00DF6C6C"/>
    <w:rsid w:val="00DF71C5"/>
    <w:rsid w:val="00DF72C0"/>
    <w:rsid w:val="00DF744A"/>
    <w:rsid w:val="00DF7BF2"/>
    <w:rsid w:val="00DF7CAF"/>
    <w:rsid w:val="00E01328"/>
    <w:rsid w:val="00E018D1"/>
    <w:rsid w:val="00E01B8A"/>
    <w:rsid w:val="00E01FA5"/>
    <w:rsid w:val="00E0248F"/>
    <w:rsid w:val="00E02533"/>
    <w:rsid w:val="00E02CCB"/>
    <w:rsid w:val="00E02D71"/>
    <w:rsid w:val="00E037B0"/>
    <w:rsid w:val="00E0439C"/>
    <w:rsid w:val="00E04792"/>
    <w:rsid w:val="00E05541"/>
    <w:rsid w:val="00E05CE5"/>
    <w:rsid w:val="00E05F0B"/>
    <w:rsid w:val="00E05F40"/>
    <w:rsid w:val="00E0668F"/>
    <w:rsid w:val="00E07571"/>
    <w:rsid w:val="00E10168"/>
    <w:rsid w:val="00E10194"/>
    <w:rsid w:val="00E103A7"/>
    <w:rsid w:val="00E1084C"/>
    <w:rsid w:val="00E10A33"/>
    <w:rsid w:val="00E10B00"/>
    <w:rsid w:val="00E10FC7"/>
    <w:rsid w:val="00E11C71"/>
    <w:rsid w:val="00E12193"/>
    <w:rsid w:val="00E124A1"/>
    <w:rsid w:val="00E13375"/>
    <w:rsid w:val="00E140BD"/>
    <w:rsid w:val="00E14873"/>
    <w:rsid w:val="00E14E28"/>
    <w:rsid w:val="00E14F5F"/>
    <w:rsid w:val="00E151F1"/>
    <w:rsid w:val="00E158FD"/>
    <w:rsid w:val="00E15E45"/>
    <w:rsid w:val="00E15FF4"/>
    <w:rsid w:val="00E1671D"/>
    <w:rsid w:val="00E169DE"/>
    <w:rsid w:val="00E16B47"/>
    <w:rsid w:val="00E16FD2"/>
    <w:rsid w:val="00E17A59"/>
    <w:rsid w:val="00E203F7"/>
    <w:rsid w:val="00E206B5"/>
    <w:rsid w:val="00E207E3"/>
    <w:rsid w:val="00E209F2"/>
    <w:rsid w:val="00E20F6D"/>
    <w:rsid w:val="00E218D2"/>
    <w:rsid w:val="00E22C9C"/>
    <w:rsid w:val="00E22E8A"/>
    <w:rsid w:val="00E23157"/>
    <w:rsid w:val="00E2333D"/>
    <w:rsid w:val="00E233C6"/>
    <w:rsid w:val="00E233D8"/>
    <w:rsid w:val="00E23635"/>
    <w:rsid w:val="00E237EB"/>
    <w:rsid w:val="00E2380D"/>
    <w:rsid w:val="00E23A84"/>
    <w:rsid w:val="00E23B82"/>
    <w:rsid w:val="00E24068"/>
    <w:rsid w:val="00E2468E"/>
    <w:rsid w:val="00E24C7E"/>
    <w:rsid w:val="00E2513D"/>
    <w:rsid w:val="00E25A79"/>
    <w:rsid w:val="00E26837"/>
    <w:rsid w:val="00E26929"/>
    <w:rsid w:val="00E300C9"/>
    <w:rsid w:val="00E30133"/>
    <w:rsid w:val="00E3031A"/>
    <w:rsid w:val="00E30354"/>
    <w:rsid w:val="00E30782"/>
    <w:rsid w:val="00E30B24"/>
    <w:rsid w:val="00E3256E"/>
    <w:rsid w:val="00E32A54"/>
    <w:rsid w:val="00E336AC"/>
    <w:rsid w:val="00E33A2C"/>
    <w:rsid w:val="00E33C04"/>
    <w:rsid w:val="00E358D3"/>
    <w:rsid w:val="00E35B74"/>
    <w:rsid w:val="00E35BCD"/>
    <w:rsid w:val="00E35DB1"/>
    <w:rsid w:val="00E3757B"/>
    <w:rsid w:val="00E37680"/>
    <w:rsid w:val="00E37840"/>
    <w:rsid w:val="00E37B09"/>
    <w:rsid w:val="00E37EC2"/>
    <w:rsid w:val="00E40170"/>
    <w:rsid w:val="00E40358"/>
    <w:rsid w:val="00E410E3"/>
    <w:rsid w:val="00E41A41"/>
    <w:rsid w:val="00E41B81"/>
    <w:rsid w:val="00E4209E"/>
    <w:rsid w:val="00E4247F"/>
    <w:rsid w:val="00E42871"/>
    <w:rsid w:val="00E42AF7"/>
    <w:rsid w:val="00E430D1"/>
    <w:rsid w:val="00E43C5F"/>
    <w:rsid w:val="00E44483"/>
    <w:rsid w:val="00E4484B"/>
    <w:rsid w:val="00E4506B"/>
    <w:rsid w:val="00E45D04"/>
    <w:rsid w:val="00E45E38"/>
    <w:rsid w:val="00E468F2"/>
    <w:rsid w:val="00E47010"/>
    <w:rsid w:val="00E4736B"/>
    <w:rsid w:val="00E504B6"/>
    <w:rsid w:val="00E513EB"/>
    <w:rsid w:val="00E519EB"/>
    <w:rsid w:val="00E520EE"/>
    <w:rsid w:val="00E52932"/>
    <w:rsid w:val="00E52D1B"/>
    <w:rsid w:val="00E52EA2"/>
    <w:rsid w:val="00E53653"/>
    <w:rsid w:val="00E536A8"/>
    <w:rsid w:val="00E54484"/>
    <w:rsid w:val="00E54ECC"/>
    <w:rsid w:val="00E556F8"/>
    <w:rsid w:val="00E55E89"/>
    <w:rsid w:val="00E55EA7"/>
    <w:rsid w:val="00E55FF1"/>
    <w:rsid w:val="00E56C42"/>
    <w:rsid w:val="00E57C8C"/>
    <w:rsid w:val="00E60143"/>
    <w:rsid w:val="00E60186"/>
    <w:rsid w:val="00E60374"/>
    <w:rsid w:val="00E604DE"/>
    <w:rsid w:val="00E60527"/>
    <w:rsid w:val="00E60B1D"/>
    <w:rsid w:val="00E60E09"/>
    <w:rsid w:val="00E613A8"/>
    <w:rsid w:val="00E63887"/>
    <w:rsid w:val="00E638F5"/>
    <w:rsid w:val="00E63F4F"/>
    <w:rsid w:val="00E64518"/>
    <w:rsid w:val="00E647D3"/>
    <w:rsid w:val="00E64C79"/>
    <w:rsid w:val="00E65F7B"/>
    <w:rsid w:val="00E661B2"/>
    <w:rsid w:val="00E664CE"/>
    <w:rsid w:val="00E66A82"/>
    <w:rsid w:val="00E6702A"/>
    <w:rsid w:val="00E67B04"/>
    <w:rsid w:val="00E70113"/>
    <w:rsid w:val="00E70DF6"/>
    <w:rsid w:val="00E71C8A"/>
    <w:rsid w:val="00E71FF4"/>
    <w:rsid w:val="00E725D7"/>
    <w:rsid w:val="00E729DB"/>
    <w:rsid w:val="00E72ECB"/>
    <w:rsid w:val="00E72F2A"/>
    <w:rsid w:val="00E7499C"/>
    <w:rsid w:val="00E74A87"/>
    <w:rsid w:val="00E74C52"/>
    <w:rsid w:val="00E75184"/>
    <w:rsid w:val="00E756B6"/>
    <w:rsid w:val="00E77105"/>
    <w:rsid w:val="00E77F8F"/>
    <w:rsid w:val="00E80120"/>
    <w:rsid w:val="00E80E3C"/>
    <w:rsid w:val="00E81BB0"/>
    <w:rsid w:val="00E82086"/>
    <w:rsid w:val="00E8243F"/>
    <w:rsid w:val="00E82841"/>
    <w:rsid w:val="00E82A29"/>
    <w:rsid w:val="00E82B49"/>
    <w:rsid w:val="00E83237"/>
    <w:rsid w:val="00E83344"/>
    <w:rsid w:val="00E8389F"/>
    <w:rsid w:val="00E83B51"/>
    <w:rsid w:val="00E83C23"/>
    <w:rsid w:val="00E83E38"/>
    <w:rsid w:val="00E83F64"/>
    <w:rsid w:val="00E840DE"/>
    <w:rsid w:val="00E84E30"/>
    <w:rsid w:val="00E855F3"/>
    <w:rsid w:val="00E85B36"/>
    <w:rsid w:val="00E8681F"/>
    <w:rsid w:val="00E86CE2"/>
    <w:rsid w:val="00E86EEE"/>
    <w:rsid w:val="00E87A17"/>
    <w:rsid w:val="00E87BA0"/>
    <w:rsid w:val="00E90775"/>
    <w:rsid w:val="00E90A0B"/>
    <w:rsid w:val="00E90ACB"/>
    <w:rsid w:val="00E90B8E"/>
    <w:rsid w:val="00E91A13"/>
    <w:rsid w:val="00E91D92"/>
    <w:rsid w:val="00E91E3F"/>
    <w:rsid w:val="00E92381"/>
    <w:rsid w:val="00E9241E"/>
    <w:rsid w:val="00E926E1"/>
    <w:rsid w:val="00E927EB"/>
    <w:rsid w:val="00E92C59"/>
    <w:rsid w:val="00E9306B"/>
    <w:rsid w:val="00E936F7"/>
    <w:rsid w:val="00E93C56"/>
    <w:rsid w:val="00E9463D"/>
    <w:rsid w:val="00E94B15"/>
    <w:rsid w:val="00E94B6E"/>
    <w:rsid w:val="00E9666A"/>
    <w:rsid w:val="00E96821"/>
    <w:rsid w:val="00E97534"/>
    <w:rsid w:val="00EA0B0F"/>
    <w:rsid w:val="00EA0B59"/>
    <w:rsid w:val="00EA0FCF"/>
    <w:rsid w:val="00EA1574"/>
    <w:rsid w:val="00EA1581"/>
    <w:rsid w:val="00EA27BD"/>
    <w:rsid w:val="00EA2903"/>
    <w:rsid w:val="00EA3A0C"/>
    <w:rsid w:val="00EA3BCC"/>
    <w:rsid w:val="00EA41C3"/>
    <w:rsid w:val="00EA4467"/>
    <w:rsid w:val="00EA46CD"/>
    <w:rsid w:val="00EA49D0"/>
    <w:rsid w:val="00EA4DAD"/>
    <w:rsid w:val="00EA504F"/>
    <w:rsid w:val="00EA53AC"/>
    <w:rsid w:val="00EA54EB"/>
    <w:rsid w:val="00EA6CE1"/>
    <w:rsid w:val="00EA7008"/>
    <w:rsid w:val="00EA75AE"/>
    <w:rsid w:val="00EA7759"/>
    <w:rsid w:val="00EA7970"/>
    <w:rsid w:val="00EB07CF"/>
    <w:rsid w:val="00EB0BF1"/>
    <w:rsid w:val="00EB1D45"/>
    <w:rsid w:val="00EB23EB"/>
    <w:rsid w:val="00EB272B"/>
    <w:rsid w:val="00EB2853"/>
    <w:rsid w:val="00EB36BB"/>
    <w:rsid w:val="00EB4333"/>
    <w:rsid w:val="00EB47FE"/>
    <w:rsid w:val="00EB4845"/>
    <w:rsid w:val="00EB566F"/>
    <w:rsid w:val="00EB5CB4"/>
    <w:rsid w:val="00EB6591"/>
    <w:rsid w:val="00EB699E"/>
    <w:rsid w:val="00EB6DFF"/>
    <w:rsid w:val="00EB7042"/>
    <w:rsid w:val="00EB70A6"/>
    <w:rsid w:val="00EB7F6D"/>
    <w:rsid w:val="00EC0316"/>
    <w:rsid w:val="00EC15D9"/>
    <w:rsid w:val="00EC15DF"/>
    <w:rsid w:val="00EC2A0B"/>
    <w:rsid w:val="00EC2CBB"/>
    <w:rsid w:val="00EC2E1E"/>
    <w:rsid w:val="00EC313C"/>
    <w:rsid w:val="00EC3169"/>
    <w:rsid w:val="00EC3237"/>
    <w:rsid w:val="00EC3611"/>
    <w:rsid w:val="00EC3A3E"/>
    <w:rsid w:val="00EC3BDF"/>
    <w:rsid w:val="00EC4194"/>
    <w:rsid w:val="00EC46F0"/>
    <w:rsid w:val="00EC5136"/>
    <w:rsid w:val="00EC5591"/>
    <w:rsid w:val="00EC5AFD"/>
    <w:rsid w:val="00EC5E9F"/>
    <w:rsid w:val="00EC653D"/>
    <w:rsid w:val="00EC65F6"/>
    <w:rsid w:val="00EC71CE"/>
    <w:rsid w:val="00ED0717"/>
    <w:rsid w:val="00ED0AA6"/>
    <w:rsid w:val="00ED120D"/>
    <w:rsid w:val="00ED12E3"/>
    <w:rsid w:val="00ED1563"/>
    <w:rsid w:val="00ED180A"/>
    <w:rsid w:val="00ED1995"/>
    <w:rsid w:val="00ED1A38"/>
    <w:rsid w:val="00ED26CB"/>
    <w:rsid w:val="00ED39FD"/>
    <w:rsid w:val="00ED3E5A"/>
    <w:rsid w:val="00ED424B"/>
    <w:rsid w:val="00ED4656"/>
    <w:rsid w:val="00ED4878"/>
    <w:rsid w:val="00ED62B8"/>
    <w:rsid w:val="00EE03E5"/>
    <w:rsid w:val="00EE0604"/>
    <w:rsid w:val="00EE0B8A"/>
    <w:rsid w:val="00EE0E27"/>
    <w:rsid w:val="00EE0EAD"/>
    <w:rsid w:val="00EE144B"/>
    <w:rsid w:val="00EE1640"/>
    <w:rsid w:val="00EE1ABB"/>
    <w:rsid w:val="00EE1DE7"/>
    <w:rsid w:val="00EE1E9B"/>
    <w:rsid w:val="00EE1EDA"/>
    <w:rsid w:val="00EE2205"/>
    <w:rsid w:val="00EE26B2"/>
    <w:rsid w:val="00EE2B61"/>
    <w:rsid w:val="00EE2CA1"/>
    <w:rsid w:val="00EE3281"/>
    <w:rsid w:val="00EE38C0"/>
    <w:rsid w:val="00EE45B0"/>
    <w:rsid w:val="00EE4915"/>
    <w:rsid w:val="00EE4D27"/>
    <w:rsid w:val="00EE5162"/>
    <w:rsid w:val="00EE53AF"/>
    <w:rsid w:val="00EE54C8"/>
    <w:rsid w:val="00EE590C"/>
    <w:rsid w:val="00EE5E48"/>
    <w:rsid w:val="00EE5F0C"/>
    <w:rsid w:val="00EE5F1B"/>
    <w:rsid w:val="00EE5F68"/>
    <w:rsid w:val="00EE6718"/>
    <w:rsid w:val="00EE6B59"/>
    <w:rsid w:val="00EE785F"/>
    <w:rsid w:val="00EE7E0E"/>
    <w:rsid w:val="00EF0822"/>
    <w:rsid w:val="00EF0B5C"/>
    <w:rsid w:val="00EF1472"/>
    <w:rsid w:val="00EF16C3"/>
    <w:rsid w:val="00EF1B3F"/>
    <w:rsid w:val="00EF2469"/>
    <w:rsid w:val="00EF24D4"/>
    <w:rsid w:val="00EF3016"/>
    <w:rsid w:val="00EF3610"/>
    <w:rsid w:val="00EF46FB"/>
    <w:rsid w:val="00EF4E19"/>
    <w:rsid w:val="00EF6376"/>
    <w:rsid w:val="00EF6482"/>
    <w:rsid w:val="00EF64A9"/>
    <w:rsid w:val="00EF6A40"/>
    <w:rsid w:val="00EF7015"/>
    <w:rsid w:val="00F002D8"/>
    <w:rsid w:val="00F0144A"/>
    <w:rsid w:val="00F01674"/>
    <w:rsid w:val="00F023D6"/>
    <w:rsid w:val="00F03086"/>
    <w:rsid w:val="00F032B5"/>
    <w:rsid w:val="00F0380F"/>
    <w:rsid w:val="00F03ABF"/>
    <w:rsid w:val="00F03F0A"/>
    <w:rsid w:val="00F04869"/>
    <w:rsid w:val="00F05202"/>
    <w:rsid w:val="00F05A19"/>
    <w:rsid w:val="00F05E3C"/>
    <w:rsid w:val="00F0644A"/>
    <w:rsid w:val="00F0723D"/>
    <w:rsid w:val="00F07304"/>
    <w:rsid w:val="00F07841"/>
    <w:rsid w:val="00F10F3C"/>
    <w:rsid w:val="00F112E9"/>
    <w:rsid w:val="00F1180F"/>
    <w:rsid w:val="00F11852"/>
    <w:rsid w:val="00F11BB0"/>
    <w:rsid w:val="00F11D62"/>
    <w:rsid w:val="00F12422"/>
    <w:rsid w:val="00F12E27"/>
    <w:rsid w:val="00F12E79"/>
    <w:rsid w:val="00F139CA"/>
    <w:rsid w:val="00F13FBD"/>
    <w:rsid w:val="00F14124"/>
    <w:rsid w:val="00F149B6"/>
    <w:rsid w:val="00F14AFB"/>
    <w:rsid w:val="00F14B74"/>
    <w:rsid w:val="00F151CE"/>
    <w:rsid w:val="00F160A0"/>
    <w:rsid w:val="00F16734"/>
    <w:rsid w:val="00F167B0"/>
    <w:rsid w:val="00F173F2"/>
    <w:rsid w:val="00F17FD4"/>
    <w:rsid w:val="00F210AD"/>
    <w:rsid w:val="00F214F7"/>
    <w:rsid w:val="00F21741"/>
    <w:rsid w:val="00F21C85"/>
    <w:rsid w:val="00F21EBC"/>
    <w:rsid w:val="00F22E5E"/>
    <w:rsid w:val="00F23236"/>
    <w:rsid w:val="00F23A05"/>
    <w:rsid w:val="00F23A6C"/>
    <w:rsid w:val="00F23CBD"/>
    <w:rsid w:val="00F24264"/>
    <w:rsid w:val="00F2476F"/>
    <w:rsid w:val="00F2483A"/>
    <w:rsid w:val="00F24895"/>
    <w:rsid w:val="00F24E09"/>
    <w:rsid w:val="00F25084"/>
    <w:rsid w:val="00F2513B"/>
    <w:rsid w:val="00F2514E"/>
    <w:rsid w:val="00F25223"/>
    <w:rsid w:val="00F25333"/>
    <w:rsid w:val="00F259AE"/>
    <w:rsid w:val="00F25C44"/>
    <w:rsid w:val="00F264F0"/>
    <w:rsid w:val="00F26BBC"/>
    <w:rsid w:val="00F271A6"/>
    <w:rsid w:val="00F301F9"/>
    <w:rsid w:val="00F302A2"/>
    <w:rsid w:val="00F3047B"/>
    <w:rsid w:val="00F304E4"/>
    <w:rsid w:val="00F30B6F"/>
    <w:rsid w:val="00F30CC9"/>
    <w:rsid w:val="00F310F5"/>
    <w:rsid w:val="00F316AA"/>
    <w:rsid w:val="00F31C3B"/>
    <w:rsid w:val="00F324B6"/>
    <w:rsid w:val="00F324E2"/>
    <w:rsid w:val="00F32659"/>
    <w:rsid w:val="00F32900"/>
    <w:rsid w:val="00F32CD4"/>
    <w:rsid w:val="00F337D3"/>
    <w:rsid w:val="00F33B4F"/>
    <w:rsid w:val="00F33FF3"/>
    <w:rsid w:val="00F3454F"/>
    <w:rsid w:val="00F3481D"/>
    <w:rsid w:val="00F34A35"/>
    <w:rsid w:val="00F34A99"/>
    <w:rsid w:val="00F34BFF"/>
    <w:rsid w:val="00F34CA3"/>
    <w:rsid w:val="00F35042"/>
    <w:rsid w:val="00F3514E"/>
    <w:rsid w:val="00F35484"/>
    <w:rsid w:val="00F35D90"/>
    <w:rsid w:val="00F3697D"/>
    <w:rsid w:val="00F37053"/>
    <w:rsid w:val="00F375FF"/>
    <w:rsid w:val="00F37E10"/>
    <w:rsid w:val="00F37E79"/>
    <w:rsid w:val="00F407C0"/>
    <w:rsid w:val="00F41554"/>
    <w:rsid w:val="00F416DE"/>
    <w:rsid w:val="00F419FE"/>
    <w:rsid w:val="00F41FD2"/>
    <w:rsid w:val="00F42FF5"/>
    <w:rsid w:val="00F4360B"/>
    <w:rsid w:val="00F43ACD"/>
    <w:rsid w:val="00F44C2C"/>
    <w:rsid w:val="00F4580E"/>
    <w:rsid w:val="00F45B5B"/>
    <w:rsid w:val="00F45CB8"/>
    <w:rsid w:val="00F460AD"/>
    <w:rsid w:val="00F461AC"/>
    <w:rsid w:val="00F46470"/>
    <w:rsid w:val="00F46BCB"/>
    <w:rsid w:val="00F46E5E"/>
    <w:rsid w:val="00F46F01"/>
    <w:rsid w:val="00F4749D"/>
    <w:rsid w:val="00F47F31"/>
    <w:rsid w:val="00F50EF4"/>
    <w:rsid w:val="00F51065"/>
    <w:rsid w:val="00F5164C"/>
    <w:rsid w:val="00F51FFE"/>
    <w:rsid w:val="00F52042"/>
    <w:rsid w:val="00F5274D"/>
    <w:rsid w:val="00F52B0E"/>
    <w:rsid w:val="00F55F2E"/>
    <w:rsid w:val="00F5629A"/>
    <w:rsid w:val="00F5648E"/>
    <w:rsid w:val="00F565E7"/>
    <w:rsid w:val="00F5669D"/>
    <w:rsid w:val="00F5731F"/>
    <w:rsid w:val="00F576DF"/>
    <w:rsid w:val="00F57851"/>
    <w:rsid w:val="00F578FE"/>
    <w:rsid w:val="00F57E65"/>
    <w:rsid w:val="00F6053F"/>
    <w:rsid w:val="00F613D6"/>
    <w:rsid w:val="00F61A91"/>
    <w:rsid w:val="00F61CBD"/>
    <w:rsid w:val="00F624AA"/>
    <w:rsid w:val="00F626F0"/>
    <w:rsid w:val="00F641AD"/>
    <w:rsid w:val="00F642C2"/>
    <w:rsid w:val="00F64965"/>
    <w:rsid w:val="00F64C35"/>
    <w:rsid w:val="00F65140"/>
    <w:rsid w:val="00F65346"/>
    <w:rsid w:val="00F656E6"/>
    <w:rsid w:val="00F658A4"/>
    <w:rsid w:val="00F66250"/>
    <w:rsid w:val="00F66673"/>
    <w:rsid w:val="00F66E38"/>
    <w:rsid w:val="00F676A2"/>
    <w:rsid w:val="00F67A95"/>
    <w:rsid w:val="00F703CF"/>
    <w:rsid w:val="00F70461"/>
    <w:rsid w:val="00F70682"/>
    <w:rsid w:val="00F72241"/>
    <w:rsid w:val="00F72359"/>
    <w:rsid w:val="00F7258D"/>
    <w:rsid w:val="00F726F8"/>
    <w:rsid w:val="00F72D69"/>
    <w:rsid w:val="00F752AF"/>
    <w:rsid w:val="00F752C2"/>
    <w:rsid w:val="00F7576E"/>
    <w:rsid w:val="00F75A2A"/>
    <w:rsid w:val="00F760F4"/>
    <w:rsid w:val="00F765C6"/>
    <w:rsid w:val="00F7666B"/>
    <w:rsid w:val="00F766F6"/>
    <w:rsid w:val="00F76F30"/>
    <w:rsid w:val="00F77C77"/>
    <w:rsid w:val="00F81009"/>
    <w:rsid w:val="00F812CC"/>
    <w:rsid w:val="00F812E6"/>
    <w:rsid w:val="00F8150B"/>
    <w:rsid w:val="00F8165F"/>
    <w:rsid w:val="00F81ACF"/>
    <w:rsid w:val="00F820F9"/>
    <w:rsid w:val="00F82451"/>
    <w:rsid w:val="00F82D2D"/>
    <w:rsid w:val="00F83833"/>
    <w:rsid w:val="00F83CCC"/>
    <w:rsid w:val="00F83D61"/>
    <w:rsid w:val="00F8422D"/>
    <w:rsid w:val="00F84A85"/>
    <w:rsid w:val="00F84EF2"/>
    <w:rsid w:val="00F8565D"/>
    <w:rsid w:val="00F85692"/>
    <w:rsid w:val="00F8599B"/>
    <w:rsid w:val="00F85CBD"/>
    <w:rsid w:val="00F86FB5"/>
    <w:rsid w:val="00F87037"/>
    <w:rsid w:val="00F87349"/>
    <w:rsid w:val="00F87823"/>
    <w:rsid w:val="00F87C8E"/>
    <w:rsid w:val="00F9091B"/>
    <w:rsid w:val="00F909B1"/>
    <w:rsid w:val="00F90D0F"/>
    <w:rsid w:val="00F913BA"/>
    <w:rsid w:val="00F916AC"/>
    <w:rsid w:val="00F919A1"/>
    <w:rsid w:val="00F91B24"/>
    <w:rsid w:val="00F91D58"/>
    <w:rsid w:val="00F92871"/>
    <w:rsid w:val="00F92CC6"/>
    <w:rsid w:val="00F92E01"/>
    <w:rsid w:val="00F9301A"/>
    <w:rsid w:val="00F932C7"/>
    <w:rsid w:val="00F93991"/>
    <w:rsid w:val="00F93D10"/>
    <w:rsid w:val="00F93D18"/>
    <w:rsid w:val="00F93F00"/>
    <w:rsid w:val="00F947A2"/>
    <w:rsid w:val="00F94D12"/>
    <w:rsid w:val="00F9575F"/>
    <w:rsid w:val="00F95A79"/>
    <w:rsid w:val="00F96268"/>
    <w:rsid w:val="00F96A40"/>
    <w:rsid w:val="00F96EA2"/>
    <w:rsid w:val="00F972CF"/>
    <w:rsid w:val="00F97339"/>
    <w:rsid w:val="00F974BE"/>
    <w:rsid w:val="00FA05B2"/>
    <w:rsid w:val="00FA0FF9"/>
    <w:rsid w:val="00FA2000"/>
    <w:rsid w:val="00FA25B2"/>
    <w:rsid w:val="00FA2A5F"/>
    <w:rsid w:val="00FA2D2B"/>
    <w:rsid w:val="00FA2EF1"/>
    <w:rsid w:val="00FA3CCC"/>
    <w:rsid w:val="00FA3E19"/>
    <w:rsid w:val="00FA3EA3"/>
    <w:rsid w:val="00FA47A6"/>
    <w:rsid w:val="00FA58A7"/>
    <w:rsid w:val="00FA59CA"/>
    <w:rsid w:val="00FA5DE1"/>
    <w:rsid w:val="00FA6C77"/>
    <w:rsid w:val="00FA6D96"/>
    <w:rsid w:val="00FA77EB"/>
    <w:rsid w:val="00FB0A4D"/>
    <w:rsid w:val="00FB0E1C"/>
    <w:rsid w:val="00FB17C5"/>
    <w:rsid w:val="00FB213D"/>
    <w:rsid w:val="00FB2B77"/>
    <w:rsid w:val="00FB2C36"/>
    <w:rsid w:val="00FB2C94"/>
    <w:rsid w:val="00FB2D07"/>
    <w:rsid w:val="00FB30BF"/>
    <w:rsid w:val="00FB3976"/>
    <w:rsid w:val="00FB3EAC"/>
    <w:rsid w:val="00FB4174"/>
    <w:rsid w:val="00FB4415"/>
    <w:rsid w:val="00FB46DA"/>
    <w:rsid w:val="00FB4F0C"/>
    <w:rsid w:val="00FB5D08"/>
    <w:rsid w:val="00FB641E"/>
    <w:rsid w:val="00FB65EB"/>
    <w:rsid w:val="00FB6EFD"/>
    <w:rsid w:val="00FB758E"/>
    <w:rsid w:val="00FB7C4D"/>
    <w:rsid w:val="00FC0BAD"/>
    <w:rsid w:val="00FC0D78"/>
    <w:rsid w:val="00FC121D"/>
    <w:rsid w:val="00FC1342"/>
    <w:rsid w:val="00FC13B5"/>
    <w:rsid w:val="00FC19E6"/>
    <w:rsid w:val="00FC26A2"/>
    <w:rsid w:val="00FC2836"/>
    <w:rsid w:val="00FC2B71"/>
    <w:rsid w:val="00FC2D94"/>
    <w:rsid w:val="00FC2DA6"/>
    <w:rsid w:val="00FC39AB"/>
    <w:rsid w:val="00FC3EE5"/>
    <w:rsid w:val="00FC41FF"/>
    <w:rsid w:val="00FC438D"/>
    <w:rsid w:val="00FC534D"/>
    <w:rsid w:val="00FC54EE"/>
    <w:rsid w:val="00FC568E"/>
    <w:rsid w:val="00FC6301"/>
    <w:rsid w:val="00FC64C2"/>
    <w:rsid w:val="00FC66A4"/>
    <w:rsid w:val="00FC67A0"/>
    <w:rsid w:val="00FC67C9"/>
    <w:rsid w:val="00FC6AE9"/>
    <w:rsid w:val="00FC7243"/>
    <w:rsid w:val="00FC7576"/>
    <w:rsid w:val="00FC7D05"/>
    <w:rsid w:val="00FC7D7E"/>
    <w:rsid w:val="00FC7E2C"/>
    <w:rsid w:val="00FD02DE"/>
    <w:rsid w:val="00FD0840"/>
    <w:rsid w:val="00FD0C99"/>
    <w:rsid w:val="00FD1108"/>
    <w:rsid w:val="00FD12CF"/>
    <w:rsid w:val="00FD184C"/>
    <w:rsid w:val="00FD1E93"/>
    <w:rsid w:val="00FD292D"/>
    <w:rsid w:val="00FD30E3"/>
    <w:rsid w:val="00FD4316"/>
    <w:rsid w:val="00FD46DD"/>
    <w:rsid w:val="00FD50B9"/>
    <w:rsid w:val="00FD68BD"/>
    <w:rsid w:val="00FD6BD8"/>
    <w:rsid w:val="00FD6ECA"/>
    <w:rsid w:val="00FD75AE"/>
    <w:rsid w:val="00FD7832"/>
    <w:rsid w:val="00FD7A4F"/>
    <w:rsid w:val="00FD7B2A"/>
    <w:rsid w:val="00FD7F23"/>
    <w:rsid w:val="00FE0153"/>
    <w:rsid w:val="00FE01F8"/>
    <w:rsid w:val="00FE0A4E"/>
    <w:rsid w:val="00FE0BAB"/>
    <w:rsid w:val="00FE12E6"/>
    <w:rsid w:val="00FE1392"/>
    <w:rsid w:val="00FE1610"/>
    <w:rsid w:val="00FE1FA9"/>
    <w:rsid w:val="00FE215A"/>
    <w:rsid w:val="00FE2496"/>
    <w:rsid w:val="00FE2CE6"/>
    <w:rsid w:val="00FE2FB0"/>
    <w:rsid w:val="00FE3C98"/>
    <w:rsid w:val="00FE3E5D"/>
    <w:rsid w:val="00FE3F7B"/>
    <w:rsid w:val="00FE4A14"/>
    <w:rsid w:val="00FE4B39"/>
    <w:rsid w:val="00FE5049"/>
    <w:rsid w:val="00FE535A"/>
    <w:rsid w:val="00FE59BB"/>
    <w:rsid w:val="00FE5D5E"/>
    <w:rsid w:val="00FE5F44"/>
    <w:rsid w:val="00FE60A6"/>
    <w:rsid w:val="00FE6435"/>
    <w:rsid w:val="00FE65DB"/>
    <w:rsid w:val="00FE7AE7"/>
    <w:rsid w:val="00FF0F95"/>
    <w:rsid w:val="00FF1007"/>
    <w:rsid w:val="00FF1C57"/>
    <w:rsid w:val="00FF1C65"/>
    <w:rsid w:val="00FF22A7"/>
    <w:rsid w:val="00FF3803"/>
    <w:rsid w:val="00FF3855"/>
    <w:rsid w:val="00FF40EE"/>
    <w:rsid w:val="00FF5086"/>
    <w:rsid w:val="00FF5122"/>
    <w:rsid w:val="00FF595D"/>
    <w:rsid w:val="00FF5B2E"/>
    <w:rsid w:val="00FF613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5D295"/>
  <w15:docId w15:val="{5FFEB0C9-4CEF-4C6D-B521-C1066FA11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100"/>
      <w:outlineLvl w:val="0"/>
    </w:pPr>
    <w:rPr>
      <w:b/>
      <w:bCs/>
    </w:rPr>
  </w:style>
  <w:style w:type="paragraph" w:styleId="Heading2">
    <w:name w:val="heading 2"/>
    <w:basedOn w:val="Normal"/>
    <w:next w:val="Normal"/>
    <w:link w:val="Heading2Char"/>
    <w:uiPriority w:val="9"/>
    <w:unhideWhenUsed/>
    <w:qFormat/>
    <w:rsid w:val="00F973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6E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E628D"/>
    <w:pPr>
      <w:keepNext/>
      <w:keepLines/>
      <w:widowControl/>
      <w:autoSpaceDE/>
      <w:autoSpaceDN/>
      <w:spacing w:before="80" w:after="40"/>
      <w:outlineLvl w:val="3"/>
    </w:pPr>
    <w:rPr>
      <w:rFonts w:eastAsiaTheme="majorEastAsia" w:cstheme="majorBidi"/>
      <w:i/>
      <w:iCs/>
      <w:color w:val="365F91" w:themeColor="accent1" w:themeShade="BF"/>
      <w:sz w:val="24"/>
      <w:szCs w:val="24"/>
    </w:rPr>
  </w:style>
  <w:style w:type="paragraph" w:styleId="Heading5">
    <w:name w:val="heading 5"/>
    <w:basedOn w:val="Normal"/>
    <w:next w:val="Normal"/>
    <w:link w:val="Heading5Char"/>
    <w:uiPriority w:val="9"/>
    <w:semiHidden/>
    <w:unhideWhenUsed/>
    <w:qFormat/>
    <w:rsid w:val="001E628D"/>
    <w:pPr>
      <w:keepNext/>
      <w:keepLines/>
      <w:widowControl/>
      <w:autoSpaceDE/>
      <w:autoSpaceDN/>
      <w:spacing w:before="80" w:after="40"/>
      <w:outlineLvl w:val="4"/>
    </w:pPr>
    <w:rPr>
      <w:rFonts w:eastAsiaTheme="majorEastAsia" w:cstheme="majorBidi"/>
      <w:color w:val="365F91" w:themeColor="accent1" w:themeShade="BF"/>
      <w:sz w:val="24"/>
      <w:szCs w:val="24"/>
    </w:rPr>
  </w:style>
  <w:style w:type="paragraph" w:styleId="Heading6">
    <w:name w:val="heading 6"/>
    <w:basedOn w:val="Normal"/>
    <w:next w:val="Normal"/>
    <w:link w:val="Heading6Char"/>
    <w:uiPriority w:val="9"/>
    <w:semiHidden/>
    <w:unhideWhenUsed/>
    <w:qFormat/>
    <w:rsid w:val="001E628D"/>
    <w:pPr>
      <w:keepNext/>
      <w:keepLines/>
      <w:widowControl/>
      <w:autoSpaceDE/>
      <w:autoSpaceDN/>
      <w:spacing w:before="40"/>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E628D"/>
    <w:pPr>
      <w:keepNext/>
      <w:keepLines/>
      <w:widowControl/>
      <w:autoSpaceDE/>
      <w:autoSpaceDN/>
      <w:spacing w:before="40"/>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E628D"/>
    <w:pPr>
      <w:keepNext/>
      <w:keepLines/>
      <w:widowControl/>
      <w:autoSpaceDE/>
      <w:autoSpaceDN/>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E628D"/>
    <w:pPr>
      <w:keepNext/>
      <w:keepLines/>
      <w:widowControl/>
      <w:autoSpaceDE/>
      <w:autoSpaceDN/>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link w:val="TitleChar"/>
    <w:uiPriority w:val="10"/>
    <w:qFormat/>
    <w:pPr>
      <w:ind w:left="537" w:right="575"/>
      <w:jc w:val="center"/>
    </w:pPr>
    <w:rPr>
      <w:b/>
      <w:bCs/>
      <w:sz w:val="32"/>
      <w:szCs w:val="32"/>
    </w:rPr>
  </w:style>
  <w:style w:type="paragraph" w:styleId="ListParagraph">
    <w:name w:val="List Paragraph"/>
    <w:basedOn w:val="Normal"/>
    <w:uiPriority w:val="34"/>
    <w:qFormat/>
    <w:pPr>
      <w:ind w:left="460" w:right="134"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216B8"/>
    <w:rPr>
      <w:rFonts w:ascii="Tahoma" w:hAnsi="Tahoma" w:cs="Tahoma"/>
      <w:sz w:val="16"/>
      <w:szCs w:val="16"/>
    </w:rPr>
  </w:style>
  <w:style w:type="character" w:customStyle="1" w:styleId="BalloonTextChar">
    <w:name w:val="Balloon Text Char"/>
    <w:basedOn w:val="DefaultParagraphFont"/>
    <w:link w:val="BalloonText"/>
    <w:uiPriority w:val="99"/>
    <w:semiHidden/>
    <w:rsid w:val="005216B8"/>
    <w:rPr>
      <w:rFonts w:ascii="Tahoma" w:eastAsia="Times New Roman" w:hAnsi="Tahoma" w:cs="Tahoma"/>
      <w:sz w:val="16"/>
      <w:szCs w:val="16"/>
    </w:rPr>
  </w:style>
  <w:style w:type="paragraph" w:styleId="Header">
    <w:name w:val="header"/>
    <w:basedOn w:val="Normal"/>
    <w:link w:val="HeaderChar"/>
    <w:uiPriority w:val="99"/>
    <w:unhideWhenUsed/>
    <w:rsid w:val="003C52CA"/>
    <w:pPr>
      <w:tabs>
        <w:tab w:val="center" w:pos="4513"/>
        <w:tab w:val="right" w:pos="9026"/>
      </w:tabs>
    </w:pPr>
  </w:style>
  <w:style w:type="character" w:customStyle="1" w:styleId="HeaderChar">
    <w:name w:val="Header Char"/>
    <w:basedOn w:val="DefaultParagraphFont"/>
    <w:link w:val="Header"/>
    <w:uiPriority w:val="99"/>
    <w:rsid w:val="003C52CA"/>
    <w:rPr>
      <w:rFonts w:ascii="Times New Roman" w:eastAsia="Times New Roman" w:hAnsi="Times New Roman" w:cs="Times New Roman"/>
    </w:rPr>
  </w:style>
  <w:style w:type="paragraph" w:styleId="Footer">
    <w:name w:val="footer"/>
    <w:basedOn w:val="Normal"/>
    <w:link w:val="FooterChar"/>
    <w:uiPriority w:val="99"/>
    <w:unhideWhenUsed/>
    <w:rsid w:val="003C52CA"/>
    <w:pPr>
      <w:tabs>
        <w:tab w:val="center" w:pos="4513"/>
        <w:tab w:val="right" w:pos="9026"/>
      </w:tabs>
    </w:pPr>
  </w:style>
  <w:style w:type="character" w:customStyle="1" w:styleId="FooterChar">
    <w:name w:val="Footer Char"/>
    <w:basedOn w:val="DefaultParagraphFont"/>
    <w:link w:val="Footer"/>
    <w:uiPriority w:val="99"/>
    <w:rsid w:val="003C52CA"/>
    <w:rPr>
      <w:rFonts w:ascii="Times New Roman" w:eastAsia="Times New Roman" w:hAnsi="Times New Roman" w:cs="Times New Roman"/>
    </w:rPr>
  </w:style>
  <w:style w:type="character" w:styleId="Hyperlink">
    <w:name w:val="Hyperlink"/>
    <w:basedOn w:val="DefaultParagraphFont"/>
    <w:uiPriority w:val="99"/>
    <w:unhideWhenUsed/>
    <w:rsid w:val="00B66F48"/>
    <w:rPr>
      <w:color w:val="0000FF" w:themeColor="hyperlink"/>
      <w:u w:val="single"/>
    </w:rPr>
  </w:style>
  <w:style w:type="paragraph" w:styleId="Bibliography">
    <w:name w:val="Bibliography"/>
    <w:basedOn w:val="Normal"/>
    <w:next w:val="Normal"/>
    <w:uiPriority w:val="37"/>
    <w:unhideWhenUsed/>
    <w:rsid w:val="00D379C1"/>
  </w:style>
  <w:style w:type="table" w:styleId="TableGrid">
    <w:name w:val="Table Grid"/>
    <w:basedOn w:val="TableNormal"/>
    <w:uiPriority w:val="39"/>
    <w:rsid w:val="00A87F2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201C"/>
    <w:pPr>
      <w:widowControl/>
      <w:adjustRightInd w:val="0"/>
    </w:pPr>
    <w:rPr>
      <w:rFonts w:ascii="Times New Roman" w:eastAsia="MS Mincho" w:hAnsi="Times New Roman" w:cs="Times New Roman"/>
      <w:color w:val="000000"/>
      <w:sz w:val="24"/>
      <w:szCs w:val="24"/>
    </w:rPr>
  </w:style>
  <w:style w:type="character" w:customStyle="1" w:styleId="Heading2Char">
    <w:name w:val="Heading 2 Char"/>
    <w:basedOn w:val="DefaultParagraphFont"/>
    <w:link w:val="Heading2"/>
    <w:uiPriority w:val="9"/>
    <w:rsid w:val="00F973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66EA2"/>
    <w:rPr>
      <w:rFonts w:asciiTheme="majorHAnsi" w:eastAsiaTheme="majorEastAsia" w:hAnsiTheme="majorHAnsi" w:cstheme="majorBidi"/>
      <w:b/>
      <w:bCs/>
      <w:color w:val="4F81BD" w:themeColor="accent1"/>
    </w:rPr>
  </w:style>
  <w:style w:type="paragraph" w:styleId="NormalWeb">
    <w:name w:val="Normal (Web)"/>
    <w:basedOn w:val="Normal"/>
    <w:uiPriority w:val="99"/>
    <w:qFormat/>
    <w:rsid w:val="0037652E"/>
    <w:pPr>
      <w:widowControl/>
      <w:autoSpaceDE/>
      <w:autoSpaceDN/>
      <w:spacing w:line="480" w:lineRule="auto"/>
    </w:pPr>
    <w:rPr>
      <w:rFonts w:ascii="MS PGothic" w:eastAsiaTheme="minorEastAsia" w:hAnsi="MS PGothic"/>
      <w:sz w:val="24"/>
      <w:szCs w:val="20"/>
    </w:rPr>
  </w:style>
  <w:style w:type="character" w:customStyle="1" w:styleId="authors-list-item">
    <w:name w:val="authors-list-item"/>
    <w:basedOn w:val="DefaultParagraphFont"/>
    <w:rsid w:val="00044E00"/>
  </w:style>
  <w:style w:type="character" w:customStyle="1" w:styleId="author-sup-separator">
    <w:name w:val="author-sup-separator"/>
    <w:basedOn w:val="DefaultParagraphFont"/>
    <w:rsid w:val="00044E00"/>
  </w:style>
  <w:style w:type="character" w:customStyle="1" w:styleId="comma">
    <w:name w:val="comma"/>
    <w:basedOn w:val="DefaultParagraphFont"/>
    <w:rsid w:val="00044E00"/>
  </w:style>
  <w:style w:type="character" w:customStyle="1" w:styleId="period">
    <w:name w:val="period"/>
    <w:basedOn w:val="DefaultParagraphFont"/>
    <w:rsid w:val="00044E00"/>
  </w:style>
  <w:style w:type="character" w:customStyle="1" w:styleId="cit">
    <w:name w:val="cit"/>
    <w:basedOn w:val="DefaultParagraphFont"/>
    <w:rsid w:val="00044E00"/>
  </w:style>
  <w:style w:type="character" w:customStyle="1" w:styleId="Heading4Char">
    <w:name w:val="Heading 4 Char"/>
    <w:basedOn w:val="DefaultParagraphFont"/>
    <w:link w:val="Heading4"/>
    <w:uiPriority w:val="9"/>
    <w:semiHidden/>
    <w:rsid w:val="001E628D"/>
    <w:rPr>
      <w:rFonts w:ascii="Times New Roman" w:eastAsiaTheme="majorEastAsia" w:hAnsi="Times New Roman"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1E628D"/>
    <w:rPr>
      <w:rFonts w:ascii="Times New Roman" w:eastAsiaTheme="majorEastAsia" w:hAnsi="Times New Roman"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1E628D"/>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1E628D"/>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1E628D"/>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1E628D"/>
    <w:rPr>
      <w:rFonts w:ascii="Times New Roman" w:eastAsiaTheme="majorEastAsia" w:hAnsi="Times New Roman" w:cstheme="majorBidi"/>
      <w:color w:val="272727" w:themeColor="text1" w:themeTint="D8"/>
      <w:sz w:val="24"/>
      <w:szCs w:val="24"/>
    </w:rPr>
  </w:style>
  <w:style w:type="character" w:customStyle="1" w:styleId="Heading1Char">
    <w:name w:val="Heading 1 Char"/>
    <w:basedOn w:val="DefaultParagraphFont"/>
    <w:link w:val="Heading1"/>
    <w:uiPriority w:val="9"/>
    <w:rsid w:val="001E628D"/>
    <w:rPr>
      <w:rFonts w:ascii="Times New Roman" w:eastAsia="Times New Roman" w:hAnsi="Times New Roman" w:cs="Times New Roman"/>
      <w:b/>
      <w:bCs/>
    </w:rPr>
  </w:style>
  <w:style w:type="character" w:customStyle="1" w:styleId="TitleChar">
    <w:name w:val="Title Char"/>
    <w:basedOn w:val="DefaultParagraphFont"/>
    <w:link w:val="Title"/>
    <w:uiPriority w:val="10"/>
    <w:rsid w:val="001E628D"/>
    <w:rPr>
      <w:rFonts w:ascii="Times New Roman" w:eastAsia="Times New Roman" w:hAnsi="Times New Roman" w:cs="Times New Roman"/>
      <w:b/>
      <w:bCs/>
      <w:sz w:val="32"/>
      <w:szCs w:val="32"/>
    </w:rPr>
  </w:style>
  <w:style w:type="paragraph" w:styleId="Subtitle">
    <w:name w:val="Subtitle"/>
    <w:basedOn w:val="Normal"/>
    <w:next w:val="Normal"/>
    <w:link w:val="SubtitleChar"/>
    <w:uiPriority w:val="11"/>
    <w:qFormat/>
    <w:rsid w:val="001E628D"/>
    <w:pPr>
      <w:widowControl/>
      <w:numPr>
        <w:ilvl w:val="1"/>
      </w:numPr>
      <w:autoSpaceDE/>
      <w:autoSpaceDN/>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28D"/>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1E628D"/>
    <w:pPr>
      <w:widowControl/>
      <w:autoSpaceDE/>
      <w:autoSpaceDN/>
      <w:spacing w:before="160" w:after="160"/>
      <w:jc w:val="center"/>
    </w:pPr>
    <w:rPr>
      <w:i/>
      <w:iCs/>
      <w:color w:val="404040" w:themeColor="text1" w:themeTint="BF"/>
      <w:sz w:val="24"/>
      <w:szCs w:val="24"/>
    </w:rPr>
  </w:style>
  <w:style w:type="character" w:customStyle="1" w:styleId="QuoteChar">
    <w:name w:val="Quote Char"/>
    <w:basedOn w:val="DefaultParagraphFont"/>
    <w:link w:val="Quote"/>
    <w:uiPriority w:val="29"/>
    <w:rsid w:val="001E628D"/>
    <w:rPr>
      <w:rFonts w:ascii="Times New Roman" w:eastAsia="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sid w:val="001E628D"/>
    <w:rPr>
      <w:i/>
      <w:iCs/>
      <w:color w:val="365F91" w:themeColor="accent1" w:themeShade="BF"/>
    </w:rPr>
  </w:style>
  <w:style w:type="paragraph" w:styleId="IntenseQuote">
    <w:name w:val="Intense Quote"/>
    <w:basedOn w:val="Normal"/>
    <w:next w:val="Normal"/>
    <w:link w:val="IntenseQuoteChar"/>
    <w:uiPriority w:val="30"/>
    <w:qFormat/>
    <w:rsid w:val="001E628D"/>
    <w:pPr>
      <w:widowControl/>
      <w:pBdr>
        <w:top w:val="single" w:sz="4" w:space="10" w:color="365F91" w:themeColor="accent1" w:themeShade="BF"/>
        <w:bottom w:val="single" w:sz="4" w:space="10" w:color="365F91" w:themeColor="accent1" w:themeShade="BF"/>
      </w:pBdr>
      <w:autoSpaceDE/>
      <w:autoSpaceDN/>
      <w:spacing w:before="360" w:after="360"/>
      <w:ind w:left="864" w:right="864"/>
      <w:jc w:val="center"/>
    </w:pPr>
    <w:rPr>
      <w:i/>
      <w:iCs/>
      <w:color w:val="365F91" w:themeColor="accent1" w:themeShade="BF"/>
      <w:sz w:val="24"/>
      <w:szCs w:val="24"/>
    </w:rPr>
  </w:style>
  <w:style w:type="character" w:customStyle="1" w:styleId="IntenseQuoteChar">
    <w:name w:val="Intense Quote Char"/>
    <w:basedOn w:val="DefaultParagraphFont"/>
    <w:link w:val="IntenseQuote"/>
    <w:uiPriority w:val="30"/>
    <w:rsid w:val="001E628D"/>
    <w:rPr>
      <w:rFonts w:ascii="Times New Roman" w:eastAsia="Times New Roman" w:hAnsi="Times New Roman" w:cs="Times New Roman"/>
      <w:i/>
      <w:iCs/>
      <w:color w:val="365F91" w:themeColor="accent1" w:themeShade="BF"/>
      <w:sz w:val="24"/>
      <w:szCs w:val="24"/>
    </w:rPr>
  </w:style>
  <w:style w:type="character" w:styleId="IntenseReference">
    <w:name w:val="Intense Reference"/>
    <w:basedOn w:val="DefaultParagraphFont"/>
    <w:uiPriority w:val="32"/>
    <w:qFormat/>
    <w:rsid w:val="001E628D"/>
    <w:rPr>
      <w:b/>
      <w:bCs/>
      <w:smallCaps/>
      <w:color w:val="365F91" w:themeColor="accent1" w:themeShade="BF"/>
      <w:spacing w:val="5"/>
    </w:rPr>
  </w:style>
  <w:style w:type="character" w:styleId="FollowedHyperlink">
    <w:name w:val="FollowedHyperlink"/>
    <w:basedOn w:val="DefaultParagraphFont"/>
    <w:uiPriority w:val="99"/>
    <w:semiHidden/>
    <w:unhideWhenUsed/>
    <w:rsid w:val="001E628D"/>
    <w:rPr>
      <w:color w:val="800080" w:themeColor="followedHyperlink"/>
      <w:u w:val="single"/>
    </w:rPr>
  </w:style>
  <w:style w:type="character" w:styleId="Strong">
    <w:name w:val="Strong"/>
    <w:basedOn w:val="DefaultParagraphFont"/>
    <w:uiPriority w:val="22"/>
    <w:qFormat/>
    <w:rsid w:val="001E628D"/>
    <w:rPr>
      <w:b/>
      <w:bCs/>
    </w:rPr>
  </w:style>
  <w:style w:type="character" w:styleId="PageNumber">
    <w:name w:val="page number"/>
    <w:basedOn w:val="DefaultParagraphFont"/>
    <w:uiPriority w:val="99"/>
    <w:semiHidden/>
    <w:unhideWhenUsed/>
    <w:rsid w:val="001E628D"/>
  </w:style>
  <w:style w:type="paragraph" w:styleId="Caption">
    <w:name w:val="caption"/>
    <w:basedOn w:val="Normal"/>
    <w:next w:val="Normal"/>
    <w:uiPriority w:val="35"/>
    <w:unhideWhenUsed/>
    <w:qFormat/>
    <w:rsid w:val="001B3213"/>
    <w:pPr>
      <w:widowControl/>
      <w:autoSpaceDE/>
      <w:autoSpaceDN/>
      <w:spacing w:after="200"/>
    </w:pPr>
    <w:rPr>
      <w:i/>
      <w:iCs/>
      <w:color w:val="1F497D" w:themeColor="text2"/>
      <w:sz w:val="18"/>
      <w:szCs w:val="18"/>
    </w:rPr>
  </w:style>
  <w:style w:type="character" w:styleId="PlaceholderText">
    <w:name w:val="Placeholder Text"/>
    <w:basedOn w:val="DefaultParagraphFont"/>
    <w:uiPriority w:val="99"/>
    <w:semiHidden/>
    <w:rsid w:val="00201623"/>
    <w:rPr>
      <w:color w:val="808080"/>
    </w:rPr>
  </w:style>
  <w:style w:type="paragraph" w:customStyle="1" w:styleId="msonormal0">
    <w:name w:val="msonormal"/>
    <w:basedOn w:val="Normal"/>
    <w:rsid w:val="00451620"/>
    <w:pPr>
      <w:widowControl/>
      <w:autoSpaceDE/>
      <w:autoSpaceDN/>
      <w:spacing w:before="100" w:beforeAutospacing="1" w:after="100" w:afterAutospacing="1"/>
    </w:pPr>
    <w:rPr>
      <w:sz w:val="24"/>
      <w:szCs w:val="24"/>
    </w:rPr>
  </w:style>
  <w:style w:type="paragraph" w:customStyle="1" w:styleId="paragraph">
    <w:name w:val="paragraph"/>
    <w:basedOn w:val="Normal"/>
    <w:rsid w:val="00451620"/>
    <w:pPr>
      <w:widowControl/>
      <w:autoSpaceDE/>
      <w:autoSpaceDN/>
      <w:spacing w:before="100" w:beforeAutospacing="1" w:after="100" w:afterAutospacing="1"/>
    </w:pPr>
    <w:rPr>
      <w:sz w:val="24"/>
      <w:szCs w:val="24"/>
    </w:rPr>
  </w:style>
  <w:style w:type="character" w:customStyle="1" w:styleId="textrun">
    <w:name w:val="textrun"/>
    <w:basedOn w:val="DefaultParagraphFont"/>
    <w:rsid w:val="00451620"/>
  </w:style>
  <w:style w:type="character" w:customStyle="1" w:styleId="normaltextrun">
    <w:name w:val="normaltextrun"/>
    <w:basedOn w:val="DefaultParagraphFont"/>
    <w:rsid w:val="00451620"/>
  </w:style>
  <w:style w:type="character" w:customStyle="1" w:styleId="eop">
    <w:name w:val="eop"/>
    <w:basedOn w:val="DefaultParagraphFont"/>
    <w:rsid w:val="00451620"/>
  </w:style>
  <w:style w:type="character" w:customStyle="1" w:styleId="pagebreakblob">
    <w:name w:val="pagebreakblob"/>
    <w:basedOn w:val="DefaultParagraphFont"/>
    <w:rsid w:val="00451620"/>
  </w:style>
  <w:style w:type="character" w:customStyle="1" w:styleId="pagebreakborderspan">
    <w:name w:val="pagebreakborderspan"/>
    <w:basedOn w:val="DefaultParagraphFont"/>
    <w:rsid w:val="00451620"/>
  </w:style>
  <w:style w:type="character" w:customStyle="1" w:styleId="pagebreaktextspan">
    <w:name w:val="pagebreaktextspan"/>
    <w:basedOn w:val="DefaultParagraphFont"/>
    <w:rsid w:val="00451620"/>
  </w:style>
  <w:style w:type="paragraph" w:customStyle="1" w:styleId="outlineelement">
    <w:name w:val="outlineelement"/>
    <w:basedOn w:val="Normal"/>
    <w:rsid w:val="00451620"/>
    <w:pPr>
      <w:widowControl/>
      <w:autoSpaceDE/>
      <w:autoSpaceDN/>
      <w:spacing w:before="100" w:beforeAutospacing="1" w:after="100" w:afterAutospacing="1"/>
    </w:pPr>
    <w:rPr>
      <w:sz w:val="24"/>
      <w:szCs w:val="24"/>
    </w:rPr>
  </w:style>
  <w:style w:type="character" w:customStyle="1" w:styleId="fieldrange">
    <w:name w:val="fieldrange"/>
    <w:basedOn w:val="DefaultParagraphFont"/>
    <w:rsid w:val="00451620"/>
  </w:style>
  <w:style w:type="character" w:customStyle="1" w:styleId="wacimagecontainer">
    <w:name w:val="wacimagecontainer"/>
    <w:basedOn w:val="DefaultParagraphFont"/>
    <w:rsid w:val="00451620"/>
  </w:style>
  <w:style w:type="character" w:customStyle="1" w:styleId="wacimageborder">
    <w:name w:val="wacimageborder"/>
    <w:basedOn w:val="DefaultParagraphFont"/>
    <w:rsid w:val="00451620"/>
  </w:style>
  <w:style w:type="character" w:styleId="UnresolvedMention">
    <w:name w:val="Unresolved Mention"/>
    <w:basedOn w:val="DefaultParagraphFont"/>
    <w:uiPriority w:val="99"/>
    <w:semiHidden/>
    <w:unhideWhenUsed/>
    <w:rsid w:val="00451620"/>
    <w:rPr>
      <w:color w:val="605E5C"/>
      <w:shd w:val="clear" w:color="auto" w:fill="E1DFDD"/>
    </w:rPr>
  </w:style>
  <w:style w:type="paragraph" w:styleId="Revision">
    <w:name w:val="Revision"/>
    <w:hidden/>
    <w:uiPriority w:val="99"/>
    <w:semiHidden/>
    <w:rsid w:val="00451620"/>
    <w:pPr>
      <w:widowControl/>
      <w:autoSpaceDE/>
      <w:autoSpaceDN/>
    </w:pPr>
  </w:style>
  <w:style w:type="paragraph" w:styleId="BodyText2">
    <w:name w:val="Body Text 2"/>
    <w:basedOn w:val="Normal"/>
    <w:link w:val="BodyText2Char"/>
    <w:rsid w:val="00451620"/>
    <w:pPr>
      <w:widowControl/>
      <w:autoSpaceDE/>
      <w:autoSpaceDN/>
      <w:jc w:val="both"/>
    </w:pPr>
    <w:rPr>
      <w:rFonts w:ascii="Arial" w:hAnsi="Arial"/>
      <w:sz w:val="24"/>
      <w:szCs w:val="20"/>
    </w:rPr>
  </w:style>
  <w:style w:type="character" w:customStyle="1" w:styleId="BodyText2Char">
    <w:name w:val="Body Text 2 Char"/>
    <w:basedOn w:val="DefaultParagraphFont"/>
    <w:link w:val="BodyText2"/>
    <w:rsid w:val="00451620"/>
    <w:rPr>
      <w:rFonts w:ascii="Arial" w:eastAsia="Times New Roman" w:hAnsi="Arial" w:cs="Times New Roman"/>
      <w:sz w:val="24"/>
      <w:szCs w:val="20"/>
    </w:rPr>
  </w:style>
  <w:style w:type="paragraph" w:styleId="BodyText3">
    <w:name w:val="Body Text 3"/>
    <w:basedOn w:val="Normal"/>
    <w:link w:val="BodyText3Char"/>
    <w:rsid w:val="00451620"/>
    <w:pPr>
      <w:widowControl/>
      <w:autoSpaceDE/>
      <w:autoSpaceDN/>
      <w:spacing w:after="120"/>
    </w:pPr>
    <w:rPr>
      <w:sz w:val="16"/>
      <w:szCs w:val="16"/>
    </w:rPr>
  </w:style>
  <w:style w:type="character" w:customStyle="1" w:styleId="BodyText3Char">
    <w:name w:val="Body Text 3 Char"/>
    <w:basedOn w:val="DefaultParagraphFont"/>
    <w:link w:val="BodyText3"/>
    <w:rsid w:val="00451620"/>
    <w:rPr>
      <w:rFonts w:ascii="Times New Roman" w:eastAsia="Times New Roman" w:hAnsi="Times New Roman" w:cs="Times New Roman"/>
      <w:sz w:val="16"/>
      <w:szCs w:val="16"/>
    </w:rPr>
  </w:style>
  <w:style w:type="character" w:styleId="CommentReference">
    <w:name w:val="annotation reference"/>
    <w:basedOn w:val="DefaultParagraphFont"/>
    <w:uiPriority w:val="99"/>
    <w:semiHidden/>
    <w:unhideWhenUsed/>
    <w:rsid w:val="00451620"/>
    <w:rPr>
      <w:sz w:val="16"/>
      <w:szCs w:val="16"/>
    </w:rPr>
  </w:style>
  <w:style w:type="paragraph" w:styleId="CommentText">
    <w:name w:val="annotation text"/>
    <w:basedOn w:val="Normal"/>
    <w:link w:val="CommentTextChar"/>
    <w:uiPriority w:val="99"/>
    <w:unhideWhenUsed/>
    <w:rsid w:val="00451620"/>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51620"/>
    <w:rPr>
      <w:sz w:val="20"/>
      <w:szCs w:val="20"/>
    </w:rPr>
  </w:style>
  <w:style w:type="paragraph" w:styleId="CommentSubject">
    <w:name w:val="annotation subject"/>
    <w:basedOn w:val="CommentText"/>
    <w:next w:val="CommentText"/>
    <w:link w:val="CommentSubjectChar"/>
    <w:uiPriority w:val="99"/>
    <w:semiHidden/>
    <w:unhideWhenUsed/>
    <w:rsid w:val="00451620"/>
    <w:rPr>
      <w:b/>
      <w:bCs/>
    </w:rPr>
  </w:style>
  <w:style w:type="character" w:customStyle="1" w:styleId="CommentSubjectChar">
    <w:name w:val="Comment Subject Char"/>
    <w:basedOn w:val="CommentTextChar"/>
    <w:link w:val="CommentSubject"/>
    <w:uiPriority w:val="99"/>
    <w:semiHidden/>
    <w:rsid w:val="00451620"/>
    <w:rPr>
      <w:b/>
      <w:bCs/>
      <w:sz w:val="20"/>
      <w:szCs w:val="20"/>
    </w:rPr>
  </w:style>
  <w:style w:type="character" w:styleId="Emphasis">
    <w:name w:val="Emphasis"/>
    <w:aliases w:val="Imagenes"/>
    <w:basedOn w:val="DefaultParagraphFont"/>
    <w:uiPriority w:val="20"/>
    <w:qFormat/>
    <w:rsid w:val="00451620"/>
    <w:rPr>
      <w:i/>
      <w:iCs/>
    </w:rPr>
  </w:style>
  <w:style w:type="paragraph" w:styleId="NoSpacing">
    <w:name w:val="No Spacing"/>
    <w:uiPriority w:val="1"/>
    <w:qFormat/>
    <w:rsid w:val="00DC1872"/>
    <w:pPr>
      <w:widowControl/>
      <w:autoSpaceDE/>
      <w:autoSpaceDN/>
    </w:pPr>
    <w:rPr>
      <w:kern w:val="2"/>
      <w:sz w:val="24"/>
      <w:szCs w:val="24"/>
      <w:lang w:val="en-AU"/>
      <w14:ligatures w14:val="standardContextual"/>
    </w:rPr>
  </w:style>
  <w:style w:type="paragraph" w:customStyle="1" w:styleId="MDPI71References">
    <w:name w:val="MDPI_7.1_References"/>
    <w:qFormat/>
    <w:rsid w:val="000A7303"/>
    <w:pPr>
      <w:widowControl/>
      <w:numPr>
        <w:numId w:val="1"/>
      </w:numPr>
      <w:autoSpaceDE/>
      <w:autoSpaceDN/>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 w:type="paragraph" w:customStyle="1" w:styleId="MDPI41tablecaption">
    <w:name w:val="MDPI_4.1_table_caption"/>
    <w:qFormat/>
    <w:rsid w:val="00C646DB"/>
    <w:pPr>
      <w:widowControl/>
      <w:autoSpaceDE/>
      <w:autoSpaceDN/>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3tablefooter">
    <w:name w:val="MDPI_4.3_table_footer"/>
    <w:next w:val="Normal"/>
    <w:qFormat/>
    <w:rsid w:val="007057B5"/>
    <w:pPr>
      <w:widowControl/>
      <w:autoSpaceDE/>
      <w:autoSpaceDN/>
      <w:adjustRightInd w:val="0"/>
      <w:snapToGrid w:val="0"/>
      <w:spacing w:line="228" w:lineRule="auto"/>
      <w:ind w:left="2608"/>
      <w:jc w:val="both"/>
    </w:pPr>
    <w:rPr>
      <w:rFonts w:ascii="Palatino Linotype" w:eastAsia="Times New Roman" w:hAnsi="Palatino Linotype" w:cs="Cordia New"/>
      <w:color w:val="000000"/>
      <w:sz w:val="18"/>
      <w:lang w:eastAsia="de-DE" w:bidi="en-US"/>
    </w:rPr>
  </w:style>
  <w:style w:type="paragraph" w:customStyle="1" w:styleId="MDPI51figurecaption">
    <w:name w:val="MDPI_5.1_figure_caption"/>
    <w:qFormat/>
    <w:rsid w:val="00BD29DC"/>
    <w:pPr>
      <w:widowControl/>
      <w:autoSpaceDE/>
      <w:autoSpaceDN/>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character" w:customStyle="1" w:styleId="selectable">
    <w:name w:val="selectable"/>
    <w:basedOn w:val="DefaultParagraphFont"/>
    <w:rsid w:val="00EE3281"/>
  </w:style>
  <w:style w:type="paragraph" w:customStyle="1" w:styleId="EndNoteBibliographyTitle">
    <w:name w:val="EndNote Bibliography Title"/>
    <w:basedOn w:val="Normal"/>
    <w:link w:val="EndNoteBibliographyTitleChar"/>
    <w:rsid w:val="009E3039"/>
    <w:pPr>
      <w:widowControl/>
      <w:autoSpaceDE/>
      <w:autoSpaceDN/>
      <w:spacing w:line="278" w:lineRule="auto"/>
      <w:jc w:val="center"/>
    </w:pPr>
    <w:rPr>
      <w:rFonts w:ascii="Aptos" w:eastAsiaTheme="minorHAnsi" w:hAnsi="Aptos" w:cstheme="minorBidi"/>
      <w:noProof/>
      <w:kern w:val="2"/>
      <w:sz w:val="24"/>
      <w:szCs w:val="24"/>
      <w14:ligatures w14:val="standardContextual"/>
    </w:rPr>
  </w:style>
  <w:style w:type="character" w:customStyle="1" w:styleId="EndNoteBibliographyTitleChar">
    <w:name w:val="EndNote Bibliography Title Char"/>
    <w:basedOn w:val="DefaultParagraphFont"/>
    <w:link w:val="EndNoteBibliographyTitle"/>
    <w:rsid w:val="009E3039"/>
    <w:rPr>
      <w:rFonts w:ascii="Aptos" w:hAnsi="Aptos"/>
      <w:noProof/>
      <w:kern w:val="2"/>
      <w:sz w:val="24"/>
      <w:szCs w:val="24"/>
      <w14:ligatures w14:val="standardContextual"/>
    </w:rPr>
  </w:style>
  <w:style w:type="paragraph" w:customStyle="1" w:styleId="EndNoteBibliography">
    <w:name w:val="EndNote Bibliography"/>
    <w:basedOn w:val="Normal"/>
    <w:link w:val="EndNoteBibliographyChar"/>
    <w:rsid w:val="009E3039"/>
    <w:pPr>
      <w:widowControl/>
      <w:autoSpaceDE/>
      <w:autoSpaceDN/>
      <w:spacing w:after="160"/>
    </w:pPr>
    <w:rPr>
      <w:rFonts w:ascii="Aptos" w:eastAsiaTheme="minorHAnsi" w:hAnsi="Aptos" w:cstheme="minorBidi"/>
      <w:noProof/>
      <w:kern w:val="2"/>
      <w:sz w:val="24"/>
      <w:szCs w:val="24"/>
      <w14:ligatures w14:val="standardContextual"/>
    </w:rPr>
  </w:style>
  <w:style w:type="character" w:customStyle="1" w:styleId="EndNoteBibliographyChar">
    <w:name w:val="EndNote Bibliography Char"/>
    <w:basedOn w:val="DefaultParagraphFont"/>
    <w:link w:val="EndNoteBibliography"/>
    <w:rsid w:val="009E3039"/>
    <w:rPr>
      <w:rFonts w:ascii="Aptos" w:hAnsi="Aptos"/>
      <w:noProof/>
      <w:kern w:val="2"/>
      <w:sz w:val="24"/>
      <w:szCs w:val="24"/>
      <w14:ligatures w14:val="standardContextual"/>
    </w:rPr>
  </w:style>
  <w:style w:type="character" w:customStyle="1" w:styleId="apple-converted-space">
    <w:name w:val="apple-converted-space"/>
    <w:basedOn w:val="DefaultParagraphFont"/>
    <w:rsid w:val="004269B9"/>
  </w:style>
  <w:style w:type="character" w:customStyle="1" w:styleId="relative">
    <w:name w:val="relative"/>
    <w:basedOn w:val="DefaultParagraphFont"/>
    <w:rsid w:val="004269B9"/>
  </w:style>
  <w:style w:type="character" w:customStyle="1" w:styleId="name">
    <w:name w:val="name"/>
    <w:basedOn w:val="DefaultParagraphFont"/>
    <w:rsid w:val="004269B9"/>
  </w:style>
  <w:style w:type="paragraph" w:customStyle="1" w:styleId="p1">
    <w:name w:val="p1"/>
    <w:basedOn w:val="Normal"/>
    <w:rsid w:val="00B6454A"/>
    <w:pPr>
      <w:widowControl/>
      <w:autoSpaceDE/>
      <w:autoSpaceDN/>
    </w:pPr>
    <w:rPr>
      <w:color w:val="000000"/>
      <w:sz w:val="18"/>
      <w:szCs w:val="18"/>
    </w:rPr>
  </w:style>
  <w:style w:type="character" w:customStyle="1" w:styleId="s1">
    <w:name w:val="s1"/>
    <w:basedOn w:val="DefaultParagraphFont"/>
    <w:rsid w:val="00B6454A"/>
    <w:rPr>
      <w:rFonts w:ascii="Times New Roman" w:hAnsi="Times New Roman" w:cs="Times New Roman" w:hint="default"/>
      <w:sz w:val="12"/>
      <w:szCs w:val="12"/>
    </w:rPr>
  </w:style>
  <w:style w:type="character" w:customStyle="1" w:styleId="s2">
    <w:name w:val="s2"/>
    <w:basedOn w:val="DefaultParagraphFont"/>
    <w:rsid w:val="00B6454A"/>
    <w:rPr>
      <w:rFonts w:ascii="Times New Roman" w:hAnsi="Times New Roman" w:cs="Times New Roman" w:hint="default"/>
      <w:sz w:val="15"/>
      <w:szCs w:val="15"/>
    </w:rPr>
  </w:style>
  <w:style w:type="paragraph" w:customStyle="1" w:styleId="MDPI17abstract">
    <w:name w:val="MDPI_1.7_abstract"/>
    <w:next w:val="Normal"/>
    <w:qFormat/>
    <w:rsid w:val="0072248E"/>
    <w:pPr>
      <w:widowControl/>
      <w:autoSpaceDE/>
      <w:autoSpaceDN/>
      <w:adjustRightInd w:val="0"/>
      <w:snapToGrid w:val="0"/>
      <w:spacing w:before="240" w:after="120" w:line="280" w:lineRule="atLeast"/>
      <w:ind w:left="2608"/>
      <w:jc w:val="both"/>
    </w:pPr>
    <w:rPr>
      <w:rFonts w:ascii="Palatino Linotype" w:eastAsia="Times New Roman" w:hAnsi="Palatino Linotype" w:cs="Times New Roman"/>
      <w:color w:val="000000"/>
      <w:sz w:val="20"/>
      <w:lang w:eastAsia="de-DE" w:bidi="en-US"/>
      <w14:ligatures w14:val="standardContextual"/>
    </w:rPr>
  </w:style>
  <w:style w:type="paragraph" w:customStyle="1" w:styleId="MDPI18keywords">
    <w:name w:val="MDPI_1.8_keywords"/>
    <w:next w:val="Normal"/>
    <w:qFormat/>
    <w:rsid w:val="0072248E"/>
    <w:pPr>
      <w:widowControl/>
      <w:autoSpaceDE/>
      <w:autoSpaceDN/>
      <w:adjustRightInd w:val="0"/>
      <w:snapToGrid w:val="0"/>
      <w:spacing w:before="240" w:line="280" w:lineRule="atLeast"/>
      <w:ind w:left="2608"/>
      <w:jc w:val="both"/>
    </w:pPr>
    <w:rPr>
      <w:rFonts w:ascii="Palatino Linotype" w:eastAsia="Times New Roman" w:hAnsi="Palatino Linotype" w:cs="Times New Roman"/>
      <w:snapToGrid w:val="0"/>
      <w:color w:val="000000"/>
      <w:sz w:val="20"/>
      <w:lang w:eastAsia="de-DE" w:bidi="en-US"/>
    </w:rPr>
  </w:style>
  <w:style w:type="paragraph" w:customStyle="1" w:styleId="MDPI19line">
    <w:name w:val="MDPI_1.9_line"/>
    <w:qFormat/>
    <w:rsid w:val="0072248E"/>
    <w:pPr>
      <w:widowControl/>
      <w:pBdr>
        <w:bottom w:val="single" w:sz="4" w:space="1" w:color="auto"/>
      </w:pBdr>
      <w:autoSpaceDE/>
      <w:autoSpaceDN/>
      <w:adjustRightInd w:val="0"/>
      <w:snapToGrid w:val="0"/>
      <w:spacing w:after="480" w:line="280" w:lineRule="atLeast"/>
      <w:ind w:left="2608"/>
      <w:jc w:val="both"/>
    </w:pPr>
    <w:rPr>
      <w:rFonts w:ascii="Palatino Linotype" w:eastAsia="Times New Roman" w:hAnsi="Palatino Linotype" w:cs="Cordia New"/>
      <w:color w:val="000000"/>
      <w:sz w:val="20"/>
      <w:szCs w:val="24"/>
      <w:lang w:eastAsia="de-DE" w:bidi="en-US"/>
      <w14:ligatures w14:val="standardContextual"/>
    </w:rPr>
  </w:style>
  <w:style w:type="paragraph" w:customStyle="1" w:styleId="MDPI31text">
    <w:name w:val="MDPI_3.1_text"/>
    <w:qFormat/>
    <w:rsid w:val="0072248E"/>
    <w:pPr>
      <w:widowControl/>
      <w:autoSpaceDE/>
      <w:autoSpaceDN/>
      <w:adjustRightInd w:val="0"/>
      <w:snapToGrid w:val="0"/>
      <w:spacing w:line="280" w:lineRule="atLeast"/>
      <w:ind w:left="2608" w:firstLine="425"/>
      <w:jc w:val="both"/>
    </w:pPr>
    <w:rPr>
      <w:rFonts w:ascii="Palatino Linotype" w:eastAsia="Times New Roman" w:hAnsi="Palatino Linotype" w:cs="Times New Roman"/>
      <w:snapToGrid w:val="0"/>
      <w:color w:val="000000"/>
      <w:sz w:val="20"/>
      <w:lang w:eastAsia="de-DE" w:bidi="en-US"/>
      <w14:ligatures w14:val="standardContextual"/>
    </w:rPr>
  </w:style>
  <w:style w:type="paragraph" w:customStyle="1" w:styleId="MDPI52figure">
    <w:name w:val="MDPI_5.2_figure"/>
    <w:qFormat/>
    <w:rsid w:val="0072248E"/>
    <w:pPr>
      <w:widowControl/>
      <w:autoSpaceDE/>
      <w:autoSpaceDN/>
      <w:adjustRightInd w:val="0"/>
      <w:snapToGrid w:val="0"/>
      <w:spacing w:before="240" w:after="120"/>
      <w:jc w:val="center"/>
    </w:pPr>
    <w:rPr>
      <w:rFonts w:ascii="Palatino Linotype" w:eastAsia="Times New Roman" w:hAnsi="Palatino Linotype" w:cs="Times New Roman"/>
      <w:snapToGrid w:val="0"/>
      <w:color w:val="000000"/>
      <w:sz w:val="20"/>
      <w:szCs w:val="20"/>
      <w:lang w:eastAsia="de-DE" w:bidi="en-US"/>
      <w14:ligatures w14:val="standardContextual"/>
    </w:rPr>
  </w:style>
  <w:style w:type="paragraph" w:customStyle="1" w:styleId="MDPI21heading1">
    <w:name w:val="MDPI_2.1_heading1"/>
    <w:qFormat/>
    <w:rsid w:val="0072248E"/>
    <w:pPr>
      <w:widowControl/>
      <w:autoSpaceDE/>
      <w:autoSpaceDN/>
      <w:adjustRightInd w:val="0"/>
      <w:snapToGrid w:val="0"/>
      <w:spacing w:before="240" w:after="60" w:line="280" w:lineRule="atLeast"/>
      <w:ind w:left="2608"/>
      <w:outlineLvl w:val="0"/>
    </w:pPr>
    <w:rPr>
      <w:rFonts w:ascii="Palatino Linotype" w:eastAsia="Times New Roman" w:hAnsi="Palatino Linotype" w:cs="Times New Roman"/>
      <w:b/>
      <w:snapToGrid w:val="0"/>
      <w:color w:val="000000"/>
      <w:sz w:val="24"/>
      <w:lang w:eastAsia="de-DE" w:bidi="en-US"/>
      <w14:ligatures w14:val="standardContextual"/>
    </w:rPr>
  </w:style>
  <w:style w:type="paragraph" w:customStyle="1" w:styleId="MDPI22heading2">
    <w:name w:val="MDPI_2.2_heading2"/>
    <w:qFormat/>
    <w:rsid w:val="0072248E"/>
    <w:pPr>
      <w:widowControl/>
      <w:autoSpaceDE/>
      <w:autoSpaceDN/>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sz w:val="20"/>
      <w:lang w:eastAsia="de-DE" w:bidi="en-US"/>
      <w14:ligatures w14:val="standardContextual"/>
    </w:rPr>
  </w:style>
  <w:style w:type="paragraph" w:customStyle="1" w:styleId="MDPI62backmatter">
    <w:name w:val="MDPI_6.2_back_matter"/>
    <w:qFormat/>
    <w:rsid w:val="0072248E"/>
    <w:pPr>
      <w:widowControl/>
      <w:autoSpaceDE/>
      <w:autoSpaceDN/>
      <w:adjustRightInd w:val="0"/>
      <w:snapToGrid w:val="0"/>
      <w:spacing w:after="120" w:line="280" w:lineRule="atLeast"/>
      <w:ind w:left="2608"/>
      <w:jc w:val="both"/>
    </w:pPr>
    <w:rPr>
      <w:rFonts w:ascii="Palatino Linotype" w:eastAsia="Times New Roman" w:hAnsi="Palatino Linotype" w:cs="Times New Roman"/>
      <w:snapToGrid w:val="0"/>
      <w:color w:val="000000"/>
      <w:sz w:val="18"/>
      <w:szCs w:val="20"/>
      <w:lang w:eastAsia="zh-CN" w:bidi="en-US"/>
      <w14:ligatures w14:val="standardContextual"/>
    </w:rPr>
  </w:style>
  <w:style w:type="paragraph" w:customStyle="1" w:styleId="p5">
    <w:name w:val="p5"/>
    <w:basedOn w:val="Normal"/>
    <w:rsid w:val="001F0D52"/>
    <w:pPr>
      <w:widowControl/>
      <w:autoSpaceDE/>
      <w:autoSpaceDN/>
    </w:pPr>
    <w:rPr>
      <w:rFonts w:ascii="Helvetica Neue" w:eastAsiaTheme="minorEastAsia" w:hAnsi="Helvetica Neue"/>
      <w:color w:val="000000"/>
      <w:sz w:val="18"/>
      <w:szCs w:val="18"/>
    </w:rPr>
  </w:style>
  <w:style w:type="paragraph" w:customStyle="1" w:styleId="p6">
    <w:name w:val="p6"/>
    <w:basedOn w:val="Normal"/>
    <w:rsid w:val="001F0D52"/>
    <w:pPr>
      <w:widowControl/>
      <w:autoSpaceDE/>
      <w:autoSpaceDN/>
    </w:pPr>
    <w:rPr>
      <w:rFonts w:ascii="Helvetica Neue" w:eastAsiaTheme="minorEastAsia" w:hAnsi="Helvetica Neue"/>
      <w:color w:val="000000"/>
      <w:sz w:val="18"/>
      <w:szCs w:val="18"/>
    </w:rPr>
  </w:style>
  <w:style w:type="paragraph" w:customStyle="1" w:styleId="p7">
    <w:name w:val="p7"/>
    <w:basedOn w:val="Normal"/>
    <w:rsid w:val="001F0D52"/>
    <w:pPr>
      <w:widowControl/>
      <w:autoSpaceDE/>
      <w:autoSpaceDN/>
      <w:spacing w:after="150"/>
    </w:pPr>
    <w:rPr>
      <w:rFonts w:ascii="Helvetica" w:eastAsiaTheme="minorEastAsia" w:hAnsi="Helvetica"/>
      <w:color w:val="333333"/>
      <w:sz w:val="18"/>
      <w:szCs w:val="18"/>
    </w:rPr>
  </w:style>
  <w:style w:type="paragraph" w:customStyle="1" w:styleId="p9">
    <w:name w:val="p9"/>
    <w:basedOn w:val="Normal"/>
    <w:rsid w:val="001F0D52"/>
    <w:pPr>
      <w:widowControl/>
      <w:autoSpaceDE/>
      <w:autoSpaceDN/>
      <w:spacing w:after="150"/>
    </w:pPr>
    <w:rPr>
      <w:rFonts w:ascii="Helvetica" w:eastAsiaTheme="minorEastAsia" w:hAnsi="Helvetica"/>
      <w:color w:val="185FA1"/>
      <w:sz w:val="18"/>
      <w:szCs w:val="18"/>
    </w:rPr>
  </w:style>
  <w:style w:type="character" w:customStyle="1" w:styleId="s3">
    <w:name w:val="s3"/>
    <w:basedOn w:val="DefaultParagraphFont"/>
    <w:rsid w:val="001F0D52"/>
    <w:rPr>
      <w:rFonts w:ascii="Helvetica Neue" w:hAnsi="Helvetica Neue" w:hint="default"/>
      <w:b w:val="0"/>
      <w:bCs w:val="0"/>
      <w:i w:val="0"/>
      <w:iCs w:val="0"/>
      <w:sz w:val="18"/>
      <w:szCs w:val="18"/>
    </w:rPr>
  </w:style>
  <w:style w:type="character" w:customStyle="1" w:styleId="s4">
    <w:name w:val="s4"/>
    <w:basedOn w:val="DefaultParagraphFont"/>
    <w:rsid w:val="001F0D52"/>
    <w:rPr>
      <w:rFonts w:ascii="Helvetica" w:hAnsi="Helvetica" w:hint="default"/>
      <w:b w:val="0"/>
      <w:bCs w:val="0"/>
      <w:i w:val="0"/>
      <w:iCs w:val="0"/>
      <w:sz w:val="18"/>
      <w:szCs w:val="18"/>
    </w:rPr>
  </w:style>
  <w:style w:type="character" w:customStyle="1" w:styleId="s5">
    <w:name w:val="s5"/>
    <w:basedOn w:val="DefaultParagraphFont"/>
    <w:rsid w:val="001F0D52"/>
    <w:rPr>
      <w:rFonts w:ascii="Helvetica" w:hAnsi="Helvetica" w:hint="default"/>
      <w:b/>
      <w:bCs/>
      <w:i w:val="0"/>
      <w:iCs w:val="0"/>
      <w:sz w:val="18"/>
      <w:szCs w:val="18"/>
    </w:rPr>
  </w:style>
  <w:style w:type="paragraph" w:styleId="FootnoteText">
    <w:name w:val="footnote text"/>
    <w:basedOn w:val="Normal"/>
    <w:link w:val="FootnoteTextChar"/>
    <w:uiPriority w:val="99"/>
    <w:unhideWhenUsed/>
    <w:rsid w:val="00916D9C"/>
    <w:pPr>
      <w:widowControl/>
      <w:autoSpaceDE/>
      <w:autoSpaceDN/>
      <w:jc w:val="both"/>
    </w:pPr>
    <w:rPr>
      <w:rFonts w:eastAsiaTheme="minorHAnsi" w:cstheme="minorBidi"/>
      <w:color w:val="000000" w:themeColor="text1"/>
      <w:sz w:val="24"/>
      <w:szCs w:val="24"/>
      <w:lang w:val="en-GB"/>
    </w:rPr>
  </w:style>
  <w:style w:type="character" w:customStyle="1" w:styleId="FootnoteTextChar">
    <w:name w:val="Footnote Text Char"/>
    <w:basedOn w:val="DefaultParagraphFont"/>
    <w:link w:val="FootnoteText"/>
    <w:uiPriority w:val="99"/>
    <w:rsid w:val="00916D9C"/>
    <w:rPr>
      <w:rFonts w:ascii="Times New Roman" w:hAnsi="Times New Roman"/>
      <w:color w:val="000000" w:themeColor="text1"/>
      <w:sz w:val="24"/>
      <w:szCs w:val="24"/>
      <w:lang w:val="en-GB"/>
    </w:rPr>
  </w:style>
  <w:style w:type="character" w:styleId="FootnoteReference">
    <w:name w:val="footnote reference"/>
    <w:basedOn w:val="DefaultParagraphFont"/>
    <w:uiPriority w:val="99"/>
    <w:unhideWhenUsed/>
    <w:rsid w:val="00916D9C"/>
    <w:rPr>
      <w:vertAlign w:val="superscript"/>
    </w:rPr>
  </w:style>
  <w:style w:type="table" w:styleId="PlainTable5">
    <w:name w:val="Plain Table 5"/>
    <w:basedOn w:val="TableNormal"/>
    <w:uiPriority w:val="45"/>
    <w:rsid w:val="00916D9C"/>
    <w:pPr>
      <w:widowControl/>
      <w:autoSpaceDE/>
      <w:autoSpaceDN/>
    </w:pPr>
    <w:rPr>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3">
    <w:name w:val="List Table 6 Colorful Accent 3"/>
    <w:basedOn w:val="TableNormal"/>
    <w:uiPriority w:val="51"/>
    <w:rsid w:val="00916D9C"/>
    <w:pPr>
      <w:widowControl/>
      <w:autoSpaceDE/>
      <w:autoSpaceDN/>
    </w:pPr>
    <w:rPr>
      <w:color w:val="76923C" w:themeColor="accent3" w:themeShade="BF"/>
      <w:sz w:val="24"/>
      <w:szCs w:val="24"/>
      <w:lang w:val="da-DK"/>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EndNoteBibliographyTitleTegn">
    <w:name w:val="EndNote Bibliography Title Tegn"/>
    <w:basedOn w:val="DefaultParagraphFont"/>
    <w:rsid w:val="00916D9C"/>
    <w:rPr>
      <w:rFonts w:ascii="Times New Roman" w:hAnsi="Times New Roman" w:cs="Times New Roman"/>
      <w:color w:val="000000" w:themeColor="text1"/>
      <w:lang w:val="en-US"/>
    </w:rPr>
  </w:style>
  <w:style w:type="character" w:customStyle="1" w:styleId="EndNoteBibliographyTegn">
    <w:name w:val="EndNote Bibliography Tegn"/>
    <w:basedOn w:val="DefaultParagraphFont"/>
    <w:rsid w:val="00916D9C"/>
    <w:rPr>
      <w:rFonts w:ascii="Times New Roman" w:hAnsi="Times New Roman" w:cs="Times New Roman"/>
      <w:color w:val="000000" w:themeColor="text1"/>
      <w:lang w:val="en-US"/>
    </w:rPr>
  </w:style>
  <w:style w:type="character" w:customStyle="1" w:styleId="Ulstomtale1">
    <w:name w:val="Uløst omtale1"/>
    <w:basedOn w:val="DefaultParagraphFont"/>
    <w:uiPriority w:val="99"/>
    <w:semiHidden/>
    <w:unhideWhenUsed/>
    <w:rsid w:val="00916D9C"/>
    <w:rPr>
      <w:color w:val="605E5C"/>
      <w:shd w:val="clear" w:color="auto" w:fill="E1DFDD"/>
    </w:rPr>
  </w:style>
  <w:style w:type="character" w:styleId="LineNumber">
    <w:name w:val="line number"/>
    <w:basedOn w:val="DefaultParagraphFont"/>
    <w:uiPriority w:val="99"/>
    <w:semiHidden/>
    <w:unhideWhenUsed/>
    <w:rsid w:val="00916D9C"/>
  </w:style>
  <w:style w:type="paragraph" w:styleId="HTMLPreformatted">
    <w:name w:val="HTML Preformatted"/>
    <w:basedOn w:val="Normal"/>
    <w:link w:val="HTMLPreformattedChar"/>
    <w:uiPriority w:val="99"/>
    <w:semiHidden/>
    <w:unhideWhenUsed/>
    <w:rsid w:val="00916D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da-DK" w:eastAsia="da-DK"/>
    </w:rPr>
  </w:style>
  <w:style w:type="character" w:customStyle="1" w:styleId="HTMLPreformattedChar">
    <w:name w:val="HTML Preformatted Char"/>
    <w:basedOn w:val="DefaultParagraphFont"/>
    <w:link w:val="HTMLPreformatted"/>
    <w:uiPriority w:val="99"/>
    <w:semiHidden/>
    <w:rsid w:val="00916D9C"/>
    <w:rPr>
      <w:rFonts w:ascii="Courier New" w:eastAsia="Times New Roman" w:hAnsi="Courier New" w:cs="Courier New"/>
      <w:sz w:val="20"/>
      <w:szCs w:val="20"/>
      <w:lang w:val="da-DK" w:eastAsia="da-DK"/>
    </w:rPr>
  </w:style>
  <w:style w:type="character" w:customStyle="1" w:styleId="y2iqfc">
    <w:name w:val="y2iqfc"/>
    <w:basedOn w:val="DefaultParagraphFont"/>
    <w:rsid w:val="00916D9C"/>
  </w:style>
  <w:style w:type="paragraph" w:customStyle="1" w:styleId="MDPI32textnoindent">
    <w:name w:val="MDPI_3.2_text_no_indent"/>
    <w:basedOn w:val="MDPI31text"/>
    <w:qFormat/>
    <w:rsid w:val="001A626D"/>
    <w:pPr>
      <w:ind w:firstLine="0"/>
    </w:pPr>
    <w:rPr>
      <w14:ligatures w14:val="none"/>
    </w:rPr>
  </w:style>
  <w:style w:type="table" w:customStyle="1" w:styleId="Tabellaelenco6acolori1">
    <w:name w:val="Tabella elenco 6 a colori1"/>
    <w:basedOn w:val="TableNormal"/>
    <w:uiPriority w:val="51"/>
    <w:rsid w:val="001A626D"/>
    <w:pPr>
      <w:widowControl/>
      <w:autoSpaceDE/>
      <w:autoSpaceDN/>
    </w:pPr>
    <w:rPr>
      <w:rFonts w:eastAsiaTheme="minorEastAsia"/>
      <w:color w:val="000000" w:themeColor="text1"/>
      <w:lang w:eastAsia="zh-C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DPI63notes">
    <w:name w:val="MDPI_6.3_notes"/>
    <w:qFormat/>
    <w:rsid w:val="005D1BB9"/>
    <w:pPr>
      <w:widowControl/>
      <w:autoSpaceDE/>
      <w:autoSpaceDN/>
      <w:adjustRightInd w:val="0"/>
      <w:snapToGrid w:val="0"/>
      <w:spacing w:before="240" w:line="280" w:lineRule="atLeast"/>
      <w:jc w:val="both"/>
    </w:pPr>
    <w:rPr>
      <w:rFonts w:ascii="Palatino Linotype" w:eastAsia="SimSun" w:hAnsi="Palatino Linotype" w:cs="Times New Roman"/>
      <w:snapToGrid w:val="0"/>
      <w:color w:val="000000"/>
      <w:sz w:val="18"/>
      <w:szCs w:val="20"/>
      <w:lang w:bidi="en-US"/>
    </w:rPr>
  </w:style>
  <w:style w:type="table" w:styleId="PlainTable2">
    <w:name w:val="Plain Table 2"/>
    <w:basedOn w:val="TableNormal"/>
    <w:uiPriority w:val="42"/>
    <w:rsid w:val="00CD018E"/>
    <w:pPr>
      <w:widowControl/>
      <w:autoSpaceDE/>
      <w:autoSpaceDN/>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34">
      <w:bodyDiv w:val="1"/>
      <w:marLeft w:val="0"/>
      <w:marRight w:val="0"/>
      <w:marTop w:val="0"/>
      <w:marBottom w:val="0"/>
      <w:divBdr>
        <w:top w:val="none" w:sz="0" w:space="0" w:color="auto"/>
        <w:left w:val="none" w:sz="0" w:space="0" w:color="auto"/>
        <w:bottom w:val="none" w:sz="0" w:space="0" w:color="auto"/>
        <w:right w:val="none" w:sz="0" w:space="0" w:color="auto"/>
      </w:divBdr>
    </w:div>
    <w:div w:id="1972899">
      <w:bodyDiv w:val="1"/>
      <w:marLeft w:val="0"/>
      <w:marRight w:val="0"/>
      <w:marTop w:val="0"/>
      <w:marBottom w:val="0"/>
      <w:divBdr>
        <w:top w:val="none" w:sz="0" w:space="0" w:color="auto"/>
        <w:left w:val="none" w:sz="0" w:space="0" w:color="auto"/>
        <w:bottom w:val="none" w:sz="0" w:space="0" w:color="auto"/>
        <w:right w:val="none" w:sz="0" w:space="0" w:color="auto"/>
      </w:divBdr>
    </w:div>
    <w:div w:id="32122741">
      <w:bodyDiv w:val="1"/>
      <w:marLeft w:val="0"/>
      <w:marRight w:val="0"/>
      <w:marTop w:val="0"/>
      <w:marBottom w:val="0"/>
      <w:divBdr>
        <w:top w:val="none" w:sz="0" w:space="0" w:color="auto"/>
        <w:left w:val="none" w:sz="0" w:space="0" w:color="auto"/>
        <w:bottom w:val="none" w:sz="0" w:space="0" w:color="auto"/>
        <w:right w:val="none" w:sz="0" w:space="0" w:color="auto"/>
      </w:divBdr>
    </w:div>
    <w:div w:id="36200902">
      <w:bodyDiv w:val="1"/>
      <w:marLeft w:val="0"/>
      <w:marRight w:val="0"/>
      <w:marTop w:val="0"/>
      <w:marBottom w:val="0"/>
      <w:divBdr>
        <w:top w:val="none" w:sz="0" w:space="0" w:color="auto"/>
        <w:left w:val="none" w:sz="0" w:space="0" w:color="auto"/>
        <w:bottom w:val="none" w:sz="0" w:space="0" w:color="auto"/>
        <w:right w:val="none" w:sz="0" w:space="0" w:color="auto"/>
      </w:divBdr>
    </w:div>
    <w:div w:id="37559770">
      <w:bodyDiv w:val="1"/>
      <w:marLeft w:val="0"/>
      <w:marRight w:val="0"/>
      <w:marTop w:val="0"/>
      <w:marBottom w:val="0"/>
      <w:divBdr>
        <w:top w:val="none" w:sz="0" w:space="0" w:color="auto"/>
        <w:left w:val="none" w:sz="0" w:space="0" w:color="auto"/>
        <w:bottom w:val="none" w:sz="0" w:space="0" w:color="auto"/>
        <w:right w:val="none" w:sz="0" w:space="0" w:color="auto"/>
      </w:divBdr>
    </w:div>
    <w:div w:id="57946828">
      <w:bodyDiv w:val="1"/>
      <w:marLeft w:val="0"/>
      <w:marRight w:val="0"/>
      <w:marTop w:val="0"/>
      <w:marBottom w:val="0"/>
      <w:divBdr>
        <w:top w:val="none" w:sz="0" w:space="0" w:color="auto"/>
        <w:left w:val="none" w:sz="0" w:space="0" w:color="auto"/>
        <w:bottom w:val="none" w:sz="0" w:space="0" w:color="auto"/>
        <w:right w:val="none" w:sz="0" w:space="0" w:color="auto"/>
      </w:divBdr>
    </w:div>
    <w:div w:id="75368406">
      <w:bodyDiv w:val="1"/>
      <w:marLeft w:val="0"/>
      <w:marRight w:val="0"/>
      <w:marTop w:val="0"/>
      <w:marBottom w:val="0"/>
      <w:divBdr>
        <w:top w:val="none" w:sz="0" w:space="0" w:color="auto"/>
        <w:left w:val="none" w:sz="0" w:space="0" w:color="auto"/>
        <w:bottom w:val="none" w:sz="0" w:space="0" w:color="auto"/>
        <w:right w:val="none" w:sz="0" w:space="0" w:color="auto"/>
      </w:divBdr>
    </w:div>
    <w:div w:id="83377478">
      <w:bodyDiv w:val="1"/>
      <w:marLeft w:val="0"/>
      <w:marRight w:val="0"/>
      <w:marTop w:val="0"/>
      <w:marBottom w:val="0"/>
      <w:divBdr>
        <w:top w:val="none" w:sz="0" w:space="0" w:color="auto"/>
        <w:left w:val="none" w:sz="0" w:space="0" w:color="auto"/>
        <w:bottom w:val="none" w:sz="0" w:space="0" w:color="auto"/>
        <w:right w:val="none" w:sz="0" w:space="0" w:color="auto"/>
      </w:divBdr>
    </w:div>
    <w:div w:id="84619105">
      <w:bodyDiv w:val="1"/>
      <w:marLeft w:val="0"/>
      <w:marRight w:val="0"/>
      <w:marTop w:val="0"/>
      <w:marBottom w:val="0"/>
      <w:divBdr>
        <w:top w:val="none" w:sz="0" w:space="0" w:color="auto"/>
        <w:left w:val="none" w:sz="0" w:space="0" w:color="auto"/>
        <w:bottom w:val="none" w:sz="0" w:space="0" w:color="auto"/>
        <w:right w:val="none" w:sz="0" w:space="0" w:color="auto"/>
      </w:divBdr>
    </w:div>
    <w:div w:id="89933103">
      <w:bodyDiv w:val="1"/>
      <w:marLeft w:val="0"/>
      <w:marRight w:val="0"/>
      <w:marTop w:val="0"/>
      <w:marBottom w:val="0"/>
      <w:divBdr>
        <w:top w:val="none" w:sz="0" w:space="0" w:color="auto"/>
        <w:left w:val="none" w:sz="0" w:space="0" w:color="auto"/>
        <w:bottom w:val="none" w:sz="0" w:space="0" w:color="auto"/>
        <w:right w:val="none" w:sz="0" w:space="0" w:color="auto"/>
      </w:divBdr>
    </w:div>
    <w:div w:id="94177657">
      <w:bodyDiv w:val="1"/>
      <w:marLeft w:val="0"/>
      <w:marRight w:val="0"/>
      <w:marTop w:val="0"/>
      <w:marBottom w:val="0"/>
      <w:divBdr>
        <w:top w:val="none" w:sz="0" w:space="0" w:color="auto"/>
        <w:left w:val="none" w:sz="0" w:space="0" w:color="auto"/>
        <w:bottom w:val="none" w:sz="0" w:space="0" w:color="auto"/>
        <w:right w:val="none" w:sz="0" w:space="0" w:color="auto"/>
      </w:divBdr>
    </w:div>
    <w:div w:id="94248827">
      <w:bodyDiv w:val="1"/>
      <w:marLeft w:val="0"/>
      <w:marRight w:val="0"/>
      <w:marTop w:val="0"/>
      <w:marBottom w:val="0"/>
      <w:divBdr>
        <w:top w:val="none" w:sz="0" w:space="0" w:color="auto"/>
        <w:left w:val="none" w:sz="0" w:space="0" w:color="auto"/>
        <w:bottom w:val="none" w:sz="0" w:space="0" w:color="auto"/>
        <w:right w:val="none" w:sz="0" w:space="0" w:color="auto"/>
      </w:divBdr>
    </w:div>
    <w:div w:id="98568793">
      <w:bodyDiv w:val="1"/>
      <w:marLeft w:val="0"/>
      <w:marRight w:val="0"/>
      <w:marTop w:val="0"/>
      <w:marBottom w:val="0"/>
      <w:divBdr>
        <w:top w:val="none" w:sz="0" w:space="0" w:color="auto"/>
        <w:left w:val="none" w:sz="0" w:space="0" w:color="auto"/>
        <w:bottom w:val="none" w:sz="0" w:space="0" w:color="auto"/>
        <w:right w:val="none" w:sz="0" w:space="0" w:color="auto"/>
      </w:divBdr>
    </w:div>
    <w:div w:id="103154369">
      <w:bodyDiv w:val="1"/>
      <w:marLeft w:val="0"/>
      <w:marRight w:val="0"/>
      <w:marTop w:val="0"/>
      <w:marBottom w:val="0"/>
      <w:divBdr>
        <w:top w:val="none" w:sz="0" w:space="0" w:color="auto"/>
        <w:left w:val="none" w:sz="0" w:space="0" w:color="auto"/>
        <w:bottom w:val="none" w:sz="0" w:space="0" w:color="auto"/>
        <w:right w:val="none" w:sz="0" w:space="0" w:color="auto"/>
      </w:divBdr>
    </w:div>
    <w:div w:id="116458942">
      <w:bodyDiv w:val="1"/>
      <w:marLeft w:val="0"/>
      <w:marRight w:val="0"/>
      <w:marTop w:val="0"/>
      <w:marBottom w:val="0"/>
      <w:divBdr>
        <w:top w:val="none" w:sz="0" w:space="0" w:color="auto"/>
        <w:left w:val="none" w:sz="0" w:space="0" w:color="auto"/>
        <w:bottom w:val="none" w:sz="0" w:space="0" w:color="auto"/>
        <w:right w:val="none" w:sz="0" w:space="0" w:color="auto"/>
      </w:divBdr>
    </w:div>
    <w:div w:id="136118999">
      <w:bodyDiv w:val="1"/>
      <w:marLeft w:val="0"/>
      <w:marRight w:val="0"/>
      <w:marTop w:val="0"/>
      <w:marBottom w:val="0"/>
      <w:divBdr>
        <w:top w:val="none" w:sz="0" w:space="0" w:color="auto"/>
        <w:left w:val="none" w:sz="0" w:space="0" w:color="auto"/>
        <w:bottom w:val="none" w:sz="0" w:space="0" w:color="auto"/>
        <w:right w:val="none" w:sz="0" w:space="0" w:color="auto"/>
      </w:divBdr>
    </w:div>
    <w:div w:id="139883246">
      <w:bodyDiv w:val="1"/>
      <w:marLeft w:val="0"/>
      <w:marRight w:val="0"/>
      <w:marTop w:val="0"/>
      <w:marBottom w:val="0"/>
      <w:divBdr>
        <w:top w:val="none" w:sz="0" w:space="0" w:color="auto"/>
        <w:left w:val="none" w:sz="0" w:space="0" w:color="auto"/>
        <w:bottom w:val="none" w:sz="0" w:space="0" w:color="auto"/>
        <w:right w:val="none" w:sz="0" w:space="0" w:color="auto"/>
      </w:divBdr>
    </w:div>
    <w:div w:id="148906155">
      <w:bodyDiv w:val="1"/>
      <w:marLeft w:val="0"/>
      <w:marRight w:val="0"/>
      <w:marTop w:val="0"/>
      <w:marBottom w:val="0"/>
      <w:divBdr>
        <w:top w:val="none" w:sz="0" w:space="0" w:color="auto"/>
        <w:left w:val="none" w:sz="0" w:space="0" w:color="auto"/>
        <w:bottom w:val="none" w:sz="0" w:space="0" w:color="auto"/>
        <w:right w:val="none" w:sz="0" w:space="0" w:color="auto"/>
      </w:divBdr>
    </w:div>
    <w:div w:id="161358332">
      <w:bodyDiv w:val="1"/>
      <w:marLeft w:val="0"/>
      <w:marRight w:val="0"/>
      <w:marTop w:val="0"/>
      <w:marBottom w:val="0"/>
      <w:divBdr>
        <w:top w:val="none" w:sz="0" w:space="0" w:color="auto"/>
        <w:left w:val="none" w:sz="0" w:space="0" w:color="auto"/>
        <w:bottom w:val="none" w:sz="0" w:space="0" w:color="auto"/>
        <w:right w:val="none" w:sz="0" w:space="0" w:color="auto"/>
      </w:divBdr>
    </w:div>
    <w:div w:id="168108776">
      <w:bodyDiv w:val="1"/>
      <w:marLeft w:val="0"/>
      <w:marRight w:val="0"/>
      <w:marTop w:val="0"/>
      <w:marBottom w:val="0"/>
      <w:divBdr>
        <w:top w:val="none" w:sz="0" w:space="0" w:color="auto"/>
        <w:left w:val="none" w:sz="0" w:space="0" w:color="auto"/>
        <w:bottom w:val="none" w:sz="0" w:space="0" w:color="auto"/>
        <w:right w:val="none" w:sz="0" w:space="0" w:color="auto"/>
      </w:divBdr>
    </w:div>
    <w:div w:id="170070008">
      <w:bodyDiv w:val="1"/>
      <w:marLeft w:val="0"/>
      <w:marRight w:val="0"/>
      <w:marTop w:val="0"/>
      <w:marBottom w:val="0"/>
      <w:divBdr>
        <w:top w:val="none" w:sz="0" w:space="0" w:color="auto"/>
        <w:left w:val="none" w:sz="0" w:space="0" w:color="auto"/>
        <w:bottom w:val="none" w:sz="0" w:space="0" w:color="auto"/>
        <w:right w:val="none" w:sz="0" w:space="0" w:color="auto"/>
      </w:divBdr>
    </w:div>
    <w:div w:id="180823330">
      <w:bodyDiv w:val="1"/>
      <w:marLeft w:val="0"/>
      <w:marRight w:val="0"/>
      <w:marTop w:val="0"/>
      <w:marBottom w:val="0"/>
      <w:divBdr>
        <w:top w:val="none" w:sz="0" w:space="0" w:color="auto"/>
        <w:left w:val="none" w:sz="0" w:space="0" w:color="auto"/>
        <w:bottom w:val="none" w:sz="0" w:space="0" w:color="auto"/>
        <w:right w:val="none" w:sz="0" w:space="0" w:color="auto"/>
      </w:divBdr>
    </w:div>
    <w:div w:id="201286389">
      <w:bodyDiv w:val="1"/>
      <w:marLeft w:val="0"/>
      <w:marRight w:val="0"/>
      <w:marTop w:val="0"/>
      <w:marBottom w:val="0"/>
      <w:divBdr>
        <w:top w:val="none" w:sz="0" w:space="0" w:color="auto"/>
        <w:left w:val="none" w:sz="0" w:space="0" w:color="auto"/>
        <w:bottom w:val="none" w:sz="0" w:space="0" w:color="auto"/>
        <w:right w:val="none" w:sz="0" w:space="0" w:color="auto"/>
      </w:divBdr>
    </w:div>
    <w:div w:id="212234585">
      <w:bodyDiv w:val="1"/>
      <w:marLeft w:val="0"/>
      <w:marRight w:val="0"/>
      <w:marTop w:val="0"/>
      <w:marBottom w:val="0"/>
      <w:divBdr>
        <w:top w:val="none" w:sz="0" w:space="0" w:color="auto"/>
        <w:left w:val="none" w:sz="0" w:space="0" w:color="auto"/>
        <w:bottom w:val="none" w:sz="0" w:space="0" w:color="auto"/>
        <w:right w:val="none" w:sz="0" w:space="0" w:color="auto"/>
      </w:divBdr>
    </w:div>
    <w:div w:id="220482152">
      <w:bodyDiv w:val="1"/>
      <w:marLeft w:val="0"/>
      <w:marRight w:val="0"/>
      <w:marTop w:val="0"/>
      <w:marBottom w:val="0"/>
      <w:divBdr>
        <w:top w:val="none" w:sz="0" w:space="0" w:color="auto"/>
        <w:left w:val="none" w:sz="0" w:space="0" w:color="auto"/>
        <w:bottom w:val="none" w:sz="0" w:space="0" w:color="auto"/>
        <w:right w:val="none" w:sz="0" w:space="0" w:color="auto"/>
      </w:divBdr>
    </w:div>
    <w:div w:id="253589691">
      <w:bodyDiv w:val="1"/>
      <w:marLeft w:val="0"/>
      <w:marRight w:val="0"/>
      <w:marTop w:val="0"/>
      <w:marBottom w:val="0"/>
      <w:divBdr>
        <w:top w:val="none" w:sz="0" w:space="0" w:color="auto"/>
        <w:left w:val="none" w:sz="0" w:space="0" w:color="auto"/>
        <w:bottom w:val="none" w:sz="0" w:space="0" w:color="auto"/>
        <w:right w:val="none" w:sz="0" w:space="0" w:color="auto"/>
      </w:divBdr>
    </w:div>
    <w:div w:id="255938670">
      <w:bodyDiv w:val="1"/>
      <w:marLeft w:val="0"/>
      <w:marRight w:val="0"/>
      <w:marTop w:val="0"/>
      <w:marBottom w:val="0"/>
      <w:divBdr>
        <w:top w:val="none" w:sz="0" w:space="0" w:color="auto"/>
        <w:left w:val="none" w:sz="0" w:space="0" w:color="auto"/>
        <w:bottom w:val="none" w:sz="0" w:space="0" w:color="auto"/>
        <w:right w:val="none" w:sz="0" w:space="0" w:color="auto"/>
      </w:divBdr>
    </w:div>
    <w:div w:id="257494260">
      <w:bodyDiv w:val="1"/>
      <w:marLeft w:val="0"/>
      <w:marRight w:val="0"/>
      <w:marTop w:val="0"/>
      <w:marBottom w:val="0"/>
      <w:divBdr>
        <w:top w:val="none" w:sz="0" w:space="0" w:color="auto"/>
        <w:left w:val="none" w:sz="0" w:space="0" w:color="auto"/>
        <w:bottom w:val="none" w:sz="0" w:space="0" w:color="auto"/>
        <w:right w:val="none" w:sz="0" w:space="0" w:color="auto"/>
      </w:divBdr>
    </w:div>
    <w:div w:id="258375105">
      <w:bodyDiv w:val="1"/>
      <w:marLeft w:val="0"/>
      <w:marRight w:val="0"/>
      <w:marTop w:val="0"/>
      <w:marBottom w:val="0"/>
      <w:divBdr>
        <w:top w:val="none" w:sz="0" w:space="0" w:color="auto"/>
        <w:left w:val="none" w:sz="0" w:space="0" w:color="auto"/>
        <w:bottom w:val="none" w:sz="0" w:space="0" w:color="auto"/>
        <w:right w:val="none" w:sz="0" w:space="0" w:color="auto"/>
      </w:divBdr>
    </w:div>
    <w:div w:id="262030331">
      <w:bodyDiv w:val="1"/>
      <w:marLeft w:val="0"/>
      <w:marRight w:val="0"/>
      <w:marTop w:val="0"/>
      <w:marBottom w:val="0"/>
      <w:divBdr>
        <w:top w:val="none" w:sz="0" w:space="0" w:color="auto"/>
        <w:left w:val="none" w:sz="0" w:space="0" w:color="auto"/>
        <w:bottom w:val="none" w:sz="0" w:space="0" w:color="auto"/>
        <w:right w:val="none" w:sz="0" w:space="0" w:color="auto"/>
      </w:divBdr>
    </w:div>
    <w:div w:id="265237915">
      <w:bodyDiv w:val="1"/>
      <w:marLeft w:val="0"/>
      <w:marRight w:val="0"/>
      <w:marTop w:val="0"/>
      <w:marBottom w:val="0"/>
      <w:divBdr>
        <w:top w:val="none" w:sz="0" w:space="0" w:color="auto"/>
        <w:left w:val="none" w:sz="0" w:space="0" w:color="auto"/>
        <w:bottom w:val="none" w:sz="0" w:space="0" w:color="auto"/>
        <w:right w:val="none" w:sz="0" w:space="0" w:color="auto"/>
      </w:divBdr>
    </w:div>
    <w:div w:id="268969618">
      <w:bodyDiv w:val="1"/>
      <w:marLeft w:val="0"/>
      <w:marRight w:val="0"/>
      <w:marTop w:val="0"/>
      <w:marBottom w:val="0"/>
      <w:divBdr>
        <w:top w:val="none" w:sz="0" w:space="0" w:color="auto"/>
        <w:left w:val="none" w:sz="0" w:space="0" w:color="auto"/>
        <w:bottom w:val="none" w:sz="0" w:space="0" w:color="auto"/>
        <w:right w:val="none" w:sz="0" w:space="0" w:color="auto"/>
      </w:divBdr>
    </w:div>
    <w:div w:id="273438820">
      <w:bodyDiv w:val="1"/>
      <w:marLeft w:val="0"/>
      <w:marRight w:val="0"/>
      <w:marTop w:val="0"/>
      <w:marBottom w:val="0"/>
      <w:divBdr>
        <w:top w:val="none" w:sz="0" w:space="0" w:color="auto"/>
        <w:left w:val="none" w:sz="0" w:space="0" w:color="auto"/>
        <w:bottom w:val="none" w:sz="0" w:space="0" w:color="auto"/>
        <w:right w:val="none" w:sz="0" w:space="0" w:color="auto"/>
      </w:divBdr>
    </w:div>
    <w:div w:id="275449778">
      <w:bodyDiv w:val="1"/>
      <w:marLeft w:val="0"/>
      <w:marRight w:val="0"/>
      <w:marTop w:val="0"/>
      <w:marBottom w:val="0"/>
      <w:divBdr>
        <w:top w:val="none" w:sz="0" w:space="0" w:color="auto"/>
        <w:left w:val="none" w:sz="0" w:space="0" w:color="auto"/>
        <w:bottom w:val="none" w:sz="0" w:space="0" w:color="auto"/>
        <w:right w:val="none" w:sz="0" w:space="0" w:color="auto"/>
      </w:divBdr>
    </w:div>
    <w:div w:id="276260351">
      <w:bodyDiv w:val="1"/>
      <w:marLeft w:val="0"/>
      <w:marRight w:val="0"/>
      <w:marTop w:val="0"/>
      <w:marBottom w:val="0"/>
      <w:divBdr>
        <w:top w:val="none" w:sz="0" w:space="0" w:color="auto"/>
        <w:left w:val="none" w:sz="0" w:space="0" w:color="auto"/>
        <w:bottom w:val="none" w:sz="0" w:space="0" w:color="auto"/>
        <w:right w:val="none" w:sz="0" w:space="0" w:color="auto"/>
      </w:divBdr>
    </w:div>
    <w:div w:id="279066986">
      <w:bodyDiv w:val="1"/>
      <w:marLeft w:val="0"/>
      <w:marRight w:val="0"/>
      <w:marTop w:val="0"/>
      <w:marBottom w:val="0"/>
      <w:divBdr>
        <w:top w:val="none" w:sz="0" w:space="0" w:color="auto"/>
        <w:left w:val="none" w:sz="0" w:space="0" w:color="auto"/>
        <w:bottom w:val="none" w:sz="0" w:space="0" w:color="auto"/>
        <w:right w:val="none" w:sz="0" w:space="0" w:color="auto"/>
      </w:divBdr>
    </w:div>
    <w:div w:id="281960233">
      <w:bodyDiv w:val="1"/>
      <w:marLeft w:val="0"/>
      <w:marRight w:val="0"/>
      <w:marTop w:val="0"/>
      <w:marBottom w:val="0"/>
      <w:divBdr>
        <w:top w:val="none" w:sz="0" w:space="0" w:color="auto"/>
        <w:left w:val="none" w:sz="0" w:space="0" w:color="auto"/>
        <w:bottom w:val="none" w:sz="0" w:space="0" w:color="auto"/>
        <w:right w:val="none" w:sz="0" w:space="0" w:color="auto"/>
      </w:divBdr>
    </w:div>
    <w:div w:id="284504941">
      <w:bodyDiv w:val="1"/>
      <w:marLeft w:val="0"/>
      <w:marRight w:val="0"/>
      <w:marTop w:val="0"/>
      <w:marBottom w:val="0"/>
      <w:divBdr>
        <w:top w:val="none" w:sz="0" w:space="0" w:color="auto"/>
        <w:left w:val="none" w:sz="0" w:space="0" w:color="auto"/>
        <w:bottom w:val="none" w:sz="0" w:space="0" w:color="auto"/>
        <w:right w:val="none" w:sz="0" w:space="0" w:color="auto"/>
      </w:divBdr>
    </w:div>
    <w:div w:id="295066592">
      <w:bodyDiv w:val="1"/>
      <w:marLeft w:val="0"/>
      <w:marRight w:val="0"/>
      <w:marTop w:val="0"/>
      <w:marBottom w:val="0"/>
      <w:divBdr>
        <w:top w:val="none" w:sz="0" w:space="0" w:color="auto"/>
        <w:left w:val="none" w:sz="0" w:space="0" w:color="auto"/>
        <w:bottom w:val="none" w:sz="0" w:space="0" w:color="auto"/>
        <w:right w:val="none" w:sz="0" w:space="0" w:color="auto"/>
      </w:divBdr>
    </w:div>
    <w:div w:id="297688831">
      <w:bodyDiv w:val="1"/>
      <w:marLeft w:val="0"/>
      <w:marRight w:val="0"/>
      <w:marTop w:val="0"/>
      <w:marBottom w:val="0"/>
      <w:divBdr>
        <w:top w:val="none" w:sz="0" w:space="0" w:color="auto"/>
        <w:left w:val="none" w:sz="0" w:space="0" w:color="auto"/>
        <w:bottom w:val="none" w:sz="0" w:space="0" w:color="auto"/>
        <w:right w:val="none" w:sz="0" w:space="0" w:color="auto"/>
      </w:divBdr>
    </w:div>
    <w:div w:id="333992766">
      <w:bodyDiv w:val="1"/>
      <w:marLeft w:val="0"/>
      <w:marRight w:val="0"/>
      <w:marTop w:val="0"/>
      <w:marBottom w:val="0"/>
      <w:divBdr>
        <w:top w:val="none" w:sz="0" w:space="0" w:color="auto"/>
        <w:left w:val="none" w:sz="0" w:space="0" w:color="auto"/>
        <w:bottom w:val="none" w:sz="0" w:space="0" w:color="auto"/>
        <w:right w:val="none" w:sz="0" w:space="0" w:color="auto"/>
      </w:divBdr>
    </w:div>
    <w:div w:id="336153997">
      <w:bodyDiv w:val="1"/>
      <w:marLeft w:val="0"/>
      <w:marRight w:val="0"/>
      <w:marTop w:val="0"/>
      <w:marBottom w:val="0"/>
      <w:divBdr>
        <w:top w:val="none" w:sz="0" w:space="0" w:color="auto"/>
        <w:left w:val="none" w:sz="0" w:space="0" w:color="auto"/>
        <w:bottom w:val="none" w:sz="0" w:space="0" w:color="auto"/>
        <w:right w:val="none" w:sz="0" w:space="0" w:color="auto"/>
      </w:divBdr>
    </w:div>
    <w:div w:id="353850015">
      <w:bodyDiv w:val="1"/>
      <w:marLeft w:val="0"/>
      <w:marRight w:val="0"/>
      <w:marTop w:val="0"/>
      <w:marBottom w:val="0"/>
      <w:divBdr>
        <w:top w:val="none" w:sz="0" w:space="0" w:color="auto"/>
        <w:left w:val="none" w:sz="0" w:space="0" w:color="auto"/>
        <w:bottom w:val="none" w:sz="0" w:space="0" w:color="auto"/>
        <w:right w:val="none" w:sz="0" w:space="0" w:color="auto"/>
      </w:divBdr>
    </w:div>
    <w:div w:id="356738335">
      <w:bodyDiv w:val="1"/>
      <w:marLeft w:val="0"/>
      <w:marRight w:val="0"/>
      <w:marTop w:val="0"/>
      <w:marBottom w:val="0"/>
      <w:divBdr>
        <w:top w:val="none" w:sz="0" w:space="0" w:color="auto"/>
        <w:left w:val="none" w:sz="0" w:space="0" w:color="auto"/>
        <w:bottom w:val="none" w:sz="0" w:space="0" w:color="auto"/>
        <w:right w:val="none" w:sz="0" w:space="0" w:color="auto"/>
      </w:divBdr>
    </w:div>
    <w:div w:id="370039984">
      <w:bodyDiv w:val="1"/>
      <w:marLeft w:val="0"/>
      <w:marRight w:val="0"/>
      <w:marTop w:val="0"/>
      <w:marBottom w:val="0"/>
      <w:divBdr>
        <w:top w:val="none" w:sz="0" w:space="0" w:color="auto"/>
        <w:left w:val="none" w:sz="0" w:space="0" w:color="auto"/>
        <w:bottom w:val="none" w:sz="0" w:space="0" w:color="auto"/>
        <w:right w:val="none" w:sz="0" w:space="0" w:color="auto"/>
      </w:divBdr>
    </w:div>
    <w:div w:id="372392019">
      <w:bodyDiv w:val="1"/>
      <w:marLeft w:val="0"/>
      <w:marRight w:val="0"/>
      <w:marTop w:val="0"/>
      <w:marBottom w:val="0"/>
      <w:divBdr>
        <w:top w:val="none" w:sz="0" w:space="0" w:color="auto"/>
        <w:left w:val="none" w:sz="0" w:space="0" w:color="auto"/>
        <w:bottom w:val="none" w:sz="0" w:space="0" w:color="auto"/>
        <w:right w:val="none" w:sz="0" w:space="0" w:color="auto"/>
      </w:divBdr>
    </w:div>
    <w:div w:id="391202012">
      <w:bodyDiv w:val="1"/>
      <w:marLeft w:val="0"/>
      <w:marRight w:val="0"/>
      <w:marTop w:val="0"/>
      <w:marBottom w:val="0"/>
      <w:divBdr>
        <w:top w:val="none" w:sz="0" w:space="0" w:color="auto"/>
        <w:left w:val="none" w:sz="0" w:space="0" w:color="auto"/>
        <w:bottom w:val="none" w:sz="0" w:space="0" w:color="auto"/>
        <w:right w:val="none" w:sz="0" w:space="0" w:color="auto"/>
      </w:divBdr>
    </w:div>
    <w:div w:id="400249952">
      <w:bodyDiv w:val="1"/>
      <w:marLeft w:val="0"/>
      <w:marRight w:val="0"/>
      <w:marTop w:val="0"/>
      <w:marBottom w:val="0"/>
      <w:divBdr>
        <w:top w:val="none" w:sz="0" w:space="0" w:color="auto"/>
        <w:left w:val="none" w:sz="0" w:space="0" w:color="auto"/>
        <w:bottom w:val="none" w:sz="0" w:space="0" w:color="auto"/>
        <w:right w:val="none" w:sz="0" w:space="0" w:color="auto"/>
      </w:divBdr>
    </w:div>
    <w:div w:id="415054154">
      <w:bodyDiv w:val="1"/>
      <w:marLeft w:val="0"/>
      <w:marRight w:val="0"/>
      <w:marTop w:val="0"/>
      <w:marBottom w:val="0"/>
      <w:divBdr>
        <w:top w:val="none" w:sz="0" w:space="0" w:color="auto"/>
        <w:left w:val="none" w:sz="0" w:space="0" w:color="auto"/>
        <w:bottom w:val="none" w:sz="0" w:space="0" w:color="auto"/>
        <w:right w:val="none" w:sz="0" w:space="0" w:color="auto"/>
      </w:divBdr>
    </w:div>
    <w:div w:id="469440563">
      <w:bodyDiv w:val="1"/>
      <w:marLeft w:val="0"/>
      <w:marRight w:val="0"/>
      <w:marTop w:val="0"/>
      <w:marBottom w:val="0"/>
      <w:divBdr>
        <w:top w:val="none" w:sz="0" w:space="0" w:color="auto"/>
        <w:left w:val="none" w:sz="0" w:space="0" w:color="auto"/>
        <w:bottom w:val="none" w:sz="0" w:space="0" w:color="auto"/>
        <w:right w:val="none" w:sz="0" w:space="0" w:color="auto"/>
      </w:divBdr>
    </w:div>
    <w:div w:id="475680506">
      <w:bodyDiv w:val="1"/>
      <w:marLeft w:val="0"/>
      <w:marRight w:val="0"/>
      <w:marTop w:val="0"/>
      <w:marBottom w:val="0"/>
      <w:divBdr>
        <w:top w:val="none" w:sz="0" w:space="0" w:color="auto"/>
        <w:left w:val="none" w:sz="0" w:space="0" w:color="auto"/>
        <w:bottom w:val="none" w:sz="0" w:space="0" w:color="auto"/>
        <w:right w:val="none" w:sz="0" w:space="0" w:color="auto"/>
      </w:divBdr>
    </w:div>
    <w:div w:id="481435433">
      <w:bodyDiv w:val="1"/>
      <w:marLeft w:val="0"/>
      <w:marRight w:val="0"/>
      <w:marTop w:val="0"/>
      <w:marBottom w:val="0"/>
      <w:divBdr>
        <w:top w:val="none" w:sz="0" w:space="0" w:color="auto"/>
        <w:left w:val="none" w:sz="0" w:space="0" w:color="auto"/>
        <w:bottom w:val="none" w:sz="0" w:space="0" w:color="auto"/>
        <w:right w:val="none" w:sz="0" w:space="0" w:color="auto"/>
      </w:divBdr>
    </w:div>
    <w:div w:id="496963570">
      <w:bodyDiv w:val="1"/>
      <w:marLeft w:val="0"/>
      <w:marRight w:val="0"/>
      <w:marTop w:val="0"/>
      <w:marBottom w:val="0"/>
      <w:divBdr>
        <w:top w:val="none" w:sz="0" w:space="0" w:color="auto"/>
        <w:left w:val="none" w:sz="0" w:space="0" w:color="auto"/>
        <w:bottom w:val="none" w:sz="0" w:space="0" w:color="auto"/>
        <w:right w:val="none" w:sz="0" w:space="0" w:color="auto"/>
      </w:divBdr>
    </w:div>
    <w:div w:id="511116699">
      <w:bodyDiv w:val="1"/>
      <w:marLeft w:val="0"/>
      <w:marRight w:val="0"/>
      <w:marTop w:val="0"/>
      <w:marBottom w:val="0"/>
      <w:divBdr>
        <w:top w:val="none" w:sz="0" w:space="0" w:color="auto"/>
        <w:left w:val="none" w:sz="0" w:space="0" w:color="auto"/>
        <w:bottom w:val="none" w:sz="0" w:space="0" w:color="auto"/>
        <w:right w:val="none" w:sz="0" w:space="0" w:color="auto"/>
      </w:divBdr>
    </w:div>
    <w:div w:id="519662512">
      <w:bodyDiv w:val="1"/>
      <w:marLeft w:val="0"/>
      <w:marRight w:val="0"/>
      <w:marTop w:val="0"/>
      <w:marBottom w:val="0"/>
      <w:divBdr>
        <w:top w:val="none" w:sz="0" w:space="0" w:color="auto"/>
        <w:left w:val="none" w:sz="0" w:space="0" w:color="auto"/>
        <w:bottom w:val="none" w:sz="0" w:space="0" w:color="auto"/>
        <w:right w:val="none" w:sz="0" w:space="0" w:color="auto"/>
      </w:divBdr>
    </w:div>
    <w:div w:id="529495164">
      <w:bodyDiv w:val="1"/>
      <w:marLeft w:val="0"/>
      <w:marRight w:val="0"/>
      <w:marTop w:val="0"/>
      <w:marBottom w:val="0"/>
      <w:divBdr>
        <w:top w:val="none" w:sz="0" w:space="0" w:color="auto"/>
        <w:left w:val="none" w:sz="0" w:space="0" w:color="auto"/>
        <w:bottom w:val="none" w:sz="0" w:space="0" w:color="auto"/>
        <w:right w:val="none" w:sz="0" w:space="0" w:color="auto"/>
      </w:divBdr>
    </w:div>
    <w:div w:id="544685763">
      <w:bodyDiv w:val="1"/>
      <w:marLeft w:val="0"/>
      <w:marRight w:val="0"/>
      <w:marTop w:val="0"/>
      <w:marBottom w:val="0"/>
      <w:divBdr>
        <w:top w:val="none" w:sz="0" w:space="0" w:color="auto"/>
        <w:left w:val="none" w:sz="0" w:space="0" w:color="auto"/>
        <w:bottom w:val="none" w:sz="0" w:space="0" w:color="auto"/>
        <w:right w:val="none" w:sz="0" w:space="0" w:color="auto"/>
      </w:divBdr>
    </w:div>
    <w:div w:id="544827316">
      <w:bodyDiv w:val="1"/>
      <w:marLeft w:val="0"/>
      <w:marRight w:val="0"/>
      <w:marTop w:val="0"/>
      <w:marBottom w:val="0"/>
      <w:divBdr>
        <w:top w:val="none" w:sz="0" w:space="0" w:color="auto"/>
        <w:left w:val="none" w:sz="0" w:space="0" w:color="auto"/>
        <w:bottom w:val="none" w:sz="0" w:space="0" w:color="auto"/>
        <w:right w:val="none" w:sz="0" w:space="0" w:color="auto"/>
      </w:divBdr>
    </w:div>
    <w:div w:id="555438846">
      <w:bodyDiv w:val="1"/>
      <w:marLeft w:val="0"/>
      <w:marRight w:val="0"/>
      <w:marTop w:val="0"/>
      <w:marBottom w:val="0"/>
      <w:divBdr>
        <w:top w:val="none" w:sz="0" w:space="0" w:color="auto"/>
        <w:left w:val="none" w:sz="0" w:space="0" w:color="auto"/>
        <w:bottom w:val="none" w:sz="0" w:space="0" w:color="auto"/>
        <w:right w:val="none" w:sz="0" w:space="0" w:color="auto"/>
      </w:divBdr>
    </w:div>
    <w:div w:id="557519306">
      <w:bodyDiv w:val="1"/>
      <w:marLeft w:val="0"/>
      <w:marRight w:val="0"/>
      <w:marTop w:val="0"/>
      <w:marBottom w:val="0"/>
      <w:divBdr>
        <w:top w:val="none" w:sz="0" w:space="0" w:color="auto"/>
        <w:left w:val="none" w:sz="0" w:space="0" w:color="auto"/>
        <w:bottom w:val="none" w:sz="0" w:space="0" w:color="auto"/>
        <w:right w:val="none" w:sz="0" w:space="0" w:color="auto"/>
      </w:divBdr>
    </w:div>
    <w:div w:id="597296016">
      <w:bodyDiv w:val="1"/>
      <w:marLeft w:val="0"/>
      <w:marRight w:val="0"/>
      <w:marTop w:val="0"/>
      <w:marBottom w:val="0"/>
      <w:divBdr>
        <w:top w:val="none" w:sz="0" w:space="0" w:color="auto"/>
        <w:left w:val="none" w:sz="0" w:space="0" w:color="auto"/>
        <w:bottom w:val="none" w:sz="0" w:space="0" w:color="auto"/>
        <w:right w:val="none" w:sz="0" w:space="0" w:color="auto"/>
      </w:divBdr>
    </w:div>
    <w:div w:id="624390786">
      <w:bodyDiv w:val="1"/>
      <w:marLeft w:val="0"/>
      <w:marRight w:val="0"/>
      <w:marTop w:val="0"/>
      <w:marBottom w:val="0"/>
      <w:divBdr>
        <w:top w:val="none" w:sz="0" w:space="0" w:color="auto"/>
        <w:left w:val="none" w:sz="0" w:space="0" w:color="auto"/>
        <w:bottom w:val="none" w:sz="0" w:space="0" w:color="auto"/>
        <w:right w:val="none" w:sz="0" w:space="0" w:color="auto"/>
      </w:divBdr>
    </w:div>
    <w:div w:id="630988286">
      <w:bodyDiv w:val="1"/>
      <w:marLeft w:val="0"/>
      <w:marRight w:val="0"/>
      <w:marTop w:val="0"/>
      <w:marBottom w:val="0"/>
      <w:divBdr>
        <w:top w:val="none" w:sz="0" w:space="0" w:color="auto"/>
        <w:left w:val="none" w:sz="0" w:space="0" w:color="auto"/>
        <w:bottom w:val="none" w:sz="0" w:space="0" w:color="auto"/>
        <w:right w:val="none" w:sz="0" w:space="0" w:color="auto"/>
      </w:divBdr>
    </w:div>
    <w:div w:id="648288919">
      <w:bodyDiv w:val="1"/>
      <w:marLeft w:val="0"/>
      <w:marRight w:val="0"/>
      <w:marTop w:val="0"/>
      <w:marBottom w:val="0"/>
      <w:divBdr>
        <w:top w:val="none" w:sz="0" w:space="0" w:color="auto"/>
        <w:left w:val="none" w:sz="0" w:space="0" w:color="auto"/>
        <w:bottom w:val="none" w:sz="0" w:space="0" w:color="auto"/>
        <w:right w:val="none" w:sz="0" w:space="0" w:color="auto"/>
      </w:divBdr>
    </w:div>
    <w:div w:id="657730080">
      <w:bodyDiv w:val="1"/>
      <w:marLeft w:val="0"/>
      <w:marRight w:val="0"/>
      <w:marTop w:val="0"/>
      <w:marBottom w:val="0"/>
      <w:divBdr>
        <w:top w:val="none" w:sz="0" w:space="0" w:color="auto"/>
        <w:left w:val="none" w:sz="0" w:space="0" w:color="auto"/>
        <w:bottom w:val="none" w:sz="0" w:space="0" w:color="auto"/>
        <w:right w:val="none" w:sz="0" w:space="0" w:color="auto"/>
      </w:divBdr>
    </w:div>
    <w:div w:id="701200847">
      <w:bodyDiv w:val="1"/>
      <w:marLeft w:val="0"/>
      <w:marRight w:val="0"/>
      <w:marTop w:val="0"/>
      <w:marBottom w:val="0"/>
      <w:divBdr>
        <w:top w:val="none" w:sz="0" w:space="0" w:color="auto"/>
        <w:left w:val="none" w:sz="0" w:space="0" w:color="auto"/>
        <w:bottom w:val="none" w:sz="0" w:space="0" w:color="auto"/>
        <w:right w:val="none" w:sz="0" w:space="0" w:color="auto"/>
      </w:divBdr>
    </w:div>
    <w:div w:id="707149874">
      <w:bodyDiv w:val="1"/>
      <w:marLeft w:val="0"/>
      <w:marRight w:val="0"/>
      <w:marTop w:val="0"/>
      <w:marBottom w:val="0"/>
      <w:divBdr>
        <w:top w:val="none" w:sz="0" w:space="0" w:color="auto"/>
        <w:left w:val="none" w:sz="0" w:space="0" w:color="auto"/>
        <w:bottom w:val="none" w:sz="0" w:space="0" w:color="auto"/>
        <w:right w:val="none" w:sz="0" w:space="0" w:color="auto"/>
      </w:divBdr>
    </w:div>
    <w:div w:id="708140135">
      <w:bodyDiv w:val="1"/>
      <w:marLeft w:val="0"/>
      <w:marRight w:val="0"/>
      <w:marTop w:val="0"/>
      <w:marBottom w:val="0"/>
      <w:divBdr>
        <w:top w:val="none" w:sz="0" w:space="0" w:color="auto"/>
        <w:left w:val="none" w:sz="0" w:space="0" w:color="auto"/>
        <w:bottom w:val="none" w:sz="0" w:space="0" w:color="auto"/>
        <w:right w:val="none" w:sz="0" w:space="0" w:color="auto"/>
      </w:divBdr>
    </w:div>
    <w:div w:id="710225496">
      <w:bodyDiv w:val="1"/>
      <w:marLeft w:val="0"/>
      <w:marRight w:val="0"/>
      <w:marTop w:val="0"/>
      <w:marBottom w:val="0"/>
      <w:divBdr>
        <w:top w:val="none" w:sz="0" w:space="0" w:color="auto"/>
        <w:left w:val="none" w:sz="0" w:space="0" w:color="auto"/>
        <w:bottom w:val="none" w:sz="0" w:space="0" w:color="auto"/>
        <w:right w:val="none" w:sz="0" w:space="0" w:color="auto"/>
      </w:divBdr>
    </w:div>
    <w:div w:id="723523612">
      <w:bodyDiv w:val="1"/>
      <w:marLeft w:val="0"/>
      <w:marRight w:val="0"/>
      <w:marTop w:val="0"/>
      <w:marBottom w:val="0"/>
      <w:divBdr>
        <w:top w:val="none" w:sz="0" w:space="0" w:color="auto"/>
        <w:left w:val="none" w:sz="0" w:space="0" w:color="auto"/>
        <w:bottom w:val="none" w:sz="0" w:space="0" w:color="auto"/>
        <w:right w:val="none" w:sz="0" w:space="0" w:color="auto"/>
      </w:divBdr>
    </w:div>
    <w:div w:id="728650584">
      <w:bodyDiv w:val="1"/>
      <w:marLeft w:val="0"/>
      <w:marRight w:val="0"/>
      <w:marTop w:val="0"/>
      <w:marBottom w:val="0"/>
      <w:divBdr>
        <w:top w:val="none" w:sz="0" w:space="0" w:color="auto"/>
        <w:left w:val="none" w:sz="0" w:space="0" w:color="auto"/>
        <w:bottom w:val="none" w:sz="0" w:space="0" w:color="auto"/>
        <w:right w:val="none" w:sz="0" w:space="0" w:color="auto"/>
      </w:divBdr>
    </w:div>
    <w:div w:id="729620493">
      <w:bodyDiv w:val="1"/>
      <w:marLeft w:val="0"/>
      <w:marRight w:val="0"/>
      <w:marTop w:val="0"/>
      <w:marBottom w:val="0"/>
      <w:divBdr>
        <w:top w:val="none" w:sz="0" w:space="0" w:color="auto"/>
        <w:left w:val="none" w:sz="0" w:space="0" w:color="auto"/>
        <w:bottom w:val="none" w:sz="0" w:space="0" w:color="auto"/>
        <w:right w:val="none" w:sz="0" w:space="0" w:color="auto"/>
      </w:divBdr>
    </w:div>
    <w:div w:id="744492396">
      <w:bodyDiv w:val="1"/>
      <w:marLeft w:val="0"/>
      <w:marRight w:val="0"/>
      <w:marTop w:val="0"/>
      <w:marBottom w:val="0"/>
      <w:divBdr>
        <w:top w:val="none" w:sz="0" w:space="0" w:color="auto"/>
        <w:left w:val="none" w:sz="0" w:space="0" w:color="auto"/>
        <w:bottom w:val="none" w:sz="0" w:space="0" w:color="auto"/>
        <w:right w:val="none" w:sz="0" w:space="0" w:color="auto"/>
      </w:divBdr>
    </w:div>
    <w:div w:id="746346897">
      <w:bodyDiv w:val="1"/>
      <w:marLeft w:val="0"/>
      <w:marRight w:val="0"/>
      <w:marTop w:val="0"/>
      <w:marBottom w:val="0"/>
      <w:divBdr>
        <w:top w:val="none" w:sz="0" w:space="0" w:color="auto"/>
        <w:left w:val="none" w:sz="0" w:space="0" w:color="auto"/>
        <w:bottom w:val="none" w:sz="0" w:space="0" w:color="auto"/>
        <w:right w:val="none" w:sz="0" w:space="0" w:color="auto"/>
      </w:divBdr>
    </w:div>
    <w:div w:id="746876316">
      <w:bodyDiv w:val="1"/>
      <w:marLeft w:val="0"/>
      <w:marRight w:val="0"/>
      <w:marTop w:val="0"/>
      <w:marBottom w:val="0"/>
      <w:divBdr>
        <w:top w:val="none" w:sz="0" w:space="0" w:color="auto"/>
        <w:left w:val="none" w:sz="0" w:space="0" w:color="auto"/>
        <w:bottom w:val="none" w:sz="0" w:space="0" w:color="auto"/>
        <w:right w:val="none" w:sz="0" w:space="0" w:color="auto"/>
      </w:divBdr>
    </w:div>
    <w:div w:id="770123394">
      <w:bodyDiv w:val="1"/>
      <w:marLeft w:val="0"/>
      <w:marRight w:val="0"/>
      <w:marTop w:val="0"/>
      <w:marBottom w:val="0"/>
      <w:divBdr>
        <w:top w:val="none" w:sz="0" w:space="0" w:color="auto"/>
        <w:left w:val="none" w:sz="0" w:space="0" w:color="auto"/>
        <w:bottom w:val="none" w:sz="0" w:space="0" w:color="auto"/>
        <w:right w:val="none" w:sz="0" w:space="0" w:color="auto"/>
      </w:divBdr>
    </w:div>
    <w:div w:id="774979985">
      <w:bodyDiv w:val="1"/>
      <w:marLeft w:val="0"/>
      <w:marRight w:val="0"/>
      <w:marTop w:val="0"/>
      <w:marBottom w:val="0"/>
      <w:divBdr>
        <w:top w:val="none" w:sz="0" w:space="0" w:color="auto"/>
        <w:left w:val="none" w:sz="0" w:space="0" w:color="auto"/>
        <w:bottom w:val="none" w:sz="0" w:space="0" w:color="auto"/>
        <w:right w:val="none" w:sz="0" w:space="0" w:color="auto"/>
      </w:divBdr>
    </w:div>
    <w:div w:id="790783537">
      <w:bodyDiv w:val="1"/>
      <w:marLeft w:val="0"/>
      <w:marRight w:val="0"/>
      <w:marTop w:val="0"/>
      <w:marBottom w:val="0"/>
      <w:divBdr>
        <w:top w:val="none" w:sz="0" w:space="0" w:color="auto"/>
        <w:left w:val="none" w:sz="0" w:space="0" w:color="auto"/>
        <w:bottom w:val="none" w:sz="0" w:space="0" w:color="auto"/>
        <w:right w:val="none" w:sz="0" w:space="0" w:color="auto"/>
      </w:divBdr>
    </w:div>
    <w:div w:id="791172371">
      <w:bodyDiv w:val="1"/>
      <w:marLeft w:val="0"/>
      <w:marRight w:val="0"/>
      <w:marTop w:val="0"/>
      <w:marBottom w:val="0"/>
      <w:divBdr>
        <w:top w:val="none" w:sz="0" w:space="0" w:color="auto"/>
        <w:left w:val="none" w:sz="0" w:space="0" w:color="auto"/>
        <w:bottom w:val="none" w:sz="0" w:space="0" w:color="auto"/>
        <w:right w:val="none" w:sz="0" w:space="0" w:color="auto"/>
      </w:divBdr>
    </w:div>
    <w:div w:id="819536984">
      <w:bodyDiv w:val="1"/>
      <w:marLeft w:val="0"/>
      <w:marRight w:val="0"/>
      <w:marTop w:val="0"/>
      <w:marBottom w:val="0"/>
      <w:divBdr>
        <w:top w:val="none" w:sz="0" w:space="0" w:color="auto"/>
        <w:left w:val="none" w:sz="0" w:space="0" w:color="auto"/>
        <w:bottom w:val="none" w:sz="0" w:space="0" w:color="auto"/>
        <w:right w:val="none" w:sz="0" w:space="0" w:color="auto"/>
      </w:divBdr>
    </w:div>
    <w:div w:id="828329859">
      <w:bodyDiv w:val="1"/>
      <w:marLeft w:val="0"/>
      <w:marRight w:val="0"/>
      <w:marTop w:val="0"/>
      <w:marBottom w:val="0"/>
      <w:divBdr>
        <w:top w:val="none" w:sz="0" w:space="0" w:color="auto"/>
        <w:left w:val="none" w:sz="0" w:space="0" w:color="auto"/>
        <w:bottom w:val="none" w:sz="0" w:space="0" w:color="auto"/>
        <w:right w:val="none" w:sz="0" w:space="0" w:color="auto"/>
      </w:divBdr>
    </w:div>
    <w:div w:id="834762229">
      <w:bodyDiv w:val="1"/>
      <w:marLeft w:val="0"/>
      <w:marRight w:val="0"/>
      <w:marTop w:val="0"/>
      <w:marBottom w:val="0"/>
      <w:divBdr>
        <w:top w:val="none" w:sz="0" w:space="0" w:color="auto"/>
        <w:left w:val="none" w:sz="0" w:space="0" w:color="auto"/>
        <w:bottom w:val="none" w:sz="0" w:space="0" w:color="auto"/>
        <w:right w:val="none" w:sz="0" w:space="0" w:color="auto"/>
      </w:divBdr>
    </w:div>
    <w:div w:id="844243661">
      <w:bodyDiv w:val="1"/>
      <w:marLeft w:val="0"/>
      <w:marRight w:val="0"/>
      <w:marTop w:val="0"/>
      <w:marBottom w:val="0"/>
      <w:divBdr>
        <w:top w:val="none" w:sz="0" w:space="0" w:color="auto"/>
        <w:left w:val="none" w:sz="0" w:space="0" w:color="auto"/>
        <w:bottom w:val="none" w:sz="0" w:space="0" w:color="auto"/>
        <w:right w:val="none" w:sz="0" w:space="0" w:color="auto"/>
      </w:divBdr>
    </w:div>
    <w:div w:id="846362602">
      <w:bodyDiv w:val="1"/>
      <w:marLeft w:val="0"/>
      <w:marRight w:val="0"/>
      <w:marTop w:val="0"/>
      <w:marBottom w:val="0"/>
      <w:divBdr>
        <w:top w:val="none" w:sz="0" w:space="0" w:color="auto"/>
        <w:left w:val="none" w:sz="0" w:space="0" w:color="auto"/>
        <w:bottom w:val="none" w:sz="0" w:space="0" w:color="auto"/>
        <w:right w:val="none" w:sz="0" w:space="0" w:color="auto"/>
      </w:divBdr>
    </w:div>
    <w:div w:id="879895793">
      <w:bodyDiv w:val="1"/>
      <w:marLeft w:val="0"/>
      <w:marRight w:val="0"/>
      <w:marTop w:val="0"/>
      <w:marBottom w:val="0"/>
      <w:divBdr>
        <w:top w:val="none" w:sz="0" w:space="0" w:color="auto"/>
        <w:left w:val="none" w:sz="0" w:space="0" w:color="auto"/>
        <w:bottom w:val="none" w:sz="0" w:space="0" w:color="auto"/>
        <w:right w:val="none" w:sz="0" w:space="0" w:color="auto"/>
      </w:divBdr>
    </w:div>
    <w:div w:id="886839738">
      <w:bodyDiv w:val="1"/>
      <w:marLeft w:val="0"/>
      <w:marRight w:val="0"/>
      <w:marTop w:val="0"/>
      <w:marBottom w:val="0"/>
      <w:divBdr>
        <w:top w:val="none" w:sz="0" w:space="0" w:color="auto"/>
        <w:left w:val="none" w:sz="0" w:space="0" w:color="auto"/>
        <w:bottom w:val="none" w:sz="0" w:space="0" w:color="auto"/>
        <w:right w:val="none" w:sz="0" w:space="0" w:color="auto"/>
      </w:divBdr>
    </w:div>
    <w:div w:id="901939020">
      <w:bodyDiv w:val="1"/>
      <w:marLeft w:val="0"/>
      <w:marRight w:val="0"/>
      <w:marTop w:val="0"/>
      <w:marBottom w:val="0"/>
      <w:divBdr>
        <w:top w:val="none" w:sz="0" w:space="0" w:color="auto"/>
        <w:left w:val="none" w:sz="0" w:space="0" w:color="auto"/>
        <w:bottom w:val="none" w:sz="0" w:space="0" w:color="auto"/>
        <w:right w:val="none" w:sz="0" w:space="0" w:color="auto"/>
      </w:divBdr>
    </w:div>
    <w:div w:id="946431069">
      <w:bodyDiv w:val="1"/>
      <w:marLeft w:val="0"/>
      <w:marRight w:val="0"/>
      <w:marTop w:val="0"/>
      <w:marBottom w:val="0"/>
      <w:divBdr>
        <w:top w:val="none" w:sz="0" w:space="0" w:color="auto"/>
        <w:left w:val="none" w:sz="0" w:space="0" w:color="auto"/>
        <w:bottom w:val="none" w:sz="0" w:space="0" w:color="auto"/>
        <w:right w:val="none" w:sz="0" w:space="0" w:color="auto"/>
      </w:divBdr>
    </w:div>
    <w:div w:id="962468575">
      <w:bodyDiv w:val="1"/>
      <w:marLeft w:val="0"/>
      <w:marRight w:val="0"/>
      <w:marTop w:val="0"/>
      <w:marBottom w:val="0"/>
      <w:divBdr>
        <w:top w:val="none" w:sz="0" w:space="0" w:color="auto"/>
        <w:left w:val="none" w:sz="0" w:space="0" w:color="auto"/>
        <w:bottom w:val="none" w:sz="0" w:space="0" w:color="auto"/>
        <w:right w:val="none" w:sz="0" w:space="0" w:color="auto"/>
      </w:divBdr>
    </w:div>
    <w:div w:id="976375672">
      <w:bodyDiv w:val="1"/>
      <w:marLeft w:val="0"/>
      <w:marRight w:val="0"/>
      <w:marTop w:val="0"/>
      <w:marBottom w:val="0"/>
      <w:divBdr>
        <w:top w:val="none" w:sz="0" w:space="0" w:color="auto"/>
        <w:left w:val="none" w:sz="0" w:space="0" w:color="auto"/>
        <w:bottom w:val="none" w:sz="0" w:space="0" w:color="auto"/>
        <w:right w:val="none" w:sz="0" w:space="0" w:color="auto"/>
      </w:divBdr>
    </w:div>
    <w:div w:id="977537285">
      <w:bodyDiv w:val="1"/>
      <w:marLeft w:val="0"/>
      <w:marRight w:val="0"/>
      <w:marTop w:val="0"/>
      <w:marBottom w:val="0"/>
      <w:divBdr>
        <w:top w:val="none" w:sz="0" w:space="0" w:color="auto"/>
        <w:left w:val="none" w:sz="0" w:space="0" w:color="auto"/>
        <w:bottom w:val="none" w:sz="0" w:space="0" w:color="auto"/>
        <w:right w:val="none" w:sz="0" w:space="0" w:color="auto"/>
      </w:divBdr>
    </w:div>
    <w:div w:id="989140095">
      <w:bodyDiv w:val="1"/>
      <w:marLeft w:val="0"/>
      <w:marRight w:val="0"/>
      <w:marTop w:val="0"/>
      <w:marBottom w:val="0"/>
      <w:divBdr>
        <w:top w:val="none" w:sz="0" w:space="0" w:color="auto"/>
        <w:left w:val="none" w:sz="0" w:space="0" w:color="auto"/>
        <w:bottom w:val="none" w:sz="0" w:space="0" w:color="auto"/>
        <w:right w:val="none" w:sz="0" w:space="0" w:color="auto"/>
      </w:divBdr>
    </w:div>
    <w:div w:id="990717073">
      <w:bodyDiv w:val="1"/>
      <w:marLeft w:val="0"/>
      <w:marRight w:val="0"/>
      <w:marTop w:val="0"/>
      <w:marBottom w:val="0"/>
      <w:divBdr>
        <w:top w:val="none" w:sz="0" w:space="0" w:color="auto"/>
        <w:left w:val="none" w:sz="0" w:space="0" w:color="auto"/>
        <w:bottom w:val="none" w:sz="0" w:space="0" w:color="auto"/>
        <w:right w:val="none" w:sz="0" w:space="0" w:color="auto"/>
      </w:divBdr>
    </w:div>
    <w:div w:id="991176382">
      <w:bodyDiv w:val="1"/>
      <w:marLeft w:val="0"/>
      <w:marRight w:val="0"/>
      <w:marTop w:val="0"/>
      <w:marBottom w:val="0"/>
      <w:divBdr>
        <w:top w:val="none" w:sz="0" w:space="0" w:color="auto"/>
        <w:left w:val="none" w:sz="0" w:space="0" w:color="auto"/>
        <w:bottom w:val="none" w:sz="0" w:space="0" w:color="auto"/>
        <w:right w:val="none" w:sz="0" w:space="0" w:color="auto"/>
      </w:divBdr>
    </w:div>
    <w:div w:id="1000355043">
      <w:bodyDiv w:val="1"/>
      <w:marLeft w:val="0"/>
      <w:marRight w:val="0"/>
      <w:marTop w:val="0"/>
      <w:marBottom w:val="0"/>
      <w:divBdr>
        <w:top w:val="none" w:sz="0" w:space="0" w:color="auto"/>
        <w:left w:val="none" w:sz="0" w:space="0" w:color="auto"/>
        <w:bottom w:val="none" w:sz="0" w:space="0" w:color="auto"/>
        <w:right w:val="none" w:sz="0" w:space="0" w:color="auto"/>
      </w:divBdr>
    </w:div>
    <w:div w:id="1012999895">
      <w:bodyDiv w:val="1"/>
      <w:marLeft w:val="0"/>
      <w:marRight w:val="0"/>
      <w:marTop w:val="0"/>
      <w:marBottom w:val="0"/>
      <w:divBdr>
        <w:top w:val="none" w:sz="0" w:space="0" w:color="auto"/>
        <w:left w:val="none" w:sz="0" w:space="0" w:color="auto"/>
        <w:bottom w:val="none" w:sz="0" w:space="0" w:color="auto"/>
        <w:right w:val="none" w:sz="0" w:space="0" w:color="auto"/>
      </w:divBdr>
    </w:div>
    <w:div w:id="1026371358">
      <w:bodyDiv w:val="1"/>
      <w:marLeft w:val="0"/>
      <w:marRight w:val="0"/>
      <w:marTop w:val="0"/>
      <w:marBottom w:val="0"/>
      <w:divBdr>
        <w:top w:val="none" w:sz="0" w:space="0" w:color="auto"/>
        <w:left w:val="none" w:sz="0" w:space="0" w:color="auto"/>
        <w:bottom w:val="none" w:sz="0" w:space="0" w:color="auto"/>
        <w:right w:val="none" w:sz="0" w:space="0" w:color="auto"/>
      </w:divBdr>
    </w:div>
    <w:div w:id="1037780072">
      <w:bodyDiv w:val="1"/>
      <w:marLeft w:val="0"/>
      <w:marRight w:val="0"/>
      <w:marTop w:val="0"/>
      <w:marBottom w:val="0"/>
      <w:divBdr>
        <w:top w:val="none" w:sz="0" w:space="0" w:color="auto"/>
        <w:left w:val="none" w:sz="0" w:space="0" w:color="auto"/>
        <w:bottom w:val="none" w:sz="0" w:space="0" w:color="auto"/>
        <w:right w:val="none" w:sz="0" w:space="0" w:color="auto"/>
      </w:divBdr>
    </w:div>
    <w:div w:id="1058481331">
      <w:bodyDiv w:val="1"/>
      <w:marLeft w:val="0"/>
      <w:marRight w:val="0"/>
      <w:marTop w:val="0"/>
      <w:marBottom w:val="0"/>
      <w:divBdr>
        <w:top w:val="none" w:sz="0" w:space="0" w:color="auto"/>
        <w:left w:val="none" w:sz="0" w:space="0" w:color="auto"/>
        <w:bottom w:val="none" w:sz="0" w:space="0" w:color="auto"/>
        <w:right w:val="none" w:sz="0" w:space="0" w:color="auto"/>
      </w:divBdr>
    </w:div>
    <w:div w:id="1075935968">
      <w:bodyDiv w:val="1"/>
      <w:marLeft w:val="0"/>
      <w:marRight w:val="0"/>
      <w:marTop w:val="0"/>
      <w:marBottom w:val="0"/>
      <w:divBdr>
        <w:top w:val="none" w:sz="0" w:space="0" w:color="auto"/>
        <w:left w:val="none" w:sz="0" w:space="0" w:color="auto"/>
        <w:bottom w:val="none" w:sz="0" w:space="0" w:color="auto"/>
        <w:right w:val="none" w:sz="0" w:space="0" w:color="auto"/>
      </w:divBdr>
    </w:div>
    <w:div w:id="1080523587">
      <w:bodyDiv w:val="1"/>
      <w:marLeft w:val="0"/>
      <w:marRight w:val="0"/>
      <w:marTop w:val="0"/>
      <w:marBottom w:val="0"/>
      <w:divBdr>
        <w:top w:val="none" w:sz="0" w:space="0" w:color="auto"/>
        <w:left w:val="none" w:sz="0" w:space="0" w:color="auto"/>
        <w:bottom w:val="none" w:sz="0" w:space="0" w:color="auto"/>
        <w:right w:val="none" w:sz="0" w:space="0" w:color="auto"/>
      </w:divBdr>
    </w:div>
    <w:div w:id="1097865679">
      <w:bodyDiv w:val="1"/>
      <w:marLeft w:val="0"/>
      <w:marRight w:val="0"/>
      <w:marTop w:val="0"/>
      <w:marBottom w:val="0"/>
      <w:divBdr>
        <w:top w:val="none" w:sz="0" w:space="0" w:color="auto"/>
        <w:left w:val="none" w:sz="0" w:space="0" w:color="auto"/>
        <w:bottom w:val="none" w:sz="0" w:space="0" w:color="auto"/>
        <w:right w:val="none" w:sz="0" w:space="0" w:color="auto"/>
      </w:divBdr>
    </w:div>
    <w:div w:id="1114791160">
      <w:bodyDiv w:val="1"/>
      <w:marLeft w:val="0"/>
      <w:marRight w:val="0"/>
      <w:marTop w:val="0"/>
      <w:marBottom w:val="0"/>
      <w:divBdr>
        <w:top w:val="none" w:sz="0" w:space="0" w:color="auto"/>
        <w:left w:val="none" w:sz="0" w:space="0" w:color="auto"/>
        <w:bottom w:val="none" w:sz="0" w:space="0" w:color="auto"/>
        <w:right w:val="none" w:sz="0" w:space="0" w:color="auto"/>
      </w:divBdr>
    </w:div>
    <w:div w:id="1123957291">
      <w:bodyDiv w:val="1"/>
      <w:marLeft w:val="0"/>
      <w:marRight w:val="0"/>
      <w:marTop w:val="0"/>
      <w:marBottom w:val="0"/>
      <w:divBdr>
        <w:top w:val="none" w:sz="0" w:space="0" w:color="auto"/>
        <w:left w:val="none" w:sz="0" w:space="0" w:color="auto"/>
        <w:bottom w:val="none" w:sz="0" w:space="0" w:color="auto"/>
        <w:right w:val="none" w:sz="0" w:space="0" w:color="auto"/>
      </w:divBdr>
    </w:div>
    <w:div w:id="1158300911">
      <w:bodyDiv w:val="1"/>
      <w:marLeft w:val="0"/>
      <w:marRight w:val="0"/>
      <w:marTop w:val="0"/>
      <w:marBottom w:val="0"/>
      <w:divBdr>
        <w:top w:val="none" w:sz="0" w:space="0" w:color="auto"/>
        <w:left w:val="none" w:sz="0" w:space="0" w:color="auto"/>
        <w:bottom w:val="none" w:sz="0" w:space="0" w:color="auto"/>
        <w:right w:val="none" w:sz="0" w:space="0" w:color="auto"/>
      </w:divBdr>
    </w:div>
    <w:div w:id="1159493959">
      <w:bodyDiv w:val="1"/>
      <w:marLeft w:val="0"/>
      <w:marRight w:val="0"/>
      <w:marTop w:val="0"/>
      <w:marBottom w:val="0"/>
      <w:divBdr>
        <w:top w:val="none" w:sz="0" w:space="0" w:color="auto"/>
        <w:left w:val="none" w:sz="0" w:space="0" w:color="auto"/>
        <w:bottom w:val="none" w:sz="0" w:space="0" w:color="auto"/>
        <w:right w:val="none" w:sz="0" w:space="0" w:color="auto"/>
      </w:divBdr>
    </w:div>
    <w:div w:id="1159543854">
      <w:bodyDiv w:val="1"/>
      <w:marLeft w:val="0"/>
      <w:marRight w:val="0"/>
      <w:marTop w:val="0"/>
      <w:marBottom w:val="0"/>
      <w:divBdr>
        <w:top w:val="none" w:sz="0" w:space="0" w:color="auto"/>
        <w:left w:val="none" w:sz="0" w:space="0" w:color="auto"/>
        <w:bottom w:val="none" w:sz="0" w:space="0" w:color="auto"/>
        <w:right w:val="none" w:sz="0" w:space="0" w:color="auto"/>
      </w:divBdr>
    </w:div>
    <w:div w:id="1170482876">
      <w:bodyDiv w:val="1"/>
      <w:marLeft w:val="0"/>
      <w:marRight w:val="0"/>
      <w:marTop w:val="0"/>
      <w:marBottom w:val="0"/>
      <w:divBdr>
        <w:top w:val="none" w:sz="0" w:space="0" w:color="auto"/>
        <w:left w:val="none" w:sz="0" w:space="0" w:color="auto"/>
        <w:bottom w:val="none" w:sz="0" w:space="0" w:color="auto"/>
        <w:right w:val="none" w:sz="0" w:space="0" w:color="auto"/>
      </w:divBdr>
    </w:div>
    <w:div w:id="1177311608">
      <w:bodyDiv w:val="1"/>
      <w:marLeft w:val="0"/>
      <w:marRight w:val="0"/>
      <w:marTop w:val="0"/>
      <w:marBottom w:val="0"/>
      <w:divBdr>
        <w:top w:val="none" w:sz="0" w:space="0" w:color="auto"/>
        <w:left w:val="none" w:sz="0" w:space="0" w:color="auto"/>
        <w:bottom w:val="none" w:sz="0" w:space="0" w:color="auto"/>
        <w:right w:val="none" w:sz="0" w:space="0" w:color="auto"/>
      </w:divBdr>
    </w:div>
    <w:div w:id="1180854703">
      <w:bodyDiv w:val="1"/>
      <w:marLeft w:val="0"/>
      <w:marRight w:val="0"/>
      <w:marTop w:val="0"/>
      <w:marBottom w:val="0"/>
      <w:divBdr>
        <w:top w:val="none" w:sz="0" w:space="0" w:color="auto"/>
        <w:left w:val="none" w:sz="0" w:space="0" w:color="auto"/>
        <w:bottom w:val="none" w:sz="0" w:space="0" w:color="auto"/>
        <w:right w:val="none" w:sz="0" w:space="0" w:color="auto"/>
      </w:divBdr>
    </w:div>
    <w:div w:id="1187521654">
      <w:bodyDiv w:val="1"/>
      <w:marLeft w:val="0"/>
      <w:marRight w:val="0"/>
      <w:marTop w:val="0"/>
      <w:marBottom w:val="0"/>
      <w:divBdr>
        <w:top w:val="none" w:sz="0" w:space="0" w:color="auto"/>
        <w:left w:val="none" w:sz="0" w:space="0" w:color="auto"/>
        <w:bottom w:val="none" w:sz="0" w:space="0" w:color="auto"/>
        <w:right w:val="none" w:sz="0" w:space="0" w:color="auto"/>
      </w:divBdr>
    </w:div>
    <w:div w:id="1209074726">
      <w:bodyDiv w:val="1"/>
      <w:marLeft w:val="0"/>
      <w:marRight w:val="0"/>
      <w:marTop w:val="0"/>
      <w:marBottom w:val="0"/>
      <w:divBdr>
        <w:top w:val="none" w:sz="0" w:space="0" w:color="auto"/>
        <w:left w:val="none" w:sz="0" w:space="0" w:color="auto"/>
        <w:bottom w:val="none" w:sz="0" w:space="0" w:color="auto"/>
        <w:right w:val="none" w:sz="0" w:space="0" w:color="auto"/>
      </w:divBdr>
    </w:div>
    <w:div w:id="1210648873">
      <w:bodyDiv w:val="1"/>
      <w:marLeft w:val="0"/>
      <w:marRight w:val="0"/>
      <w:marTop w:val="0"/>
      <w:marBottom w:val="0"/>
      <w:divBdr>
        <w:top w:val="none" w:sz="0" w:space="0" w:color="auto"/>
        <w:left w:val="none" w:sz="0" w:space="0" w:color="auto"/>
        <w:bottom w:val="none" w:sz="0" w:space="0" w:color="auto"/>
        <w:right w:val="none" w:sz="0" w:space="0" w:color="auto"/>
      </w:divBdr>
    </w:div>
    <w:div w:id="1218278067">
      <w:bodyDiv w:val="1"/>
      <w:marLeft w:val="0"/>
      <w:marRight w:val="0"/>
      <w:marTop w:val="0"/>
      <w:marBottom w:val="0"/>
      <w:divBdr>
        <w:top w:val="none" w:sz="0" w:space="0" w:color="auto"/>
        <w:left w:val="none" w:sz="0" w:space="0" w:color="auto"/>
        <w:bottom w:val="none" w:sz="0" w:space="0" w:color="auto"/>
        <w:right w:val="none" w:sz="0" w:space="0" w:color="auto"/>
      </w:divBdr>
    </w:div>
    <w:div w:id="1234975233">
      <w:bodyDiv w:val="1"/>
      <w:marLeft w:val="0"/>
      <w:marRight w:val="0"/>
      <w:marTop w:val="0"/>
      <w:marBottom w:val="0"/>
      <w:divBdr>
        <w:top w:val="none" w:sz="0" w:space="0" w:color="auto"/>
        <w:left w:val="none" w:sz="0" w:space="0" w:color="auto"/>
        <w:bottom w:val="none" w:sz="0" w:space="0" w:color="auto"/>
        <w:right w:val="none" w:sz="0" w:space="0" w:color="auto"/>
      </w:divBdr>
    </w:div>
    <w:div w:id="1238395860">
      <w:bodyDiv w:val="1"/>
      <w:marLeft w:val="0"/>
      <w:marRight w:val="0"/>
      <w:marTop w:val="0"/>
      <w:marBottom w:val="0"/>
      <w:divBdr>
        <w:top w:val="none" w:sz="0" w:space="0" w:color="auto"/>
        <w:left w:val="none" w:sz="0" w:space="0" w:color="auto"/>
        <w:bottom w:val="none" w:sz="0" w:space="0" w:color="auto"/>
        <w:right w:val="none" w:sz="0" w:space="0" w:color="auto"/>
      </w:divBdr>
    </w:div>
    <w:div w:id="1260870237">
      <w:bodyDiv w:val="1"/>
      <w:marLeft w:val="0"/>
      <w:marRight w:val="0"/>
      <w:marTop w:val="0"/>
      <w:marBottom w:val="0"/>
      <w:divBdr>
        <w:top w:val="none" w:sz="0" w:space="0" w:color="auto"/>
        <w:left w:val="none" w:sz="0" w:space="0" w:color="auto"/>
        <w:bottom w:val="none" w:sz="0" w:space="0" w:color="auto"/>
        <w:right w:val="none" w:sz="0" w:space="0" w:color="auto"/>
      </w:divBdr>
    </w:div>
    <w:div w:id="1262448897">
      <w:bodyDiv w:val="1"/>
      <w:marLeft w:val="0"/>
      <w:marRight w:val="0"/>
      <w:marTop w:val="0"/>
      <w:marBottom w:val="0"/>
      <w:divBdr>
        <w:top w:val="none" w:sz="0" w:space="0" w:color="auto"/>
        <w:left w:val="none" w:sz="0" w:space="0" w:color="auto"/>
        <w:bottom w:val="none" w:sz="0" w:space="0" w:color="auto"/>
        <w:right w:val="none" w:sz="0" w:space="0" w:color="auto"/>
      </w:divBdr>
    </w:div>
    <w:div w:id="1323849729">
      <w:bodyDiv w:val="1"/>
      <w:marLeft w:val="0"/>
      <w:marRight w:val="0"/>
      <w:marTop w:val="0"/>
      <w:marBottom w:val="0"/>
      <w:divBdr>
        <w:top w:val="none" w:sz="0" w:space="0" w:color="auto"/>
        <w:left w:val="none" w:sz="0" w:space="0" w:color="auto"/>
        <w:bottom w:val="none" w:sz="0" w:space="0" w:color="auto"/>
        <w:right w:val="none" w:sz="0" w:space="0" w:color="auto"/>
      </w:divBdr>
    </w:div>
    <w:div w:id="1357266443">
      <w:bodyDiv w:val="1"/>
      <w:marLeft w:val="0"/>
      <w:marRight w:val="0"/>
      <w:marTop w:val="0"/>
      <w:marBottom w:val="0"/>
      <w:divBdr>
        <w:top w:val="none" w:sz="0" w:space="0" w:color="auto"/>
        <w:left w:val="none" w:sz="0" w:space="0" w:color="auto"/>
        <w:bottom w:val="none" w:sz="0" w:space="0" w:color="auto"/>
        <w:right w:val="none" w:sz="0" w:space="0" w:color="auto"/>
      </w:divBdr>
    </w:div>
    <w:div w:id="1365713923">
      <w:bodyDiv w:val="1"/>
      <w:marLeft w:val="0"/>
      <w:marRight w:val="0"/>
      <w:marTop w:val="0"/>
      <w:marBottom w:val="0"/>
      <w:divBdr>
        <w:top w:val="none" w:sz="0" w:space="0" w:color="auto"/>
        <w:left w:val="none" w:sz="0" w:space="0" w:color="auto"/>
        <w:bottom w:val="none" w:sz="0" w:space="0" w:color="auto"/>
        <w:right w:val="none" w:sz="0" w:space="0" w:color="auto"/>
      </w:divBdr>
    </w:div>
    <w:div w:id="1407070944">
      <w:bodyDiv w:val="1"/>
      <w:marLeft w:val="0"/>
      <w:marRight w:val="0"/>
      <w:marTop w:val="0"/>
      <w:marBottom w:val="0"/>
      <w:divBdr>
        <w:top w:val="none" w:sz="0" w:space="0" w:color="auto"/>
        <w:left w:val="none" w:sz="0" w:space="0" w:color="auto"/>
        <w:bottom w:val="none" w:sz="0" w:space="0" w:color="auto"/>
        <w:right w:val="none" w:sz="0" w:space="0" w:color="auto"/>
      </w:divBdr>
    </w:div>
    <w:div w:id="1435636897">
      <w:bodyDiv w:val="1"/>
      <w:marLeft w:val="0"/>
      <w:marRight w:val="0"/>
      <w:marTop w:val="0"/>
      <w:marBottom w:val="0"/>
      <w:divBdr>
        <w:top w:val="none" w:sz="0" w:space="0" w:color="auto"/>
        <w:left w:val="none" w:sz="0" w:space="0" w:color="auto"/>
        <w:bottom w:val="none" w:sz="0" w:space="0" w:color="auto"/>
        <w:right w:val="none" w:sz="0" w:space="0" w:color="auto"/>
      </w:divBdr>
    </w:div>
    <w:div w:id="1441100785">
      <w:bodyDiv w:val="1"/>
      <w:marLeft w:val="0"/>
      <w:marRight w:val="0"/>
      <w:marTop w:val="0"/>
      <w:marBottom w:val="0"/>
      <w:divBdr>
        <w:top w:val="none" w:sz="0" w:space="0" w:color="auto"/>
        <w:left w:val="none" w:sz="0" w:space="0" w:color="auto"/>
        <w:bottom w:val="none" w:sz="0" w:space="0" w:color="auto"/>
        <w:right w:val="none" w:sz="0" w:space="0" w:color="auto"/>
      </w:divBdr>
    </w:div>
    <w:div w:id="1445153405">
      <w:bodyDiv w:val="1"/>
      <w:marLeft w:val="0"/>
      <w:marRight w:val="0"/>
      <w:marTop w:val="0"/>
      <w:marBottom w:val="0"/>
      <w:divBdr>
        <w:top w:val="none" w:sz="0" w:space="0" w:color="auto"/>
        <w:left w:val="none" w:sz="0" w:space="0" w:color="auto"/>
        <w:bottom w:val="none" w:sz="0" w:space="0" w:color="auto"/>
        <w:right w:val="none" w:sz="0" w:space="0" w:color="auto"/>
      </w:divBdr>
    </w:div>
    <w:div w:id="1450247546">
      <w:bodyDiv w:val="1"/>
      <w:marLeft w:val="0"/>
      <w:marRight w:val="0"/>
      <w:marTop w:val="0"/>
      <w:marBottom w:val="0"/>
      <w:divBdr>
        <w:top w:val="none" w:sz="0" w:space="0" w:color="auto"/>
        <w:left w:val="none" w:sz="0" w:space="0" w:color="auto"/>
        <w:bottom w:val="none" w:sz="0" w:space="0" w:color="auto"/>
        <w:right w:val="none" w:sz="0" w:space="0" w:color="auto"/>
      </w:divBdr>
    </w:div>
    <w:div w:id="1454712734">
      <w:bodyDiv w:val="1"/>
      <w:marLeft w:val="0"/>
      <w:marRight w:val="0"/>
      <w:marTop w:val="0"/>
      <w:marBottom w:val="0"/>
      <w:divBdr>
        <w:top w:val="none" w:sz="0" w:space="0" w:color="auto"/>
        <w:left w:val="none" w:sz="0" w:space="0" w:color="auto"/>
        <w:bottom w:val="none" w:sz="0" w:space="0" w:color="auto"/>
        <w:right w:val="none" w:sz="0" w:space="0" w:color="auto"/>
      </w:divBdr>
    </w:div>
    <w:div w:id="1477725902">
      <w:bodyDiv w:val="1"/>
      <w:marLeft w:val="0"/>
      <w:marRight w:val="0"/>
      <w:marTop w:val="0"/>
      <w:marBottom w:val="0"/>
      <w:divBdr>
        <w:top w:val="none" w:sz="0" w:space="0" w:color="auto"/>
        <w:left w:val="none" w:sz="0" w:space="0" w:color="auto"/>
        <w:bottom w:val="none" w:sz="0" w:space="0" w:color="auto"/>
        <w:right w:val="none" w:sz="0" w:space="0" w:color="auto"/>
      </w:divBdr>
    </w:div>
    <w:div w:id="1479348320">
      <w:bodyDiv w:val="1"/>
      <w:marLeft w:val="0"/>
      <w:marRight w:val="0"/>
      <w:marTop w:val="0"/>
      <w:marBottom w:val="0"/>
      <w:divBdr>
        <w:top w:val="none" w:sz="0" w:space="0" w:color="auto"/>
        <w:left w:val="none" w:sz="0" w:space="0" w:color="auto"/>
        <w:bottom w:val="none" w:sz="0" w:space="0" w:color="auto"/>
        <w:right w:val="none" w:sz="0" w:space="0" w:color="auto"/>
      </w:divBdr>
    </w:div>
    <w:div w:id="1480030970">
      <w:bodyDiv w:val="1"/>
      <w:marLeft w:val="0"/>
      <w:marRight w:val="0"/>
      <w:marTop w:val="0"/>
      <w:marBottom w:val="0"/>
      <w:divBdr>
        <w:top w:val="none" w:sz="0" w:space="0" w:color="auto"/>
        <w:left w:val="none" w:sz="0" w:space="0" w:color="auto"/>
        <w:bottom w:val="none" w:sz="0" w:space="0" w:color="auto"/>
        <w:right w:val="none" w:sz="0" w:space="0" w:color="auto"/>
      </w:divBdr>
    </w:div>
    <w:div w:id="1481725811">
      <w:bodyDiv w:val="1"/>
      <w:marLeft w:val="0"/>
      <w:marRight w:val="0"/>
      <w:marTop w:val="0"/>
      <w:marBottom w:val="0"/>
      <w:divBdr>
        <w:top w:val="none" w:sz="0" w:space="0" w:color="auto"/>
        <w:left w:val="none" w:sz="0" w:space="0" w:color="auto"/>
        <w:bottom w:val="none" w:sz="0" w:space="0" w:color="auto"/>
        <w:right w:val="none" w:sz="0" w:space="0" w:color="auto"/>
      </w:divBdr>
    </w:div>
    <w:div w:id="1482383319">
      <w:bodyDiv w:val="1"/>
      <w:marLeft w:val="0"/>
      <w:marRight w:val="0"/>
      <w:marTop w:val="0"/>
      <w:marBottom w:val="0"/>
      <w:divBdr>
        <w:top w:val="none" w:sz="0" w:space="0" w:color="auto"/>
        <w:left w:val="none" w:sz="0" w:space="0" w:color="auto"/>
        <w:bottom w:val="none" w:sz="0" w:space="0" w:color="auto"/>
        <w:right w:val="none" w:sz="0" w:space="0" w:color="auto"/>
      </w:divBdr>
    </w:div>
    <w:div w:id="1492989299">
      <w:bodyDiv w:val="1"/>
      <w:marLeft w:val="0"/>
      <w:marRight w:val="0"/>
      <w:marTop w:val="0"/>
      <w:marBottom w:val="0"/>
      <w:divBdr>
        <w:top w:val="none" w:sz="0" w:space="0" w:color="auto"/>
        <w:left w:val="none" w:sz="0" w:space="0" w:color="auto"/>
        <w:bottom w:val="none" w:sz="0" w:space="0" w:color="auto"/>
        <w:right w:val="none" w:sz="0" w:space="0" w:color="auto"/>
      </w:divBdr>
    </w:div>
    <w:div w:id="1500195928">
      <w:bodyDiv w:val="1"/>
      <w:marLeft w:val="0"/>
      <w:marRight w:val="0"/>
      <w:marTop w:val="0"/>
      <w:marBottom w:val="0"/>
      <w:divBdr>
        <w:top w:val="none" w:sz="0" w:space="0" w:color="auto"/>
        <w:left w:val="none" w:sz="0" w:space="0" w:color="auto"/>
        <w:bottom w:val="none" w:sz="0" w:space="0" w:color="auto"/>
        <w:right w:val="none" w:sz="0" w:space="0" w:color="auto"/>
      </w:divBdr>
    </w:div>
    <w:div w:id="1505822945">
      <w:bodyDiv w:val="1"/>
      <w:marLeft w:val="0"/>
      <w:marRight w:val="0"/>
      <w:marTop w:val="0"/>
      <w:marBottom w:val="0"/>
      <w:divBdr>
        <w:top w:val="none" w:sz="0" w:space="0" w:color="auto"/>
        <w:left w:val="none" w:sz="0" w:space="0" w:color="auto"/>
        <w:bottom w:val="none" w:sz="0" w:space="0" w:color="auto"/>
        <w:right w:val="none" w:sz="0" w:space="0" w:color="auto"/>
      </w:divBdr>
    </w:div>
    <w:div w:id="1514802908">
      <w:bodyDiv w:val="1"/>
      <w:marLeft w:val="0"/>
      <w:marRight w:val="0"/>
      <w:marTop w:val="0"/>
      <w:marBottom w:val="0"/>
      <w:divBdr>
        <w:top w:val="none" w:sz="0" w:space="0" w:color="auto"/>
        <w:left w:val="none" w:sz="0" w:space="0" w:color="auto"/>
        <w:bottom w:val="none" w:sz="0" w:space="0" w:color="auto"/>
        <w:right w:val="none" w:sz="0" w:space="0" w:color="auto"/>
      </w:divBdr>
    </w:div>
    <w:div w:id="1537305272">
      <w:bodyDiv w:val="1"/>
      <w:marLeft w:val="0"/>
      <w:marRight w:val="0"/>
      <w:marTop w:val="0"/>
      <w:marBottom w:val="0"/>
      <w:divBdr>
        <w:top w:val="none" w:sz="0" w:space="0" w:color="auto"/>
        <w:left w:val="none" w:sz="0" w:space="0" w:color="auto"/>
        <w:bottom w:val="none" w:sz="0" w:space="0" w:color="auto"/>
        <w:right w:val="none" w:sz="0" w:space="0" w:color="auto"/>
      </w:divBdr>
    </w:div>
    <w:div w:id="1553150225">
      <w:bodyDiv w:val="1"/>
      <w:marLeft w:val="0"/>
      <w:marRight w:val="0"/>
      <w:marTop w:val="0"/>
      <w:marBottom w:val="0"/>
      <w:divBdr>
        <w:top w:val="none" w:sz="0" w:space="0" w:color="auto"/>
        <w:left w:val="none" w:sz="0" w:space="0" w:color="auto"/>
        <w:bottom w:val="none" w:sz="0" w:space="0" w:color="auto"/>
        <w:right w:val="none" w:sz="0" w:space="0" w:color="auto"/>
      </w:divBdr>
    </w:div>
    <w:div w:id="1553226207">
      <w:bodyDiv w:val="1"/>
      <w:marLeft w:val="0"/>
      <w:marRight w:val="0"/>
      <w:marTop w:val="0"/>
      <w:marBottom w:val="0"/>
      <w:divBdr>
        <w:top w:val="none" w:sz="0" w:space="0" w:color="auto"/>
        <w:left w:val="none" w:sz="0" w:space="0" w:color="auto"/>
        <w:bottom w:val="none" w:sz="0" w:space="0" w:color="auto"/>
        <w:right w:val="none" w:sz="0" w:space="0" w:color="auto"/>
      </w:divBdr>
    </w:div>
    <w:div w:id="1554585298">
      <w:bodyDiv w:val="1"/>
      <w:marLeft w:val="0"/>
      <w:marRight w:val="0"/>
      <w:marTop w:val="0"/>
      <w:marBottom w:val="0"/>
      <w:divBdr>
        <w:top w:val="none" w:sz="0" w:space="0" w:color="auto"/>
        <w:left w:val="none" w:sz="0" w:space="0" w:color="auto"/>
        <w:bottom w:val="none" w:sz="0" w:space="0" w:color="auto"/>
        <w:right w:val="none" w:sz="0" w:space="0" w:color="auto"/>
      </w:divBdr>
    </w:div>
    <w:div w:id="1560048729">
      <w:bodyDiv w:val="1"/>
      <w:marLeft w:val="0"/>
      <w:marRight w:val="0"/>
      <w:marTop w:val="0"/>
      <w:marBottom w:val="0"/>
      <w:divBdr>
        <w:top w:val="none" w:sz="0" w:space="0" w:color="auto"/>
        <w:left w:val="none" w:sz="0" w:space="0" w:color="auto"/>
        <w:bottom w:val="none" w:sz="0" w:space="0" w:color="auto"/>
        <w:right w:val="none" w:sz="0" w:space="0" w:color="auto"/>
      </w:divBdr>
    </w:div>
    <w:div w:id="1566408526">
      <w:bodyDiv w:val="1"/>
      <w:marLeft w:val="0"/>
      <w:marRight w:val="0"/>
      <w:marTop w:val="0"/>
      <w:marBottom w:val="0"/>
      <w:divBdr>
        <w:top w:val="none" w:sz="0" w:space="0" w:color="auto"/>
        <w:left w:val="none" w:sz="0" w:space="0" w:color="auto"/>
        <w:bottom w:val="none" w:sz="0" w:space="0" w:color="auto"/>
        <w:right w:val="none" w:sz="0" w:space="0" w:color="auto"/>
      </w:divBdr>
    </w:div>
    <w:div w:id="1568149577">
      <w:bodyDiv w:val="1"/>
      <w:marLeft w:val="0"/>
      <w:marRight w:val="0"/>
      <w:marTop w:val="0"/>
      <w:marBottom w:val="0"/>
      <w:divBdr>
        <w:top w:val="none" w:sz="0" w:space="0" w:color="auto"/>
        <w:left w:val="none" w:sz="0" w:space="0" w:color="auto"/>
        <w:bottom w:val="none" w:sz="0" w:space="0" w:color="auto"/>
        <w:right w:val="none" w:sz="0" w:space="0" w:color="auto"/>
      </w:divBdr>
    </w:div>
    <w:div w:id="1593591102">
      <w:bodyDiv w:val="1"/>
      <w:marLeft w:val="0"/>
      <w:marRight w:val="0"/>
      <w:marTop w:val="0"/>
      <w:marBottom w:val="0"/>
      <w:divBdr>
        <w:top w:val="none" w:sz="0" w:space="0" w:color="auto"/>
        <w:left w:val="none" w:sz="0" w:space="0" w:color="auto"/>
        <w:bottom w:val="none" w:sz="0" w:space="0" w:color="auto"/>
        <w:right w:val="none" w:sz="0" w:space="0" w:color="auto"/>
      </w:divBdr>
    </w:div>
    <w:div w:id="1594582774">
      <w:bodyDiv w:val="1"/>
      <w:marLeft w:val="0"/>
      <w:marRight w:val="0"/>
      <w:marTop w:val="0"/>
      <w:marBottom w:val="0"/>
      <w:divBdr>
        <w:top w:val="none" w:sz="0" w:space="0" w:color="auto"/>
        <w:left w:val="none" w:sz="0" w:space="0" w:color="auto"/>
        <w:bottom w:val="none" w:sz="0" w:space="0" w:color="auto"/>
        <w:right w:val="none" w:sz="0" w:space="0" w:color="auto"/>
      </w:divBdr>
    </w:div>
    <w:div w:id="1595741650">
      <w:bodyDiv w:val="1"/>
      <w:marLeft w:val="0"/>
      <w:marRight w:val="0"/>
      <w:marTop w:val="0"/>
      <w:marBottom w:val="0"/>
      <w:divBdr>
        <w:top w:val="none" w:sz="0" w:space="0" w:color="auto"/>
        <w:left w:val="none" w:sz="0" w:space="0" w:color="auto"/>
        <w:bottom w:val="none" w:sz="0" w:space="0" w:color="auto"/>
        <w:right w:val="none" w:sz="0" w:space="0" w:color="auto"/>
      </w:divBdr>
    </w:div>
    <w:div w:id="1608853011">
      <w:bodyDiv w:val="1"/>
      <w:marLeft w:val="0"/>
      <w:marRight w:val="0"/>
      <w:marTop w:val="0"/>
      <w:marBottom w:val="0"/>
      <w:divBdr>
        <w:top w:val="none" w:sz="0" w:space="0" w:color="auto"/>
        <w:left w:val="none" w:sz="0" w:space="0" w:color="auto"/>
        <w:bottom w:val="none" w:sz="0" w:space="0" w:color="auto"/>
        <w:right w:val="none" w:sz="0" w:space="0" w:color="auto"/>
      </w:divBdr>
    </w:div>
    <w:div w:id="1616906895">
      <w:bodyDiv w:val="1"/>
      <w:marLeft w:val="0"/>
      <w:marRight w:val="0"/>
      <w:marTop w:val="0"/>
      <w:marBottom w:val="0"/>
      <w:divBdr>
        <w:top w:val="none" w:sz="0" w:space="0" w:color="auto"/>
        <w:left w:val="none" w:sz="0" w:space="0" w:color="auto"/>
        <w:bottom w:val="none" w:sz="0" w:space="0" w:color="auto"/>
        <w:right w:val="none" w:sz="0" w:space="0" w:color="auto"/>
      </w:divBdr>
    </w:div>
    <w:div w:id="1620256064">
      <w:bodyDiv w:val="1"/>
      <w:marLeft w:val="0"/>
      <w:marRight w:val="0"/>
      <w:marTop w:val="0"/>
      <w:marBottom w:val="0"/>
      <w:divBdr>
        <w:top w:val="none" w:sz="0" w:space="0" w:color="auto"/>
        <w:left w:val="none" w:sz="0" w:space="0" w:color="auto"/>
        <w:bottom w:val="none" w:sz="0" w:space="0" w:color="auto"/>
        <w:right w:val="none" w:sz="0" w:space="0" w:color="auto"/>
      </w:divBdr>
    </w:div>
    <w:div w:id="1651136233">
      <w:bodyDiv w:val="1"/>
      <w:marLeft w:val="0"/>
      <w:marRight w:val="0"/>
      <w:marTop w:val="0"/>
      <w:marBottom w:val="0"/>
      <w:divBdr>
        <w:top w:val="none" w:sz="0" w:space="0" w:color="auto"/>
        <w:left w:val="none" w:sz="0" w:space="0" w:color="auto"/>
        <w:bottom w:val="none" w:sz="0" w:space="0" w:color="auto"/>
        <w:right w:val="none" w:sz="0" w:space="0" w:color="auto"/>
      </w:divBdr>
    </w:div>
    <w:div w:id="1658879553">
      <w:bodyDiv w:val="1"/>
      <w:marLeft w:val="0"/>
      <w:marRight w:val="0"/>
      <w:marTop w:val="0"/>
      <w:marBottom w:val="0"/>
      <w:divBdr>
        <w:top w:val="none" w:sz="0" w:space="0" w:color="auto"/>
        <w:left w:val="none" w:sz="0" w:space="0" w:color="auto"/>
        <w:bottom w:val="none" w:sz="0" w:space="0" w:color="auto"/>
        <w:right w:val="none" w:sz="0" w:space="0" w:color="auto"/>
      </w:divBdr>
    </w:div>
    <w:div w:id="1676227244">
      <w:bodyDiv w:val="1"/>
      <w:marLeft w:val="0"/>
      <w:marRight w:val="0"/>
      <w:marTop w:val="0"/>
      <w:marBottom w:val="0"/>
      <w:divBdr>
        <w:top w:val="none" w:sz="0" w:space="0" w:color="auto"/>
        <w:left w:val="none" w:sz="0" w:space="0" w:color="auto"/>
        <w:bottom w:val="none" w:sz="0" w:space="0" w:color="auto"/>
        <w:right w:val="none" w:sz="0" w:space="0" w:color="auto"/>
      </w:divBdr>
    </w:div>
    <w:div w:id="1678968285">
      <w:bodyDiv w:val="1"/>
      <w:marLeft w:val="0"/>
      <w:marRight w:val="0"/>
      <w:marTop w:val="0"/>
      <w:marBottom w:val="0"/>
      <w:divBdr>
        <w:top w:val="none" w:sz="0" w:space="0" w:color="auto"/>
        <w:left w:val="none" w:sz="0" w:space="0" w:color="auto"/>
        <w:bottom w:val="none" w:sz="0" w:space="0" w:color="auto"/>
        <w:right w:val="none" w:sz="0" w:space="0" w:color="auto"/>
      </w:divBdr>
    </w:div>
    <w:div w:id="1685665357">
      <w:bodyDiv w:val="1"/>
      <w:marLeft w:val="0"/>
      <w:marRight w:val="0"/>
      <w:marTop w:val="0"/>
      <w:marBottom w:val="0"/>
      <w:divBdr>
        <w:top w:val="none" w:sz="0" w:space="0" w:color="auto"/>
        <w:left w:val="none" w:sz="0" w:space="0" w:color="auto"/>
        <w:bottom w:val="none" w:sz="0" w:space="0" w:color="auto"/>
        <w:right w:val="none" w:sz="0" w:space="0" w:color="auto"/>
      </w:divBdr>
    </w:div>
    <w:div w:id="1695031085">
      <w:bodyDiv w:val="1"/>
      <w:marLeft w:val="0"/>
      <w:marRight w:val="0"/>
      <w:marTop w:val="0"/>
      <w:marBottom w:val="0"/>
      <w:divBdr>
        <w:top w:val="none" w:sz="0" w:space="0" w:color="auto"/>
        <w:left w:val="none" w:sz="0" w:space="0" w:color="auto"/>
        <w:bottom w:val="none" w:sz="0" w:space="0" w:color="auto"/>
        <w:right w:val="none" w:sz="0" w:space="0" w:color="auto"/>
      </w:divBdr>
    </w:div>
    <w:div w:id="1706905550">
      <w:bodyDiv w:val="1"/>
      <w:marLeft w:val="0"/>
      <w:marRight w:val="0"/>
      <w:marTop w:val="0"/>
      <w:marBottom w:val="0"/>
      <w:divBdr>
        <w:top w:val="none" w:sz="0" w:space="0" w:color="auto"/>
        <w:left w:val="none" w:sz="0" w:space="0" w:color="auto"/>
        <w:bottom w:val="none" w:sz="0" w:space="0" w:color="auto"/>
        <w:right w:val="none" w:sz="0" w:space="0" w:color="auto"/>
      </w:divBdr>
    </w:div>
    <w:div w:id="1709452847">
      <w:bodyDiv w:val="1"/>
      <w:marLeft w:val="0"/>
      <w:marRight w:val="0"/>
      <w:marTop w:val="0"/>
      <w:marBottom w:val="0"/>
      <w:divBdr>
        <w:top w:val="none" w:sz="0" w:space="0" w:color="auto"/>
        <w:left w:val="none" w:sz="0" w:space="0" w:color="auto"/>
        <w:bottom w:val="none" w:sz="0" w:space="0" w:color="auto"/>
        <w:right w:val="none" w:sz="0" w:space="0" w:color="auto"/>
      </w:divBdr>
    </w:div>
    <w:div w:id="1765763488">
      <w:bodyDiv w:val="1"/>
      <w:marLeft w:val="0"/>
      <w:marRight w:val="0"/>
      <w:marTop w:val="0"/>
      <w:marBottom w:val="0"/>
      <w:divBdr>
        <w:top w:val="none" w:sz="0" w:space="0" w:color="auto"/>
        <w:left w:val="none" w:sz="0" w:space="0" w:color="auto"/>
        <w:bottom w:val="none" w:sz="0" w:space="0" w:color="auto"/>
        <w:right w:val="none" w:sz="0" w:space="0" w:color="auto"/>
      </w:divBdr>
    </w:div>
    <w:div w:id="1775131417">
      <w:bodyDiv w:val="1"/>
      <w:marLeft w:val="0"/>
      <w:marRight w:val="0"/>
      <w:marTop w:val="0"/>
      <w:marBottom w:val="0"/>
      <w:divBdr>
        <w:top w:val="none" w:sz="0" w:space="0" w:color="auto"/>
        <w:left w:val="none" w:sz="0" w:space="0" w:color="auto"/>
        <w:bottom w:val="none" w:sz="0" w:space="0" w:color="auto"/>
        <w:right w:val="none" w:sz="0" w:space="0" w:color="auto"/>
      </w:divBdr>
    </w:div>
    <w:div w:id="1805418284">
      <w:bodyDiv w:val="1"/>
      <w:marLeft w:val="0"/>
      <w:marRight w:val="0"/>
      <w:marTop w:val="0"/>
      <w:marBottom w:val="0"/>
      <w:divBdr>
        <w:top w:val="none" w:sz="0" w:space="0" w:color="auto"/>
        <w:left w:val="none" w:sz="0" w:space="0" w:color="auto"/>
        <w:bottom w:val="none" w:sz="0" w:space="0" w:color="auto"/>
        <w:right w:val="none" w:sz="0" w:space="0" w:color="auto"/>
      </w:divBdr>
    </w:div>
    <w:div w:id="1835951569">
      <w:bodyDiv w:val="1"/>
      <w:marLeft w:val="0"/>
      <w:marRight w:val="0"/>
      <w:marTop w:val="0"/>
      <w:marBottom w:val="0"/>
      <w:divBdr>
        <w:top w:val="none" w:sz="0" w:space="0" w:color="auto"/>
        <w:left w:val="none" w:sz="0" w:space="0" w:color="auto"/>
        <w:bottom w:val="none" w:sz="0" w:space="0" w:color="auto"/>
        <w:right w:val="none" w:sz="0" w:space="0" w:color="auto"/>
      </w:divBdr>
    </w:div>
    <w:div w:id="1843546856">
      <w:bodyDiv w:val="1"/>
      <w:marLeft w:val="0"/>
      <w:marRight w:val="0"/>
      <w:marTop w:val="0"/>
      <w:marBottom w:val="0"/>
      <w:divBdr>
        <w:top w:val="none" w:sz="0" w:space="0" w:color="auto"/>
        <w:left w:val="none" w:sz="0" w:space="0" w:color="auto"/>
        <w:bottom w:val="none" w:sz="0" w:space="0" w:color="auto"/>
        <w:right w:val="none" w:sz="0" w:space="0" w:color="auto"/>
      </w:divBdr>
    </w:div>
    <w:div w:id="1861972150">
      <w:bodyDiv w:val="1"/>
      <w:marLeft w:val="0"/>
      <w:marRight w:val="0"/>
      <w:marTop w:val="0"/>
      <w:marBottom w:val="0"/>
      <w:divBdr>
        <w:top w:val="none" w:sz="0" w:space="0" w:color="auto"/>
        <w:left w:val="none" w:sz="0" w:space="0" w:color="auto"/>
        <w:bottom w:val="none" w:sz="0" w:space="0" w:color="auto"/>
        <w:right w:val="none" w:sz="0" w:space="0" w:color="auto"/>
      </w:divBdr>
    </w:div>
    <w:div w:id="1879507741">
      <w:bodyDiv w:val="1"/>
      <w:marLeft w:val="0"/>
      <w:marRight w:val="0"/>
      <w:marTop w:val="0"/>
      <w:marBottom w:val="0"/>
      <w:divBdr>
        <w:top w:val="none" w:sz="0" w:space="0" w:color="auto"/>
        <w:left w:val="none" w:sz="0" w:space="0" w:color="auto"/>
        <w:bottom w:val="none" w:sz="0" w:space="0" w:color="auto"/>
        <w:right w:val="none" w:sz="0" w:space="0" w:color="auto"/>
      </w:divBdr>
    </w:div>
    <w:div w:id="1899710370">
      <w:bodyDiv w:val="1"/>
      <w:marLeft w:val="0"/>
      <w:marRight w:val="0"/>
      <w:marTop w:val="0"/>
      <w:marBottom w:val="0"/>
      <w:divBdr>
        <w:top w:val="none" w:sz="0" w:space="0" w:color="auto"/>
        <w:left w:val="none" w:sz="0" w:space="0" w:color="auto"/>
        <w:bottom w:val="none" w:sz="0" w:space="0" w:color="auto"/>
        <w:right w:val="none" w:sz="0" w:space="0" w:color="auto"/>
      </w:divBdr>
    </w:div>
    <w:div w:id="1908033833">
      <w:bodyDiv w:val="1"/>
      <w:marLeft w:val="0"/>
      <w:marRight w:val="0"/>
      <w:marTop w:val="0"/>
      <w:marBottom w:val="0"/>
      <w:divBdr>
        <w:top w:val="none" w:sz="0" w:space="0" w:color="auto"/>
        <w:left w:val="none" w:sz="0" w:space="0" w:color="auto"/>
        <w:bottom w:val="none" w:sz="0" w:space="0" w:color="auto"/>
        <w:right w:val="none" w:sz="0" w:space="0" w:color="auto"/>
      </w:divBdr>
    </w:div>
    <w:div w:id="1911387294">
      <w:bodyDiv w:val="1"/>
      <w:marLeft w:val="0"/>
      <w:marRight w:val="0"/>
      <w:marTop w:val="0"/>
      <w:marBottom w:val="0"/>
      <w:divBdr>
        <w:top w:val="none" w:sz="0" w:space="0" w:color="auto"/>
        <w:left w:val="none" w:sz="0" w:space="0" w:color="auto"/>
        <w:bottom w:val="none" w:sz="0" w:space="0" w:color="auto"/>
        <w:right w:val="none" w:sz="0" w:space="0" w:color="auto"/>
      </w:divBdr>
    </w:div>
    <w:div w:id="1920140446">
      <w:bodyDiv w:val="1"/>
      <w:marLeft w:val="0"/>
      <w:marRight w:val="0"/>
      <w:marTop w:val="0"/>
      <w:marBottom w:val="0"/>
      <w:divBdr>
        <w:top w:val="none" w:sz="0" w:space="0" w:color="auto"/>
        <w:left w:val="none" w:sz="0" w:space="0" w:color="auto"/>
        <w:bottom w:val="none" w:sz="0" w:space="0" w:color="auto"/>
        <w:right w:val="none" w:sz="0" w:space="0" w:color="auto"/>
      </w:divBdr>
    </w:div>
    <w:div w:id="1933077600">
      <w:bodyDiv w:val="1"/>
      <w:marLeft w:val="0"/>
      <w:marRight w:val="0"/>
      <w:marTop w:val="0"/>
      <w:marBottom w:val="0"/>
      <w:divBdr>
        <w:top w:val="none" w:sz="0" w:space="0" w:color="auto"/>
        <w:left w:val="none" w:sz="0" w:space="0" w:color="auto"/>
        <w:bottom w:val="none" w:sz="0" w:space="0" w:color="auto"/>
        <w:right w:val="none" w:sz="0" w:space="0" w:color="auto"/>
      </w:divBdr>
    </w:div>
    <w:div w:id="1978417955">
      <w:bodyDiv w:val="1"/>
      <w:marLeft w:val="0"/>
      <w:marRight w:val="0"/>
      <w:marTop w:val="0"/>
      <w:marBottom w:val="0"/>
      <w:divBdr>
        <w:top w:val="none" w:sz="0" w:space="0" w:color="auto"/>
        <w:left w:val="none" w:sz="0" w:space="0" w:color="auto"/>
        <w:bottom w:val="none" w:sz="0" w:space="0" w:color="auto"/>
        <w:right w:val="none" w:sz="0" w:space="0" w:color="auto"/>
      </w:divBdr>
    </w:div>
    <w:div w:id="1988784285">
      <w:bodyDiv w:val="1"/>
      <w:marLeft w:val="0"/>
      <w:marRight w:val="0"/>
      <w:marTop w:val="0"/>
      <w:marBottom w:val="0"/>
      <w:divBdr>
        <w:top w:val="none" w:sz="0" w:space="0" w:color="auto"/>
        <w:left w:val="none" w:sz="0" w:space="0" w:color="auto"/>
        <w:bottom w:val="none" w:sz="0" w:space="0" w:color="auto"/>
        <w:right w:val="none" w:sz="0" w:space="0" w:color="auto"/>
      </w:divBdr>
    </w:div>
    <w:div w:id="1993437930">
      <w:bodyDiv w:val="1"/>
      <w:marLeft w:val="0"/>
      <w:marRight w:val="0"/>
      <w:marTop w:val="0"/>
      <w:marBottom w:val="0"/>
      <w:divBdr>
        <w:top w:val="none" w:sz="0" w:space="0" w:color="auto"/>
        <w:left w:val="none" w:sz="0" w:space="0" w:color="auto"/>
        <w:bottom w:val="none" w:sz="0" w:space="0" w:color="auto"/>
        <w:right w:val="none" w:sz="0" w:space="0" w:color="auto"/>
      </w:divBdr>
    </w:div>
    <w:div w:id="2002851462">
      <w:bodyDiv w:val="1"/>
      <w:marLeft w:val="0"/>
      <w:marRight w:val="0"/>
      <w:marTop w:val="0"/>
      <w:marBottom w:val="0"/>
      <w:divBdr>
        <w:top w:val="none" w:sz="0" w:space="0" w:color="auto"/>
        <w:left w:val="none" w:sz="0" w:space="0" w:color="auto"/>
        <w:bottom w:val="none" w:sz="0" w:space="0" w:color="auto"/>
        <w:right w:val="none" w:sz="0" w:space="0" w:color="auto"/>
      </w:divBdr>
    </w:div>
    <w:div w:id="2005739077">
      <w:bodyDiv w:val="1"/>
      <w:marLeft w:val="0"/>
      <w:marRight w:val="0"/>
      <w:marTop w:val="0"/>
      <w:marBottom w:val="0"/>
      <w:divBdr>
        <w:top w:val="none" w:sz="0" w:space="0" w:color="auto"/>
        <w:left w:val="none" w:sz="0" w:space="0" w:color="auto"/>
        <w:bottom w:val="none" w:sz="0" w:space="0" w:color="auto"/>
        <w:right w:val="none" w:sz="0" w:space="0" w:color="auto"/>
      </w:divBdr>
    </w:div>
    <w:div w:id="2010206616">
      <w:bodyDiv w:val="1"/>
      <w:marLeft w:val="0"/>
      <w:marRight w:val="0"/>
      <w:marTop w:val="0"/>
      <w:marBottom w:val="0"/>
      <w:divBdr>
        <w:top w:val="none" w:sz="0" w:space="0" w:color="auto"/>
        <w:left w:val="none" w:sz="0" w:space="0" w:color="auto"/>
        <w:bottom w:val="none" w:sz="0" w:space="0" w:color="auto"/>
        <w:right w:val="none" w:sz="0" w:space="0" w:color="auto"/>
      </w:divBdr>
    </w:div>
    <w:div w:id="2028943488">
      <w:bodyDiv w:val="1"/>
      <w:marLeft w:val="0"/>
      <w:marRight w:val="0"/>
      <w:marTop w:val="0"/>
      <w:marBottom w:val="0"/>
      <w:divBdr>
        <w:top w:val="none" w:sz="0" w:space="0" w:color="auto"/>
        <w:left w:val="none" w:sz="0" w:space="0" w:color="auto"/>
        <w:bottom w:val="none" w:sz="0" w:space="0" w:color="auto"/>
        <w:right w:val="none" w:sz="0" w:space="0" w:color="auto"/>
      </w:divBdr>
    </w:div>
    <w:div w:id="2043822314">
      <w:bodyDiv w:val="1"/>
      <w:marLeft w:val="0"/>
      <w:marRight w:val="0"/>
      <w:marTop w:val="0"/>
      <w:marBottom w:val="0"/>
      <w:divBdr>
        <w:top w:val="none" w:sz="0" w:space="0" w:color="auto"/>
        <w:left w:val="none" w:sz="0" w:space="0" w:color="auto"/>
        <w:bottom w:val="none" w:sz="0" w:space="0" w:color="auto"/>
        <w:right w:val="none" w:sz="0" w:space="0" w:color="auto"/>
      </w:divBdr>
    </w:div>
    <w:div w:id="2045716703">
      <w:bodyDiv w:val="1"/>
      <w:marLeft w:val="0"/>
      <w:marRight w:val="0"/>
      <w:marTop w:val="0"/>
      <w:marBottom w:val="0"/>
      <w:divBdr>
        <w:top w:val="none" w:sz="0" w:space="0" w:color="auto"/>
        <w:left w:val="none" w:sz="0" w:space="0" w:color="auto"/>
        <w:bottom w:val="none" w:sz="0" w:space="0" w:color="auto"/>
        <w:right w:val="none" w:sz="0" w:space="0" w:color="auto"/>
      </w:divBdr>
    </w:div>
    <w:div w:id="2062515273">
      <w:bodyDiv w:val="1"/>
      <w:marLeft w:val="0"/>
      <w:marRight w:val="0"/>
      <w:marTop w:val="0"/>
      <w:marBottom w:val="0"/>
      <w:divBdr>
        <w:top w:val="none" w:sz="0" w:space="0" w:color="auto"/>
        <w:left w:val="none" w:sz="0" w:space="0" w:color="auto"/>
        <w:bottom w:val="none" w:sz="0" w:space="0" w:color="auto"/>
        <w:right w:val="none" w:sz="0" w:space="0" w:color="auto"/>
      </w:divBdr>
    </w:div>
    <w:div w:id="2080638674">
      <w:bodyDiv w:val="1"/>
      <w:marLeft w:val="0"/>
      <w:marRight w:val="0"/>
      <w:marTop w:val="0"/>
      <w:marBottom w:val="0"/>
      <w:divBdr>
        <w:top w:val="none" w:sz="0" w:space="0" w:color="auto"/>
        <w:left w:val="none" w:sz="0" w:space="0" w:color="auto"/>
        <w:bottom w:val="none" w:sz="0" w:space="0" w:color="auto"/>
        <w:right w:val="none" w:sz="0" w:space="0" w:color="auto"/>
      </w:divBdr>
    </w:div>
    <w:div w:id="2082629072">
      <w:bodyDiv w:val="1"/>
      <w:marLeft w:val="0"/>
      <w:marRight w:val="0"/>
      <w:marTop w:val="0"/>
      <w:marBottom w:val="0"/>
      <w:divBdr>
        <w:top w:val="none" w:sz="0" w:space="0" w:color="auto"/>
        <w:left w:val="none" w:sz="0" w:space="0" w:color="auto"/>
        <w:bottom w:val="none" w:sz="0" w:space="0" w:color="auto"/>
        <w:right w:val="none" w:sz="0" w:space="0" w:color="auto"/>
      </w:divBdr>
    </w:div>
    <w:div w:id="2088767596">
      <w:bodyDiv w:val="1"/>
      <w:marLeft w:val="0"/>
      <w:marRight w:val="0"/>
      <w:marTop w:val="0"/>
      <w:marBottom w:val="0"/>
      <w:divBdr>
        <w:top w:val="none" w:sz="0" w:space="0" w:color="auto"/>
        <w:left w:val="none" w:sz="0" w:space="0" w:color="auto"/>
        <w:bottom w:val="none" w:sz="0" w:space="0" w:color="auto"/>
        <w:right w:val="none" w:sz="0" w:space="0" w:color="auto"/>
      </w:divBdr>
    </w:div>
    <w:div w:id="2093503487">
      <w:bodyDiv w:val="1"/>
      <w:marLeft w:val="0"/>
      <w:marRight w:val="0"/>
      <w:marTop w:val="0"/>
      <w:marBottom w:val="0"/>
      <w:divBdr>
        <w:top w:val="none" w:sz="0" w:space="0" w:color="auto"/>
        <w:left w:val="none" w:sz="0" w:space="0" w:color="auto"/>
        <w:bottom w:val="none" w:sz="0" w:space="0" w:color="auto"/>
        <w:right w:val="none" w:sz="0" w:space="0" w:color="auto"/>
      </w:divBdr>
    </w:div>
    <w:div w:id="2099322156">
      <w:bodyDiv w:val="1"/>
      <w:marLeft w:val="0"/>
      <w:marRight w:val="0"/>
      <w:marTop w:val="0"/>
      <w:marBottom w:val="0"/>
      <w:divBdr>
        <w:top w:val="none" w:sz="0" w:space="0" w:color="auto"/>
        <w:left w:val="none" w:sz="0" w:space="0" w:color="auto"/>
        <w:bottom w:val="none" w:sz="0" w:space="0" w:color="auto"/>
        <w:right w:val="none" w:sz="0" w:space="0" w:color="auto"/>
      </w:divBdr>
    </w:div>
    <w:div w:id="2108696682">
      <w:bodyDiv w:val="1"/>
      <w:marLeft w:val="0"/>
      <w:marRight w:val="0"/>
      <w:marTop w:val="0"/>
      <w:marBottom w:val="0"/>
      <w:divBdr>
        <w:top w:val="none" w:sz="0" w:space="0" w:color="auto"/>
        <w:left w:val="none" w:sz="0" w:space="0" w:color="auto"/>
        <w:bottom w:val="none" w:sz="0" w:space="0" w:color="auto"/>
        <w:right w:val="none" w:sz="0" w:space="0" w:color="auto"/>
      </w:divBdr>
    </w:div>
    <w:div w:id="2115637463">
      <w:bodyDiv w:val="1"/>
      <w:marLeft w:val="0"/>
      <w:marRight w:val="0"/>
      <w:marTop w:val="0"/>
      <w:marBottom w:val="0"/>
      <w:divBdr>
        <w:top w:val="none" w:sz="0" w:space="0" w:color="auto"/>
        <w:left w:val="none" w:sz="0" w:space="0" w:color="auto"/>
        <w:bottom w:val="none" w:sz="0" w:space="0" w:color="auto"/>
        <w:right w:val="none" w:sz="0" w:space="0" w:color="auto"/>
      </w:divBdr>
    </w:div>
    <w:div w:id="2132623416">
      <w:bodyDiv w:val="1"/>
      <w:marLeft w:val="0"/>
      <w:marRight w:val="0"/>
      <w:marTop w:val="0"/>
      <w:marBottom w:val="0"/>
      <w:divBdr>
        <w:top w:val="none" w:sz="0" w:space="0" w:color="auto"/>
        <w:left w:val="none" w:sz="0" w:space="0" w:color="auto"/>
        <w:bottom w:val="none" w:sz="0" w:space="0" w:color="auto"/>
        <w:right w:val="none" w:sz="0" w:space="0" w:color="auto"/>
      </w:divBdr>
    </w:div>
    <w:div w:id="2134277635">
      <w:bodyDiv w:val="1"/>
      <w:marLeft w:val="0"/>
      <w:marRight w:val="0"/>
      <w:marTop w:val="0"/>
      <w:marBottom w:val="0"/>
      <w:divBdr>
        <w:top w:val="none" w:sz="0" w:space="0" w:color="auto"/>
        <w:left w:val="none" w:sz="0" w:space="0" w:color="auto"/>
        <w:bottom w:val="none" w:sz="0" w:space="0" w:color="auto"/>
        <w:right w:val="none" w:sz="0" w:space="0" w:color="auto"/>
      </w:divBdr>
    </w:div>
    <w:div w:id="2139520081">
      <w:bodyDiv w:val="1"/>
      <w:marLeft w:val="0"/>
      <w:marRight w:val="0"/>
      <w:marTop w:val="0"/>
      <w:marBottom w:val="0"/>
      <w:divBdr>
        <w:top w:val="none" w:sz="0" w:space="0" w:color="auto"/>
        <w:left w:val="none" w:sz="0" w:space="0" w:color="auto"/>
        <w:bottom w:val="none" w:sz="0" w:space="0" w:color="auto"/>
        <w:right w:val="none" w:sz="0" w:space="0" w:color="auto"/>
      </w:divBdr>
    </w:div>
    <w:div w:id="2143689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reativecommons.org/licenses/by/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EBBC2-0A35-498C-9624-68C58B059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2170</TotalTime>
  <Pages>15</Pages>
  <Words>6612</Words>
  <Characters>37694</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Prasanth Reddy</dc:creator>
  <cp:lastModifiedBy>t21617</cp:lastModifiedBy>
  <cp:revision>1029</cp:revision>
  <cp:lastPrinted>2025-06-10T08:44:00Z</cp:lastPrinted>
  <dcterms:created xsi:type="dcterms:W3CDTF">2025-05-02T06:19:00Z</dcterms:created>
  <dcterms:modified xsi:type="dcterms:W3CDTF">2026-07-16T08:42:00Z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Microsoft® Word for Microsoft 365</vt:lpwstr>
  </property>
  <property fmtid="{D5CDD505-2E9C-101B-9397-08002B2CF9AE}" pid="4" name="LastSaved">
    <vt:filetime>2020-06-18T00:00:00Z</vt:filetime>
  </property>
</Properties>
</file>